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heme="minorHAnsi" w:hAnsi="Times New Roman" w:cs="Times New Roman"/>
          <w:color w:val="auto"/>
          <w:sz w:val="26"/>
          <w:szCs w:val="26"/>
          <w:lang w:eastAsia="en-US"/>
        </w:rPr>
        <w:id w:val="-744263839"/>
        <w:docPartObj>
          <w:docPartGallery w:val="Table of Contents"/>
          <w:docPartUnique/>
        </w:docPartObj>
      </w:sdtPr>
      <w:sdtEndPr>
        <w:rPr>
          <w:rFonts w:cstheme="minorBidi"/>
          <w:b/>
          <w:bCs/>
          <w:sz w:val="22"/>
          <w:szCs w:val="22"/>
        </w:rPr>
      </w:sdtEndPr>
      <w:sdtContent>
        <w:p w14:paraId="7E7F9E85" w14:textId="43F9B2DC" w:rsidR="008A0537" w:rsidRPr="00A50A25" w:rsidRDefault="008A0537" w:rsidP="00A50A25">
          <w:pPr>
            <w:pStyle w:val="Hlavikaobsahu"/>
            <w:jc w:val="center"/>
            <w:rPr>
              <w:rFonts w:ascii="Times New Roman" w:hAnsi="Times New Roman" w:cs="Times New Roman"/>
              <w:b/>
              <w:color w:val="auto"/>
              <w:sz w:val="26"/>
              <w:szCs w:val="26"/>
            </w:rPr>
          </w:pPr>
          <w:r w:rsidRPr="00A50A25">
            <w:rPr>
              <w:rFonts w:ascii="Times New Roman" w:hAnsi="Times New Roman" w:cs="Times New Roman"/>
              <w:b/>
              <w:color w:val="auto"/>
              <w:sz w:val="26"/>
              <w:szCs w:val="26"/>
            </w:rPr>
            <w:t>Obsah</w:t>
          </w:r>
        </w:p>
        <w:p w14:paraId="4C44422B" w14:textId="77777777" w:rsidR="00122D65" w:rsidRPr="00122D65" w:rsidRDefault="008A0537">
          <w:pPr>
            <w:pStyle w:val="Obsah1"/>
            <w:rPr>
              <w:rFonts w:eastAsiaTheme="minorEastAsia" w:cs="Times New Roman"/>
              <w:b w:val="0"/>
              <w:bCs w:val="0"/>
              <w:sz w:val="22"/>
              <w:lang w:eastAsia="sk-SK"/>
            </w:rPr>
          </w:pPr>
          <w:r w:rsidRPr="00122D65">
            <w:rPr>
              <w:rFonts w:eastAsiaTheme="majorEastAsia" w:cs="Times New Roman"/>
              <w:b w:val="0"/>
              <w:bCs w:val="0"/>
              <w:color w:val="2E74B5" w:themeColor="accent1" w:themeShade="BF"/>
              <w:sz w:val="22"/>
              <w:lang w:eastAsia="sk-SK"/>
            </w:rPr>
            <w:fldChar w:fldCharType="begin"/>
          </w:r>
          <w:r w:rsidRPr="00122D65">
            <w:rPr>
              <w:rFonts w:cs="Times New Roman"/>
              <w:sz w:val="22"/>
            </w:rPr>
            <w:instrText xml:space="preserve"> TOC \o "1-3" \h \z \u </w:instrText>
          </w:r>
          <w:r w:rsidRPr="00122D65">
            <w:rPr>
              <w:rFonts w:eastAsiaTheme="majorEastAsia" w:cs="Times New Roman"/>
              <w:b w:val="0"/>
              <w:bCs w:val="0"/>
              <w:color w:val="2E74B5" w:themeColor="accent1" w:themeShade="BF"/>
              <w:sz w:val="22"/>
              <w:lang w:eastAsia="sk-SK"/>
            </w:rPr>
            <w:fldChar w:fldCharType="separate"/>
          </w:r>
          <w:hyperlink w:anchor="_Toc7502817" w:history="1">
            <w:r w:rsidR="00122D65" w:rsidRPr="00122D65">
              <w:rPr>
                <w:rStyle w:val="Hypertextovprepojenie"/>
                <w:rFonts w:cs="Times New Roman"/>
                <w:sz w:val="22"/>
              </w:rPr>
              <w:t>Zhrnutie</w:t>
            </w:r>
            <w:r w:rsidR="00122D65" w:rsidRPr="00122D65">
              <w:rPr>
                <w:rFonts w:cs="Times New Roman"/>
                <w:webHidden/>
                <w:sz w:val="22"/>
              </w:rPr>
              <w:tab/>
            </w:r>
            <w:r w:rsidR="00122D65" w:rsidRPr="00122D65">
              <w:rPr>
                <w:rFonts w:cs="Times New Roman"/>
                <w:webHidden/>
                <w:sz w:val="22"/>
              </w:rPr>
              <w:fldChar w:fldCharType="begin"/>
            </w:r>
            <w:r w:rsidR="00122D65" w:rsidRPr="00122D65">
              <w:rPr>
                <w:rFonts w:cs="Times New Roman"/>
                <w:webHidden/>
                <w:sz w:val="22"/>
              </w:rPr>
              <w:instrText xml:space="preserve"> PAGEREF _Toc7502817 \h </w:instrText>
            </w:r>
            <w:r w:rsidR="00122D65" w:rsidRPr="00122D65">
              <w:rPr>
                <w:rFonts w:cs="Times New Roman"/>
                <w:webHidden/>
                <w:sz w:val="22"/>
              </w:rPr>
            </w:r>
            <w:r w:rsidR="00122D65" w:rsidRPr="00122D65">
              <w:rPr>
                <w:rFonts w:cs="Times New Roman"/>
                <w:webHidden/>
                <w:sz w:val="22"/>
              </w:rPr>
              <w:fldChar w:fldCharType="separate"/>
            </w:r>
            <w:r w:rsidR="00122D65" w:rsidRPr="00122D65">
              <w:rPr>
                <w:rFonts w:cs="Times New Roman"/>
                <w:webHidden/>
                <w:sz w:val="22"/>
              </w:rPr>
              <w:t>2</w:t>
            </w:r>
            <w:r w:rsidR="00122D65" w:rsidRPr="00122D65">
              <w:rPr>
                <w:rFonts w:cs="Times New Roman"/>
                <w:webHidden/>
                <w:sz w:val="22"/>
              </w:rPr>
              <w:fldChar w:fldCharType="end"/>
            </w:r>
          </w:hyperlink>
        </w:p>
        <w:p w14:paraId="71AB4B4D" w14:textId="77777777" w:rsidR="00122D65" w:rsidRPr="00122D65" w:rsidRDefault="00DD0108">
          <w:pPr>
            <w:pStyle w:val="Obsah1"/>
            <w:rPr>
              <w:rFonts w:eastAsiaTheme="minorEastAsia" w:cs="Times New Roman"/>
              <w:b w:val="0"/>
              <w:bCs w:val="0"/>
              <w:sz w:val="22"/>
              <w:lang w:eastAsia="sk-SK"/>
            </w:rPr>
          </w:pPr>
          <w:hyperlink w:anchor="_Toc7502818" w:history="1">
            <w:r w:rsidR="00122D65" w:rsidRPr="00122D65">
              <w:rPr>
                <w:rStyle w:val="Hypertextovprepojenie"/>
                <w:rFonts w:cs="Times New Roman"/>
                <w:sz w:val="22"/>
              </w:rPr>
              <w:t>1</w:t>
            </w:r>
            <w:r w:rsidR="00122D65" w:rsidRPr="00122D65">
              <w:rPr>
                <w:rFonts w:eastAsiaTheme="minorEastAsia" w:cs="Times New Roman"/>
                <w:b w:val="0"/>
                <w:bCs w:val="0"/>
                <w:sz w:val="22"/>
                <w:lang w:eastAsia="sk-SK"/>
              </w:rPr>
              <w:tab/>
            </w:r>
            <w:r w:rsidR="00122D65" w:rsidRPr="00122D65">
              <w:rPr>
                <w:rStyle w:val="Hypertextovprepojenie"/>
                <w:rFonts w:cs="Times New Roman"/>
                <w:sz w:val="22"/>
              </w:rPr>
              <w:t>Ekonomický rámec rozpočtového hospodárenia Slovenskej republiky</w:t>
            </w:r>
            <w:r w:rsidR="00122D65" w:rsidRPr="00122D65">
              <w:rPr>
                <w:rFonts w:cs="Times New Roman"/>
                <w:webHidden/>
                <w:sz w:val="22"/>
              </w:rPr>
              <w:tab/>
            </w:r>
            <w:r w:rsidR="00122D65" w:rsidRPr="00122D65">
              <w:rPr>
                <w:rFonts w:cs="Times New Roman"/>
                <w:webHidden/>
                <w:sz w:val="22"/>
              </w:rPr>
              <w:fldChar w:fldCharType="begin"/>
            </w:r>
            <w:r w:rsidR="00122D65" w:rsidRPr="00122D65">
              <w:rPr>
                <w:rFonts w:cs="Times New Roman"/>
                <w:webHidden/>
                <w:sz w:val="22"/>
              </w:rPr>
              <w:instrText xml:space="preserve"> PAGEREF _Toc7502818 \h </w:instrText>
            </w:r>
            <w:r w:rsidR="00122D65" w:rsidRPr="00122D65">
              <w:rPr>
                <w:rFonts w:cs="Times New Roman"/>
                <w:webHidden/>
                <w:sz w:val="22"/>
              </w:rPr>
            </w:r>
            <w:r w:rsidR="00122D65" w:rsidRPr="00122D65">
              <w:rPr>
                <w:rFonts w:cs="Times New Roman"/>
                <w:webHidden/>
                <w:sz w:val="22"/>
              </w:rPr>
              <w:fldChar w:fldCharType="separate"/>
            </w:r>
            <w:r w:rsidR="00122D65" w:rsidRPr="00122D65">
              <w:rPr>
                <w:rFonts w:cs="Times New Roman"/>
                <w:webHidden/>
                <w:sz w:val="22"/>
              </w:rPr>
              <w:t>3</w:t>
            </w:r>
            <w:r w:rsidR="00122D65" w:rsidRPr="00122D65">
              <w:rPr>
                <w:rFonts w:cs="Times New Roman"/>
                <w:webHidden/>
                <w:sz w:val="22"/>
              </w:rPr>
              <w:fldChar w:fldCharType="end"/>
            </w:r>
          </w:hyperlink>
        </w:p>
        <w:p w14:paraId="5374C773" w14:textId="77777777" w:rsidR="00122D65" w:rsidRPr="00122D65" w:rsidRDefault="00DD0108">
          <w:pPr>
            <w:pStyle w:val="Obsah2"/>
            <w:rPr>
              <w:rFonts w:eastAsiaTheme="minorEastAsia" w:cs="Times New Roman"/>
              <w:b w:val="0"/>
              <w:bCs w:val="0"/>
              <w:sz w:val="22"/>
              <w:lang w:eastAsia="sk-SK"/>
            </w:rPr>
          </w:pPr>
          <w:hyperlink w:anchor="_Toc7502819" w:history="1">
            <w:r w:rsidR="00122D65" w:rsidRPr="00122D65">
              <w:rPr>
                <w:rStyle w:val="Hypertextovprepojenie"/>
                <w:rFonts w:cs="Times New Roman"/>
                <w:sz w:val="22"/>
              </w:rPr>
              <w:t>1.1</w:t>
            </w:r>
            <w:r w:rsidR="00122D65" w:rsidRPr="00122D65">
              <w:rPr>
                <w:rFonts w:eastAsiaTheme="minorEastAsia" w:cs="Times New Roman"/>
                <w:b w:val="0"/>
                <w:bCs w:val="0"/>
                <w:sz w:val="22"/>
                <w:lang w:eastAsia="sk-SK"/>
              </w:rPr>
              <w:tab/>
            </w:r>
            <w:r w:rsidR="00122D65" w:rsidRPr="00122D65">
              <w:rPr>
                <w:rStyle w:val="Hypertextovprepojenie"/>
                <w:rFonts w:cs="Times New Roman"/>
                <w:sz w:val="22"/>
              </w:rPr>
              <w:t>Vonkajšie ekonomické prostredie</w:t>
            </w:r>
            <w:r w:rsidR="00122D65" w:rsidRPr="00122D65">
              <w:rPr>
                <w:rFonts w:cs="Times New Roman"/>
                <w:webHidden/>
                <w:sz w:val="22"/>
              </w:rPr>
              <w:tab/>
            </w:r>
            <w:r w:rsidR="00122D65" w:rsidRPr="00122D65">
              <w:rPr>
                <w:rFonts w:cs="Times New Roman"/>
                <w:webHidden/>
                <w:sz w:val="22"/>
              </w:rPr>
              <w:fldChar w:fldCharType="begin"/>
            </w:r>
            <w:r w:rsidR="00122D65" w:rsidRPr="00122D65">
              <w:rPr>
                <w:rFonts w:cs="Times New Roman"/>
                <w:webHidden/>
                <w:sz w:val="22"/>
              </w:rPr>
              <w:instrText xml:space="preserve"> PAGEREF _Toc7502819 \h </w:instrText>
            </w:r>
            <w:r w:rsidR="00122D65" w:rsidRPr="00122D65">
              <w:rPr>
                <w:rFonts w:cs="Times New Roman"/>
                <w:webHidden/>
                <w:sz w:val="22"/>
              </w:rPr>
            </w:r>
            <w:r w:rsidR="00122D65" w:rsidRPr="00122D65">
              <w:rPr>
                <w:rFonts w:cs="Times New Roman"/>
                <w:webHidden/>
                <w:sz w:val="22"/>
              </w:rPr>
              <w:fldChar w:fldCharType="separate"/>
            </w:r>
            <w:r w:rsidR="00122D65" w:rsidRPr="00122D65">
              <w:rPr>
                <w:rFonts w:cs="Times New Roman"/>
                <w:webHidden/>
                <w:sz w:val="22"/>
              </w:rPr>
              <w:t>3</w:t>
            </w:r>
            <w:r w:rsidR="00122D65" w:rsidRPr="00122D65">
              <w:rPr>
                <w:rFonts w:cs="Times New Roman"/>
                <w:webHidden/>
                <w:sz w:val="22"/>
              </w:rPr>
              <w:fldChar w:fldCharType="end"/>
            </w:r>
          </w:hyperlink>
        </w:p>
        <w:p w14:paraId="421477FF" w14:textId="77777777" w:rsidR="00122D65" w:rsidRPr="00122D65" w:rsidRDefault="00DD0108">
          <w:pPr>
            <w:pStyle w:val="Obsah2"/>
            <w:rPr>
              <w:rFonts w:eastAsiaTheme="minorEastAsia" w:cs="Times New Roman"/>
              <w:b w:val="0"/>
              <w:bCs w:val="0"/>
              <w:sz w:val="22"/>
              <w:lang w:eastAsia="sk-SK"/>
            </w:rPr>
          </w:pPr>
          <w:hyperlink w:anchor="_Toc7502820" w:history="1">
            <w:r w:rsidR="00122D65" w:rsidRPr="00122D65">
              <w:rPr>
                <w:rStyle w:val="Hypertextovprepojenie"/>
                <w:rFonts w:cs="Times New Roman"/>
                <w:sz w:val="22"/>
              </w:rPr>
              <w:t>1.2</w:t>
            </w:r>
            <w:r w:rsidR="00122D65" w:rsidRPr="00122D65">
              <w:rPr>
                <w:rFonts w:eastAsiaTheme="minorEastAsia" w:cs="Times New Roman"/>
                <w:b w:val="0"/>
                <w:bCs w:val="0"/>
                <w:sz w:val="22"/>
                <w:lang w:eastAsia="sk-SK"/>
              </w:rPr>
              <w:tab/>
            </w:r>
            <w:r w:rsidR="00122D65" w:rsidRPr="00122D65">
              <w:rPr>
                <w:rStyle w:val="Hypertextovprepojenie"/>
                <w:rFonts w:cs="Times New Roman"/>
                <w:sz w:val="22"/>
              </w:rPr>
              <w:t>Makroekonomický vývoj SR</w:t>
            </w:r>
            <w:r w:rsidR="00122D65" w:rsidRPr="00122D65">
              <w:rPr>
                <w:rFonts w:cs="Times New Roman"/>
                <w:webHidden/>
                <w:sz w:val="22"/>
              </w:rPr>
              <w:tab/>
            </w:r>
            <w:r w:rsidR="00122D65" w:rsidRPr="00122D65">
              <w:rPr>
                <w:rFonts w:cs="Times New Roman"/>
                <w:webHidden/>
                <w:sz w:val="22"/>
              </w:rPr>
              <w:fldChar w:fldCharType="begin"/>
            </w:r>
            <w:r w:rsidR="00122D65" w:rsidRPr="00122D65">
              <w:rPr>
                <w:rFonts w:cs="Times New Roman"/>
                <w:webHidden/>
                <w:sz w:val="22"/>
              </w:rPr>
              <w:instrText xml:space="preserve"> PAGEREF _Toc7502820 \h </w:instrText>
            </w:r>
            <w:r w:rsidR="00122D65" w:rsidRPr="00122D65">
              <w:rPr>
                <w:rFonts w:cs="Times New Roman"/>
                <w:webHidden/>
                <w:sz w:val="22"/>
              </w:rPr>
            </w:r>
            <w:r w:rsidR="00122D65" w:rsidRPr="00122D65">
              <w:rPr>
                <w:rFonts w:cs="Times New Roman"/>
                <w:webHidden/>
                <w:sz w:val="22"/>
              </w:rPr>
              <w:fldChar w:fldCharType="separate"/>
            </w:r>
            <w:r w:rsidR="00122D65" w:rsidRPr="00122D65">
              <w:rPr>
                <w:rFonts w:cs="Times New Roman"/>
                <w:webHidden/>
                <w:sz w:val="22"/>
              </w:rPr>
              <w:t>4</w:t>
            </w:r>
            <w:r w:rsidR="00122D65" w:rsidRPr="00122D65">
              <w:rPr>
                <w:rFonts w:cs="Times New Roman"/>
                <w:webHidden/>
                <w:sz w:val="22"/>
              </w:rPr>
              <w:fldChar w:fldCharType="end"/>
            </w:r>
          </w:hyperlink>
        </w:p>
        <w:p w14:paraId="264C36B9" w14:textId="77777777" w:rsidR="00122D65" w:rsidRPr="00122D65" w:rsidRDefault="00DD0108">
          <w:pPr>
            <w:pStyle w:val="Obsah3"/>
            <w:tabs>
              <w:tab w:val="left" w:pos="666"/>
              <w:tab w:val="right" w:pos="8493"/>
            </w:tabs>
            <w:rPr>
              <w:rFonts w:ascii="Times New Roman" w:eastAsiaTheme="minorEastAsia" w:hAnsi="Times New Roman" w:cs="Times New Roman"/>
              <w:smallCaps w:val="0"/>
              <w:noProof/>
              <w:lang w:eastAsia="sk-SK"/>
            </w:rPr>
          </w:pPr>
          <w:hyperlink w:anchor="_Toc7502821" w:history="1">
            <w:r w:rsidR="00122D65" w:rsidRPr="00122D65">
              <w:rPr>
                <w:rStyle w:val="Hypertextovprepojenie"/>
                <w:rFonts w:ascii="Times New Roman" w:hAnsi="Times New Roman" w:cs="Times New Roman"/>
                <w:smallCaps w:val="0"/>
                <w:noProof/>
              </w:rPr>
              <w:t>1.2.1</w:t>
            </w:r>
            <w:r w:rsidR="00122D65" w:rsidRPr="00122D65">
              <w:rPr>
                <w:rFonts w:ascii="Times New Roman" w:eastAsiaTheme="minorEastAsia" w:hAnsi="Times New Roman" w:cs="Times New Roman"/>
                <w:smallCaps w:val="0"/>
                <w:noProof/>
                <w:lang w:eastAsia="sk-SK"/>
              </w:rPr>
              <w:tab/>
            </w:r>
            <w:r w:rsidR="00122D65" w:rsidRPr="00122D65">
              <w:rPr>
                <w:rStyle w:val="Hypertextovprepojenie"/>
                <w:rFonts w:ascii="Times New Roman" w:hAnsi="Times New Roman" w:cs="Times New Roman"/>
                <w:smallCaps w:val="0"/>
                <w:noProof/>
              </w:rPr>
              <w:t>Hrubý domáci produkt</w:t>
            </w:r>
            <w:r w:rsidR="00122D65" w:rsidRPr="00122D65">
              <w:rPr>
                <w:rFonts w:ascii="Times New Roman" w:hAnsi="Times New Roman" w:cs="Times New Roman"/>
                <w:smallCaps w:val="0"/>
                <w:noProof/>
                <w:webHidden/>
              </w:rPr>
              <w:tab/>
            </w:r>
            <w:r w:rsidR="00122D65" w:rsidRPr="00122D65">
              <w:rPr>
                <w:rFonts w:ascii="Times New Roman" w:hAnsi="Times New Roman" w:cs="Times New Roman"/>
                <w:smallCaps w:val="0"/>
                <w:noProof/>
                <w:webHidden/>
              </w:rPr>
              <w:fldChar w:fldCharType="begin"/>
            </w:r>
            <w:r w:rsidR="00122D65" w:rsidRPr="00122D65">
              <w:rPr>
                <w:rFonts w:ascii="Times New Roman" w:hAnsi="Times New Roman" w:cs="Times New Roman"/>
                <w:smallCaps w:val="0"/>
                <w:noProof/>
                <w:webHidden/>
              </w:rPr>
              <w:instrText xml:space="preserve"> PAGEREF _Toc7502821 \h </w:instrText>
            </w:r>
            <w:r w:rsidR="00122D65" w:rsidRPr="00122D65">
              <w:rPr>
                <w:rFonts w:ascii="Times New Roman" w:hAnsi="Times New Roman" w:cs="Times New Roman"/>
                <w:smallCaps w:val="0"/>
                <w:noProof/>
                <w:webHidden/>
              </w:rPr>
            </w:r>
            <w:r w:rsidR="00122D65" w:rsidRPr="00122D65">
              <w:rPr>
                <w:rFonts w:ascii="Times New Roman" w:hAnsi="Times New Roman" w:cs="Times New Roman"/>
                <w:smallCaps w:val="0"/>
                <w:noProof/>
                <w:webHidden/>
              </w:rPr>
              <w:fldChar w:fldCharType="separate"/>
            </w:r>
            <w:r w:rsidR="00122D65" w:rsidRPr="00122D65">
              <w:rPr>
                <w:rFonts w:ascii="Times New Roman" w:hAnsi="Times New Roman" w:cs="Times New Roman"/>
                <w:smallCaps w:val="0"/>
                <w:noProof/>
                <w:webHidden/>
              </w:rPr>
              <w:t>4</w:t>
            </w:r>
            <w:r w:rsidR="00122D65" w:rsidRPr="00122D65">
              <w:rPr>
                <w:rFonts w:ascii="Times New Roman" w:hAnsi="Times New Roman" w:cs="Times New Roman"/>
                <w:smallCaps w:val="0"/>
                <w:noProof/>
                <w:webHidden/>
              </w:rPr>
              <w:fldChar w:fldCharType="end"/>
            </w:r>
          </w:hyperlink>
        </w:p>
        <w:p w14:paraId="54DC1CD1" w14:textId="77777777" w:rsidR="00122D65" w:rsidRPr="00122D65" w:rsidRDefault="00DD0108">
          <w:pPr>
            <w:pStyle w:val="Obsah3"/>
            <w:tabs>
              <w:tab w:val="left" w:pos="666"/>
              <w:tab w:val="right" w:pos="8493"/>
            </w:tabs>
            <w:rPr>
              <w:rFonts w:ascii="Times New Roman" w:eastAsiaTheme="minorEastAsia" w:hAnsi="Times New Roman" w:cs="Times New Roman"/>
              <w:smallCaps w:val="0"/>
              <w:noProof/>
              <w:lang w:eastAsia="sk-SK"/>
            </w:rPr>
          </w:pPr>
          <w:hyperlink w:anchor="_Toc7502822" w:history="1">
            <w:r w:rsidR="00122D65" w:rsidRPr="00122D65">
              <w:rPr>
                <w:rStyle w:val="Hypertextovprepojenie"/>
                <w:rFonts w:ascii="Times New Roman" w:hAnsi="Times New Roman" w:cs="Times New Roman"/>
                <w:smallCaps w:val="0"/>
                <w:noProof/>
              </w:rPr>
              <w:t>1.2.2</w:t>
            </w:r>
            <w:r w:rsidR="00122D65" w:rsidRPr="00122D65">
              <w:rPr>
                <w:rFonts w:ascii="Times New Roman" w:eastAsiaTheme="minorEastAsia" w:hAnsi="Times New Roman" w:cs="Times New Roman"/>
                <w:smallCaps w:val="0"/>
                <w:noProof/>
                <w:lang w:eastAsia="sk-SK"/>
              </w:rPr>
              <w:tab/>
            </w:r>
            <w:r w:rsidR="00122D65" w:rsidRPr="00122D65">
              <w:rPr>
                <w:rStyle w:val="Hypertextovprepojenie"/>
                <w:rFonts w:ascii="Times New Roman" w:hAnsi="Times New Roman" w:cs="Times New Roman"/>
                <w:smallCaps w:val="0"/>
                <w:noProof/>
              </w:rPr>
              <w:t>Trh práce</w:t>
            </w:r>
            <w:r w:rsidR="00122D65" w:rsidRPr="00122D65">
              <w:rPr>
                <w:rFonts w:ascii="Times New Roman" w:hAnsi="Times New Roman" w:cs="Times New Roman"/>
                <w:smallCaps w:val="0"/>
                <w:noProof/>
                <w:webHidden/>
              </w:rPr>
              <w:tab/>
            </w:r>
            <w:r w:rsidR="00122D65" w:rsidRPr="00122D65">
              <w:rPr>
                <w:rFonts w:ascii="Times New Roman" w:hAnsi="Times New Roman" w:cs="Times New Roman"/>
                <w:smallCaps w:val="0"/>
                <w:noProof/>
                <w:webHidden/>
              </w:rPr>
              <w:fldChar w:fldCharType="begin"/>
            </w:r>
            <w:r w:rsidR="00122D65" w:rsidRPr="00122D65">
              <w:rPr>
                <w:rFonts w:ascii="Times New Roman" w:hAnsi="Times New Roman" w:cs="Times New Roman"/>
                <w:smallCaps w:val="0"/>
                <w:noProof/>
                <w:webHidden/>
              </w:rPr>
              <w:instrText xml:space="preserve"> PAGEREF _Toc7502822 \h </w:instrText>
            </w:r>
            <w:r w:rsidR="00122D65" w:rsidRPr="00122D65">
              <w:rPr>
                <w:rFonts w:ascii="Times New Roman" w:hAnsi="Times New Roman" w:cs="Times New Roman"/>
                <w:smallCaps w:val="0"/>
                <w:noProof/>
                <w:webHidden/>
              </w:rPr>
            </w:r>
            <w:r w:rsidR="00122D65" w:rsidRPr="00122D65">
              <w:rPr>
                <w:rFonts w:ascii="Times New Roman" w:hAnsi="Times New Roman" w:cs="Times New Roman"/>
                <w:smallCaps w:val="0"/>
                <w:noProof/>
                <w:webHidden/>
              </w:rPr>
              <w:fldChar w:fldCharType="separate"/>
            </w:r>
            <w:r w:rsidR="00122D65" w:rsidRPr="00122D65">
              <w:rPr>
                <w:rFonts w:ascii="Times New Roman" w:hAnsi="Times New Roman" w:cs="Times New Roman"/>
                <w:smallCaps w:val="0"/>
                <w:noProof/>
                <w:webHidden/>
              </w:rPr>
              <w:t>5</w:t>
            </w:r>
            <w:r w:rsidR="00122D65" w:rsidRPr="00122D65">
              <w:rPr>
                <w:rFonts w:ascii="Times New Roman" w:hAnsi="Times New Roman" w:cs="Times New Roman"/>
                <w:smallCaps w:val="0"/>
                <w:noProof/>
                <w:webHidden/>
              </w:rPr>
              <w:fldChar w:fldCharType="end"/>
            </w:r>
          </w:hyperlink>
        </w:p>
        <w:p w14:paraId="1B4A4DF4" w14:textId="77777777" w:rsidR="00122D65" w:rsidRPr="00122D65" w:rsidRDefault="00DD0108">
          <w:pPr>
            <w:pStyle w:val="Obsah3"/>
            <w:tabs>
              <w:tab w:val="left" w:pos="666"/>
              <w:tab w:val="right" w:pos="8493"/>
            </w:tabs>
            <w:rPr>
              <w:rFonts w:ascii="Times New Roman" w:eastAsiaTheme="minorEastAsia" w:hAnsi="Times New Roman" w:cs="Times New Roman"/>
              <w:smallCaps w:val="0"/>
              <w:noProof/>
              <w:lang w:eastAsia="sk-SK"/>
            </w:rPr>
          </w:pPr>
          <w:hyperlink w:anchor="_Toc7502823" w:history="1">
            <w:r w:rsidR="00122D65" w:rsidRPr="00122D65">
              <w:rPr>
                <w:rStyle w:val="Hypertextovprepojenie"/>
                <w:rFonts w:ascii="Times New Roman" w:hAnsi="Times New Roman" w:cs="Times New Roman"/>
                <w:smallCaps w:val="0"/>
                <w:noProof/>
              </w:rPr>
              <w:t>1.2.3</w:t>
            </w:r>
            <w:r w:rsidR="00122D65" w:rsidRPr="00122D65">
              <w:rPr>
                <w:rFonts w:ascii="Times New Roman" w:eastAsiaTheme="minorEastAsia" w:hAnsi="Times New Roman" w:cs="Times New Roman"/>
                <w:smallCaps w:val="0"/>
                <w:noProof/>
                <w:lang w:eastAsia="sk-SK"/>
              </w:rPr>
              <w:tab/>
            </w:r>
            <w:r w:rsidR="00122D65" w:rsidRPr="00122D65">
              <w:rPr>
                <w:rStyle w:val="Hypertextovprepojenie"/>
                <w:rFonts w:ascii="Times New Roman" w:hAnsi="Times New Roman" w:cs="Times New Roman"/>
                <w:smallCaps w:val="0"/>
                <w:noProof/>
              </w:rPr>
              <w:t>Vývoj cien</w:t>
            </w:r>
            <w:r w:rsidR="00122D65" w:rsidRPr="00122D65">
              <w:rPr>
                <w:rFonts w:ascii="Times New Roman" w:hAnsi="Times New Roman" w:cs="Times New Roman"/>
                <w:smallCaps w:val="0"/>
                <w:noProof/>
                <w:webHidden/>
              </w:rPr>
              <w:tab/>
            </w:r>
            <w:r w:rsidR="00122D65" w:rsidRPr="00122D65">
              <w:rPr>
                <w:rFonts w:ascii="Times New Roman" w:hAnsi="Times New Roman" w:cs="Times New Roman"/>
                <w:smallCaps w:val="0"/>
                <w:noProof/>
                <w:webHidden/>
              </w:rPr>
              <w:fldChar w:fldCharType="begin"/>
            </w:r>
            <w:r w:rsidR="00122D65" w:rsidRPr="00122D65">
              <w:rPr>
                <w:rFonts w:ascii="Times New Roman" w:hAnsi="Times New Roman" w:cs="Times New Roman"/>
                <w:smallCaps w:val="0"/>
                <w:noProof/>
                <w:webHidden/>
              </w:rPr>
              <w:instrText xml:space="preserve"> PAGEREF _Toc7502823 \h </w:instrText>
            </w:r>
            <w:r w:rsidR="00122D65" w:rsidRPr="00122D65">
              <w:rPr>
                <w:rFonts w:ascii="Times New Roman" w:hAnsi="Times New Roman" w:cs="Times New Roman"/>
                <w:smallCaps w:val="0"/>
                <w:noProof/>
                <w:webHidden/>
              </w:rPr>
            </w:r>
            <w:r w:rsidR="00122D65" w:rsidRPr="00122D65">
              <w:rPr>
                <w:rFonts w:ascii="Times New Roman" w:hAnsi="Times New Roman" w:cs="Times New Roman"/>
                <w:smallCaps w:val="0"/>
                <w:noProof/>
                <w:webHidden/>
              </w:rPr>
              <w:fldChar w:fldCharType="separate"/>
            </w:r>
            <w:r w:rsidR="00122D65" w:rsidRPr="00122D65">
              <w:rPr>
                <w:rFonts w:ascii="Times New Roman" w:hAnsi="Times New Roman" w:cs="Times New Roman"/>
                <w:smallCaps w:val="0"/>
                <w:noProof/>
                <w:webHidden/>
              </w:rPr>
              <w:t>6</w:t>
            </w:r>
            <w:r w:rsidR="00122D65" w:rsidRPr="00122D65">
              <w:rPr>
                <w:rFonts w:ascii="Times New Roman" w:hAnsi="Times New Roman" w:cs="Times New Roman"/>
                <w:smallCaps w:val="0"/>
                <w:noProof/>
                <w:webHidden/>
              </w:rPr>
              <w:fldChar w:fldCharType="end"/>
            </w:r>
          </w:hyperlink>
        </w:p>
        <w:p w14:paraId="0C9D3CD2" w14:textId="77777777" w:rsidR="00122D65" w:rsidRPr="00122D65" w:rsidRDefault="00DD0108">
          <w:pPr>
            <w:pStyle w:val="Obsah3"/>
            <w:tabs>
              <w:tab w:val="left" w:pos="666"/>
              <w:tab w:val="right" w:pos="8493"/>
            </w:tabs>
            <w:rPr>
              <w:rFonts w:ascii="Times New Roman" w:eastAsiaTheme="minorEastAsia" w:hAnsi="Times New Roman" w:cs="Times New Roman"/>
              <w:smallCaps w:val="0"/>
              <w:noProof/>
              <w:lang w:eastAsia="sk-SK"/>
            </w:rPr>
          </w:pPr>
          <w:hyperlink w:anchor="_Toc7502824" w:history="1">
            <w:r w:rsidR="00122D65" w:rsidRPr="00122D65">
              <w:rPr>
                <w:rStyle w:val="Hypertextovprepojenie"/>
                <w:rFonts w:ascii="Times New Roman" w:hAnsi="Times New Roman" w:cs="Times New Roman"/>
                <w:smallCaps w:val="0"/>
                <w:noProof/>
              </w:rPr>
              <w:t>1.2.4</w:t>
            </w:r>
            <w:r w:rsidR="00122D65" w:rsidRPr="00122D65">
              <w:rPr>
                <w:rFonts w:ascii="Times New Roman" w:eastAsiaTheme="minorEastAsia" w:hAnsi="Times New Roman" w:cs="Times New Roman"/>
                <w:smallCaps w:val="0"/>
                <w:noProof/>
                <w:lang w:eastAsia="sk-SK"/>
              </w:rPr>
              <w:tab/>
            </w:r>
            <w:r w:rsidR="00122D65" w:rsidRPr="00122D65">
              <w:rPr>
                <w:rStyle w:val="Hypertextovprepojenie"/>
                <w:rFonts w:ascii="Times New Roman" w:hAnsi="Times New Roman" w:cs="Times New Roman"/>
                <w:smallCaps w:val="0"/>
                <w:noProof/>
              </w:rPr>
              <w:t>Platobná bilancia</w:t>
            </w:r>
            <w:r w:rsidR="00122D65" w:rsidRPr="00122D65">
              <w:rPr>
                <w:rFonts w:ascii="Times New Roman" w:hAnsi="Times New Roman" w:cs="Times New Roman"/>
                <w:smallCaps w:val="0"/>
                <w:noProof/>
                <w:webHidden/>
              </w:rPr>
              <w:tab/>
            </w:r>
            <w:r w:rsidR="00122D65" w:rsidRPr="00122D65">
              <w:rPr>
                <w:rFonts w:ascii="Times New Roman" w:hAnsi="Times New Roman" w:cs="Times New Roman"/>
                <w:smallCaps w:val="0"/>
                <w:noProof/>
                <w:webHidden/>
              </w:rPr>
              <w:fldChar w:fldCharType="begin"/>
            </w:r>
            <w:r w:rsidR="00122D65" w:rsidRPr="00122D65">
              <w:rPr>
                <w:rFonts w:ascii="Times New Roman" w:hAnsi="Times New Roman" w:cs="Times New Roman"/>
                <w:smallCaps w:val="0"/>
                <w:noProof/>
                <w:webHidden/>
              </w:rPr>
              <w:instrText xml:space="preserve"> PAGEREF _Toc7502824 \h </w:instrText>
            </w:r>
            <w:r w:rsidR="00122D65" w:rsidRPr="00122D65">
              <w:rPr>
                <w:rFonts w:ascii="Times New Roman" w:hAnsi="Times New Roman" w:cs="Times New Roman"/>
                <w:smallCaps w:val="0"/>
                <w:noProof/>
                <w:webHidden/>
              </w:rPr>
            </w:r>
            <w:r w:rsidR="00122D65" w:rsidRPr="00122D65">
              <w:rPr>
                <w:rFonts w:ascii="Times New Roman" w:hAnsi="Times New Roman" w:cs="Times New Roman"/>
                <w:smallCaps w:val="0"/>
                <w:noProof/>
                <w:webHidden/>
              </w:rPr>
              <w:fldChar w:fldCharType="separate"/>
            </w:r>
            <w:r w:rsidR="00122D65" w:rsidRPr="00122D65">
              <w:rPr>
                <w:rFonts w:ascii="Times New Roman" w:hAnsi="Times New Roman" w:cs="Times New Roman"/>
                <w:smallCaps w:val="0"/>
                <w:noProof/>
                <w:webHidden/>
              </w:rPr>
              <w:t>6</w:t>
            </w:r>
            <w:r w:rsidR="00122D65" w:rsidRPr="00122D65">
              <w:rPr>
                <w:rFonts w:ascii="Times New Roman" w:hAnsi="Times New Roman" w:cs="Times New Roman"/>
                <w:smallCaps w:val="0"/>
                <w:noProof/>
                <w:webHidden/>
              </w:rPr>
              <w:fldChar w:fldCharType="end"/>
            </w:r>
          </w:hyperlink>
        </w:p>
        <w:p w14:paraId="0732FA17" w14:textId="77777777" w:rsidR="00122D65" w:rsidRPr="00122D65" w:rsidRDefault="00DD0108">
          <w:pPr>
            <w:pStyle w:val="Obsah3"/>
            <w:tabs>
              <w:tab w:val="left" w:pos="666"/>
              <w:tab w:val="right" w:pos="8493"/>
            </w:tabs>
            <w:rPr>
              <w:rFonts w:ascii="Times New Roman" w:eastAsiaTheme="minorEastAsia" w:hAnsi="Times New Roman" w:cs="Times New Roman"/>
              <w:smallCaps w:val="0"/>
              <w:noProof/>
              <w:lang w:eastAsia="sk-SK"/>
            </w:rPr>
          </w:pPr>
          <w:hyperlink w:anchor="_Toc7502825" w:history="1">
            <w:r w:rsidR="00122D65" w:rsidRPr="00122D65">
              <w:rPr>
                <w:rStyle w:val="Hypertextovprepojenie"/>
                <w:rFonts w:ascii="Times New Roman" w:hAnsi="Times New Roman" w:cs="Times New Roman"/>
                <w:smallCaps w:val="0"/>
                <w:noProof/>
              </w:rPr>
              <w:t>1.2.5</w:t>
            </w:r>
            <w:r w:rsidR="00122D65" w:rsidRPr="00122D65">
              <w:rPr>
                <w:rFonts w:ascii="Times New Roman" w:eastAsiaTheme="minorEastAsia" w:hAnsi="Times New Roman" w:cs="Times New Roman"/>
                <w:smallCaps w:val="0"/>
                <w:noProof/>
                <w:lang w:eastAsia="sk-SK"/>
              </w:rPr>
              <w:tab/>
            </w:r>
            <w:r w:rsidR="00122D65" w:rsidRPr="00122D65">
              <w:rPr>
                <w:rStyle w:val="Hypertextovprepojenie"/>
                <w:rFonts w:ascii="Times New Roman" w:hAnsi="Times New Roman" w:cs="Times New Roman"/>
                <w:smallCaps w:val="0"/>
                <w:noProof/>
              </w:rPr>
              <w:t>Porovnanie makroekonomických predpokladov rozpočtu a skutočnosti</w:t>
            </w:r>
            <w:r w:rsidR="00122D65" w:rsidRPr="00122D65">
              <w:rPr>
                <w:rFonts w:ascii="Times New Roman" w:hAnsi="Times New Roman" w:cs="Times New Roman"/>
                <w:smallCaps w:val="0"/>
                <w:noProof/>
                <w:webHidden/>
              </w:rPr>
              <w:tab/>
            </w:r>
            <w:r w:rsidR="00122D65" w:rsidRPr="00122D65">
              <w:rPr>
                <w:rFonts w:ascii="Times New Roman" w:hAnsi="Times New Roman" w:cs="Times New Roman"/>
                <w:smallCaps w:val="0"/>
                <w:noProof/>
                <w:webHidden/>
              </w:rPr>
              <w:fldChar w:fldCharType="begin"/>
            </w:r>
            <w:r w:rsidR="00122D65" w:rsidRPr="00122D65">
              <w:rPr>
                <w:rFonts w:ascii="Times New Roman" w:hAnsi="Times New Roman" w:cs="Times New Roman"/>
                <w:smallCaps w:val="0"/>
                <w:noProof/>
                <w:webHidden/>
              </w:rPr>
              <w:instrText xml:space="preserve"> PAGEREF _Toc7502825 \h </w:instrText>
            </w:r>
            <w:r w:rsidR="00122D65" w:rsidRPr="00122D65">
              <w:rPr>
                <w:rFonts w:ascii="Times New Roman" w:hAnsi="Times New Roman" w:cs="Times New Roman"/>
                <w:smallCaps w:val="0"/>
                <w:noProof/>
                <w:webHidden/>
              </w:rPr>
            </w:r>
            <w:r w:rsidR="00122D65" w:rsidRPr="00122D65">
              <w:rPr>
                <w:rFonts w:ascii="Times New Roman" w:hAnsi="Times New Roman" w:cs="Times New Roman"/>
                <w:smallCaps w:val="0"/>
                <w:noProof/>
                <w:webHidden/>
              </w:rPr>
              <w:fldChar w:fldCharType="separate"/>
            </w:r>
            <w:r w:rsidR="00122D65" w:rsidRPr="00122D65">
              <w:rPr>
                <w:rFonts w:ascii="Times New Roman" w:hAnsi="Times New Roman" w:cs="Times New Roman"/>
                <w:smallCaps w:val="0"/>
                <w:noProof/>
                <w:webHidden/>
              </w:rPr>
              <w:t>7</w:t>
            </w:r>
            <w:r w:rsidR="00122D65" w:rsidRPr="00122D65">
              <w:rPr>
                <w:rFonts w:ascii="Times New Roman" w:hAnsi="Times New Roman" w:cs="Times New Roman"/>
                <w:smallCaps w:val="0"/>
                <w:noProof/>
                <w:webHidden/>
              </w:rPr>
              <w:fldChar w:fldCharType="end"/>
            </w:r>
          </w:hyperlink>
        </w:p>
        <w:p w14:paraId="49B107DE" w14:textId="77777777" w:rsidR="00122D65" w:rsidRPr="00122D65" w:rsidRDefault="00DD0108">
          <w:pPr>
            <w:pStyle w:val="Obsah1"/>
            <w:rPr>
              <w:rFonts w:eastAsiaTheme="minorEastAsia" w:cs="Times New Roman"/>
              <w:b w:val="0"/>
              <w:bCs w:val="0"/>
              <w:sz w:val="22"/>
              <w:lang w:eastAsia="sk-SK"/>
            </w:rPr>
          </w:pPr>
          <w:hyperlink w:anchor="_Toc7502826" w:history="1">
            <w:r w:rsidR="00122D65" w:rsidRPr="00122D65">
              <w:rPr>
                <w:rStyle w:val="Hypertextovprepojenie"/>
                <w:rFonts w:cs="Times New Roman"/>
                <w:sz w:val="22"/>
              </w:rPr>
              <w:t>2</w:t>
            </w:r>
            <w:r w:rsidR="00122D65" w:rsidRPr="00122D65">
              <w:rPr>
                <w:rFonts w:eastAsiaTheme="minorEastAsia" w:cs="Times New Roman"/>
                <w:b w:val="0"/>
                <w:bCs w:val="0"/>
                <w:sz w:val="22"/>
                <w:lang w:eastAsia="sk-SK"/>
              </w:rPr>
              <w:tab/>
            </w:r>
            <w:r w:rsidR="00122D65" w:rsidRPr="00122D65">
              <w:rPr>
                <w:rStyle w:val="Hypertextovprepojenie"/>
                <w:rFonts w:cs="Times New Roman"/>
                <w:sz w:val="22"/>
              </w:rPr>
              <w:t>Hospodárenie verejnej správy v metodike ESA 2010</w:t>
            </w:r>
            <w:r w:rsidR="00122D65" w:rsidRPr="00122D65">
              <w:rPr>
                <w:rFonts w:cs="Times New Roman"/>
                <w:webHidden/>
                <w:sz w:val="22"/>
              </w:rPr>
              <w:tab/>
            </w:r>
            <w:r w:rsidR="00122D65" w:rsidRPr="00122D65">
              <w:rPr>
                <w:rFonts w:cs="Times New Roman"/>
                <w:webHidden/>
                <w:sz w:val="22"/>
              </w:rPr>
              <w:fldChar w:fldCharType="begin"/>
            </w:r>
            <w:r w:rsidR="00122D65" w:rsidRPr="00122D65">
              <w:rPr>
                <w:rFonts w:cs="Times New Roman"/>
                <w:webHidden/>
                <w:sz w:val="22"/>
              </w:rPr>
              <w:instrText xml:space="preserve"> PAGEREF _Toc7502826 \h </w:instrText>
            </w:r>
            <w:r w:rsidR="00122D65" w:rsidRPr="00122D65">
              <w:rPr>
                <w:rFonts w:cs="Times New Roman"/>
                <w:webHidden/>
                <w:sz w:val="22"/>
              </w:rPr>
            </w:r>
            <w:r w:rsidR="00122D65" w:rsidRPr="00122D65">
              <w:rPr>
                <w:rFonts w:cs="Times New Roman"/>
                <w:webHidden/>
                <w:sz w:val="22"/>
              </w:rPr>
              <w:fldChar w:fldCharType="separate"/>
            </w:r>
            <w:r w:rsidR="00122D65" w:rsidRPr="00122D65">
              <w:rPr>
                <w:rFonts w:cs="Times New Roman"/>
                <w:webHidden/>
                <w:sz w:val="22"/>
              </w:rPr>
              <w:t>8</w:t>
            </w:r>
            <w:r w:rsidR="00122D65" w:rsidRPr="00122D65">
              <w:rPr>
                <w:rFonts w:cs="Times New Roman"/>
                <w:webHidden/>
                <w:sz w:val="22"/>
              </w:rPr>
              <w:fldChar w:fldCharType="end"/>
            </w:r>
          </w:hyperlink>
        </w:p>
        <w:p w14:paraId="27879C60" w14:textId="77777777" w:rsidR="00122D65" w:rsidRPr="00122D65" w:rsidRDefault="00DD0108">
          <w:pPr>
            <w:pStyle w:val="Obsah2"/>
            <w:rPr>
              <w:rFonts w:eastAsiaTheme="minorEastAsia" w:cs="Times New Roman"/>
              <w:b w:val="0"/>
              <w:bCs w:val="0"/>
              <w:sz w:val="22"/>
              <w:lang w:eastAsia="sk-SK"/>
            </w:rPr>
          </w:pPr>
          <w:hyperlink w:anchor="_Toc7502827" w:history="1">
            <w:r w:rsidR="00122D65" w:rsidRPr="00122D65">
              <w:rPr>
                <w:rStyle w:val="Hypertextovprepojenie"/>
                <w:rFonts w:cs="Times New Roman"/>
                <w:sz w:val="22"/>
              </w:rPr>
              <w:t>2.1</w:t>
            </w:r>
            <w:r w:rsidR="00122D65" w:rsidRPr="00122D65">
              <w:rPr>
                <w:rFonts w:eastAsiaTheme="minorEastAsia" w:cs="Times New Roman"/>
                <w:b w:val="0"/>
                <w:bCs w:val="0"/>
                <w:sz w:val="22"/>
                <w:lang w:eastAsia="sk-SK"/>
              </w:rPr>
              <w:tab/>
            </w:r>
            <w:r w:rsidR="00122D65" w:rsidRPr="00122D65">
              <w:rPr>
                <w:rStyle w:val="Hypertextovprepojenie"/>
                <w:rFonts w:cs="Times New Roman"/>
                <w:sz w:val="22"/>
              </w:rPr>
              <w:t>Saldo verejnej správy</w:t>
            </w:r>
            <w:r w:rsidR="00122D65" w:rsidRPr="00122D65">
              <w:rPr>
                <w:rFonts w:cs="Times New Roman"/>
                <w:webHidden/>
                <w:sz w:val="22"/>
              </w:rPr>
              <w:tab/>
            </w:r>
            <w:r w:rsidR="00122D65" w:rsidRPr="00122D65">
              <w:rPr>
                <w:rFonts w:cs="Times New Roman"/>
                <w:webHidden/>
                <w:sz w:val="22"/>
              </w:rPr>
              <w:fldChar w:fldCharType="begin"/>
            </w:r>
            <w:r w:rsidR="00122D65" w:rsidRPr="00122D65">
              <w:rPr>
                <w:rFonts w:cs="Times New Roman"/>
                <w:webHidden/>
                <w:sz w:val="22"/>
              </w:rPr>
              <w:instrText xml:space="preserve"> PAGEREF _Toc7502827 \h </w:instrText>
            </w:r>
            <w:r w:rsidR="00122D65" w:rsidRPr="00122D65">
              <w:rPr>
                <w:rFonts w:cs="Times New Roman"/>
                <w:webHidden/>
                <w:sz w:val="22"/>
              </w:rPr>
            </w:r>
            <w:r w:rsidR="00122D65" w:rsidRPr="00122D65">
              <w:rPr>
                <w:rFonts w:cs="Times New Roman"/>
                <w:webHidden/>
                <w:sz w:val="22"/>
              </w:rPr>
              <w:fldChar w:fldCharType="separate"/>
            </w:r>
            <w:r w:rsidR="00122D65" w:rsidRPr="00122D65">
              <w:rPr>
                <w:rFonts w:cs="Times New Roman"/>
                <w:webHidden/>
                <w:sz w:val="22"/>
              </w:rPr>
              <w:t>8</w:t>
            </w:r>
            <w:r w:rsidR="00122D65" w:rsidRPr="00122D65">
              <w:rPr>
                <w:rFonts w:cs="Times New Roman"/>
                <w:webHidden/>
                <w:sz w:val="22"/>
              </w:rPr>
              <w:fldChar w:fldCharType="end"/>
            </w:r>
          </w:hyperlink>
        </w:p>
        <w:p w14:paraId="1886E8B7" w14:textId="77777777" w:rsidR="00122D65" w:rsidRPr="00122D65" w:rsidRDefault="00DD0108">
          <w:pPr>
            <w:pStyle w:val="Obsah2"/>
            <w:rPr>
              <w:rFonts w:eastAsiaTheme="minorEastAsia" w:cs="Times New Roman"/>
              <w:b w:val="0"/>
              <w:bCs w:val="0"/>
              <w:sz w:val="22"/>
              <w:lang w:eastAsia="sk-SK"/>
            </w:rPr>
          </w:pPr>
          <w:hyperlink w:anchor="_Toc7502828" w:history="1">
            <w:r w:rsidR="00122D65" w:rsidRPr="00122D65">
              <w:rPr>
                <w:rStyle w:val="Hypertextovprepojenie"/>
                <w:rFonts w:cs="Times New Roman"/>
                <w:sz w:val="22"/>
              </w:rPr>
              <w:t>2.2</w:t>
            </w:r>
            <w:r w:rsidR="00122D65" w:rsidRPr="00122D65">
              <w:rPr>
                <w:rFonts w:eastAsiaTheme="minorEastAsia" w:cs="Times New Roman"/>
                <w:b w:val="0"/>
                <w:bCs w:val="0"/>
                <w:sz w:val="22"/>
                <w:lang w:eastAsia="sk-SK"/>
              </w:rPr>
              <w:tab/>
            </w:r>
            <w:r w:rsidR="00122D65" w:rsidRPr="00122D65">
              <w:rPr>
                <w:rStyle w:val="Hypertextovprepojenie"/>
                <w:rFonts w:cs="Times New Roman"/>
                <w:sz w:val="22"/>
              </w:rPr>
              <w:t>Dlh verejnej správy</w:t>
            </w:r>
            <w:r w:rsidR="00122D65" w:rsidRPr="00122D65">
              <w:rPr>
                <w:rFonts w:cs="Times New Roman"/>
                <w:webHidden/>
                <w:sz w:val="22"/>
              </w:rPr>
              <w:tab/>
            </w:r>
            <w:r w:rsidR="00122D65" w:rsidRPr="00122D65">
              <w:rPr>
                <w:rFonts w:cs="Times New Roman"/>
                <w:webHidden/>
                <w:sz w:val="22"/>
              </w:rPr>
              <w:fldChar w:fldCharType="begin"/>
            </w:r>
            <w:r w:rsidR="00122D65" w:rsidRPr="00122D65">
              <w:rPr>
                <w:rFonts w:cs="Times New Roman"/>
                <w:webHidden/>
                <w:sz w:val="22"/>
              </w:rPr>
              <w:instrText xml:space="preserve"> PAGEREF _Toc7502828 \h </w:instrText>
            </w:r>
            <w:r w:rsidR="00122D65" w:rsidRPr="00122D65">
              <w:rPr>
                <w:rFonts w:cs="Times New Roman"/>
                <w:webHidden/>
                <w:sz w:val="22"/>
              </w:rPr>
            </w:r>
            <w:r w:rsidR="00122D65" w:rsidRPr="00122D65">
              <w:rPr>
                <w:rFonts w:cs="Times New Roman"/>
                <w:webHidden/>
                <w:sz w:val="22"/>
              </w:rPr>
              <w:fldChar w:fldCharType="separate"/>
            </w:r>
            <w:r w:rsidR="00122D65" w:rsidRPr="00122D65">
              <w:rPr>
                <w:rFonts w:cs="Times New Roman"/>
                <w:webHidden/>
                <w:sz w:val="22"/>
              </w:rPr>
              <w:t>17</w:t>
            </w:r>
            <w:r w:rsidR="00122D65" w:rsidRPr="00122D65">
              <w:rPr>
                <w:rFonts w:cs="Times New Roman"/>
                <w:webHidden/>
                <w:sz w:val="22"/>
              </w:rPr>
              <w:fldChar w:fldCharType="end"/>
            </w:r>
          </w:hyperlink>
        </w:p>
        <w:p w14:paraId="0A9A8628" w14:textId="77777777" w:rsidR="00122D65" w:rsidRPr="00122D65" w:rsidRDefault="00DD0108">
          <w:pPr>
            <w:pStyle w:val="Obsah3"/>
            <w:tabs>
              <w:tab w:val="left" w:pos="666"/>
              <w:tab w:val="right" w:pos="8493"/>
            </w:tabs>
            <w:rPr>
              <w:rFonts w:ascii="Times New Roman" w:eastAsiaTheme="minorEastAsia" w:hAnsi="Times New Roman" w:cs="Times New Roman"/>
              <w:smallCaps w:val="0"/>
              <w:noProof/>
              <w:lang w:eastAsia="sk-SK"/>
            </w:rPr>
          </w:pPr>
          <w:hyperlink w:anchor="_Toc7502829" w:history="1">
            <w:r w:rsidR="00122D65" w:rsidRPr="00122D65">
              <w:rPr>
                <w:rStyle w:val="Hypertextovprepojenie"/>
                <w:rFonts w:ascii="Times New Roman" w:hAnsi="Times New Roman" w:cs="Times New Roman"/>
                <w:smallCaps w:val="0"/>
                <w:noProof/>
              </w:rPr>
              <w:t>2.2.1</w:t>
            </w:r>
            <w:r w:rsidR="00122D65" w:rsidRPr="00122D65">
              <w:rPr>
                <w:rFonts w:ascii="Times New Roman" w:eastAsiaTheme="minorEastAsia" w:hAnsi="Times New Roman" w:cs="Times New Roman"/>
                <w:smallCaps w:val="0"/>
                <w:noProof/>
                <w:lang w:eastAsia="sk-SK"/>
              </w:rPr>
              <w:tab/>
            </w:r>
            <w:r w:rsidR="00122D65" w:rsidRPr="00122D65">
              <w:rPr>
                <w:rStyle w:val="Hypertextovprepojenie"/>
                <w:rFonts w:ascii="Times New Roman" w:hAnsi="Times New Roman" w:cs="Times New Roman"/>
                <w:smallCaps w:val="0"/>
                <w:noProof/>
              </w:rPr>
              <w:t>Maastrichtský dlh štátnych rozpočtových organizácií</w:t>
            </w:r>
            <w:r w:rsidR="00122D65" w:rsidRPr="00122D65">
              <w:rPr>
                <w:rFonts w:ascii="Times New Roman" w:hAnsi="Times New Roman" w:cs="Times New Roman"/>
                <w:smallCaps w:val="0"/>
                <w:noProof/>
                <w:webHidden/>
              </w:rPr>
              <w:tab/>
            </w:r>
            <w:r w:rsidR="00122D65" w:rsidRPr="00122D65">
              <w:rPr>
                <w:rFonts w:ascii="Times New Roman" w:hAnsi="Times New Roman" w:cs="Times New Roman"/>
                <w:smallCaps w:val="0"/>
                <w:noProof/>
                <w:webHidden/>
              </w:rPr>
              <w:fldChar w:fldCharType="begin"/>
            </w:r>
            <w:r w:rsidR="00122D65" w:rsidRPr="00122D65">
              <w:rPr>
                <w:rFonts w:ascii="Times New Roman" w:hAnsi="Times New Roman" w:cs="Times New Roman"/>
                <w:smallCaps w:val="0"/>
                <w:noProof/>
                <w:webHidden/>
              </w:rPr>
              <w:instrText xml:space="preserve"> PAGEREF _Toc7502829 \h </w:instrText>
            </w:r>
            <w:r w:rsidR="00122D65" w:rsidRPr="00122D65">
              <w:rPr>
                <w:rFonts w:ascii="Times New Roman" w:hAnsi="Times New Roman" w:cs="Times New Roman"/>
                <w:smallCaps w:val="0"/>
                <w:noProof/>
                <w:webHidden/>
              </w:rPr>
            </w:r>
            <w:r w:rsidR="00122D65" w:rsidRPr="00122D65">
              <w:rPr>
                <w:rFonts w:ascii="Times New Roman" w:hAnsi="Times New Roman" w:cs="Times New Roman"/>
                <w:smallCaps w:val="0"/>
                <w:noProof/>
                <w:webHidden/>
              </w:rPr>
              <w:fldChar w:fldCharType="separate"/>
            </w:r>
            <w:r w:rsidR="00122D65" w:rsidRPr="00122D65">
              <w:rPr>
                <w:rFonts w:ascii="Times New Roman" w:hAnsi="Times New Roman" w:cs="Times New Roman"/>
                <w:smallCaps w:val="0"/>
                <w:noProof/>
                <w:webHidden/>
              </w:rPr>
              <w:t>20</w:t>
            </w:r>
            <w:r w:rsidR="00122D65" w:rsidRPr="00122D65">
              <w:rPr>
                <w:rFonts w:ascii="Times New Roman" w:hAnsi="Times New Roman" w:cs="Times New Roman"/>
                <w:smallCaps w:val="0"/>
                <w:noProof/>
                <w:webHidden/>
              </w:rPr>
              <w:fldChar w:fldCharType="end"/>
            </w:r>
          </w:hyperlink>
        </w:p>
        <w:p w14:paraId="65195F8E" w14:textId="77777777" w:rsidR="00122D65" w:rsidRPr="00122D65" w:rsidRDefault="00DD0108">
          <w:pPr>
            <w:pStyle w:val="Obsah3"/>
            <w:tabs>
              <w:tab w:val="left" w:pos="666"/>
              <w:tab w:val="right" w:pos="8493"/>
            </w:tabs>
            <w:rPr>
              <w:rFonts w:ascii="Times New Roman" w:eastAsiaTheme="minorEastAsia" w:hAnsi="Times New Roman" w:cs="Times New Roman"/>
              <w:smallCaps w:val="0"/>
              <w:noProof/>
              <w:lang w:eastAsia="sk-SK"/>
            </w:rPr>
          </w:pPr>
          <w:hyperlink w:anchor="_Toc7502830" w:history="1">
            <w:r w:rsidR="00122D65" w:rsidRPr="00122D65">
              <w:rPr>
                <w:rStyle w:val="Hypertextovprepojenie"/>
                <w:rFonts w:ascii="Times New Roman" w:hAnsi="Times New Roman" w:cs="Times New Roman"/>
                <w:smallCaps w:val="0"/>
                <w:noProof/>
              </w:rPr>
              <w:t>2.2.2</w:t>
            </w:r>
            <w:r w:rsidR="00122D65" w:rsidRPr="00122D65">
              <w:rPr>
                <w:rFonts w:ascii="Times New Roman" w:eastAsiaTheme="minorEastAsia" w:hAnsi="Times New Roman" w:cs="Times New Roman"/>
                <w:smallCaps w:val="0"/>
                <w:noProof/>
                <w:lang w:eastAsia="sk-SK"/>
              </w:rPr>
              <w:tab/>
            </w:r>
            <w:r w:rsidR="00122D65" w:rsidRPr="00122D65">
              <w:rPr>
                <w:rStyle w:val="Hypertextovprepojenie"/>
                <w:rFonts w:ascii="Times New Roman" w:hAnsi="Times New Roman" w:cs="Times New Roman"/>
                <w:smallCaps w:val="0"/>
                <w:noProof/>
              </w:rPr>
              <w:t>Maastrichtský dlh ostatných subjektov verejnej správy</w:t>
            </w:r>
            <w:r w:rsidR="00122D65" w:rsidRPr="00122D65">
              <w:rPr>
                <w:rFonts w:ascii="Times New Roman" w:hAnsi="Times New Roman" w:cs="Times New Roman"/>
                <w:smallCaps w:val="0"/>
                <w:noProof/>
                <w:webHidden/>
              </w:rPr>
              <w:tab/>
            </w:r>
            <w:r w:rsidR="00122D65" w:rsidRPr="00122D65">
              <w:rPr>
                <w:rFonts w:ascii="Times New Roman" w:hAnsi="Times New Roman" w:cs="Times New Roman"/>
                <w:smallCaps w:val="0"/>
                <w:noProof/>
                <w:webHidden/>
              </w:rPr>
              <w:fldChar w:fldCharType="begin"/>
            </w:r>
            <w:r w:rsidR="00122D65" w:rsidRPr="00122D65">
              <w:rPr>
                <w:rFonts w:ascii="Times New Roman" w:hAnsi="Times New Roman" w:cs="Times New Roman"/>
                <w:smallCaps w:val="0"/>
                <w:noProof/>
                <w:webHidden/>
              </w:rPr>
              <w:instrText xml:space="preserve"> PAGEREF _Toc7502830 \h </w:instrText>
            </w:r>
            <w:r w:rsidR="00122D65" w:rsidRPr="00122D65">
              <w:rPr>
                <w:rFonts w:ascii="Times New Roman" w:hAnsi="Times New Roman" w:cs="Times New Roman"/>
                <w:smallCaps w:val="0"/>
                <w:noProof/>
                <w:webHidden/>
              </w:rPr>
            </w:r>
            <w:r w:rsidR="00122D65" w:rsidRPr="00122D65">
              <w:rPr>
                <w:rFonts w:ascii="Times New Roman" w:hAnsi="Times New Roman" w:cs="Times New Roman"/>
                <w:smallCaps w:val="0"/>
                <w:noProof/>
                <w:webHidden/>
              </w:rPr>
              <w:fldChar w:fldCharType="separate"/>
            </w:r>
            <w:r w:rsidR="00122D65" w:rsidRPr="00122D65">
              <w:rPr>
                <w:rFonts w:ascii="Times New Roman" w:hAnsi="Times New Roman" w:cs="Times New Roman"/>
                <w:smallCaps w:val="0"/>
                <w:noProof/>
                <w:webHidden/>
              </w:rPr>
              <w:t>21</w:t>
            </w:r>
            <w:r w:rsidR="00122D65" w:rsidRPr="00122D65">
              <w:rPr>
                <w:rFonts w:ascii="Times New Roman" w:hAnsi="Times New Roman" w:cs="Times New Roman"/>
                <w:smallCaps w:val="0"/>
                <w:noProof/>
                <w:webHidden/>
              </w:rPr>
              <w:fldChar w:fldCharType="end"/>
            </w:r>
          </w:hyperlink>
        </w:p>
        <w:p w14:paraId="1973BF2D" w14:textId="77777777" w:rsidR="00122D65" w:rsidRPr="00122D65" w:rsidRDefault="00DD0108">
          <w:pPr>
            <w:pStyle w:val="Obsah2"/>
            <w:rPr>
              <w:rFonts w:eastAsiaTheme="minorEastAsia" w:cs="Times New Roman"/>
              <w:b w:val="0"/>
              <w:bCs w:val="0"/>
              <w:sz w:val="22"/>
              <w:lang w:eastAsia="sk-SK"/>
            </w:rPr>
          </w:pPr>
          <w:hyperlink w:anchor="_Toc7502831" w:history="1">
            <w:r w:rsidR="00122D65" w:rsidRPr="00122D65">
              <w:rPr>
                <w:rStyle w:val="Hypertextovprepojenie"/>
                <w:rFonts w:cs="Times New Roman"/>
                <w:sz w:val="22"/>
              </w:rPr>
              <w:t>2.3</w:t>
            </w:r>
            <w:r w:rsidR="00122D65" w:rsidRPr="00122D65">
              <w:rPr>
                <w:rFonts w:eastAsiaTheme="minorEastAsia" w:cs="Times New Roman"/>
                <w:b w:val="0"/>
                <w:bCs w:val="0"/>
                <w:sz w:val="22"/>
                <w:lang w:eastAsia="sk-SK"/>
              </w:rPr>
              <w:tab/>
            </w:r>
            <w:r w:rsidR="00122D65" w:rsidRPr="00122D65">
              <w:rPr>
                <w:rStyle w:val="Hypertextovprepojenie"/>
                <w:rFonts w:cs="Times New Roman"/>
                <w:sz w:val="22"/>
              </w:rPr>
              <w:t>Porovnanie salda a dlhu verejnej správy v Európskej únii</w:t>
            </w:r>
            <w:r w:rsidR="00122D65" w:rsidRPr="00122D65">
              <w:rPr>
                <w:rFonts w:cs="Times New Roman"/>
                <w:webHidden/>
                <w:sz w:val="22"/>
              </w:rPr>
              <w:tab/>
            </w:r>
            <w:r w:rsidR="00122D65" w:rsidRPr="00122D65">
              <w:rPr>
                <w:rFonts w:cs="Times New Roman"/>
                <w:webHidden/>
                <w:sz w:val="22"/>
              </w:rPr>
              <w:fldChar w:fldCharType="begin"/>
            </w:r>
            <w:r w:rsidR="00122D65" w:rsidRPr="00122D65">
              <w:rPr>
                <w:rFonts w:cs="Times New Roman"/>
                <w:webHidden/>
                <w:sz w:val="22"/>
              </w:rPr>
              <w:instrText xml:space="preserve"> PAGEREF _Toc7502831 \h </w:instrText>
            </w:r>
            <w:r w:rsidR="00122D65" w:rsidRPr="00122D65">
              <w:rPr>
                <w:rFonts w:cs="Times New Roman"/>
                <w:webHidden/>
                <w:sz w:val="22"/>
              </w:rPr>
            </w:r>
            <w:r w:rsidR="00122D65" w:rsidRPr="00122D65">
              <w:rPr>
                <w:rFonts w:cs="Times New Roman"/>
                <w:webHidden/>
                <w:sz w:val="22"/>
              </w:rPr>
              <w:fldChar w:fldCharType="separate"/>
            </w:r>
            <w:r w:rsidR="00122D65" w:rsidRPr="00122D65">
              <w:rPr>
                <w:rFonts w:cs="Times New Roman"/>
                <w:webHidden/>
                <w:sz w:val="22"/>
              </w:rPr>
              <w:t>25</w:t>
            </w:r>
            <w:r w:rsidR="00122D65" w:rsidRPr="00122D65">
              <w:rPr>
                <w:rFonts w:cs="Times New Roman"/>
                <w:webHidden/>
                <w:sz w:val="22"/>
              </w:rPr>
              <w:fldChar w:fldCharType="end"/>
            </w:r>
          </w:hyperlink>
        </w:p>
        <w:p w14:paraId="0879ED1B" w14:textId="77777777" w:rsidR="00122D65" w:rsidRPr="00122D65" w:rsidRDefault="00DD0108">
          <w:pPr>
            <w:pStyle w:val="Obsah1"/>
            <w:rPr>
              <w:rFonts w:eastAsiaTheme="minorEastAsia" w:cs="Times New Roman"/>
              <w:b w:val="0"/>
              <w:bCs w:val="0"/>
              <w:sz w:val="22"/>
              <w:lang w:eastAsia="sk-SK"/>
            </w:rPr>
          </w:pPr>
          <w:hyperlink w:anchor="_Toc7502832" w:history="1">
            <w:r w:rsidR="00122D65" w:rsidRPr="00122D65">
              <w:rPr>
                <w:rStyle w:val="Hypertextovprepojenie"/>
                <w:rFonts w:cs="Times New Roman"/>
                <w:sz w:val="22"/>
              </w:rPr>
              <w:t>3</w:t>
            </w:r>
            <w:r w:rsidR="00122D65" w:rsidRPr="00122D65">
              <w:rPr>
                <w:rFonts w:eastAsiaTheme="minorEastAsia" w:cs="Times New Roman"/>
                <w:b w:val="0"/>
                <w:bCs w:val="0"/>
                <w:sz w:val="22"/>
                <w:lang w:eastAsia="sk-SK"/>
              </w:rPr>
              <w:tab/>
            </w:r>
            <w:r w:rsidR="00122D65" w:rsidRPr="00122D65">
              <w:rPr>
                <w:rStyle w:val="Hypertextovprepojenie"/>
                <w:rFonts w:cs="Times New Roman"/>
                <w:sz w:val="22"/>
              </w:rPr>
              <w:t>Hospodárenie štátneho rozpočtu na hotovostnej báze</w:t>
            </w:r>
            <w:r w:rsidR="00122D65" w:rsidRPr="00122D65">
              <w:rPr>
                <w:rFonts w:cs="Times New Roman"/>
                <w:webHidden/>
                <w:sz w:val="22"/>
              </w:rPr>
              <w:tab/>
            </w:r>
            <w:r w:rsidR="00122D65" w:rsidRPr="00122D65">
              <w:rPr>
                <w:rFonts w:cs="Times New Roman"/>
                <w:webHidden/>
                <w:sz w:val="22"/>
              </w:rPr>
              <w:fldChar w:fldCharType="begin"/>
            </w:r>
            <w:r w:rsidR="00122D65" w:rsidRPr="00122D65">
              <w:rPr>
                <w:rFonts w:cs="Times New Roman"/>
                <w:webHidden/>
                <w:sz w:val="22"/>
              </w:rPr>
              <w:instrText xml:space="preserve"> PAGEREF _Toc7502832 \h </w:instrText>
            </w:r>
            <w:r w:rsidR="00122D65" w:rsidRPr="00122D65">
              <w:rPr>
                <w:rFonts w:cs="Times New Roman"/>
                <w:webHidden/>
                <w:sz w:val="22"/>
              </w:rPr>
            </w:r>
            <w:r w:rsidR="00122D65" w:rsidRPr="00122D65">
              <w:rPr>
                <w:rFonts w:cs="Times New Roman"/>
                <w:webHidden/>
                <w:sz w:val="22"/>
              </w:rPr>
              <w:fldChar w:fldCharType="separate"/>
            </w:r>
            <w:r w:rsidR="00122D65" w:rsidRPr="00122D65">
              <w:rPr>
                <w:rFonts w:cs="Times New Roman"/>
                <w:webHidden/>
                <w:sz w:val="22"/>
              </w:rPr>
              <w:t>27</w:t>
            </w:r>
            <w:r w:rsidR="00122D65" w:rsidRPr="00122D65">
              <w:rPr>
                <w:rFonts w:cs="Times New Roman"/>
                <w:webHidden/>
                <w:sz w:val="22"/>
              </w:rPr>
              <w:fldChar w:fldCharType="end"/>
            </w:r>
          </w:hyperlink>
        </w:p>
        <w:p w14:paraId="4889CA6C" w14:textId="77777777" w:rsidR="00122D65" w:rsidRPr="00122D65" w:rsidRDefault="00DD0108">
          <w:pPr>
            <w:pStyle w:val="Obsah2"/>
            <w:rPr>
              <w:rFonts w:eastAsiaTheme="minorEastAsia" w:cs="Times New Roman"/>
              <w:b w:val="0"/>
              <w:bCs w:val="0"/>
              <w:sz w:val="22"/>
              <w:lang w:eastAsia="sk-SK"/>
            </w:rPr>
          </w:pPr>
          <w:hyperlink w:anchor="_Toc7502833" w:history="1">
            <w:r w:rsidR="00122D65" w:rsidRPr="00122D65">
              <w:rPr>
                <w:rStyle w:val="Hypertextovprepojenie"/>
                <w:rFonts w:cs="Times New Roman"/>
                <w:sz w:val="22"/>
              </w:rPr>
              <w:t>3.1</w:t>
            </w:r>
            <w:r w:rsidR="00122D65" w:rsidRPr="00122D65">
              <w:rPr>
                <w:rFonts w:eastAsiaTheme="minorEastAsia" w:cs="Times New Roman"/>
                <w:b w:val="0"/>
                <w:bCs w:val="0"/>
                <w:sz w:val="22"/>
                <w:lang w:eastAsia="sk-SK"/>
              </w:rPr>
              <w:tab/>
            </w:r>
            <w:r w:rsidR="00122D65" w:rsidRPr="00122D65">
              <w:rPr>
                <w:rStyle w:val="Hypertextovprepojenie"/>
                <w:rFonts w:cs="Times New Roman"/>
                <w:sz w:val="22"/>
              </w:rPr>
              <w:t>Príjmy štátneho rozpočtu</w:t>
            </w:r>
            <w:r w:rsidR="00122D65" w:rsidRPr="00122D65">
              <w:rPr>
                <w:rFonts w:cs="Times New Roman"/>
                <w:webHidden/>
                <w:sz w:val="22"/>
              </w:rPr>
              <w:tab/>
            </w:r>
            <w:r w:rsidR="00122D65" w:rsidRPr="00122D65">
              <w:rPr>
                <w:rFonts w:cs="Times New Roman"/>
                <w:webHidden/>
                <w:sz w:val="22"/>
              </w:rPr>
              <w:fldChar w:fldCharType="begin"/>
            </w:r>
            <w:r w:rsidR="00122D65" w:rsidRPr="00122D65">
              <w:rPr>
                <w:rFonts w:cs="Times New Roman"/>
                <w:webHidden/>
                <w:sz w:val="22"/>
              </w:rPr>
              <w:instrText xml:space="preserve"> PAGEREF _Toc7502833 \h </w:instrText>
            </w:r>
            <w:r w:rsidR="00122D65" w:rsidRPr="00122D65">
              <w:rPr>
                <w:rFonts w:cs="Times New Roman"/>
                <w:webHidden/>
                <w:sz w:val="22"/>
              </w:rPr>
            </w:r>
            <w:r w:rsidR="00122D65" w:rsidRPr="00122D65">
              <w:rPr>
                <w:rFonts w:cs="Times New Roman"/>
                <w:webHidden/>
                <w:sz w:val="22"/>
              </w:rPr>
              <w:fldChar w:fldCharType="separate"/>
            </w:r>
            <w:r w:rsidR="00122D65" w:rsidRPr="00122D65">
              <w:rPr>
                <w:rFonts w:cs="Times New Roman"/>
                <w:webHidden/>
                <w:sz w:val="22"/>
              </w:rPr>
              <w:t>31</w:t>
            </w:r>
            <w:r w:rsidR="00122D65" w:rsidRPr="00122D65">
              <w:rPr>
                <w:rFonts w:cs="Times New Roman"/>
                <w:webHidden/>
                <w:sz w:val="22"/>
              </w:rPr>
              <w:fldChar w:fldCharType="end"/>
            </w:r>
          </w:hyperlink>
        </w:p>
        <w:p w14:paraId="6927721D" w14:textId="77777777" w:rsidR="00122D65" w:rsidRPr="00122D65" w:rsidRDefault="00DD0108">
          <w:pPr>
            <w:pStyle w:val="Obsah3"/>
            <w:tabs>
              <w:tab w:val="left" w:pos="666"/>
              <w:tab w:val="right" w:pos="8493"/>
            </w:tabs>
            <w:rPr>
              <w:rFonts w:ascii="Times New Roman" w:eastAsiaTheme="minorEastAsia" w:hAnsi="Times New Roman" w:cs="Times New Roman"/>
              <w:smallCaps w:val="0"/>
              <w:noProof/>
              <w:lang w:eastAsia="sk-SK"/>
            </w:rPr>
          </w:pPr>
          <w:hyperlink w:anchor="_Toc7502834" w:history="1">
            <w:r w:rsidR="00122D65" w:rsidRPr="00122D65">
              <w:rPr>
                <w:rStyle w:val="Hypertextovprepojenie"/>
                <w:rFonts w:ascii="Times New Roman" w:hAnsi="Times New Roman" w:cs="Times New Roman"/>
                <w:smallCaps w:val="0"/>
                <w:noProof/>
              </w:rPr>
              <w:t>3.1.1</w:t>
            </w:r>
            <w:r w:rsidR="00122D65" w:rsidRPr="00122D65">
              <w:rPr>
                <w:rFonts w:ascii="Times New Roman" w:eastAsiaTheme="minorEastAsia" w:hAnsi="Times New Roman" w:cs="Times New Roman"/>
                <w:smallCaps w:val="0"/>
                <w:noProof/>
                <w:lang w:eastAsia="sk-SK"/>
              </w:rPr>
              <w:tab/>
            </w:r>
            <w:r w:rsidR="00122D65" w:rsidRPr="00122D65">
              <w:rPr>
                <w:rStyle w:val="Hypertextovprepojenie"/>
                <w:rFonts w:ascii="Times New Roman" w:hAnsi="Times New Roman" w:cs="Times New Roman"/>
                <w:smallCaps w:val="0"/>
                <w:noProof/>
              </w:rPr>
              <w:t>Daňové príjmy</w:t>
            </w:r>
            <w:r w:rsidR="00122D65" w:rsidRPr="00122D65">
              <w:rPr>
                <w:rFonts w:ascii="Times New Roman" w:hAnsi="Times New Roman" w:cs="Times New Roman"/>
                <w:smallCaps w:val="0"/>
                <w:noProof/>
                <w:webHidden/>
              </w:rPr>
              <w:tab/>
            </w:r>
            <w:r w:rsidR="00122D65" w:rsidRPr="00122D65">
              <w:rPr>
                <w:rFonts w:ascii="Times New Roman" w:hAnsi="Times New Roman" w:cs="Times New Roman"/>
                <w:smallCaps w:val="0"/>
                <w:noProof/>
                <w:webHidden/>
              </w:rPr>
              <w:fldChar w:fldCharType="begin"/>
            </w:r>
            <w:r w:rsidR="00122D65" w:rsidRPr="00122D65">
              <w:rPr>
                <w:rFonts w:ascii="Times New Roman" w:hAnsi="Times New Roman" w:cs="Times New Roman"/>
                <w:smallCaps w:val="0"/>
                <w:noProof/>
                <w:webHidden/>
              </w:rPr>
              <w:instrText xml:space="preserve"> PAGEREF _Toc7502834 \h </w:instrText>
            </w:r>
            <w:r w:rsidR="00122D65" w:rsidRPr="00122D65">
              <w:rPr>
                <w:rFonts w:ascii="Times New Roman" w:hAnsi="Times New Roman" w:cs="Times New Roman"/>
                <w:smallCaps w:val="0"/>
                <w:noProof/>
                <w:webHidden/>
              </w:rPr>
            </w:r>
            <w:r w:rsidR="00122D65" w:rsidRPr="00122D65">
              <w:rPr>
                <w:rFonts w:ascii="Times New Roman" w:hAnsi="Times New Roman" w:cs="Times New Roman"/>
                <w:smallCaps w:val="0"/>
                <w:noProof/>
                <w:webHidden/>
              </w:rPr>
              <w:fldChar w:fldCharType="separate"/>
            </w:r>
            <w:r w:rsidR="00122D65" w:rsidRPr="00122D65">
              <w:rPr>
                <w:rFonts w:ascii="Times New Roman" w:hAnsi="Times New Roman" w:cs="Times New Roman"/>
                <w:smallCaps w:val="0"/>
                <w:noProof/>
                <w:webHidden/>
              </w:rPr>
              <w:t>31</w:t>
            </w:r>
            <w:r w:rsidR="00122D65" w:rsidRPr="00122D65">
              <w:rPr>
                <w:rFonts w:ascii="Times New Roman" w:hAnsi="Times New Roman" w:cs="Times New Roman"/>
                <w:smallCaps w:val="0"/>
                <w:noProof/>
                <w:webHidden/>
              </w:rPr>
              <w:fldChar w:fldCharType="end"/>
            </w:r>
          </w:hyperlink>
        </w:p>
        <w:p w14:paraId="2951BD6B" w14:textId="77777777" w:rsidR="00122D65" w:rsidRPr="00122D65" w:rsidRDefault="00DD0108">
          <w:pPr>
            <w:pStyle w:val="Obsah3"/>
            <w:tabs>
              <w:tab w:val="left" w:pos="666"/>
              <w:tab w:val="right" w:pos="8493"/>
            </w:tabs>
            <w:rPr>
              <w:rFonts w:ascii="Times New Roman" w:eastAsiaTheme="minorEastAsia" w:hAnsi="Times New Roman" w:cs="Times New Roman"/>
              <w:smallCaps w:val="0"/>
              <w:noProof/>
              <w:lang w:eastAsia="sk-SK"/>
            </w:rPr>
          </w:pPr>
          <w:hyperlink w:anchor="_Toc7502835" w:history="1">
            <w:r w:rsidR="00122D65" w:rsidRPr="00122D65">
              <w:rPr>
                <w:rStyle w:val="Hypertextovprepojenie"/>
                <w:rFonts w:ascii="Times New Roman" w:hAnsi="Times New Roman" w:cs="Times New Roman"/>
                <w:smallCaps w:val="0"/>
                <w:noProof/>
              </w:rPr>
              <w:t>3.1.2</w:t>
            </w:r>
            <w:r w:rsidR="00122D65" w:rsidRPr="00122D65">
              <w:rPr>
                <w:rFonts w:ascii="Times New Roman" w:eastAsiaTheme="minorEastAsia" w:hAnsi="Times New Roman" w:cs="Times New Roman"/>
                <w:smallCaps w:val="0"/>
                <w:noProof/>
                <w:lang w:eastAsia="sk-SK"/>
              </w:rPr>
              <w:tab/>
            </w:r>
            <w:r w:rsidR="00122D65" w:rsidRPr="00122D65">
              <w:rPr>
                <w:rStyle w:val="Hypertextovprepojenie"/>
                <w:rFonts w:ascii="Times New Roman" w:hAnsi="Times New Roman" w:cs="Times New Roman"/>
                <w:smallCaps w:val="0"/>
                <w:noProof/>
              </w:rPr>
              <w:t>Nedaňové príjmy</w:t>
            </w:r>
            <w:r w:rsidR="00122D65" w:rsidRPr="00122D65">
              <w:rPr>
                <w:rFonts w:ascii="Times New Roman" w:hAnsi="Times New Roman" w:cs="Times New Roman"/>
                <w:smallCaps w:val="0"/>
                <w:noProof/>
                <w:webHidden/>
              </w:rPr>
              <w:tab/>
            </w:r>
            <w:r w:rsidR="00122D65" w:rsidRPr="00122D65">
              <w:rPr>
                <w:rFonts w:ascii="Times New Roman" w:hAnsi="Times New Roman" w:cs="Times New Roman"/>
                <w:smallCaps w:val="0"/>
                <w:noProof/>
                <w:webHidden/>
              </w:rPr>
              <w:fldChar w:fldCharType="begin"/>
            </w:r>
            <w:r w:rsidR="00122D65" w:rsidRPr="00122D65">
              <w:rPr>
                <w:rFonts w:ascii="Times New Roman" w:hAnsi="Times New Roman" w:cs="Times New Roman"/>
                <w:smallCaps w:val="0"/>
                <w:noProof/>
                <w:webHidden/>
              </w:rPr>
              <w:instrText xml:space="preserve"> PAGEREF _Toc7502835 \h </w:instrText>
            </w:r>
            <w:r w:rsidR="00122D65" w:rsidRPr="00122D65">
              <w:rPr>
                <w:rFonts w:ascii="Times New Roman" w:hAnsi="Times New Roman" w:cs="Times New Roman"/>
                <w:smallCaps w:val="0"/>
                <w:noProof/>
                <w:webHidden/>
              </w:rPr>
            </w:r>
            <w:r w:rsidR="00122D65" w:rsidRPr="00122D65">
              <w:rPr>
                <w:rFonts w:ascii="Times New Roman" w:hAnsi="Times New Roman" w:cs="Times New Roman"/>
                <w:smallCaps w:val="0"/>
                <w:noProof/>
                <w:webHidden/>
              </w:rPr>
              <w:fldChar w:fldCharType="separate"/>
            </w:r>
            <w:r w:rsidR="00122D65" w:rsidRPr="00122D65">
              <w:rPr>
                <w:rFonts w:ascii="Times New Roman" w:hAnsi="Times New Roman" w:cs="Times New Roman"/>
                <w:smallCaps w:val="0"/>
                <w:noProof/>
                <w:webHidden/>
              </w:rPr>
              <w:t>35</w:t>
            </w:r>
            <w:r w:rsidR="00122D65" w:rsidRPr="00122D65">
              <w:rPr>
                <w:rFonts w:ascii="Times New Roman" w:hAnsi="Times New Roman" w:cs="Times New Roman"/>
                <w:smallCaps w:val="0"/>
                <w:noProof/>
                <w:webHidden/>
              </w:rPr>
              <w:fldChar w:fldCharType="end"/>
            </w:r>
          </w:hyperlink>
        </w:p>
        <w:p w14:paraId="3FDC8784" w14:textId="77777777" w:rsidR="00122D65" w:rsidRPr="00122D65" w:rsidRDefault="00DD0108">
          <w:pPr>
            <w:pStyle w:val="Obsah3"/>
            <w:tabs>
              <w:tab w:val="left" w:pos="666"/>
              <w:tab w:val="right" w:pos="8493"/>
            </w:tabs>
            <w:rPr>
              <w:rFonts w:ascii="Times New Roman" w:eastAsiaTheme="minorEastAsia" w:hAnsi="Times New Roman" w:cs="Times New Roman"/>
              <w:smallCaps w:val="0"/>
              <w:noProof/>
              <w:lang w:eastAsia="sk-SK"/>
            </w:rPr>
          </w:pPr>
          <w:hyperlink w:anchor="_Toc7502836" w:history="1">
            <w:r w:rsidR="00122D65" w:rsidRPr="00122D65">
              <w:rPr>
                <w:rStyle w:val="Hypertextovprepojenie"/>
                <w:rFonts w:ascii="Times New Roman" w:hAnsi="Times New Roman" w:cs="Times New Roman"/>
                <w:smallCaps w:val="0"/>
                <w:noProof/>
              </w:rPr>
              <w:t>3.1.3</w:t>
            </w:r>
            <w:r w:rsidR="00122D65" w:rsidRPr="00122D65">
              <w:rPr>
                <w:rFonts w:ascii="Times New Roman" w:eastAsiaTheme="minorEastAsia" w:hAnsi="Times New Roman" w:cs="Times New Roman"/>
                <w:smallCaps w:val="0"/>
                <w:noProof/>
                <w:lang w:eastAsia="sk-SK"/>
              </w:rPr>
              <w:tab/>
            </w:r>
            <w:r w:rsidR="00122D65" w:rsidRPr="00122D65">
              <w:rPr>
                <w:rStyle w:val="Hypertextovprepojenie"/>
                <w:rFonts w:ascii="Times New Roman" w:hAnsi="Times New Roman" w:cs="Times New Roman"/>
                <w:smallCaps w:val="0"/>
                <w:noProof/>
              </w:rPr>
              <w:t>Granty a transfery</w:t>
            </w:r>
            <w:r w:rsidR="00122D65" w:rsidRPr="00122D65">
              <w:rPr>
                <w:rFonts w:ascii="Times New Roman" w:hAnsi="Times New Roman" w:cs="Times New Roman"/>
                <w:smallCaps w:val="0"/>
                <w:noProof/>
                <w:webHidden/>
              </w:rPr>
              <w:tab/>
            </w:r>
            <w:r w:rsidR="00122D65" w:rsidRPr="00122D65">
              <w:rPr>
                <w:rFonts w:ascii="Times New Roman" w:hAnsi="Times New Roman" w:cs="Times New Roman"/>
                <w:smallCaps w:val="0"/>
                <w:noProof/>
                <w:webHidden/>
              </w:rPr>
              <w:fldChar w:fldCharType="begin"/>
            </w:r>
            <w:r w:rsidR="00122D65" w:rsidRPr="00122D65">
              <w:rPr>
                <w:rFonts w:ascii="Times New Roman" w:hAnsi="Times New Roman" w:cs="Times New Roman"/>
                <w:smallCaps w:val="0"/>
                <w:noProof/>
                <w:webHidden/>
              </w:rPr>
              <w:instrText xml:space="preserve"> PAGEREF _Toc7502836 \h </w:instrText>
            </w:r>
            <w:r w:rsidR="00122D65" w:rsidRPr="00122D65">
              <w:rPr>
                <w:rFonts w:ascii="Times New Roman" w:hAnsi="Times New Roman" w:cs="Times New Roman"/>
                <w:smallCaps w:val="0"/>
                <w:noProof/>
                <w:webHidden/>
              </w:rPr>
            </w:r>
            <w:r w:rsidR="00122D65" w:rsidRPr="00122D65">
              <w:rPr>
                <w:rFonts w:ascii="Times New Roman" w:hAnsi="Times New Roman" w:cs="Times New Roman"/>
                <w:smallCaps w:val="0"/>
                <w:noProof/>
                <w:webHidden/>
              </w:rPr>
              <w:fldChar w:fldCharType="separate"/>
            </w:r>
            <w:r w:rsidR="00122D65" w:rsidRPr="00122D65">
              <w:rPr>
                <w:rFonts w:ascii="Times New Roman" w:hAnsi="Times New Roman" w:cs="Times New Roman"/>
                <w:smallCaps w:val="0"/>
                <w:noProof/>
                <w:webHidden/>
              </w:rPr>
              <w:t>42</w:t>
            </w:r>
            <w:r w:rsidR="00122D65" w:rsidRPr="00122D65">
              <w:rPr>
                <w:rFonts w:ascii="Times New Roman" w:hAnsi="Times New Roman" w:cs="Times New Roman"/>
                <w:smallCaps w:val="0"/>
                <w:noProof/>
                <w:webHidden/>
              </w:rPr>
              <w:fldChar w:fldCharType="end"/>
            </w:r>
          </w:hyperlink>
        </w:p>
        <w:p w14:paraId="0A479E09" w14:textId="77777777" w:rsidR="00122D65" w:rsidRPr="00122D65" w:rsidRDefault="00DD0108">
          <w:pPr>
            <w:pStyle w:val="Obsah2"/>
            <w:rPr>
              <w:rFonts w:eastAsiaTheme="minorEastAsia" w:cs="Times New Roman"/>
              <w:b w:val="0"/>
              <w:bCs w:val="0"/>
              <w:sz w:val="22"/>
              <w:lang w:eastAsia="sk-SK"/>
            </w:rPr>
          </w:pPr>
          <w:hyperlink w:anchor="_Toc7502837" w:history="1">
            <w:r w:rsidR="00122D65" w:rsidRPr="00122D65">
              <w:rPr>
                <w:rStyle w:val="Hypertextovprepojenie"/>
                <w:rFonts w:cs="Times New Roman"/>
                <w:sz w:val="22"/>
              </w:rPr>
              <w:t>3.2</w:t>
            </w:r>
            <w:r w:rsidR="00122D65" w:rsidRPr="00122D65">
              <w:rPr>
                <w:rFonts w:eastAsiaTheme="minorEastAsia" w:cs="Times New Roman"/>
                <w:b w:val="0"/>
                <w:bCs w:val="0"/>
                <w:sz w:val="22"/>
                <w:lang w:eastAsia="sk-SK"/>
              </w:rPr>
              <w:tab/>
            </w:r>
            <w:r w:rsidR="00122D65" w:rsidRPr="00122D65">
              <w:rPr>
                <w:rStyle w:val="Hypertextovprepojenie"/>
                <w:rFonts w:cs="Times New Roman"/>
                <w:sz w:val="22"/>
              </w:rPr>
              <w:t>Výdavky štátneho rozpočtu</w:t>
            </w:r>
            <w:r w:rsidR="00122D65" w:rsidRPr="00122D65">
              <w:rPr>
                <w:rFonts w:cs="Times New Roman"/>
                <w:webHidden/>
                <w:sz w:val="22"/>
              </w:rPr>
              <w:tab/>
            </w:r>
            <w:r w:rsidR="00122D65" w:rsidRPr="00122D65">
              <w:rPr>
                <w:rFonts w:cs="Times New Roman"/>
                <w:webHidden/>
                <w:sz w:val="22"/>
              </w:rPr>
              <w:fldChar w:fldCharType="begin"/>
            </w:r>
            <w:r w:rsidR="00122D65" w:rsidRPr="00122D65">
              <w:rPr>
                <w:rFonts w:cs="Times New Roman"/>
                <w:webHidden/>
                <w:sz w:val="22"/>
              </w:rPr>
              <w:instrText xml:space="preserve"> PAGEREF _Toc7502837 \h </w:instrText>
            </w:r>
            <w:r w:rsidR="00122D65" w:rsidRPr="00122D65">
              <w:rPr>
                <w:rFonts w:cs="Times New Roman"/>
                <w:webHidden/>
                <w:sz w:val="22"/>
              </w:rPr>
            </w:r>
            <w:r w:rsidR="00122D65" w:rsidRPr="00122D65">
              <w:rPr>
                <w:rFonts w:cs="Times New Roman"/>
                <w:webHidden/>
                <w:sz w:val="22"/>
              </w:rPr>
              <w:fldChar w:fldCharType="separate"/>
            </w:r>
            <w:r w:rsidR="00122D65" w:rsidRPr="00122D65">
              <w:rPr>
                <w:rFonts w:cs="Times New Roman"/>
                <w:webHidden/>
                <w:sz w:val="22"/>
              </w:rPr>
              <w:t>44</w:t>
            </w:r>
            <w:r w:rsidR="00122D65" w:rsidRPr="00122D65">
              <w:rPr>
                <w:rFonts w:cs="Times New Roman"/>
                <w:webHidden/>
                <w:sz w:val="22"/>
              </w:rPr>
              <w:fldChar w:fldCharType="end"/>
            </w:r>
          </w:hyperlink>
        </w:p>
        <w:p w14:paraId="788672E4" w14:textId="77777777" w:rsidR="00122D65" w:rsidRPr="00122D65" w:rsidRDefault="00DD0108">
          <w:pPr>
            <w:pStyle w:val="Obsah3"/>
            <w:tabs>
              <w:tab w:val="left" w:pos="666"/>
              <w:tab w:val="right" w:pos="8493"/>
            </w:tabs>
            <w:rPr>
              <w:rFonts w:ascii="Times New Roman" w:eastAsiaTheme="minorEastAsia" w:hAnsi="Times New Roman" w:cs="Times New Roman"/>
              <w:smallCaps w:val="0"/>
              <w:noProof/>
              <w:lang w:eastAsia="sk-SK"/>
            </w:rPr>
          </w:pPr>
          <w:hyperlink w:anchor="_Toc7502838" w:history="1">
            <w:r w:rsidR="00122D65" w:rsidRPr="00122D65">
              <w:rPr>
                <w:rStyle w:val="Hypertextovprepojenie"/>
                <w:rFonts w:ascii="Times New Roman" w:hAnsi="Times New Roman" w:cs="Times New Roman"/>
                <w:smallCaps w:val="0"/>
                <w:noProof/>
              </w:rPr>
              <w:t>3.2.1</w:t>
            </w:r>
            <w:r w:rsidR="00122D65" w:rsidRPr="00122D65">
              <w:rPr>
                <w:rFonts w:ascii="Times New Roman" w:eastAsiaTheme="minorEastAsia" w:hAnsi="Times New Roman" w:cs="Times New Roman"/>
                <w:smallCaps w:val="0"/>
                <w:noProof/>
                <w:lang w:eastAsia="sk-SK"/>
              </w:rPr>
              <w:tab/>
            </w:r>
            <w:r w:rsidR="00122D65" w:rsidRPr="00122D65">
              <w:rPr>
                <w:rStyle w:val="Hypertextovprepojenie"/>
                <w:rFonts w:ascii="Times New Roman" w:hAnsi="Times New Roman" w:cs="Times New Roman"/>
                <w:smallCaps w:val="0"/>
                <w:noProof/>
              </w:rPr>
              <w:t>Výdavky štátneho rozpočtu podľa ekonomickej klasifikácie</w:t>
            </w:r>
            <w:r w:rsidR="00122D65" w:rsidRPr="00122D65">
              <w:rPr>
                <w:rFonts w:ascii="Times New Roman" w:hAnsi="Times New Roman" w:cs="Times New Roman"/>
                <w:smallCaps w:val="0"/>
                <w:noProof/>
                <w:webHidden/>
              </w:rPr>
              <w:tab/>
            </w:r>
            <w:r w:rsidR="00122D65" w:rsidRPr="00122D65">
              <w:rPr>
                <w:rFonts w:ascii="Times New Roman" w:hAnsi="Times New Roman" w:cs="Times New Roman"/>
                <w:smallCaps w:val="0"/>
                <w:noProof/>
                <w:webHidden/>
              </w:rPr>
              <w:fldChar w:fldCharType="begin"/>
            </w:r>
            <w:r w:rsidR="00122D65" w:rsidRPr="00122D65">
              <w:rPr>
                <w:rFonts w:ascii="Times New Roman" w:hAnsi="Times New Roman" w:cs="Times New Roman"/>
                <w:smallCaps w:val="0"/>
                <w:noProof/>
                <w:webHidden/>
              </w:rPr>
              <w:instrText xml:space="preserve"> PAGEREF _Toc7502838 \h </w:instrText>
            </w:r>
            <w:r w:rsidR="00122D65" w:rsidRPr="00122D65">
              <w:rPr>
                <w:rFonts w:ascii="Times New Roman" w:hAnsi="Times New Roman" w:cs="Times New Roman"/>
                <w:smallCaps w:val="0"/>
                <w:noProof/>
                <w:webHidden/>
              </w:rPr>
            </w:r>
            <w:r w:rsidR="00122D65" w:rsidRPr="00122D65">
              <w:rPr>
                <w:rFonts w:ascii="Times New Roman" w:hAnsi="Times New Roman" w:cs="Times New Roman"/>
                <w:smallCaps w:val="0"/>
                <w:noProof/>
                <w:webHidden/>
              </w:rPr>
              <w:fldChar w:fldCharType="separate"/>
            </w:r>
            <w:r w:rsidR="00122D65" w:rsidRPr="00122D65">
              <w:rPr>
                <w:rFonts w:ascii="Times New Roman" w:hAnsi="Times New Roman" w:cs="Times New Roman"/>
                <w:smallCaps w:val="0"/>
                <w:noProof/>
                <w:webHidden/>
              </w:rPr>
              <w:t>45</w:t>
            </w:r>
            <w:r w:rsidR="00122D65" w:rsidRPr="00122D65">
              <w:rPr>
                <w:rFonts w:ascii="Times New Roman" w:hAnsi="Times New Roman" w:cs="Times New Roman"/>
                <w:smallCaps w:val="0"/>
                <w:noProof/>
                <w:webHidden/>
              </w:rPr>
              <w:fldChar w:fldCharType="end"/>
            </w:r>
          </w:hyperlink>
        </w:p>
        <w:p w14:paraId="58F29ACC" w14:textId="77777777" w:rsidR="00122D65" w:rsidRPr="00122D65" w:rsidRDefault="00DD0108">
          <w:pPr>
            <w:pStyle w:val="Obsah3"/>
            <w:tabs>
              <w:tab w:val="left" w:pos="666"/>
              <w:tab w:val="right" w:pos="8493"/>
            </w:tabs>
            <w:rPr>
              <w:rFonts w:ascii="Times New Roman" w:eastAsiaTheme="minorEastAsia" w:hAnsi="Times New Roman" w:cs="Times New Roman"/>
              <w:smallCaps w:val="0"/>
              <w:noProof/>
              <w:lang w:eastAsia="sk-SK"/>
            </w:rPr>
          </w:pPr>
          <w:hyperlink w:anchor="_Toc7502839" w:history="1">
            <w:r w:rsidR="00122D65" w:rsidRPr="00122D65">
              <w:rPr>
                <w:rStyle w:val="Hypertextovprepojenie"/>
                <w:rFonts w:ascii="Times New Roman" w:hAnsi="Times New Roman" w:cs="Times New Roman"/>
                <w:smallCaps w:val="0"/>
                <w:noProof/>
              </w:rPr>
              <w:t>3.2.2</w:t>
            </w:r>
            <w:r w:rsidR="00122D65" w:rsidRPr="00122D65">
              <w:rPr>
                <w:rFonts w:ascii="Times New Roman" w:eastAsiaTheme="minorEastAsia" w:hAnsi="Times New Roman" w:cs="Times New Roman"/>
                <w:smallCaps w:val="0"/>
                <w:noProof/>
                <w:lang w:eastAsia="sk-SK"/>
              </w:rPr>
              <w:tab/>
            </w:r>
            <w:r w:rsidR="00122D65" w:rsidRPr="00122D65">
              <w:rPr>
                <w:rStyle w:val="Hypertextovprepojenie"/>
                <w:rFonts w:ascii="Times New Roman" w:hAnsi="Times New Roman" w:cs="Times New Roman"/>
                <w:smallCaps w:val="0"/>
                <w:noProof/>
              </w:rPr>
              <w:t>Výdavky podľa funkčnej klasifikácie</w:t>
            </w:r>
            <w:r w:rsidR="00122D65" w:rsidRPr="00122D65">
              <w:rPr>
                <w:rFonts w:ascii="Times New Roman" w:hAnsi="Times New Roman" w:cs="Times New Roman"/>
                <w:smallCaps w:val="0"/>
                <w:noProof/>
                <w:webHidden/>
              </w:rPr>
              <w:tab/>
            </w:r>
            <w:r w:rsidR="00122D65" w:rsidRPr="00122D65">
              <w:rPr>
                <w:rFonts w:ascii="Times New Roman" w:hAnsi="Times New Roman" w:cs="Times New Roman"/>
                <w:smallCaps w:val="0"/>
                <w:noProof/>
                <w:webHidden/>
              </w:rPr>
              <w:fldChar w:fldCharType="begin"/>
            </w:r>
            <w:r w:rsidR="00122D65" w:rsidRPr="00122D65">
              <w:rPr>
                <w:rFonts w:ascii="Times New Roman" w:hAnsi="Times New Roman" w:cs="Times New Roman"/>
                <w:smallCaps w:val="0"/>
                <w:noProof/>
                <w:webHidden/>
              </w:rPr>
              <w:instrText xml:space="preserve"> PAGEREF _Toc7502839 \h </w:instrText>
            </w:r>
            <w:r w:rsidR="00122D65" w:rsidRPr="00122D65">
              <w:rPr>
                <w:rFonts w:ascii="Times New Roman" w:hAnsi="Times New Roman" w:cs="Times New Roman"/>
                <w:smallCaps w:val="0"/>
                <w:noProof/>
                <w:webHidden/>
              </w:rPr>
            </w:r>
            <w:r w:rsidR="00122D65" w:rsidRPr="00122D65">
              <w:rPr>
                <w:rFonts w:ascii="Times New Roman" w:hAnsi="Times New Roman" w:cs="Times New Roman"/>
                <w:smallCaps w:val="0"/>
                <w:noProof/>
                <w:webHidden/>
              </w:rPr>
              <w:fldChar w:fldCharType="separate"/>
            </w:r>
            <w:r w:rsidR="00122D65" w:rsidRPr="00122D65">
              <w:rPr>
                <w:rFonts w:ascii="Times New Roman" w:hAnsi="Times New Roman" w:cs="Times New Roman"/>
                <w:smallCaps w:val="0"/>
                <w:noProof/>
                <w:webHidden/>
              </w:rPr>
              <w:t>72</w:t>
            </w:r>
            <w:r w:rsidR="00122D65" w:rsidRPr="00122D65">
              <w:rPr>
                <w:rFonts w:ascii="Times New Roman" w:hAnsi="Times New Roman" w:cs="Times New Roman"/>
                <w:smallCaps w:val="0"/>
                <w:noProof/>
                <w:webHidden/>
              </w:rPr>
              <w:fldChar w:fldCharType="end"/>
            </w:r>
          </w:hyperlink>
        </w:p>
        <w:p w14:paraId="6E297B9E" w14:textId="77777777" w:rsidR="00122D65" w:rsidRPr="00122D65" w:rsidRDefault="00DD0108">
          <w:pPr>
            <w:pStyle w:val="Obsah3"/>
            <w:tabs>
              <w:tab w:val="left" w:pos="666"/>
              <w:tab w:val="right" w:pos="8493"/>
            </w:tabs>
            <w:rPr>
              <w:rFonts w:ascii="Times New Roman" w:eastAsiaTheme="minorEastAsia" w:hAnsi="Times New Roman" w:cs="Times New Roman"/>
              <w:smallCaps w:val="0"/>
              <w:noProof/>
              <w:lang w:eastAsia="sk-SK"/>
            </w:rPr>
          </w:pPr>
          <w:hyperlink w:anchor="_Toc7502840" w:history="1">
            <w:r w:rsidR="00122D65" w:rsidRPr="00122D65">
              <w:rPr>
                <w:rStyle w:val="Hypertextovprepojenie"/>
                <w:rFonts w:ascii="Times New Roman" w:hAnsi="Times New Roman" w:cs="Times New Roman"/>
                <w:smallCaps w:val="0"/>
                <w:noProof/>
              </w:rPr>
              <w:t>3.2.3</w:t>
            </w:r>
            <w:r w:rsidR="00122D65" w:rsidRPr="00122D65">
              <w:rPr>
                <w:rFonts w:ascii="Times New Roman" w:eastAsiaTheme="minorEastAsia" w:hAnsi="Times New Roman" w:cs="Times New Roman"/>
                <w:smallCaps w:val="0"/>
                <w:noProof/>
                <w:lang w:eastAsia="sk-SK"/>
              </w:rPr>
              <w:tab/>
            </w:r>
            <w:r w:rsidR="00122D65" w:rsidRPr="00122D65">
              <w:rPr>
                <w:rStyle w:val="Hypertextovprepojenie"/>
                <w:rFonts w:ascii="Times New Roman" w:hAnsi="Times New Roman" w:cs="Times New Roman"/>
                <w:smallCaps w:val="0"/>
                <w:noProof/>
              </w:rPr>
              <w:t>Vzťahy štátneho rozpočtu k obciam</w:t>
            </w:r>
            <w:r w:rsidR="00122D65" w:rsidRPr="00122D65">
              <w:rPr>
                <w:rFonts w:ascii="Times New Roman" w:hAnsi="Times New Roman" w:cs="Times New Roman"/>
                <w:smallCaps w:val="0"/>
                <w:noProof/>
                <w:webHidden/>
              </w:rPr>
              <w:tab/>
            </w:r>
            <w:r w:rsidR="00122D65" w:rsidRPr="00122D65">
              <w:rPr>
                <w:rFonts w:ascii="Times New Roman" w:hAnsi="Times New Roman" w:cs="Times New Roman"/>
                <w:smallCaps w:val="0"/>
                <w:noProof/>
                <w:webHidden/>
              </w:rPr>
              <w:fldChar w:fldCharType="begin"/>
            </w:r>
            <w:r w:rsidR="00122D65" w:rsidRPr="00122D65">
              <w:rPr>
                <w:rFonts w:ascii="Times New Roman" w:hAnsi="Times New Roman" w:cs="Times New Roman"/>
                <w:smallCaps w:val="0"/>
                <w:noProof/>
                <w:webHidden/>
              </w:rPr>
              <w:instrText xml:space="preserve"> PAGEREF _Toc7502840 \h </w:instrText>
            </w:r>
            <w:r w:rsidR="00122D65" w:rsidRPr="00122D65">
              <w:rPr>
                <w:rFonts w:ascii="Times New Roman" w:hAnsi="Times New Roman" w:cs="Times New Roman"/>
                <w:smallCaps w:val="0"/>
                <w:noProof/>
                <w:webHidden/>
              </w:rPr>
            </w:r>
            <w:r w:rsidR="00122D65" w:rsidRPr="00122D65">
              <w:rPr>
                <w:rFonts w:ascii="Times New Roman" w:hAnsi="Times New Roman" w:cs="Times New Roman"/>
                <w:smallCaps w:val="0"/>
                <w:noProof/>
                <w:webHidden/>
              </w:rPr>
              <w:fldChar w:fldCharType="separate"/>
            </w:r>
            <w:r w:rsidR="00122D65" w:rsidRPr="00122D65">
              <w:rPr>
                <w:rFonts w:ascii="Times New Roman" w:hAnsi="Times New Roman" w:cs="Times New Roman"/>
                <w:smallCaps w:val="0"/>
                <w:noProof/>
                <w:webHidden/>
              </w:rPr>
              <w:t>75</w:t>
            </w:r>
            <w:r w:rsidR="00122D65" w:rsidRPr="00122D65">
              <w:rPr>
                <w:rFonts w:ascii="Times New Roman" w:hAnsi="Times New Roman" w:cs="Times New Roman"/>
                <w:smallCaps w:val="0"/>
                <w:noProof/>
                <w:webHidden/>
              </w:rPr>
              <w:fldChar w:fldCharType="end"/>
            </w:r>
          </w:hyperlink>
        </w:p>
        <w:p w14:paraId="487851BC" w14:textId="77777777" w:rsidR="00122D65" w:rsidRPr="00122D65" w:rsidRDefault="00DD0108">
          <w:pPr>
            <w:pStyle w:val="Obsah3"/>
            <w:tabs>
              <w:tab w:val="left" w:pos="666"/>
              <w:tab w:val="right" w:pos="8493"/>
            </w:tabs>
            <w:rPr>
              <w:rFonts w:ascii="Times New Roman" w:eastAsiaTheme="minorEastAsia" w:hAnsi="Times New Roman" w:cs="Times New Roman"/>
              <w:smallCaps w:val="0"/>
              <w:noProof/>
              <w:lang w:eastAsia="sk-SK"/>
            </w:rPr>
          </w:pPr>
          <w:hyperlink w:anchor="_Toc7502841" w:history="1">
            <w:r w:rsidR="00122D65" w:rsidRPr="00122D65">
              <w:rPr>
                <w:rStyle w:val="Hypertextovprepojenie"/>
                <w:rFonts w:ascii="Times New Roman" w:hAnsi="Times New Roman" w:cs="Times New Roman"/>
                <w:smallCaps w:val="0"/>
                <w:noProof/>
              </w:rPr>
              <w:t>3.2.4</w:t>
            </w:r>
            <w:r w:rsidR="00122D65" w:rsidRPr="00122D65">
              <w:rPr>
                <w:rFonts w:ascii="Times New Roman" w:eastAsiaTheme="minorEastAsia" w:hAnsi="Times New Roman" w:cs="Times New Roman"/>
                <w:smallCaps w:val="0"/>
                <w:noProof/>
                <w:lang w:eastAsia="sk-SK"/>
              </w:rPr>
              <w:tab/>
            </w:r>
            <w:r w:rsidR="00122D65" w:rsidRPr="00122D65">
              <w:rPr>
                <w:rStyle w:val="Hypertextovprepojenie"/>
                <w:rFonts w:ascii="Times New Roman" w:hAnsi="Times New Roman" w:cs="Times New Roman"/>
                <w:smallCaps w:val="0"/>
                <w:noProof/>
              </w:rPr>
              <w:t>Vzťahy štátneho rozpočtu k vyšším územným celkom</w:t>
            </w:r>
            <w:r w:rsidR="00122D65" w:rsidRPr="00122D65">
              <w:rPr>
                <w:rFonts w:ascii="Times New Roman" w:hAnsi="Times New Roman" w:cs="Times New Roman"/>
                <w:smallCaps w:val="0"/>
                <w:noProof/>
                <w:webHidden/>
              </w:rPr>
              <w:tab/>
            </w:r>
            <w:r w:rsidR="00122D65" w:rsidRPr="00122D65">
              <w:rPr>
                <w:rFonts w:ascii="Times New Roman" w:hAnsi="Times New Roman" w:cs="Times New Roman"/>
                <w:smallCaps w:val="0"/>
                <w:noProof/>
                <w:webHidden/>
              </w:rPr>
              <w:fldChar w:fldCharType="begin"/>
            </w:r>
            <w:r w:rsidR="00122D65" w:rsidRPr="00122D65">
              <w:rPr>
                <w:rFonts w:ascii="Times New Roman" w:hAnsi="Times New Roman" w:cs="Times New Roman"/>
                <w:smallCaps w:val="0"/>
                <w:noProof/>
                <w:webHidden/>
              </w:rPr>
              <w:instrText xml:space="preserve"> PAGEREF _Toc7502841 \h </w:instrText>
            </w:r>
            <w:r w:rsidR="00122D65" w:rsidRPr="00122D65">
              <w:rPr>
                <w:rFonts w:ascii="Times New Roman" w:hAnsi="Times New Roman" w:cs="Times New Roman"/>
                <w:smallCaps w:val="0"/>
                <w:noProof/>
                <w:webHidden/>
              </w:rPr>
            </w:r>
            <w:r w:rsidR="00122D65" w:rsidRPr="00122D65">
              <w:rPr>
                <w:rFonts w:ascii="Times New Roman" w:hAnsi="Times New Roman" w:cs="Times New Roman"/>
                <w:smallCaps w:val="0"/>
                <w:noProof/>
                <w:webHidden/>
              </w:rPr>
              <w:fldChar w:fldCharType="separate"/>
            </w:r>
            <w:r w:rsidR="00122D65" w:rsidRPr="00122D65">
              <w:rPr>
                <w:rFonts w:ascii="Times New Roman" w:hAnsi="Times New Roman" w:cs="Times New Roman"/>
                <w:smallCaps w:val="0"/>
                <w:noProof/>
                <w:webHidden/>
              </w:rPr>
              <w:t>80</w:t>
            </w:r>
            <w:r w:rsidR="00122D65" w:rsidRPr="00122D65">
              <w:rPr>
                <w:rFonts w:ascii="Times New Roman" w:hAnsi="Times New Roman" w:cs="Times New Roman"/>
                <w:smallCaps w:val="0"/>
                <w:noProof/>
                <w:webHidden/>
              </w:rPr>
              <w:fldChar w:fldCharType="end"/>
            </w:r>
          </w:hyperlink>
        </w:p>
        <w:p w14:paraId="4AE48485" w14:textId="77777777" w:rsidR="00122D65" w:rsidRPr="00122D65" w:rsidRDefault="00DD0108">
          <w:pPr>
            <w:pStyle w:val="Obsah3"/>
            <w:tabs>
              <w:tab w:val="left" w:pos="666"/>
              <w:tab w:val="right" w:pos="8493"/>
            </w:tabs>
            <w:rPr>
              <w:rFonts w:ascii="Times New Roman" w:eastAsiaTheme="minorEastAsia" w:hAnsi="Times New Roman" w:cs="Times New Roman"/>
              <w:smallCaps w:val="0"/>
              <w:noProof/>
              <w:lang w:eastAsia="sk-SK"/>
            </w:rPr>
          </w:pPr>
          <w:hyperlink w:anchor="_Toc7502842" w:history="1">
            <w:r w:rsidR="00122D65" w:rsidRPr="00122D65">
              <w:rPr>
                <w:rStyle w:val="Hypertextovprepojenie"/>
                <w:rFonts w:ascii="Times New Roman" w:hAnsi="Times New Roman" w:cs="Times New Roman"/>
                <w:smallCaps w:val="0"/>
                <w:noProof/>
              </w:rPr>
              <w:t>3.2.5</w:t>
            </w:r>
            <w:r w:rsidR="00122D65" w:rsidRPr="00122D65">
              <w:rPr>
                <w:rFonts w:ascii="Times New Roman" w:eastAsiaTheme="minorEastAsia" w:hAnsi="Times New Roman" w:cs="Times New Roman"/>
                <w:smallCaps w:val="0"/>
                <w:noProof/>
                <w:lang w:eastAsia="sk-SK"/>
              </w:rPr>
              <w:tab/>
            </w:r>
            <w:r w:rsidR="00122D65" w:rsidRPr="00122D65">
              <w:rPr>
                <w:rStyle w:val="Hypertextovprepojenie"/>
                <w:rFonts w:ascii="Times New Roman" w:hAnsi="Times New Roman" w:cs="Times New Roman"/>
                <w:smallCaps w:val="0"/>
                <w:noProof/>
              </w:rPr>
              <w:t>Čerpanie rezerv štátneho rozpočtu</w:t>
            </w:r>
            <w:r w:rsidR="00122D65" w:rsidRPr="00122D65">
              <w:rPr>
                <w:rFonts w:ascii="Times New Roman" w:hAnsi="Times New Roman" w:cs="Times New Roman"/>
                <w:smallCaps w:val="0"/>
                <w:noProof/>
                <w:webHidden/>
              </w:rPr>
              <w:tab/>
            </w:r>
            <w:r w:rsidR="00122D65" w:rsidRPr="00122D65">
              <w:rPr>
                <w:rFonts w:ascii="Times New Roman" w:hAnsi="Times New Roman" w:cs="Times New Roman"/>
                <w:smallCaps w:val="0"/>
                <w:noProof/>
                <w:webHidden/>
              </w:rPr>
              <w:fldChar w:fldCharType="begin"/>
            </w:r>
            <w:r w:rsidR="00122D65" w:rsidRPr="00122D65">
              <w:rPr>
                <w:rFonts w:ascii="Times New Roman" w:hAnsi="Times New Roman" w:cs="Times New Roman"/>
                <w:smallCaps w:val="0"/>
                <w:noProof/>
                <w:webHidden/>
              </w:rPr>
              <w:instrText xml:space="preserve"> PAGEREF _Toc7502842 \h </w:instrText>
            </w:r>
            <w:r w:rsidR="00122D65" w:rsidRPr="00122D65">
              <w:rPr>
                <w:rFonts w:ascii="Times New Roman" w:hAnsi="Times New Roman" w:cs="Times New Roman"/>
                <w:smallCaps w:val="0"/>
                <w:noProof/>
                <w:webHidden/>
              </w:rPr>
            </w:r>
            <w:r w:rsidR="00122D65" w:rsidRPr="00122D65">
              <w:rPr>
                <w:rFonts w:ascii="Times New Roman" w:hAnsi="Times New Roman" w:cs="Times New Roman"/>
                <w:smallCaps w:val="0"/>
                <w:noProof/>
                <w:webHidden/>
              </w:rPr>
              <w:fldChar w:fldCharType="separate"/>
            </w:r>
            <w:r w:rsidR="00122D65" w:rsidRPr="00122D65">
              <w:rPr>
                <w:rFonts w:ascii="Times New Roman" w:hAnsi="Times New Roman" w:cs="Times New Roman"/>
                <w:smallCaps w:val="0"/>
                <w:noProof/>
                <w:webHidden/>
              </w:rPr>
              <w:t>83</w:t>
            </w:r>
            <w:r w:rsidR="00122D65" w:rsidRPr="00122D65">
              <w:rPr>
                <w:rFonts w:ascii="Times New Roman" w:hAnsi="Times New Roman" w:cs="Times New Roman"/>
                <w:smallCaps w:val="0"/>
                <w:noProof/>
                <w:webHidden/>
              </w:rPr>
              <w:fldChar w:fldCharType="end"/>
            </w:r>
          </w:hyperlink>
        </w:p>
        <w:p w14:paraId="3BBCB962" w14:textId="77777777" w:rsidR="00122D65" w:rsidRPr="00122D65" w:rsidRDefault="00DD0108">
          <w:pPr>
            <w:pStyle w:val="Obsah2"/>
            <w:rPr>
              <w:rFonts w:eastAsiaTheme="minorEastAsia" w:cs="Times New Roman"/>
              <w:b w:val="0"/>
              <w:bCs w:val="0"/>
              <w:sz w:val="22"/>
              <w:lang w:eastAsia="sk-SK"/>
            </w:rPr>
          </w:pPr>
          <w:hyperlink w:anchor="_Toc7502843" w:history="1">
            <w:r w:rsidR="00122D65" w:rsidRPr="00122D65">
              <w:rPr>
                <w:rStyle w:val="Hypertextovprepojenie"/>
                <w:rFonts w:cs="Times New Roman"/>
                <w:sz w:val="22"/>
              </w:rPr>
              <w:t>3.3</w:t>
            </w:r>
            <w:r w:rsidR="00122D65" w:rsidRPr="00122D65">
              <w:rPr>
                <w:rFonts w:eastAsiaTheme="minorEastAsia" w:cs="Times New Roman"/>
                <w:b w:val="0"/>
                <w:bCs w:val="0"/>
                <w:sz w:val="22"/>
                <w:lang w:eastAsia="sk-SK"/>
              </w:rPr>
              <w:tab/>
            </w:r>
            <w:r w:rsidR="00122D65" w:rsidRPr="00122D65">
              <w:rPr>
                <w:rStyle w:val="Hypertextovprepojenie"/>
                <w:rFonts w:cs="Times New Roman"/>
                <w:sz w:val="22"/>
              </w:rPr>
              <w:t>Štátne finančné aktíva</w:t>
            </w:r>
            <w:r w:rsidR="00122D65" w:rsidRPr="00122D65">
              <w:rPr>
                <w:rFonts w:cs="Times New Roman"/>
                <w:webHidden/>
                <w:sz w:val="22"/>
              </w:rPr>
              <w:tab/>
            </w:r>
            <w:r w:rsidR="00122D65" w:rsidRPr="00122D65">
              <w:rPr>
                <w:rFonts w:cs="Times New Roman"/>
                <w:webHidden/>
                <w:sz w:val="22"/>
              </w:rPr>
              <w:fldChar w:fldCharType="begin"/>
            </w:r>
            <w:r w:rsidR="00122D65" w:rsidRPr="00122D65">
              <w:rPr>
                <w:rFonts w:cs="Times New Roman"/>
                <w:webHidden/>
                <w:sz w:val="22"/>
              </w:rPr>
              <w:instrText xml:space="preserve"> PAGEREF _Toc7502843 \h </w:instrText>
            </w:r>
            <w:r w:rsidR="00122D65" w:rsidRPr="00122D65">
              <w:rPr>
                <w:rFonts w:cs="Times New Roman"/>
                <w:webHidden/>
                <w:sz w:val="22"/>
              </w:rPr>
            </w:r>
            <w:r w:rsidR="00122D65" w:rsidRPr="00122D65">
              <w:rPr>
                <w:rFonts w:cs="Times New Roman"/>
                <w:webHidden/>
                <w:sz w:val="22"/>
              </w:rPr>
              <w:fldChar w:fldCharType="separate"/>
            </w:r>
            <w:r w:rsidR="00122D65" w:rsidRPr="00122D65">
              <w:rPr>
                <w:rFonts w:cs="Times New Roman"/>
                <w:webHidden/>
                <w:sz w:val="22"/>
              </w:rPr>
              <w:t>85</w:t>
            </w:r>
            <w:r w:rsidR="00122D65" w:rsidRPr="00122D65">
              <w:rPr>
                <w:rFonts w:cs="Times New Roman"/>
                <w:webHidden/>
                <w:sz w:val="22"/>
              </w:rPr>
              <w:fldChar w:fldCharType="end"/>
            </w:r>
          </w:hyperlink>
        </w:p>
        <w:p w14:paraId="5220C0FD" w14:textId="77777777" w:rsidR="00122D65" w:rsidRPr="00122D65" w:rsidRDefault="00DD0108">
          <w:pPr>
            <w:pStyle w:val="Obsah2"/>
            <w:rPr>
              <w:rFonts w:eastAsiaTheme="minorEastAsia" w:cs="Times New Roman"/>
              <w:b w:val="0"/>
              <w:bCs w:val="0"/>
              <w:sz w:val="22"/>
              <w:lang w:eastAsia="sk-SK"/>
            </w:rPr>
          </w:pPr>
          <w:hyperlink w:anchor="_Toc7502844" w:history="1">
            <w:r w:rsidR="00122D65" w:rsidRPr="00122D65">
              <w:rPr>
                <w:rStyle w:val="Hypertextovprepojenie"/>
                <w:rFonts w:cs="Times New Roman"/>
                <w:sz w:val="22"/>
              </w:rPr>
              <w:t>3.4</w:t>
            </w:r>
            <w:r w:rsidR="00122D65" w:rsidRPr="00122D65">
              <w:rPr>
                <w:rFonts w:eastAsiaTheme="minorEastAsia" w:cs="Times New Roman"/>
                <w:b w:val="0"/>
                <w:bCs w:val="0"/>
                <w:sz w:val="22"/>
                <w:lang w:eastAsia="sk-SK"/>
              </w:rPr>
              <w:tab/>
            </w:r>
            <w:r w:rsidR="00122D65" w:rsidRPr="00122D65">
              <w:rPr>
                <w:rStyle w:val="Hypertextovprepojenie"/>
                <w:rFonts w:cs="Times New Roman"/>
                <w:sz w:val="22"/>
              </w:rPr>
              <w:t>Vzťahy štátneho rozpočtu k Európskej únii</w:t>
            </w:r>
            <w:r w:rsidR="00122D65" w:rsidRPr="00122D65">
              <w:rPr>
                <w:rFonts w:cs="Times New Roman"/>
                <w:webHidden/>
                <w:sz w:val="22"/>
              </w:rPr>
              <w:tab/>
            </w:r>
            <w:r w:rsidR="00122D65" w:rsidRPr="00122D65">
              <w:rPr>
                <w:rFonts w:cs="Times New Roman"/>
                <w:webHidden/>
                <w:sz w:val="22"/>
              </w:rPr>
              <w:fldChar w:fldCharType="begin"/>
            </w:r>
            <w:r w:rsidR="00122D65" w:rsidRPr="00122D65">
              <w:rPr>
                <w:rFonts w:cs="Times New Roman"/>
                <w:webHidden/>
                <w:sz w:val="22"/>
              </w:rPr>
              <w:instrText xml:space="preserve"> PAGEREF _Toc7502844 \h </w:instrText>
            </w:r>
            <w:r w:rsidR="00122D65" w:rsidRPr="00122D65">
              <w:rPr>
                <w:rFonts w:cs="Times New Roman"/>
                <w:webHidden/>
                <w:sz w:val="22"/>
              </w:rPr>
            </w:r>
            <w:r w:rsidR="00122D65" w:rsidRPr="00122D65">
              <w:rPr>
                <w:rFonts w:cs="Times New Roman"/>
                <w:webHidden/>
                <w:sz w:val="22"/>
              </w:rPr>
              <w:fldChar w:fldCharType="separate"/>
            </w:r>
            <w:r w:rsidR="00122D65" w:rsidRPr="00122D65">
              <w:rPr>
                <w:rFonts w:cs="Times New Roman"/>
                <w:webHidden/>
                <w:sz w:val="22"/>
              </w:rPr>
              <w:t>89</w:t>
            </w:r>
            <w:r w:rsidR="00122D65" w:rsidRPr="00122D65">
              <w:rPr>
                <w:rFonts w:cs="Times New Roman"/>
                <w:webHidden/>
                <w:sz w:val="22"/>
              </w:rPr>
              <w:fldChar w:fldCharType="end"/>
            </w:r>
          </w:hyperlink>
        </w:p>
        <w:p w14:paraId="4D988253" w14:textId="77777777" w:rsidR="00122D65" w:rsidRPr="00122D65" w:rsidRDefault="00DD0108">
          <w:pPr>
            <w:pStyle w:val="Obsah3"/>
            <w:tabs>
              <w:tab w:val="left" w:pos="666"/>
              <w:tab w:val="right" w:pos="8493"/>
            </w:tabs>
            <w:rPr>
              <w:rFonts w:ascii="Times New Roman" w:eastAsiaTheme="minorEastAsia" w:hAnsi="Times New Roman" w:cs="Times New Roman"/>
              <w:smallCaps w:val="0"/>
              <w:noProof/>
              <w:lang w:eastAsia="sk-SK"/>
            </w:rPr>
          </w:pPr>
          <w:hyperlink w:anchor="_Toc7502845" w:history="1">
            <w:r w:rsidR="00122D65" w:rsidRPr="00122D65">
              <w:rPr>
                <w:rStyle w:val="Hypertextovprepojenie"/>
                <w:rFonts w:ascii="Times New Roman" w:hAnsi="Times New Roman" w:cs="Times New Roman"/>
                <w:smallCaps w:val="0"/>
                <w:noProof/>
              </w:rPr>
              <w:t>3.4.1</w:t>
            </w:r>
            <w:r w:rsidR="00122D65" w:rsidRPr="00122D65">
              <w:rPr>
                <w:rFonts w:ascii="Times New Roman" w:eastAsiaTheme="minorEastAsia" w:hAnsi="Times New Roman" w:cs="Times New Roman"/>
                <w:smallCaps w:val="0"/>
                <w:noProof/>
                <w:lang w:eastAsia="sk-SK"/>
              </w:rPr>
              <w:tab/>
            </w:r>
            <w:r w:rsidR="00122D65" w:rsidRPr="00122D65">
              <w:rPr>
                <w:rStyle w:val="Hypertextovprepojenie"/>
                <w:rFonts w:ascii="Times New Roman" w:hAnsi="Times New Roman" w:cs="Times New Roman"/>
                <w:smallCaps w:val="0"/>
                <w:noProof/>
              </w:rPr>
              <w:t>Príjmy z rozpočtu Európskej únie</w:t>
            </w:r>
            <w:r w:rsidR="00122D65" w:rsidRPr="00122D65">
              <w:rPr>
                <w:rFonts w:ascii="Times New Roman" w:hAnsi="Times New Roman" w:cs="Times New Roman"/>
                <w:smallCaps w:val="0"/>
                <w:noProof/>
                <w:webHidden/>
              </w:rPr>
              <w:tab/>
            </w:r>
            <w:r w:rsidR="00122D65" w:rsidRPr="00122D65">
              <w:rPr>
                <w:rFonts w:ascii="Times New Roman" w:hAnsi="Times New Roman" w:cs="Times New Roman"/>
                <w:smallCaps w:val="0"/>
                <w:noProof/>
                <w:webHidden/>
              </w:rPr>
              <w:fldChar w:fldCharType="begin"/>
            </w:r>
            <w:r w:rsidR="00122D65" w:rsidRPr="00122D65">
              <w:rPr>
                <w:rFonts w:ascii="Times New Roman" w:hAnsi="Times New Roman" w:cs="Times New Roman"/>
                <w:smallCaps w:val="0"/>
                <w:noProof/>
                <w:webHidden/>
              </w:rPr>
              <w:instrText xml:space="preserve"> PAGEREF _Toc7502845 \h </w:instrText>
            </w:r>
            <w:r w:rsidR="00122D65" w:rsidRPr="00122D65">
              <w:rPr>
                <w:rFonts w:ascii="Times New Roman" w:hAnsi="Times New Roman" w:cs="Times New Roman"/>
                <w:smallCaps w:val="0"/>
                <w:noProof/>
                <w:webHidden/>
              </w:rPr>
            </w:r>
            <w:r w:rsidR="00122D65" w:rsidRPr="00122D65">
              <w:rPr>
                <w:rFonts w:ascii="Times New Roman" w:hAnsi="Times New Roman" w:cs="Times New Roman"/>
                <w:smallCaps w:val="0"/>
                <w:noProof/>
                <w:webHidden/>
              </w:rPr>
              <w:fldChar w:fldCharType="separate"/>
            </w:r>
            <w:r w:rsidR="00122D65" w:rsidRPr="00122D65">
              <w:rPr>
                <w:rFonts w:ascii="Times New Roman" w:hAnsi="Times New Roman" w:cs="Times New Roman"/>
                <w:smallCaps w:val="0"/>
                <w:noProof/>
                <w:webHidden/>
              </w:rPr>
              <w:t>91</w:t>
            </w:r>
            <w:r w:rsidR="00122D65" w:rsidRPr="00122D65">
              <w:rPr>
                <w:rFonts w:ascii="Times New Roman" w:hAnsi="Times New Roman" w:cs="Times New Roman"/>
                <w:smallCaps w:val="0"/>
                <w:noProof/>
                <w:webHidden/>
              </w:rPr>
              <w:fldChar w:fldCharType="end"/>
            </w:r>
          </w:hyperlink>
        </w:p>
        <w:p w14:paraId="6ECC90E0" w14:textId="77777777" w:rsidR="00122D65" w:rsidRPr="00122D65" w:rsidRDefault="00DD0108">
          <w:pPr>
            <w:pStyle w:val="Obsah3"/>
            <w:tabs>
              <w:tab w:val="left" w:pos="666"/>
              <w:tab w:val="right" w:pos="8493"/>
            </w:tabs>
            <w:rPr>
              <w:rFonts w:ascii="Times New Roman" w:eastAsiaTheme="minorEastAsia" w:hAnsi="Times New Roman" w:cs="Times New Roman"/>
              <w:smallCaps w:val="0"/>
              <w:noProof/>
              <w:lang w:eastAsia="sk-SK"/>
            </w:rPr>
          </w:pPr>
          <w:hyperlink w:anchor="_Toc7502846" w:history="1">
            <w:r w:rsidR="00122D65" w:rsidRPr="00122D65">
              <w:rPr>
                <w:rStyle w:val="Hypertextovprepojenie"/>
                <w:rFonts w:ascii="Times New Roman" w:hAnsi="Times New Roman" w:cs="Times New Roman"/>
                <w:smallCaps w:val="0"/>
                <w:noProof/>
              </w:rPr>
              <w:t>3.4.2</w:t>
            </w:r>
            <w:r w:rsidR="00122D65" w:rsidRPr="00122D65">
              <w:rPr>
                <w:rFonts w:ascii="Times New Roman" w:eastAsiaTheme="minorEastAsia" w:hAnsi="Times New Roman" w:cs="Times New Roman"/>
                <w:smallCaps w:val="0"/>
                <w:noProof/>
                <w:lang w:eastAsia="sk-SK"/>
              </w:rPr>
              <w:tab/>
            </w:r>
            <w:r w:rsidR="00122D65" w:rsidRPr="00122D65">
              <w:rPr>
                <w:rStyle w:val="Hypertextovprepojenie"/>
                <w:rFonts w:ascii="Times New Roman" w:hAnsi="Times New Roman" w:cs="Times New Roman"/>
                <w:smallCaps w:val="0"/>
                <w:noProof/>
              </w:rPr>
              <w:t>Výdavky štátneho rozpočtu rozpočtované vo väzbe na príjmy z Európskej únie</w:t>
            </w:r>
            <w:r w:rsidR="00122D65" w:rsidRPr="00122D65">
              <w:rPr>
                <w:rFonts w:ascii="Times New Roman" w:hAnsi="Times New Roman" w:cs="Times New Roman"/>
                <w:smallCaps w:val="0"/>
                <w:noProof/>
                <w:webHidden/>
              </w:rPr>
              <w:tab/>
            </w:r>
            <w:r w:rsidR="00122D65" w:rsidRPr="00122D65">
              <w:rPr>
                <w:rFonts w:ascii="Times New Roman" w:hAnsi="Times New Roman" w:cs="Times New Roman"/>
                <w:smallCaps w:val="0"/>
                <w:noProof/>
                <w:webHidden/>
              </w:rPr>
              <w:fldChar w:fldCharType="begin"/>
            </w:r>
            <w:r w:rsidR="00122D65" w:rsidRPr="00122D65">
              <w:rPr>
                <w:rFonts w:ascii="Times New Roman" w:hAnsi="Times New Roman" w:cs="Times New Roman"/>
                <w:smallCaps w:val="0"/>
                <w:noProof/>
                <w:webHidden/>
              </w:rPr>
              <w:instrText xml:space="preserve"> PAGEREF _Toc7502846 \h </w:instrText>
            </w:r>
            <w:r w:rsidR="00122D65" w:rsidRPr="00122D65">
              <w:rPr>
                <w:rFonts w:ascii="Times New Roman" w:hAnsi="Times New Roman" w:cs="Times New Roman"/>
                <w:smallCaps w:val="0"/>
                <w:noProof/>
                <w:webHidden/>
              </w:rPr>
            </w:r>
            <w:r w:rsidR="00122D65" w:rsidRPr="00122D65">
              <w:rPr>
                <w:rFonts w:ascii="Times New Roman" w:hAnsi="Times New Roman" w:cs="Times New Roman"/>
                <w:smallCaps w:val="0"/>
                <w:noProof/>
                <w:webHidden/>
              </w:rPr>
              <w:fldChar w:fldCharType="separate"/>
            </w:r>
            <w:r w:rsidR="00122D65" w:rsidRPr="00122D65">
              <w:rPr>
                <w:rFonts w:ascii="Times New Roman" w:hAnsi="Times New Roman" w:cs="Times New Roman"/>
                <w:smallCaps w:val="0"/>
                <w:noProof/>
                <w:webHidden/>
              </w:rPr>
              <w:t>92</w:t>
            </w:r>
            <w:r w:rsidR="00122D65" w:rsidRPr="00122D65">
              <w:rPr>
                <w:rFonts w:ascii="Times New Roman" w:hAnsi="Times New Roman" w:cs="Times New Roman"/>
                <w:smallCaps w:val="0"/>
                <w:noProof/>
                <w:webHidden/>
              </w:rPr>
              <w:fldChar w:fldCharType="end"/>
            </w:r>
          </w:hyperlink>
        </w:p>
        <w:p w14:paraId="38DEE2B4" w14:textId="77777777" w:rsidR="00122D65" w:rsidRPr="00122D65" w:rsidRDefault="00DD0108">
          <w:pPr>
            <w:pStyle w:val="Obsah3"/>
            <w:tabs>
              <w:tab w:val="left" w:pos="666"/>
              <w:tab w:val="right" w:pos="8493"/>
            </w:tabs>
            <w:rPr>
              <w:rFonts w:ascii="Times New Roman" w:eastAsiaTheme="minorEastAsia" w:hAnsi="Times New Roman" w:cs="Times New Roman"/>
              <w:smallCaps w:val="0"/>
              <w:noProof/>
              <w:lang w:eastAsia="sk-SK"/>
            </w:rPr>
          </w:pPr>
          <w:hyperlink w:anchor="_Toc7502847" w:history="1">
            <w:r w:rsidR="00122D65" w:rsidRPr="00122D65">
              <w:rPr>
                <w:rStyle w:val="Hypertextovprepojenie"/>
                <w:rFonts w:ascii="Times New Roman" w:hAnsi="Times New Roman" w:cs="Times New Roman"/>
                <w:smallCaps w:val="0"/>
                <w:noProof/>
              </w:rPr>
              <w:t>3.4.3</w:t>
            </w:r>
            <w:r w:rsidR="00122D65" w:rsidRPr="00122D65">
              <w:rPr>
                <w:rFonts w:ascii="Times New Roman" w:eastAsiaTheme="minorEastAsia" w:hAnsi="Times New Roman" w:cs="Times New Roman"/>
                <w:smallCaps w:val="0"/>
                <w:noProof/>
                <w:lang w:eastAsia="sk-SK"/>
              </w:rPr>
              <w:tab/>
            </w:r>
            <w:r w:rsidR="00122D65" w:rsidRPr="00122D65">
              <w:rPr>
                <w:rStyle w:val="Hypertextovprepojenie"/>
                <w:rFonts w:ascii="Times New Roman" w:hAnsi="Times New Roman" w:cs="Times New Roman"/>
                <w:smallCaps w:val="0"/>
                <w:noProof/>
              </w:rPr>
              <w:t>Prostriedky poskytnuté SR používané prostredníctvom samostatných účtov</w:t>
            </w:r>
            <w:r w:rsidR="00122D65" w:rsidRPr="00122D65">
              <w:rPr>
                <w:rFonts w:ascii="Times New Roman" w:hAnsi="Times New Roman" w:cs="Times New Roman"/>
                <w:smallCaps w:val="0"/>
                <w:noProof/>
                <w:webHidden/>
              </w:rPr>
              <w:tab/>
            </w:r>
            <w:r w:rsidR="00122D65" w:rsidRPr="00122D65">
              <w:rPr>
                <w:rFonts w:ascii="Times New Roman" w:hAnsi="Times New Roman" w:cs="Times New Roman"/>
                <w:smallCaps w:val="0"/>
                <w:noProof/>
                <w:webHidden/>
              </w:rPr>
              <w:fldChar w:fldCharType="begin"/>
            </w:r>
            <w:r w:rsidR="00122D65" w:rsidRPr="00122D65">
              <w:rPr>
                <w:rFonts w:ascii="Times New Roman" w:hAnsi="Times New Roman" w:cs="Times New Roman"/>
                <w:smallCaps w:val="0"/>
                <w:noProof/>
                <w:webHidden/>
              </w:rPr>
              <w:instrText xml:space="preserve"> PAGEREF _Toc7502847 \h </w:instrText>
            </w:r>
            <w:r w:rsidR="00122D65" w:rsidRPr="00122D65">
              <w:rPr>
                <w:rFonts w:ascii="Times New Roman" w:hAnsi="Times New Roman" w:cs="Times New Roman"/>
                <w:smallCaps w:val="0"/>
                <w:noProof/>
                <w:webHidden/>
              </w:rPr>
            </w:r>
            <w:r w:rsidR="00122D65" w:rsidRPr="00122D65">
              <w:rPr>
                <w:rFonts w:ascii="Times New Roman" w:hAnsi="Times New Roman" w:cs="Times New Roman"/>
                <w:smallCaps w:val="0"/>
                <w:noProof/>
                <w:webHidden/>
              </w:rPr>
              <w:fldChar w:fldCharType="separate"/>
            </w:r>
            <w:r w:rsidR="00122D65" w:rsidRPr="00122D65">
              <w:rPr>
                <w:rFonts w:ascii="Times New Roman" w:hAnsi="Times New Roman" w:cs="Times New Roman"/>
                <w:smallCaps w:val="0"/>
                <w:noProof/>
                <w:webHidden/>
              </w:rPr>
              <w:t>97</w:t>
            </w:r>
            <w:r w:rsidR="00122D65" w:rsidRPr="00122D65">
              <w:rPr>
                <w:rFonts w:ascii="Times New Roman" w:hAnsi="Times New Roman" w:cs="Times New Roman"/>
                <w:smallCaps w:val="0"/>
                <w:noProof/>
                <w:webHidden/>
              </w:rPr>
              <w:fldChar w:fldCharType="end"/>
            </w:r>
          </w:hyperlink>
        </w:p>
        <w:p w14:paraId="59ABDAA5" w14:textId="77777777" w:rsidR="00122D65" w:rsidRPr="00122D65" w:rsidRDefault="00DD0108">
          <w:pPr>
            <w:pStyle w:val="Obsah3"/>
            <w:tabs>
              <w:tab w:val="left" w:pos="666"/>
              <w:tab w:val="right" w:pos="8493"/>
            </w:tabs>
            <w:rPr>
              <w:rFonts w:ascii="Times New Roman" w:eastAsiaTheme="minorEastAsia" w:hAnsi="Times New Roman" w:cs="Times New Roman"/>
              <w:smallCaps w:val="0"/>
              <w:noProof/>
              <w:lang w:eastAsia="sk-SK"/>
            </w:rPr>
          </w:pPr>
          <w:hyperlink w:anchor="_Toc7502848" w:history="1">
            <w:r w:rsidR="00122D65" w:rsidRPr="00122D65">
              <w:rPr>
                <w:rStyle w:val="Hypertextovprepojenie"/>
                <w:rFonts w:ascii="Times New Roman" w:hAnsi="Times New Roman" w:cs="Times New Roman"/>
                <w:smallCaps w:val="0"/>
                <w:noProof/>
              </w:rPr>
              <w:t>3.4.4</w:t>
            </w:r>
            <w:r w:rsidR="00122D65" w:rsidRPr="00122D65">
              <w:rPr>
                <w:rFonts w:ascii="Times New Roman" w:eastAsiaTheme="minorEastAsia" w:hAnsi="Times New Roman" w:cs="Times New Roman"/>
                <w:smallCaps w:val="0"/>
                <w:noProof/>
                <w:lang w:eastAsia="sk-SK"/>
              </w:rPr>
              <w:tab/>
            </w:r>
            <w:r w:rsidR="00122D65" w:rsidRPr="00122D65">
              <w:rPr>
                <w:rStyle w:val="Hypertextovprepojenie"/>
                <w:rFonts w:ascii="Times New Roman" w:hAnsi="Times New Roman" w:cs="Times New Roman"/>
                <w:smallCaps w:val="0"/>
                <w:noProof/>
              </w:rPr>
              <w:t>Zhrnutie čerpania záväzkov programových období po vstupe SR do EÚ</w:t>
            </w:r>
            <w:r w:rsidR="00122D65" w:rsidRPr="00122D65">
              <w:rPr>
                <w:rFonts w:ascii="Times New Roman" w:hAnsi="Times New Roman" w:cs="Times New Roman"/>
                <w:smallCaps w:val="0"/>
                <w:noProof/>
                <w:webHidden/>
              </w:rPr>
              <w:tab/>
            </w:r>
            <w:r w:rsidR="00122D65" w:rsidRPr="00122D65">
              <w:rPr>
                <w:rFonts w:ascii="Times New Roman" w:hAnsi="Times New Roman" w:cs="Times New Roman"/>
                <w:smallCaps w:val="0"/>
                <w:noProof/>
                <w:webHidden/>
              </w:rPr>
              <w:fldChar w:fldCharType="begin"/>
            </w:r>
            <w:r w:rsidR="00122D65" w:rsidRPr="00122D65">
              <w:rPr>
                <w:rFonts w:ascii="Times New Roman" w:hAnsi="Times New Roman" w:cs="Times New Roman"/>
                <w:smallCaps w:val="0"/>
                <w:noProof/>
                <w:webHidden/>
              </w:rPr>
              <w:instrText xml:space="preserve"> PAGEREF _Toc7502848 \h </w:instrText>
            </w:r>
            <w:r w:rsidR="00122D65" w:rsidRPr="00122D65">
              <w:rPr>
                <w:rFonts w:ascii="Times New Roman" w:hAnsi="Times New Roman" w:cs="Times New Roman"/>
                <w:smallCaps w:val="0"/>
                <w:noProof/>
                <w:webHidden/>
              </w:rPr>
            </w:r>
            <w:r w:rsidR="00122D65" w:rsidRPr="00122D65">
              <w:rPr>
                <w:rFonts w:ascii="Times New Roman" w:hAnsi="Times New Roman" w:cs="Times New Roman"/>
                <w:smallCaps w:val="0"/>
                <w:noProof/>
                <w:webHidden/>
              </w:rPr>
              <w:fldChar w:fldCharType="separate"/>
            </w:r>
            <w:r w:rsidR="00122D65" w:rsidRPr="00122D65">
              <w:rPr>
                <w:rFonts w:ascii="Times New Roman" w:hAnsi="Times New Roman" w:cs="Times New Roman"/>
                <w:smallCaps w:val="0"/>
                <w:noProof/>
                <w:webHidden/>
              </w:rPr>
              <w:t>97</w:t>
            </w:r>
            <w:r w:rsidR="00122D65" w:rsidRPr="00122D65">
              <w:rPr>
                <w:rFonts w:ascii="Times New Roman" w:hAnsi="Times New Roman" w:cs="Times New Roman"/>
                <w:smallCaps w:val="0"/>
                <w:noProof/>
                <w:webHidden/>
              </w:rPr>
              <w:fldChar w:fldCharType="end"/>
            </w:r>
          </w:hyperlink>
        </w:p>
        <w:p w14:paraId="30EFE22E" w14:textId="77777777" w:rsidR="00122D65" w:rsidRPr="00122D65" w:rsidRDefault="00DD0108">
          <w:pPr>
            <w:pStyle w:val="Obsah1"/>
            <w:rPr>
              <w:rFonts w:eastAsiaTheme="minorEastAsia" w:cs="Times New Roman"/>
              <w:b w:val="0"/>
              <w:bCs w:val="0"/>
              <w:sz w:val="22"/>
              <w:lang w:eastAsia="sk-SK"/>
            </w:rPr>
          </w:pPr>
          <w:hyperlink w:anchor="_Toc7502849" w:history="1">
            <w:r w:rsidR="00122D65" w:rsidRPr="00122D65">
              <w:rPr>
                <w:rStyle w:val="Hypertextovprepojenie"/>
                <w:rFonts w:cs="Times New Roman"/>
                <w:sz w:val="22"/>
              </w:rPr>
              <w:t>Tabuľková príloha</w:t>
            </w:r>
            <w:r w:rsidR="00122D65" w:rsidRPr="00122D65">
              <w:rPr>
                <w:rFonts w:cs="Times New Roman"/>
                <w:webHidden/>
                <w:sz w:val="22"/>
              </w:rPr>
              <w:tab/>
            </w:r>
            <w:r w:rsidR="00122D65" w:rsidRPr="00122D65">
              <w:rPr>
                <w:rFonts w:cs="Times New Roman"/>
                <w:webHidden/>
                <w:sz w:val="22"/>
              </w:rPr>
              <w:fldChar w:fldCharType="begin"/>
            </w:r>
            <w:r w:rsidR="00122D65" w:rsidRPr="00122D65">
              <w:rPr>
                <w:rFonts w:cs="Times New Roman"/>
                <w:webHidden/>
                <w:sz w:val="22"/>
              </w:rPr>
              <w:instrText xml:space="preserve"> PAGEREF _Toc7502849 \h </w:instrText>
            </w:r>
            <w:r w:rsidR="00122D65" w:rsidRPr="00122D65">
              <w:rPr>
                <w:rFonts w:cs="Times New Roman"/>
                <w:webHidden/>
                <w:sz w:val="22"/>
              </w:rPr>
            </w:r>
            <w:r w:rsidR="00122D65" w:rsidRPr="00122D65">
              <w:rPr>
                <w:rFonts w:cs="Times New Roman"/>
                <w:webHidden/>
                <w:sz w:val="22"/>
              </w:rPr>
              <w:fldChar w:fldCharType="separate"/>
            </w:r>
            <w:r w:rsidR="00122D65" w:rsidRPr="00122D65">
              <w:rPr>
                <w:rFonts w:cs="Times New Roman"/>
                <w:webHidden/>
                <w:sz w:val="22"/>
              </w:rPr>
              <w:t>99</w:t>
            </w:r>
            <w:r w:rsidR="00122D65" w:rsidRPr="00122D65">
              <w:rPr>
                <w:rFonts w:cs="Times New Roman"/>
                <w:webHidden/>
                <w:sz w:val="22"/>
              </w:rPr>
              <w:fldChar w:fldCharType="end"/>
            </w:r>
          </w:hyperlink>
        </w:p>
        <w:p w14:paraId="00AA119E" w14:textId="165D8D0C" w:rsidR="008A0537" w:rsidRDefault="008A0537">
          <w:r w:rsidRPr="00122D65">
            <w:rPr>
              <w:rFonts w:cs="Times New Roman"/>
              <w:b/>
              <w:bCs/>
            </w:rPr>
            <w:fldChar w:fldCharType="end"/>
          </w:r>
        </w:p>
      </w:sdtContent>
    </w:sdt>
    <w:p w14:paraId="325150F2" w14:textId="77777777" w:rsidR="008A0537" w:rsidRPr="008A0537" w:rsidRDefault="008A0537" w:rsidP="008A0537"/>
    <w:p w14:paraId="3B5007C5" w14:textId="2D5B477D" w:rsidR="007D65C4" w:rsidRDefault="007D65C4" w:rsidP="00ED135D">
      <w:pPr>
        <w:pStyle w:val="Nadpis1"/>
        <w:numPr>
          <w:ilvl w:val="0"/>
          <w:numId w:val="0"/>
        </w:numPr>
        <w:sectPr w:rsidR="007D65C4" w:rsidSect="00DC3EBD">
          <w:footerReference w:type="even" r:id="rId8"/>
          <w:footerReference w:type="default" r:id="rId9"/>
          <w:pgSz w:w="11906" w:h="16838"/>
          <w:pgMar w:top="1418" w:right="1418" w:bottom="1418" w:left="1418" w:header="709" w:footer="709" w:gutter="567"/>
          <w:cols w:space="708"/>
          <w:docGrid w:linePitch="360"/>
        </w:sectPr>
      </w:pPr>
    </w:p>
    <w:p w14:paraId="0846F6C6" w14:textId="77777777" w:rsidR="00943D69" w:rsidRDefault="005F5B88" w:rsidP="00ED135D">
      <w:pPr>
        <w:pStyle w:val="Nadpis1"/>
        <w:numPr>
          <w:ilvl w:val="0"/>
          <w:numId w:val="0"/>
        </w:numPr>
      </w:pPr>
      <w:bookmarkStart w:id="0" w:name="_Toc6415625"/>
      <w:bookmarkStart w:id="1" w:name="_Toc7502817"/>
      <w:r>
        <w:lastRenderedPageBreak/>
        <w:t>Zhrnutie</w:t>
      </w:r>
      <w:bookmarkEnd w:id="0"/>
      <w:bookmarkEnd w:id="1"/>
      <w:r>
        <w:t xml:space="preserve"> </w:t>
      </w:r>
    </w:p>
    <w:p w14:paraId="6CF767D7" w14:textId="3492609B" w:rsidR="00762324" w:rsidRPr="00A265D6" w:rsidRDefault="00762324" w:rsidP="00762324">
      <w:pPr>
        <w:numPr>
          <w:ilvl w:val="0"/>
          <w:numId w:val="28"/>
        </w:numPr>
        <w:ind w:right="-286"/>
      </w:pPr>
      <w:r w:rsidRPr="00C93493">
        <w:rPr>
          <w:b/>
        </w:rPr>
        <w:t>Schodok verejnej správy</w:t>
      </w:r>
      <w:r w:rsidRPr="00C93493">
        <w:t xml:space="preserve"> </w:t>
      </w:r>
      <w:r w:rsidR="00B77CE8">
        <w:t xml:space="preserve">v roku 2018 </w:t>
      </w:r>
      <w:r w:rsidRPr="00C93493">
        <w:t xml:space="preserve">podľa metodiky ESA 2010 </w:t>
      </w:r>
      <w:r w:rsidR="00DC2482">
        <w:t xml:space="preserve">na základe predbežných výsledkov </w:t>
      </w:r>
      <w:r w:rsidRPr="00A265D6">
        <w:rPr>
          <w:b/>
        </w:rPr>
        <w:t>dosiahol hodnotu</w:t>
      </w:r>
      <w:r w:rsidR="00DC2482" w:rsidRPr="00A265D6">
        <w:rPr>
          <w:b/>
        </w:rPr>
        <w:t xml:space="preserve"> </w:t>
      </w:r>
      <w:r w:rsidR="00DC2482" w:rsidRPr="00A265D6">
        <w:rPr>
          <w:rFonts w:eastAsia="Times New Roman" w:cs="Times New Roman"/>
          <w:b/>
          <w:bCs/>
          <w:lang w:eastAsia="sk-SK"/>
        </w:rPr>
        <w:t>629</w:t>
      </w:r>
      <w:r w:rsidR="001F2757" w:rsidRPr="00A265D6">
        <w:rPr>
          <w:rFonts w:eastAsia="Times New Roman" w:cs="Times New Roman"/>
          <w:b/>
          <w:bCs/>
          <w:lang w:eastAsia="sk-SK"/>
        </w:rPr>
        <w:t> </w:t>
      </w:r>
      <w:r w:rsidR="00DC2482" w:rsidRPr="00A265D6">
        <w:rPr>
          <w:rFonts w:eastAsia="Times New Roman" w:cs="Times New Roman"/>
          <w:b/>
          <w:bCs/>
          <w:lang w:eastAsia="sk-SK"/>
        </w:rPr>
        <w:t>457</w:t>
      </w:r>
      <w:r w:rsidRPr="00A265D6">
        <w:rPr>
          <w:b/>
        </w:rPr>
        <w:t> tis. eur a</w:t>
      </w:r>
      <w:r w:rsidR="001F2757" w:rsidRPr="00A265D6">
        <w:rPr>
          <w:b/>
        </w:rPr>
        <w:t xml:space="preserve"> </w:t>
      </w:r>
      <w:r w:rsidRPr="00A265D6">
        <w:rPr>
          <w:b/>
        </w:rPr>
        <w:t>v pomere k</w:t>
      </w:r>
      <w:r w:rsidR="00A7238A" w:rsidRPr="00A265D6">
        <w:rPr>
          <w:b/>
        </w:rPr>
        <w:t xml:space="preserve"> predbežne vyčíslenému </w:t>
      </w:r>
      <w:r w:rsidRPr="00A265D6">
        <w:rPr>
          <w:b/>
        </w:rPr>
        <w:t xml:space="preserve">HDP </w:t>
      </w:r>
      <w:r w:rsidR="00A7238A" w:rsidRPr="00A265D6">
        <w:rPr>
          <w:b/>
        </w:rPr>
        <w:t xml:space="preserve">vo výške </w:t>
      </w:r>
      <w:r w:rsidR="00A7238A" w:rsidRPr="00A265D6">
        <w:rPr>
          <w:rFonts w:eastAsia="Times New Roman" w:cs="Times New Roman"/>
          <w:b/>
          <w:color w:val="000000"/>
          <w:lang w:eastAsia="sk-SK"/>
        </w:rPr>
        <w:t>90 201 788</w:t>
      </w:r>
      <w:r w:rsidR="00A7238A" w:rsidRPr="00A265D6">
        <w:rPr>
          <w:rFonts w:eastAsia="Times New Roman" w:cs="Times New Roman"/>
          <w:color w:val="000000"/>
          <w:lang w:eastAsia="sk-SK"/>
        </w:rPr>
        <w:t xml:space="preserve"> </w:t>
      </w:r>
      <w:r w:rsidR="00513B89" w:rsidRPr="00A265D6">
        <w:rPr>
          <w:rFonts w:eastAsia="Times New Roman" w:cs="Times New Roman"/>
          <w:color w:val="000000"/>
          <w:lang w:eastAsia="sk-SK"/>
        </w:rPr>
        <w:t xml:space="preserve">tis. eur </w:t>
      </w:r>
      <w:r w:rsidR="00B77CE8" w:rsidRPr="00A265D6">
        <w:rPr>
          <w:rFonts w:eastAsia="Times New Roman" w:cs="Times New Roman"/>
          <w:color w:val="000000"/>
          <w:lang w:eastAsia="sk-SK"/>
        </w:rPr>
        <w:t xml:space="preserve">ide </w:t>
      </w:r>
      <w:r w:rsidR="00EC2583" w:rsidRPr="00A265D6">
        <w:rPr>
          <w:rFonts w:eastAsia="Times New Roman" w:cs="Times New Roman"/>
          <w:color w:val="000000"/>
          <w:lang w:eastAsia="sk-SK"/>
        </w:rPr>
        <w:t>o</w:t>
      </w:r>
      <w:r w:rsidR="00B77CE8" w:rsidRPr="00A265D6">
        <w:rPr>
          <w:rFonts w:eastAsia="Times New Roman" w:cs="Times New Roman"/>
          <w:color w:val="000000"/>
          <w:lang w:eastAsia="sk-SK"/>
        </w:rPr>
        <w:t> historicky najnižšiu úroveň</w:t>
      </w:r>
      <w:r w:rsidRPr="00A265D6">
        <w:rPr>
          <w:b/>
        </w:rPr>
        <w:t xml:space="preserve"> </w:t>
      </w:r>
      <w:r w:rsidR="00B56006" w:rsidRPr="00A265D6">
        <w:rPr>
          <w:b/>
        </w:rPr>
        <w:t>0,7</w:t>
      </w:r>
      <w:r w:rsidR="00A7238A" w:rsidRPr="00A265D6">
        <w:rPr>
          <w:b/>
        </w:rPr>
        <w:t>0</w:t>
      </w:r>
      <w:r w:rsidRPr="00A265D6">
        <w:rPr>
          <w:b/>
        </w:rPr>
        <w:t xml:space="preserve"> %. </w:t>
      </w:r>
      <w:r w:rsidR="00566F24" w:rsidRPr="00A265D6">
        <w:rPr>
          <w:b/>
        </w:rPr>
        <w:t>S</w:t>
      </w:r>
      <w:r w:rsidRPr="00A265D6">
        <w:t>chodok v pomere k HDP bol oproti rozpočtovanej hodnote na rok 2018 nižší o 0,</w:t>
      </w:r>
      <w:r w:rsidR="00B56006" w:rsidRPr="00A265D6">
        <w:t>1</w:t>
      </w:r>
      <w:r w:rsidR="00B77CE8" w:rsidRPr="00A265D6">
        <w:t>3</w:t>
      </w:r>
      <w:r w:rsidRPr="00A265D6">
        <w:t> p. b. a </w:t>
      </w:r>
      <w:r w:rsidRPr="00A265D6">
        <w:rPr>
          <w:b/>
        </w:rPr>
        <w:t xml:space="preserve">oproti výsledku za rok 2017 bol </w:t>
      </w:r>
      <w:r w:rsidR="00B56006" w:rsidRPr="00A265D6">
        <w:rPr>
          <w:b/>
        </w:rPr>
        <w:t>nižší</w:t>
      </w:r>
      <w:r w:rsidRPr="00A265D6">
        <w:rPr>
          <w:b/>
        </w:rPr>
        <w:t xml:space="preserve"> o</w:t>
      </w:r>
      <w:r w:rsidR="00B56006" w:rsidRPr="00A265D6">
        <w:rPr>
          <w:b/>
        </w:rPr>
        <w:t> 0,1</w:t>
      </w:r>
      <w:r w:rsidR="00B77CE8" w:rsidRPr="00A265D6">
        <w:rPr>
          <w:b/>
        </w:rPr>
        <w:t>0</w:t>
      </w:r>
      <w:r w:rsidRPr="00A265D6">
        <w:rPr>
          <w:b/>
        </w:rPr>
        <w:t xml:space="preserve"> p. b.</w:t>
      </w:r>
      <w:r w:rsidRPr="00A265D6">
        <w:t xml:space="preserve"> </w:t>
      </w:r>
    </w:p>
    <w:p w14:paraId="6A57A268" w14:textId="5F8DC76A" w:rsidR="00762324" w:rsidRPr="00A265D6" w:rsidRDefault="00762324" w:rsidP="00762324">
      <w:pPr>
        <w:numPr>
          <w:ilvl w:val="0"/>
          <w:numId w:val="28"/>
        </w:numPr>
        <w:ind w:right="-286"/>
      </w:pPr>
      <w:r w:rsidRPr="00A265D6">
        <w:t xml:space="preserve">Plnenie rozpočtu verejnej správy v roku 2018 bolo ovplyvnené viacerými faktormi. Na príjmy rozpočtu pozitívne vplýval rast ekonomiky SR, s tým súvisiaci rast zamestnanosti a lepší výber odvodov. V rámci ekonomiky SR medziročne </w:t>
      </w:r>
      <w:r w:rsidR="00B77CE8" w:rsidRPr="00A265D6">
        <w:t>vzniklo podobne ako pred rokom</w:t>
      </w:r>
      <w:r w:rsidR="00513B89" w:rsidRPr="00A265D6">
        <w:t>,</w:t>
      </w:r>
      <w:r w:rsidRPr="00A265D6">
        <w:t xml:space="preserve"> viac ako 50</w:t>
      </w:r>
      <w:r w:rsidR="00B77CE8" w:rsidRPr="00A265D6">
        <w:t> </w:t>
      </w:r>
      <w:r w:rsidRPr="00A265D6">
        <w:t>tis. nových pracovných miest (v roku 2017: 51 tis.), čo pozitívne ovplyvnilo nielen príjmy</w:t>
      </w:r>
      <w:r w:rsidR="000920F8" w:rsidRPr="00A265D6">
        <w:t>,</w:t>
      </w:r>
      <w:r w:rsidRPr="00A265D6">
        <w:t xml:space="preserve"> ale aj výdavky</w:t>
      </w:r>
      <w:r w:rsidR="00B77CE8" w:rsidRPr="00A265D6">
        <w:t xml:space="preserve"> verejnej správy. </w:t>
      </w:r>
      <w:r w:rsidR="00B77CE8" w:rsidRPr="00A265D6">
        <w:rPr>
          <w:b/>
          <w:bCs/>
          <w:color w:val="000000"/>
        </w:rPr>
        <w:t xml:space="preserve">Daňové a </w:t>
      </w:r>
      <w:r w:rsidRPr="00A265D6">
        <w:rPr>
          <w:b/>
          <w:bCs/>
          <w:color w:val="000000"/>
        </w:rPr>
        <w:t>odvodové príjmy verejnej správy za rok 2018</w:t>
      </w:r>
      <w:r w:rsidRPr="00A265D6">
        <w:rPr>
          <w:color w:val="000000"/>
        </w:rPr>
        <w:t xml:space="preserve"> boli oproti schválenému rozpočtu vyššie o</w:t>
      </w:r>
      <w:r w:rsidR="00EF411A" w:rsidRPr="00A265D6">
        <w:rPr>
          <w:color w:val="000000"/>
        </w:rPr>
        <w:t> 820 917</w:t>
      </w:r>
      <w:r w:rsidRPr="00A265D6">
        <w:rPr>
          <w:bCs/>
          <w:color w:val="000000"/>
        </w:rPr>
        <w:t> tis. eur.</w:t>
      </w:r>
      <w:r w:rsidRPr="00A265D6">
        <w:t xml:space="preserve"> Pozitívne sa skončilo hospodárenie Sociálnej poisťovne a oblasti verejného zdravotného poistenia, na ktoré mali vplyv najmä vývoj zamestnanosti a rast miezd. </w:t>
      </w:r>
    </w:p>
    <w:p w14:paraId="3EFE6100" w14:textId="52497131" w:rsidR="00762324" w:rsidRPr="00A265D6" w:rsidRDefault="00513B89" w:rsidP="00762324">
      <w:pPr>
        <w:numPr>
          <w:ilvl w:val="0"/>
          <w:numId w:val="28"/>
        </w:numPr>
        <w:ind w:right="-286"/>
      </w:pPr>
      <w:r w:rsidRPr="00A265D6">
        <w:rPr>
          <w:b/>
        </w:rPr>
        <w:t>Dlh verejnej správy poklesol už piaty rok v rade.</w:t>
      </w:r>
      <w:r w:rsidRPr="00A265D6">
        <w:t xml:space="preserve"> Podľa metodiky ESA 2010 </w:t>
      </w:r>
      <w:r w:rsidRPr="00A265D6">
        <w:rPr>
          <w:b/>
        </w:rPr>
        <w:t>dosiahol k 31.12.2018 výšku 44 144 502 tis. eur (48,9 % HDP) a v pomere k HDP sa oproti predchádzajúcemu roku 2017 znížil o 2,0 p. b.</w:t>
      </w:r>
      <w:r w:rsidRPr="00A265D6">
        <w:t xml:space="preserve"> </w:t>
      </w:r>
      <w:r w:rsidR="00762324" w:rsidRPr="00A265D6">
        <w:t>V rámci Európskej únie (28 krajín) v roku 201</w:t>
      </w:r>
      <w:r w:rsidR="00A56E80" w:rsidRPr="00A265D6">
        <w:t>8</w:t>
      </w:r>
      <w:r w:rsidR="00762324" w:rsidRPr="00A265D6">
        <w:t xml:space="preserve"> dosiahlo </w:t>
      </w:r>
      <w:r w:rsidR="00207768" w:rsidRPr="00A265D6">
        <w:t>9</w:t>
      </w:r>
      <w:r w:rsidR="00762324" w:rsidRPr="00A265D6">
        <w:t xml:space="preserve"> </w:t>
      </w:r>
      <w:r w:rsidR="00B77CE8" w:rsidRPr="00A265D6">
        <w:t xml:space="preserve">krajín vyšší schodok a </w:t>
      </w:r>
      <w:r w:rsidR="00207768" w:rsidRPr="00A265D6">
        <w:t>17</w:t>
      </w:r>
      <w:r w:rsidR="00762324" w:rsidRPr="00A265D6">
        <w:t xml:space="preserve"> krajín dosiahlo vyšší dlh verejnej správy ako Slovenská republika. Za rok 201</w:t>
      </w:r>
      <w:r w:rsidR="00A56E80" w:rsidRPr="00A265D6">
        <w:t>8</w:t>
      </w:r>
      <w:r w:rsidR="00762324" w:rsidRPr="00A265D6">
        <w:t xml:space="preserve"> bol </w:t>
      </w:r>
      <w:r w:rsidR="00762324" w:rsidRPr="00A265D6">
        <w:rPr>
          <w:b/>
        </w:rPr>
        <w:t xml:space="preserve">priemerný schodok EÚ 28 vo výške </w:t>
      </w:r>
      <w:r w:rsidR="00207768" w:rsidRPr="00A265D6">
        <w:rPr>
          <w:b/>
        </w:rPr>
        <w:t>0,6</w:t>
      </w:r>
      <w:r w:rsidR="00762324" w:rsidRPr="00A265D6">
        <w:rPr>
          <w:b/>
        </w:rPr>
        <w:t> % HDP</w:t>
      </w:r>
      <w:r w:rsidR="00762324" w:rsidRPr="00A265D6">
        <w:t xml:space="preserve"> a </w:t>
      </w:r>
      <w:r w:rsidR="00762324" w:rsidRPr="00A265D6">
        <w:rPr>
          <w:b/>
        </w:rPr>
        <w:t xml:space="preserve">priemerný dlh verejnej správy EÚ 28 dosiahol </w:t>
      </w:r>
      <w:r w:rsidR="00207768" w:rsidRPr="00A265D6">
        <w:rPr>
          <w:b/>
        </w:rPr>
        <w:t>80,0</w:t>
      </w:r>
      <w:r w:rsidR="00762324" w:rsidRPr="00A265D6">
        <w:rPr>
          <w:b/>
        </w:rPr>
        <w:t> % HDP</w:t>
      </w:r>
      <w:r w:rsidR="00762324" w:rsidRPr="00A265D6">
        <w:t xml:space="preserve">. </w:t>
      </w:r>
    </w:p>
    <w:p w14:paraId="3FDC0216" w14:textId="158178D3" w:rsidR="00762324" w:rsidRPr="00A265D6" w:rsidRDefault="00762324" w:rsidP="00762324">
      <w:pPr>
        <w:numPr>
          <w:ilvl w:val="0"/>
          <w:numId w:val="28"/>
        </w:numPr>
        <w:ind w:right="-286"/>
      </w:pPr>
      <w:r w:rsidRPr="00A265D6">
        <w:t>Na dosiahnutie nižšieho schodku ako aj dlhu verejnej správy oproti rozpočt</w:t>
      </w:r>
      <w:r w:rsidR="0087468A" w:rsidRPr="00A265D6">
        <w:t>u</w:t>
      </w:r>
      <w:r w:rsidRPr="00A265D6">
        <w:t xml:space="preserve"> mal pozitívny vplyv aj </w:t>
      </w:r>
      <w:r w:rsidR="0087468A" w:rsidRPr="00A265D6">
        <w:rPr>
          <w:b/>
        </w:rPr>
        <w:t xml:space="preserve">o 790 662 tis. eur </w:t>
      </w:r>
      <w:r w:rsidRPr="00A265D6">
        <w:rPr>
          <w:b/>
        </w:rPr>
        <w:t xml:space="preserve">nižší hotovostný schodok štátneho rozpočtu </w:t>
      </w:r>
      <w:r w:rsidRPr="00A265D6">
        <w:t>a tým aj nižšia potreba jeho refinancovania.</w:t>
      </w:r>
      <w:r w:rsidRPr="00A265D6">
        <w:rPr>
          <w:color w:val="1F497D"/>
        </w:rPr>
        <w:t xml:space="preserve"> </w:t>
      </w:r>
    </w:p>
    <w:p w14:paraId="7648CB99" w14:textId="2D615207" w:rsidR="00762324" w:rsidRPr="00221DB8" w:rsidRDefault="00762324" w:rsidP="00762324">
      <w:pPr>
        <w:numPr>
          <w:ilvl w:val="0"/>
          <w:numId w:val="28"/>
        </w:numPr>
        <w:ind w:left="357" w:right="-286" w:hanging="357"/>
      </w:pPr>
      <w:r w:rsidRPr="00A265D6">
        <w:rPr>
          <w:b/>
          <w:bCs/>
        </w:rPr>
        <w:t>Hotovostné príjmy štátneho rozpočtu</w:t>
      </w:r>
      <w:r w:rsidRPr="00A265D6">
        <w:t xml:space="preserve"> dosiahli v roku 201</w:t>
      </w:r>
      <w:r w:rsidR="00DB5113" w:rsidRPr="00A265D6">
        <w:t>8</w:t>
      </w:r>
      <w:r w:rsidRPr="00A265D6">
        <w:t xml:space="preserve"> výšku </w:t>
      </w:r>
      <w:r w:rsidR="00DB5113" w:rsidRPr="00A265D6">
        <w:t>15</w:t>
      </w:r>
      <w:r w:rsidR="00703D42" w:rsidRPr="00A265D6">
        <w:t> </w:t>
      </w:r>
      <w:r w:rsidR="00DB5113" w:rsidRPr="00A265D6">
        <w:t>381</w:t>
      </w:r>
      <w:r w:rsidR="00703D42" w:rsidRPr="00A265D6">
        <w:t> </w:t>
      </w:r>
      <w:r w:rsidR="00DB5113" w:rsidRPr="00A265D6">
        <w:t>013</w:t>
      </w:r>
      <w:r w:rsidR="00703D42" w:rsidRPr="00A265D6">
        <w:t> </w:t>
      </w:r>
      <w:r w:rsidRPr="00A265D6">
        <w:t>tis.</w:t>
      </w:r>
      <w:r w:rsidR="00703D42" w:rsidRPr="00A265D6">
        <w:t> </w:t>
      </w:r>
      <w:r w:rsidRPr="00A265D6">
        <w:t>eur, čo znamená</w:t>
      </w:r>
      <w:r w:rsidRPr="00A265D6">
        <w:rPr>
          <w:b/>
          <w:bCs/>
        </w:rPr>
        <w:t xml:space="preserve"> medziročný </w:t>
      </w:r>
      <w:r w:rsidR="00210671" w:rsidRPr="00A265D6">
        <w:rPr>
          <w:b/>
          <w:bCs/>
        </w:rPr>
        <w:t>rast takmer</w:t>
      </w:r>
      <w:r w:rsidRPr="00A265D6">
        <w:rPr>
          <w:b/>
          <w:bCs/>
        </w:rPr>
        <w:t xml:space="preserve"> o</w:t>
      </w:r>
      <w:r w:rsidR="001C4DF1" w:rsidRPr="00A265D6">
        <w:rPr>
          <w:b/>
          <w:bCs/>
        </w:rPr>
        <w:t> 5,4</w:t>
      </w:r>
      <w:r w:rsidR="00703D42" w:rsidRPr="00A265D6">
        <w:rPr>
          <w:b/>
          <w:bCs/>
        </w:rPr>
        <w:t> </w:t>
      </w:r>
      <w:r w:rsidRPr="00A265D6">
        <w:rPr>
          <w:b/>
          <w:bCs/>
        </w:rPr>
        <w:t>%</w:t>
      </w:r>
      <w:r w:rsidRPr="00A265D6">
        <w:t xml:space="preserve">. </w:t>
      </w:r>
      <w:r w:rsidRPr="00A265D6">
        <w:rPr>
          <w:b/>
          <w:bCs/>
        </w:rPr>
        <w:t>Hotovostné výdavky</w:t>
      </w:r>
      <w:r w:rsidRPr="00A265D6">
        <w:t xml:space="preserve"> boli vo výške </w:t>
      </w:r>
      <w:r w:rsidR="00DB5113" w:rsidRPr="00A265D6">
        <w:t>16 563</w:t>
      </w:r>
      <w:r w:rsidR="001F2757" w:rsidRPr="00A265D6">
        <w:t> </w:t>
      </w:r>
      <w:r w:rsidR="00DB5113" w:rsidRPr="00A265D6">
        <w:t>255</w:t>
      </w:r>
      <w:r w:rsidR="001F2757" w:rsidRPr="00A265D6">
        <w:t> tis. </w:t>
      </w:r>
      <w:r w:rsidRPr="00A265D6">
        <w:t xml:space="preserve">eur, čo predstavuje medziročný </w:t>
      </w:r>
      <w:r w:rsidR="00934EB1" w:rsidRPr="00A265D6">
        <w:rPr>
          <w:b/>
          <w:bCs/>
        </w:rPr>
        <w:t>rast</w:t>
      </w:r>
      <w:r w:rsidRPr="00A265D6">
        <w:rPr>
          <w:b/>
          <w:bCs/>
        </w:rPr>
        <w:t xml:space="preserve"> o</w:t>
      </w:r>
      <w:r w:rsidR="00045BE3" w:rsidRPr="00A265D6">
        <w:rPr>
          <w:b/>
          <w:bCs/>
        </w:rPr>
        <w:t> 3,8</w:t>
      </w:r>
      <w:r w:rsidRPr="00A265D6">
        <w:rPr>
          <w:b/>
          <w:bCs/>
        </w:rPr>
        <w:t> %.</w:t>
      </w:r>
      <w:r w:rsidRPr="00221DB8">
        <w:t xml:space="preserve"> </w:t>
      </w:r>
      <w:r w:rsidRPr="00221DB8">
        <w:rPr>
          <w:b/>
          <w:bCs/>
        </w:rPr>
        <w:t xml:space="preserve">Hotovostný schodok </w:t>
      </w:r>
      <w:r w:rsidRPr="00221DB8">
        <w:t xml:space="preserve">štátneho rozpočtu dosiahol </w:t>
      </w:r>
      <w:r w:rsidR="00DB5113">
        <w:t>1 182 242</w:t>
      </w:r>
      <w:r w:rsidR="0087468A">
        <w:t xml:space="preserve"> tis. eur </w:t>
      </w:r>
      <w:r w:rsidRPr="00221DB8">
        <w:t>a oproti roku</w:t>
      </w:r>
      <w:r w:rsidR="0087468A">
        <w:t xml:space="preserve"> 2017</w:t>
      </w:r>
      <w:r w:rsidRPr="00221DB8">
        <w:t xml:space="preserve"> </w:t>
      </w:r>
      <w:r w:rsidR="00DB5113">
        <w:t>sa znížil</w:t>
      </w:r>
      <w:r w:rsidRPr="00221DB8">
        <w:t xml:space="preserve"> o</w:t>
      </w:r>
      <w:r w:rsidR="00DB5113">
        <w:t> 37 890</w:t>
      </w:r>
      <w:r w:rsidRPr="00221DB8">
        <w:t xml:space="preserve"> tis. eur.</w:t>
      </w:r>
    </w:p>
    <w:p w14:paraId="2575B41E" w14:textId="77777777" w:rsidR="00F011A1" w:rsidRDefault="00F011A1">
      <w:pPr>
        <w:spacing w:after="160" w:line="259" w:lineRule="auto"/>
        <w:jc w:val="left"/>
        <w:rPr>
          <w:rFonts w:eastAsiaTheme="majorEastAsia" w:cstheme="majorBidi"/>
          <w:b/>
          <w:sz w:val="26"/>
          <w:szCs w:val="32"/>
        </w:rPr>
      </w:pPr>
      <w:r>
        <w:br w:type="page"/>
      </w:r>
    </w:p>
    <w:p w14:paraId="2F8BA07E" w14:textId="77777777" w:rsidR="005F5B88" w:rsidRDefault="005F5B88" w:rsidP="00E66FB4">
      <w:pPr>
        <w:pStyle w:val="Nadpis1"/>
        <w:ind w:left="567" w:hanging="567"/>
        <w:jc w:val="left"/>
      </w:pPr>
      <w:bookmarkStart w:id="2" w:name="_Toc6415626"/>
      <w:bookmarkStart w:id="3" w:name="_Toc7502818"/>
      <w:r w:rsidRPr="005F5B88">
        <w:lastRenderedPageBreak/>
        <w:t>Ekonomick</w:t>
      </w:r>
      <w:r w:rsidR="0021355F">
        <w:t>ý</w:t>
      </w:r>
      <w:r w:rsidRPr="005F5B88">
        <w:t xml:space="preserve"> rámec rozpočtového hospodárenia Slovenskej republiky</w:t>
      </w:r>
      <w:bookmarkEnd w:id="2"/>
      <w:bookmarkEnd w:id="3"/>
    </w:p>
    <w:p w14:paraId="484B2248" w14:textId="056F009F" w:rsidR="0042635A" w:rsidRPr="0042635A" w:rsidRDefault="0042635A" w:rsidP="0042635A">
      <w:pPr>
        <w:rPr>
          <w:bCs/>
        </w:rPr>
      </w:pPr>
      <w:r w:rsidRPr="00F92E6B">
        <w:t>Slovenská ekonomika vlani vzrástla o 4,1 %. Najväčší príspevok k rastu zaznamenali investície</w:t>
      </w:r>
      <w:r>
        <w:t xml:space="preserve"> (6,8 %)</w:t>
      </w:r>
      <w:r w:rsidRPr="00F92E6B">
        <w:t xml:space="preserve"> a </w:t>
      </w:r>
      <w:r w:rsidRPr="002A7A85">
        <w:t>spotreba domácností</w:t>
      </w:r>
      <w:r>
        <w:t xml:space="preserve"> (3 %)</w:t>
      </w:r>
      <w:r w:rsidRPr="002A7A85">
        <w:t>. Investície výrazne podporil</w:t>
      </w:r>
      <w:r>
        <w:t>a</w:t>
      </w:r>
      <w:r w:rsidRPr="002A7A85">
        <w:t xml:space="preserve"> najmä </w:t>
      </w:r>
      <w:r>
        <w:t xml:space="preserve">dostavba a spustenie výroby štvrtej automobilky na Slovensku </w:t>
      </w:r>
      <w:proofErr w:type="spellStart"/>
      <w:r w:rsidRPr="002A7A85">
        <w:t>Jaguar</w:t>
      </w:r>
      <w:proofErr w:type="spellEnd"/>
      <w:r w:rsidRPr="002A7A85">
        <w:t xml:space="preserve"> </w:t>
      </w:r>
      <w:proofErr w:type="spellStart"/>
      <w:r w:rsidRPr="002A7A85">
        <w:t>Land</w:t>
      </w:r>
      <w:proofErr w:type="spellEnd"/>
      <w:r w:rsidRPr="002A7A85">
        <w:t xml:space="preserve"> </w:t>
      </w:r>
      <w:proofErr w:type="spellStart"/>
      <w:r w:rsidRPr="002A7A85">
        <w:t>Rover</w:t>
      </w:r>
      <w:proofErr w:type="spellEnd"/>
      <w:r w:rsidRPr="002A7A85">
        <w:t xml:space="preserve"> (JLR) a</w:t>
      </w:r>
      <w:r>
        <w:t xml:space="preserve"> investície realizované subjektmi územnej </w:t>
      </w:r>
      <w:r w:rsidRPr="002A7A85">
        <w:t xml:space="preserve">samosprávy. Spotreba domácností sa oprela o zvyšujúcu sa mzdovú bázu, pričom ostatné zložky disponibilného príjmu domácností rástli len pozvoľne. Export v druhom polroku rástol najmä vďaka automobilovému priemyslu, keď výraznejšie stúpla nová produkcia vo Volkswagene (VW). </w:t>
      </w:r>
      <w:r w:rsidRPr="002A7A85">
        <w:rPr>
          <w:rFonts w:cs="Arial Narrow"/>
        </w:rPr>
        <w:t>Z</w:t>
      </w:r>
      <w:r w:rsidRPr="002A7A85">
        <w:rPr>
          <w:bCs/>
        </w:rPr>
        <w:t> pohľadu makroekonomických základní pre daňové a odvodové príjmy makroekonomický vývoj v roku 2018 predbehol očakávania rozpočtovej prognózy MF SR</w:t>
      </w:r>
      <w:r w:rsidRPr="008F02EC">
        <w:rPr>
          <w:rStyle w:val="Odkaznapoznmkupodiarou"/>
          <w:rFonts w:cs="Times New Roman"/>
          <w:bCs/>
        </w:rPr>
        <w:footnoteReference w:id="1"/>
      </w:r>
      <w:r w:rsidRPr="008F02EC">
        <w:rPr>
          <w:rFonts w:cs="Times New Roman"/>
          <w:bCs/>
        </w:rPr>
        <w:t>.</w:t>
      </w:r>
    </w:p>
    <w:p w14:paraId="1A98C117" w14:textId="77777777" w:rsidR="005F5B88" w:rsidRDefault="005F5B88" w:rsidP="0042635A">
      <w:pPr>
        <w:pStyle w:val="Nadpis2"/>
      </w:pPr>
      <w:bookmarkStart w:id="4" w:name="_Toc6415627"/>
      <w:bookmarkStart w:id="5" w:name="_Toc7502819"/>
      <w:r w:rsidRPr="0042635A">
        <w:t>Vonkajšie ekonomické prostredie</w:t>
      </w:r>
      <w:bookmarkEnd w:id="4"/>
      <w:bookmarkEnd w:id="5"/>
    </w:p>
    <w:p w14:paraId="43855D4C" w14:textId="133357CB" w:rsidR="0042635A" w:rsidRDefault="0042635A" w:rsidP="0042635A">
      <w:pPr>
        <w:rPr>
          <w:highlight w:val="yellow"/>
        </w:rPr>
      </w:pPr>
      <w:r w:rsidRPr="00176079">
        <w:t xml:space="preserve">Ekonomická aktivita v eurozóne </w:t>
      </w:r>
      <w:r>
        <w:t>záverom roka 2018</w:t>
      </w:r>
      <w:r w:rsidRPr="00176079">
        <w:t xml:space="preserve"> výrazne zvoľnila zo svojho tempa.</w:t>
      </w:r>
      <w:r>
        <w:t xml:space="preserve"> Ekonomika eurozóny vzrástla o 1,8 %, čím nenaplnila podstatne ambicióznejšie očakávania.</w:t>
      </w:r>
      <w:r w:rsidR="003F16BB">
        <w:t xml:space="preserve"> </w:t>
      </w:r>
      <w:r w:rsidRPr="00176079">
        <w:t>K</w:t>
      </w:r>
      <w:r w:rsidR="003F16BB">
        <w:t> </w:t>
      </w:r>
      <w:r w:rsidRPr="00176079">
        <w:t xml:space="preserve">spomaleniu prispel predovšetkým vlažný dopyt zo zahraničia. Rastová báza bola tradične ťahaná domácou spotrebou, ktorá však v závere roka stratila na dynamike. Podporným faktorom naďalej ostávajú </w:t>
      </w:r>
      <w:r w:rsidRPr="00682DCC">
        <w:t xml:space="preserve">silné trhy práce, rastúce mzdy, stále </w:t>
      </w:r>
      <w:proofErr w:type="spellStart"/>
      <w:r w:rsidRPr="00682DCC">
        <w:t>akomodatívna</w:t>
      </w:r>
      <w:proofErr w:type="spellEnd"/>
      <w:r w:rsidRPr="00682DCC">
        <w:t xml:space="preserve"> menová politika a investičné stimuly v niektorých krajinách. Miera nezamestnanosti v eurozóne poklesla v roku 2018 na úroveň 8,2</w:t>
      </w:r>
      <w:r>
        <w:t xml:space="preserve"> </w:t>
      </w:r>
      <w:r w:rsidRPr="00682DCC">
        <w:t>%</w:t>
      </w:r>
      <w:r>
        <w:t xml:space="preserve"> (2017: 9,1</w:t>
      </w:r>
      <w:r w:rsidR="00127DA4">
        <w:t> </w:t>
      </w:r>
      <w:r>
        <w:t>%)</w:t>
      </w:r>
      <w:r w:rsidRPr="00682DCC">
        <w:t xml:space="preserve">. </w:t>
      </w:r>
    </w:p>
    <w:p w14:paraId="6E5904CC" w14:textId="127E7DEC" w:rsidR="0042635A" w:rsidRDefault="0042635A" w:rsidP="0042635A">
      <w:r w:rsidRPr="001133D8">
        <w:t>Na rastové mantinely narazili ekonomiky veľkých európskych krajín, z ktorých Taliansko sa dostalo v druhej polovici roka do technickej recesie a</w:t>
      </w:r>
      <w:r w:rsidR="00127DA4">
        <w:t xml:space="preserve"> </w:t>
      </w:r>
      <w:r w:rsidRPr="001133D8">
        <w:t xml:space="preserve">Nemecko sa jej tesne vyhlo. Jednou z príčin globálneho spomalenia sú turbulencie v obchodných vzťahoch medzi Amerikou a Čínou. Neistotu zvyšujú aj obavy z neriadeného </w:t>
      </w:r>
      <w:proofErr w:type="spellStart"/>
      <w:r w:rsidRPr="001133D8">
        <w:t>Brexitu</w:t>
      </w:r>
      <w:proofErr w:type="spellEnd"/>
      <w:r w:rsidRPr="001133D8">
        <w:t xml:space="preserve"> a politické výkyvy v rámci Európy (napr. protesty žltých viest vo Francúzsku, neistota v Katalánsku, imigrantská otázka a</w:t>
      </w:r>
      <w:r w:rsidR="00127DA4">
        <w:t xml:space="preserve"> </w:t>
      </w:r>
      <w:r w:rsidRPr="001133D8">
        <w:t xml:space="preserve">iné). Naopak, ekonomika USA rástla svižným tempom predovšetkým vďaka </w:t>
      </w:r>
      <w:proofErr w:type="spellStart"/>
      <w:r w:rsidRPr="001133D8">
        <w:t>proticyklickým</w:t>
      </w:r>
      <w:proofErr w:type="spellEnd"/>
      <w:r w:rsidRPr="001133D8">
        <w:t xml:space="preserve"> stimulom americkej administratívy.</w:t>
      </w:r>
      <w:r>
        <w:t xml:space="preserve"> Ekonomiky regionálnych partnerov Slovenska si udržali dynamický rast. Predovšetkým Poľsko a Maďarsko dosiahli v roku 2018 solíd</w:t>
      </w:r>
      <w:r w:rsidR="003F16BB">
        <w:t>ne ekonomické rasty (5,1 </w:t>
      </w:r>
      <w:r>
        <w:t>% resp. 4</w:t>
      </w:r>
      <w:r w:rsidRPr="00A265D6">
        <w:t>,</w:t>
      </w:r>
      <w:r w:rsidR="00D40CDE" w:rsidRPr="00A265D6">
        <w:t>9</w:t>
      </w:r>
      <w:r w:rsidRPr="00A265D6">
        <w:t xml:space="preserve"> %).</w:t>
      </w:r>
    </w:p>
    <w:p w14:paraId="6819FE4B" w14:textId="4623D738" w:rsidR="0042635A" w:rsidRDefault="0042635A" w:rsidP="0042635A">
      <w:r w:rsidRPr="001133D8">
        <w:t>Na akciovom trhu prebiehali</w:t>
      </w:r>
      <w:r>
        <w:t xml:space="preserve"> v druhom polroku 2018</w:t>
      </w:r>
      <w:r w:rsidRPr="001133D8">
        <w:t xml:space="preserve"> výpredaje </w:t>
      </w:r>
      <w:r>
        <w:t>globálne vo všetkých regiónoch</w:t>
      </w:r>
      <w:r w:rsidRPr="001133D8">
        <w:t>. Obavy sa sústreďujú najmä na nepriaznivý vývoj v Číne, kde k stratám mohli prispieť aj obchodné spory s USA.</w:t>
      </w:r>
      <w:r>
        <w:t xml:space="preserve"> </w:t>
      </w:r>
      <w:r w:rsidRPr="001133D8">
        <w:t>Spolu s finančným tr</w:t>
      </w:r>
      <w:r>
        <w:t>hom v závere roka 2018 prudko klesla aj cena ropy</w:t>
      </w:r>
      <w:r w:rsidRPr="001133D8">
        <w:t>. Dôvodom bolo nielen spomalenie niektorých regiónov globálnej ekonomik</w:t>
      </w:r>
      <w:r w:rsidR="00127DA4">
        <w:t>y, ale aj zvýšenie produkcie zo </w:t>
      </w:r>
      <w:r w:rsidRPr="001133D8">
        <w:t>strany Saudskej Arábie o 1 mil</w:t>
      </w:r>
      <w:r>
        <w:t>.</w:t>
      </w:r>
      <w:r w:rsidRPr="001133D8">
        <w:t xml:space="preserve"> barelov denne.</w:t>
      </w:r>
    </w:p>
    <w:p w14:paraId="483D6A92" w14:textId="77777777" w:rsidR="0042635A" w:rsidRDefault="0042635A" w:rsidP="0042635A">
      <w:r w:rsidRPr="001133D8">
        <w:t xml:space="preserve">Normalizácia menovej politiky v Amerike momentálne stagnuje kvôli slabnúcej globálnej ekonomike a kumulácii rizík vo svetovom priestore. Po štyroch zvýšeniach krátkej referenčnej sadzby americkej centrálnej banky v roku 2018 je výnosová krivka amerických vládnych </w:t>
      </w:r>
      <w:r w:rsidRPr="001133D8">
        <w:lastRenderedPageBreak/>
        <w:t>dlhopisov na krátkom horizonte prevrátená. Dôsledkom takéhoto javu býva často spomalenie ekonomiky. Pravdepodobnosť ďalšieho zvýšenia kľúčovej úrokovej sadzby zo súčasnej úrovne 2,5 % v roku 2019 sa preto znížila. Pozvoľn</w:t>
      </w:r>
      <w:r>
        <w:t>é</w:t>
      </w:r>
      <w:r w:rsidRPr="001133D8">
        <w:t xml:space="preserve"> </w:t>
      </w:r>
      <w:r>
        <w:t>znižovanie objemu aktív americkej centrálnej banky</w:t>
      </w:r>
      <w:r w:rsidRPr="001133D8">
        <w:t xml:space="preserve"> pokračuje aj napriek dočasnému zastaveniu navyšovania kľúčovej úrokovej sadzby.</w:t>
      </w:r>
      <w:r>
        <w:t xml:space="preserve"> </w:t>
      </w:r>
    </w:p>
    <w:p w14:paraId="772E4F62" w14:textId="09FF09DF" w:rsidR="0042635A" w:rsidRDefault="0042635A" w:rsidP="0042635A">
      <w:r w:rsidRPr="001133D8">
        <w:t xml:space="preserve">ECB </w:t>
      </w:r>
      <w:r w:rsidR="00127DA4">
        <w:t xml:space="preserve">(Európska centrálna banka) </w:t>
      </w:r>
      <w:r w:rsidRPr="001133D8">
        <w:t xml:space="preserve">v decembri 2018 ukončila svoj program kvantitatívneho uvoľňovania. Prvé očakávané zvýšenie kľúčových úrokových sadzieb sa však posunulo najskôr až na záver roka 2019. Monetárna politika by tak mala ostať v dohľadnej dobe naďalej </w:t>
      </w:r>
      <w:proofErr w:type="spellStart"/>
      <w:r w:rsidRPr="001133D8">
        <w:t>akomodatívna</w:t>
      </w:r>
      <w:proofErr w:type="spellEnd"/>
      <w:r>
        <w:t>, čo znamená, že naďalej stimuluje rast ekonomiky a tým podporí tvorbu pracovných miest</w:t>
      </w:r>
      <w:r w:rsidRPr="001133D8">
        <w:t xml:space="preserve">. Kurz eura voči doláru sa pohyboval </w:t>
      </w:r>
      <w:r w:rsidR="00127DA4">
        <w:t>na úrovni okolo 1,14 EUR/USD. V </w:t>
      </w:r>
      <w:r w:rsidRPr="001133D8">
        <w:t>nadchádzajúcom období sa očakáva mierne posilnenie eura voči doláru, čo však môže zmeniť vývoj situáci</w:t>
      </w:r>
      <w:r>
        <w:t>e</w:t>
      </w:r>
      <w:r w:rsidRPr="001133D8">
        <w:t xml:space="preserve"> okolo </w:t>
      </w:r>
      <w:proofErr w:type="spellStart"/>
      <w:r w:rsidRPr="001133D8">
        <w:t>Brexitu</w:t>
      </w:r>
      <w:proofErr w:type="spellEnd"/>
      <w:r w:rsidRPr="001133D8">
        <w:t>.</w:t>
      </w:r>
      <w:r>
        <w:t xml:space="preserve"> </w:t>
      </w:r>
      <w:r w:rsidRPr="001133D8">
        <w:t xml:space="preserve">Pozícia britskej libry voči ostatným zahraničným menám bola ovplyvnená najmä vývojom rokovaní o </w:t>
      </w:r>
      <w:proofErr w:type="spellStart"/>
      <w:r w:rsidRPr="001133D8">
        <w:t>Brexit</w:t>
      </w:r>
      <w:proofErr w:type="spellEnd"/>
      <w:r w:rsidRPr="001133D8">
        <w:t>-e.</w:t>
      </w:r>
    </w:p>
    <w:tbl>
      <w:tblPr>
        <w:tblW w:w="8703" w:type="dxa"/>
        <w:jc w:val="center"/>
        <w:tblCellMar>
          <w:left w:w="70" w:type="dxa"/>
          <w:right w:w="70" w:type="dxa"/>
        </w:tblCellMar>
        <w:tblLook w:val="04A0" w:firstRow="1" w:lastRow="0" w:firstColumn="1" w:lastColumn="0" w:noHBand="0" w:noVBand="1"/>
      </w:tblPr>
      <w:tblGrid>
        <w:gridCol w:w="5712"/>
        <w:gridCol w:w="904"/>
        <w:gridCol w:w="997"/>
        <w:gridCol w:w="1090"/>
      </w:tblGrid>
      <w:tr w:rsidR="0042635A" w:rsidRPr="005F6E5F" w14:paraId="42E3A19A" w14:textId="77777777" w:rsidTr="0042635A">
        <w:trPr>
          <w:trHeight w:val="300"/>
          <w:jc w:val="center"/>
        </w:trPr>
        <w:tc>
          <w:tcPr>
            <w:tcW w:w="8703" w:type="dxa"/>
            <w:gridSpan w:val="4"/>
            <w:tcBorders>
              <w:top w:val="nil"/>
              <w:left w:val="nil"/>
              <w:bottom w:val="nil"/>
              <w:right w:val="nil"/>
            </w:tcBorders>
            <w:shd w:val="clear" w:color="000000" w:fill="000000"/>
            <w:noWrap/>
            <w:vAlign w:val="center"/>
            <w:hideMark/>
          </w:tcPr>
          <w:p w14:paraId="46A85577" w14:textId="77777777" w:rsidR="0042635A" w:rsidRPr="005F6E5F" w:rsidRDefault="0042635A" w:rsidP="0042635A">
            <w:pPr>
              <w:rPr>
                <w:b/>
                <w:bCs/>
                <w:color w:val="FFFFFF"/>
                <w:sz w:val="18"/>
                <w:szCs w:val="18"/>
              </w:rPr>
            </w:pPr>
            <w:r w:rsidRPr="005F6E5F">
              <w:rPr>
                <w:b/>
                <w:bCs/>
                <w:color w:val="FFFFFF"/>
                <w:sz w:val="18"/>
                <w:szCs w:val="18"/>
              </w:rPr>
              <w:t>Vývoj vybraných ukazovateľov eurozóny</w:t>
            </w:r>
          </w:p>
        </w:tc>
      </w:tr>
      <w:tr w:rsidR="0042635A" w:rsidRPr="005F6E5F" w14:paraId="13907585" w14:textId="77777777" w:rsidTr="0042635A">
        <w:trPr>
          <w:trHeight w:val="300"/>
          <w:jc w:val="center"/>
        </w:trPr>
        <w:tc>
          <w:tcPr>
            <w:tcW w:w="5712" w:type="dxa"/>
            <w:tcBorders>
              <w:top w:val="nil"/>
              <w:left w:val="nil"/>
              <w:bottom w:val="single" w:sz="4" w:space="0" w:color="auto"/>
              <w:right w:val="nil"/>
            </w:tcBorders>
            <w:shd w:val="clear" w:color="000000" w:fill="C0C0C0"/>
            <w:noWrap/>
            <w:vAlign w:val="center"/>
            <w:hideMark/>
          </w:tcPr>
          <w:p w14:paraId="31BB75F3" w14:textId="77777777" w:rsidR="0042635A" w:rsidRPr="005F6E5F" w:rsidRDefault="0042635A" w:rsidP="0042635A">
            <w:pPr>
              <w:jc w:val="center"/>
              <w:rPr>
                <w:color w:val="000000"/>
                <w:sz w:val="18"/>
                <w:szCs w:val="18"/>
              </w:rPr>
            </w:pPr>
          </w:p>
        </w:tc>
        <w:tc>
          <w:tcPr>
            <w:tcW w:w="904" w:type="dxa"/>
            <w:tcBorders>
              <w:top w:val="nil"/>
              <w:left w:val="nil"/>
              <w:bottom w:val="single" w:sz="4" w:space="0" w:color="auto"/>
              <w:right w:val="nil"/>
            </w:tcBorders>
            <w:shd w:val="clear" w:color="000000" w:fill="C0C0C0"/>
            <w:noWrap/>
            <w:vAlign w:val="center"/>
            <w:hideMark/>
          </w:tcPr>
          <w:p w14:paraId="7FA8BF6B" w14:textId="77777777" w:rsidR="0042635A" w:rsidRPr="005F6E5F" w:rsidRDefault="0042635A" w:rsidP="00331568">
            <w:pPr>
              <w:jc w:val="right"/>
              <w:rPr>
                <w:b/>
                <w:bCs/>
                <w:color w:val="000000"/>
                <w:sz w:val="18"/>
                <w:szCs w:val="18"/>
              </w:rPr>
            </w:pPr>
            <w:r w:rsidRPr="005F6E5F">
              <w:rPr>
                <w:b/>
                <w:bCs/>
                <w:color w:val="000000"/>
                <w:sz w:val="18"/>
                <w:szCs w:val="18"/>
              </w:rPr>
              <w:t>2016</w:t>
            </w:r>
          </w:p>
        </w:tc>
        <w:tc>
          <w:tcPr>
            <w:tcW w:w="997" w:type="dxa"/>
            <w:tcBorders>
              <w:top w:val="nil"/>
              <w:left w:val="nil"/>
              <w:bottom w:val="single" w:sz="4" w:space="0" w:color="auto"/>
              <w:right w:val="nil"/>
            </w:tcBorders>
            <w:shd w:val="clear" w:color="000000" w:fill="C0C0C0"/>
            <w:noWrap/>
            <w:vAlign w:val="center"/>
            <w:hideMark/>
          </w:tcPr>
          <w:p w14:paraId="07C46B67" w14:textId="77777777" w:rsidR="0042635A" w:rsidRPr="005F6E5F" w:rsidRDefault="0042635A" w:rsidP="00331568">
            <w:pPr>
              <w:jc w:val="right"/>
              <w:rPr>
                <w:b/>
                <w:bCs/>
                <w:color w:val="000000"/>
                <w:sz w:val="18"/>
                <w:szCs w:val="18"/>
              </w:rPr>
            </w:pPr>
            <w:r w:rsidRPr="005F6E5F">
              <w:rPr>
                <w:b/>
                <w:bCs/>
                <w:color w:val="000000"/>
                <w:sz w:val="18"/>
                <w:szCs w:val="18"/>
              </w:rPr>
              <w:t>2017</w:t>
            </w:r>
          </w:p>
        </w:tc>
        <w:tc>
          <w:tcPr>
            <w:tcW w:w="1090" w:type="dxa"/>
            <w:tcBorders>
              <w:top w:val="nil"/>
              <w:left w:val="nil"/>
              <w:bottom w:val="single" w:sz="4" w:space="0" w:color="auto"/>
              <w:right w:val="nil"/>
            </w:tcBorders>
            <w:shd w:val="clear" w:color="000000" w:fill="C0C0C0"/>
            <w:noWrap/>
            <w:vAlign w:val="center"/>
            <w:hideMark/>
          </w:tcPr>
          <w:p w14:paraId="155907E4" w14:textId="77777777" w:rsidR="0042635A" w:rsidRPr="005F6E5F" w:rsidRDefault="0042635A" w:rsidP="00331568">
            <w:pPr>
              <w:jc w:val="right"/>
              <w:rPr>
                <w:b/>
                <w:bCs/>
                <w:color w:val="000000"/>
                <w:sz w:val="18"/>
                <w:szCs w:val="18"/>
              </w:rPr>
            </w:pPr>
            <w:r w:rsidRPr="005F6E5F">
              <w:rPr>
                <w:b/>
                <w:bCs/>
                <w:color w:val="000000"/>
                <w:sz w:val="18"/>
                <w:szCs w:val="18"/>
              </w:rPr>
              <w:t>2018</w:t>
            </w:r>
          </w:p>
        </w:tc>
      </w:tr>
      <w:tr w:rsidR="0042635A" w:rsidRPr="005F6E5F" w14:paraId="018353F8" w14:textId="77777777" w:rsidTr="0042635A">
        <w:trPr>
          <w:trHeight w:val="300"/>
          <w:jc w:val="center"/>
        </w:trPr>
        <w:tc>
          <w:tcPr>
            <w:tcW w:w="5712" w:type="dxa"/>
            <w:tcBorders>
              <w:top w:val="single" w:sz="4" w:space="0" w:color="auto"/>
              <w:left w:val="nil"/>
              <w:bottom w:val="nil"/>
              <w:right w:val="nil"/>
            </w:tcBorders>
            <w:noWrap/>
            <w:vAlign w:val="center"/>
            <w:hideMark/>
          </w:tcPr>
          <w:p w14:paraId="27F931EE" w14:textId="77777777" w:rsidR="0042635A" w:rsidRPr="005F6E5F" w:rsidRDefault="0042635A" w:rsidP="005F6E5F">
            <w:pPr>
              <w:spacing w:after="0" w:line="240" w:lineRule="auto"/>
              <w:rPr>
                <w:rFonts w:eastAsia="Times New Roman" w:cs="Times New Roman"/>
                <w:color w:val="000000"/>
                <w:sz w:val="18"/>
                <w:szCs w:val="18"/>
                <w:lang w:eastAsia="sk-SK"/>
              </w:rPr>
            </w:pPr>
            <w:r w:rsidRPr="005F6E5F">
              <w:rPr>
                <w:rFonts w:eastAsia="Times New Roman" w:cs="Times New Roman"/>
                <w:color w:val="000000"/>
                <w:sz w:val="18"/>
                <w:szCs w:val="18"/>
                <w:lang w:eastAsia="sk-SK"/>
              </w:rPr>
              <w:t>Hrubý domáci produkt (% rast)</w:t>
            </w:r>
          </w:p>
        </w:tc>
        <w:tc>
          <w:tcPr>
            <w:tcW w:w="904" w:type="dxa"/>
            <w:tcBorders>
              <w:top w:val="single" w:sz="4" w:space="0" w:color="auto"/>
              <w:left w:val="nil"/>
              <w:bottom w:val="nil"/>
              <w:right w:val="nil"/>
            </w:tcBorders>
            <w:noWrap/>
            <w:vAlign w:val="center"/>
            <w:hideMark/>
          </w:tcPr>
          <w:p w14:paraId="1DFD3D4C" w14:textId="77777777" w:rsidR="0042635A" w:rsidRPr="005F6E5F" w:rsidRDefault="0042635A" w:rsidP="005F6E5F">
            <w:pPr>
              <w:spacing w:after="0" w:line="240" w:lineRule="auto"/>
              <w:jc w:val="right"/>
              <w:rPr>
                <w:rFonts w:eastAsia="Times New Roman" w:cs="Times New Roman"/>
                <w:color w:val="000000"/>
                <w:sz w:val="18"/>
                <w:szCs w:val="18"/>
                <w:lang w:eastAsia="sk-SK"/>
              </w:rPr>
            </w:pPr>
            <w:r w:rsidRPr="005F6E5F">
              <w:rPr>
                <w:rFonts w:eastAsia="Times New Roman" w:cs="Times New Roman"/>
                <w:color w:val="000000"/>
                <w:sz w:val="18"/>
                <w:szCs w:val="18"/>
                <w:lang w:eastAsia="sk-SK"/>
              </w:rPr>
              <w:t>1,7</w:t>
            </w:r>
          </w:p>
        </w:tc>
        <w:tc>
          <w:tcPr>
            <w:tcW w:w="997" w:type="dxa"/>
            <w:tcBorders>
              <w:top w:val="single" w:sz="4" w:space="0" w:color="auto"/>
              <w:left w:val="nil"/>
              <w:bottom w:val="nil"/>
              <w:right w:val="nil"/>
            </w:tcBorders>
            <w:noWrap/>
            <w:vAlign w:val="center"/>
            <w:hideMark/>
          </w:tcPr>
          <w:p w14:paraId="17254B2D" w14:textId="77777777" w:rsidR="0042635A" w:rsidRPr="005F6E5F" w:rsidRDefault="0042635A" w:rsidP="005F6E5F">
            <w:pPr>
              <w:spacing w:after="0" w:line="240" w:lineRule="auto"/>
              <w:jc w:val="right"/>
              <w:rPr>
                <w:rFonts w:eastAsia="Times New Roman" w:cs="Times New Roman"/>
                <w:color w:val="000000"/>
                <w:sz w:val="18"/>
                <w:szCs w:val="18"/>
                <w:lang w:eastAsia="sk-SK"/>
              </w:rPr>
            </w:pPr>
            <w:r w:rsidRPr="005F6E5F">
              <w:rPr>
                <w:rFonts w:eastAsia="Times New Roman" w:cs="Times New Roman"/>
                <w:color w:val="000000"/>
                <w:sz w:val="18"/>
                <w:szCs w:val="18"/>
                <w:lang w:eastAsia="sk-SK"/>
              </w:rPr>
              <w:t>2,4</w:t>
            </w:r>
          </w:p>
        </w:tc>
        <w:tc>
          <w:tcPr>
            <w:tcW w:w="1090" w:type="dxa"/>
            <w:tcBorders>
              <w:top w:val="single" w:sz="4" w:space="0" w:color="auto"/>
              <w:left w:val="nil"/>
              <w:bottom w:val="nil"/>
              <w:right w:val="nil"/>
            </w:tcBorders>
            <w:shd w:val="clear" w:color="auto" w:fill="BFBFBF"/>
            <w:noWrap/>
            <w:vAlign w:val="center"/>
          </w:tcPr>
          <w:p w14:paraId="0CC1CA87" w14:textId="77777777" w:rsidR="0042635A" w:rsidRPr="005F6E5F" w:rsidRDefault="0042635A" w:rsidP="005F6E5F">
            <w:pPr>
              <w:spacing w:after="0" w:line="240" w:lineRule="auto"/>
              <w:jc w:val="right"/>
              <w:rPr>
                <w:rFonts w:eastAsia="Times New Roman" w:cs="Times New Roman"/>
                <w:color w:val="000000"/>
                <w:sz w:val="18"/>
                <w:szCs w:val="18"/>
                <w:lang w:eastAsia="sk-SK"/>
              </w:rPr>
            </w:pPr>
            <w:r w:rsidRPr="005F6E5F">
              <w:rPr>
                <w:rFonts w:eastAsia="Times New Roman" w:cs="Times New Roman"/>
                <w:color w:val="000000"/>
                <w:sz w:val="18"/>
                <w:szCs w:val="18"/>
                <w:lang w:eastAsia="sk-SK"/>
              </w:rPr>
              <w:t>1,8</w:t>
            </w:r>
          </w:p>
        </w:tc>
      </w:tr>
      <w:tr w:rsidR="0042635A" w:rsidRPr="005F6E5F" w14:paraId="540F1FFB" w14:textId="77777777" w:rsidTr="0042635A">
        <w:trPr>
          <w:trHeight w:val="300"/>
          <w:jc w:val="center"/>
        </w:trPr>
        <w:tc>
          <w:tcPr>
            <w:tcW w:w="5712" w:type="dxa"/>
            <w:tcBorders>
              <w:top w:val="nil"/>
              <w:left w:val="nil"/>
              <w:bottom w:val="nil"/>
              <w:right w:val="nil"/>
            </w:tcBorders>
            <w:noWrap/>
            <w:vAlign w:val="center"/>
            <w:hideMark/>
          </w:tcPr>
          <w:p w14:paraId="26390A0B" w14:textId="77777777" w:rsidR="0042635A" w:rsidRPr="005F6E5F" w:rsidRDefault="0042635A" w:rsidP="005F6E5F">
            <w:pPr>
              <w:spacing w:after="0" w:line="240" w:lineRule="auto"/>
              <w:rPr>
                <w:rFonts w:eastAsia="Times New Roman" w:cs="Times New Roman"/>
                <w:color w:val="000000"/>
                <w:sz w:val="18"/>
                <w:szCs w:val="18"/>
                <w:lang w:eastAsia="sk-SK"/>
              </w:rPr>
            </w:pPr>
            <w:r w:rsidRPr="005F6E5F">
              <w:rPr>
                <w:rFonts w:eastAsia="Times New Roman" w:cs="Times New Roman"/>
                <w:color w:val="000000"/>
                <w:sz w:val="18"/>
                <w:szCs w:val="18"/>
                <w:lang w:eastAsia="sk-SK"/>
              </w:rPr>
              <w:t>Zamestnanosť (ESA, % rast)</w:t>
            </w:r>
          </w:p>
        </w:tc>
        <w:tc>
          <w:tcPr>
            <w:tcW w:w="904" w:type="dxa"/>
            <w:tcBorders>
              <w:top w:val="nil"/>
              <w:left w:val="nil"/>
              <w:bottom w:val="nil"/>
              <w:right w:val="nil"/>
            </w:tcBorders>
            <w:noWrap/>
            <w:vAlign w:val="center"/>
            <w:hideMark/>
          </w:tcPr>
          <w:p w14:paraId="7542FD45" w14:textId="77777777" w:rsidR="0042635A" w:rsidRPr="005F6E5F" w:rsidRDefault="0042635A" w:rsidP="005F6E5F">
            <w:pPr>
              <w:spacing w:after="0" w:line="240" w:lineRule="auto"/>
              <w:jc w:val="right"/>
              <w:rPr>
                <w:rFonts w:eastAsia="Times New Roman" w:cs="Times New Roman"/>
                <w:color w:val="000000"/>
                <w:sz w:val="18"/>
                <w:szCs w:val="18"/>
                <w:lang w:eastAsia="sk-SK"/>
              </w:rPr>
            </w:pPr>
            <w:r w:rsidRPr="005F6E5F">
              <w:rPr>
                <w:rFonts w:eastAsia="Times New Roman" w:cs="Times New Roman"/>
                <w:color w:val="000000"/>
                <w:sz w:val="18"/>
                <w:szCs w:val="18"/>
                <w:lang w:eastAsia="sk-SK"/>
              </w:rPr>
              <w:t>1,4</w:t>
            </w:r>
          </w:p>
        </w:tc>
        <w:tc>
          <w:tcPr>
            <w:tcW w:w="997" w:type="dxa"/>
            <w:tcBorders>
              <w:top w:val="nil"/>
              <w:left w:val="nil"/>
              <w:bottom w:val="nil"/>
              <w:right w:val="nil"/>
            </w:tcBorders>
            <w:noWrap/>
            <w:vAlign w:val="center"/>
            <w:hideMark/>
          </w:tcPr>
          <w:p w14:paraId="25FB2B07" w14:textId="77777777" w:rsidR="0042635A" w:rsidRPr="005F6E5F" w:rsidRDefault="0042635A" w:rsidP="005F6E5F">
            <w:pPr>
              <w:spacing w:after="0" w:line="240" w:lineRule="auto"/>
              <w:jc w:val="right"/>
              <w:rPr>
                <w:rFonts w:eastAsia="Times New Roman" w:cs="Times New Roman"/>
                <w:color w:val="000000"/>
                <w:sz w:val="18"/>
                <w:szCs w:val="18"/>
                <w:lang w:eastAsia="sk-SK"/>
              </w:rPr>
            </w:pPr>
            <w:r w:rsidRPr="005F6E5F">
              <w:rPr>
                <w:rFonts w:eastAsia="Times New Roman" w:cs="Times New Roman"/>
                <w:color w:val="000000"/>
                <w:sz w:val="18"/>
                <w:szCs w:val="18"/>
                <w:lang w:eastAsia="sk-SK"/>
              </w:rPr>
              <w:t>1,6</w:t>
            </w:r>
          </w:p>
        </w:tc>
        <w:tc>
          <w:tcPr>
            <w:tcW w:w="1090" w:type="dxa"/>
            <w:tcBorders>
              <w:top w:val="nil"/>
              <w:left w:val="nil"/>
              <w:bottom w:val="nil"/>
              <w:right w:val="nil"/>
            </w:tcBorders>
            <w:shd w:val="clear" w:color="auto" w:fill="BFBFBF"/>
            <w:noWrap/>
            <w:vAlign w:val="center"/>
          </w:tcPr>
          <w:p w14:paraId="2FAE7D71" w14:textId="77777777" w:rsidR="0042635A" w:rsidRPr="005F6E5F" w:rsidRDefault="0042635A" w:rsidP="005F6E5F">
            <w:pPr>
              <w:spacing w:after="0" w:line="240" w:lineRule="auto"/>
              <w:jc w:val="right"/>
              <w:rPr>
                <w:rFonts w:eastAsia="Times New Roman" w:cs="Times New Roman"/>
                <w:color w:val="000000"/>
                <w:sz w:val="18"/>
                <w:szCs w:val="18"/>
                <w:lang w:eastAsia="sk-SK"/>
              </w:rPr>
            </w:pPr>
            <w:r w:rsidRPr="005F6E5F">
              <w:rPr>
                <w:rFonts w:eastAsia="Times New Roman" w:cs="Times New Roman"/>
                <w:color w:val="000000"/>
                <w:sz w:val="18"/>
                <w:szCs w:val="18"/>
                <w:lang w:eastAsia="sk-SK"/>
              </w:rPr>
              <w:t>1,5</w:t>
            </w:r>
          </w:p>
        </w:tc>
      </w:tr>
      <w:tr w:rsidR="0042635A" w:rsidRPr="005F6E5F" w14:paraId="0D901E72" w14:textId="77777777" w:rsidTr="0042635A">
        <w:trPr>
          <w:trHeight w:val="300"/>
          <w:jc w:val="center"/>
        </w:trPr>
        <w:tc>
          <w:tcPr>
            <w:tcW w:w="5712" w:type="dxa"/>
            <w:tcBorders>
              <w:top w:val="nil"/>
              <w:left w:val="nil"/>
              <w:bottom w:val="nil"/>
              <w:right w:val="nil"/>
            </w:tcBorders>
            <w:noWrap/>
            <w:vAlign w:val="center"/>
            <w:hideMark/>
          </w:tcPr>
          <w:p w14:paraId="634AC868" w14:textId="77777777" w:rsidR="0042635A" w:rsidRPr="005F6E5F" w:rsidRDefault="0042635A" w:rsidP="005F6E5F">
            <w:pPr>
              <w:spacing w:after="0" w:line="240" w:lineRule="auto"/>
              <w:rPr>
                <w:rFonts w:eastAsia="Times New Roman" w:cs="Times New Roman"/>
                <w:color w:val="000000"/>
                <w:sz w:val="18"/>
                <w:szCs w:val="18"/>
                <w:lang w:eastAsia="sk-SK"/>
              </w:rPr>
            </w:pPr>
            <w:r w:rsidRPr="005F6E5F">
              <w:rPr>
                <w:rFonts w:eastAsia="Times New Roman" w:cs="Times New Roman"/>
                <w:color w:val="000000"/>
                <w:sz w:val="18"/>
                <w:szCs w:val="18"/>
                <w:lang w:eastAsia="sk-SK"/>
              </w:rPr>
              <w:t>Miera nezamestnanosti (VZPS, %)</w:t>
            </w:r>
          </w:p>
        </w:tc>
        <w:tc>
          <w:tcPr>
            <w:tcW w:w="904" w:type="dxa"/>
            <w:tcBorders>
              <w:top w:val="nil"/>
              <w:left w:val="nil"/>
              <w:bottom w:val="nil"/>
              <w:right w:val="nil"/>
            </w:tcBorders>
            <w:noWrap/>
            <w:vAlign w:val="center"/>
            <w:hideMark/>
          </w:tcPr>
          <w:p w14:paraId="46F73105" w14:textId="77777777" w:rsidR="0042635A" w:rsidRPr="005F6E5F" w:rsidRDefault="0042635A" w:rsidP="005F6E5F">
            <w:pPr>
              <w:spacing w:after="0" w:line="240" w:lineRule="auto"/>
              <w:jc w:val="right"/>
              <w:rPr>
                <w:rFonts w:eastAsia="Times New Roman" w:cs="Times New Roman"/>
                <w:color w:val="000000"/>
                <w:sz w:val="18"/>
                <w:szCs w:val="18"/>
                <w:lang w:eastAsia="sk-SK"/>
              </w:rPr>
            </w:pPr>
            <w:r w:rsidRPr="005F6E5F">
              <w:rPr>
                <w:rFonts w:eastAsia="Times New Roman" w:cs="Times New Roman"/>
                <w:color w:val="000000"/>
                <w:sz w:val="18"/>
                <w:szCs w:val="18"/>
                <w:lang w:eastAsia="sk-SK"/>
              </w:rPr>
              <w:t>10,0</w:t>
            </w:r>
          </w:p>
        </w:tc>
        <w:tc>
          <w:tcPr>
            <w:tcW w:w="997" w:type="dxa"/>
            <w:tcBorders>
              <w:top w:val="nil"/>
              <w:left w:val="nil"/>
              <w:bottom w:val="nil"/>
              <w:right w:val="nil"/>
            </w:tcBorders>
            <w:noWrap/>
            <w:vAlign w:val="center"/>
            <w:hideMark/>
          </w:tcPr>
          <w:p w14:paraId="14207498" w14:textId="77777777" w:rsidR="0042635A" w:rsidRPr="005F6E5F" w:rsidRDefault="0042635A" w:rsidP="005F6E5F">
            <w:pPr>
              <w:spacing w:after="0" w:line="240" w:lineRule="auto"/>
              <w:jc w:val="right"/>
              <w:rPr>
                <w:rFonts w:eastAsia="Times New Roman" w:cs="Times New Roman"/>
                <w:color w:val="000000"/>
                <w:sz w:val="18"/>
                <w:szCs w:val="18"/>
                <w:lang w:eastAsia="sk-SK"/>
              </w:rPr>
            </w:pPr>
            <w:r w:rsidRPr="005F6E5F">
              <w:rPr>
                <w:rFonts w:eastAsia="Times New Roman" w:cs="Times New Roman"/>
                <w:color w:val="000000"/>
                <w:sz w:val="18"/>
                <w:szCs w:val="18"/>
                <w:lang w:eastAsia="sk-SK"/>
              </w:rPr>
              <w:t>9,1</w:t>
            </w:r>
          </w:p>
        </w:tc>
        <w:tc>
          <w:tcPr>
            <w:tcW w:w="1090" w:type="dxa"/>
            <w:tcBorders>
              <w:top w:val="nil"/>
              <w:left w:val="nil"/>
              <w:bottom w:val="nil"/>
              <w:right w:val="nil"/>
            </w:tcBorders>
            <w:shd w:val="clear" w:color="auto" w:fill="BFBFBF"/>
            <w:noWrap/>
            <w:vAlign w:val="center"/>
          </w:tcPr>
          <w:p w14:paraId="3C25B4A6" w14:textId="77777777" w:rsidR="0042635A" w:rsidRPr="005F6E5F" w:rsidRDefault="0042635A" w:rsidP="005F6E5F">
            <w:pPr>
              <w:spacing w:after="0" w:line="240" w:lineRule="auto"/>
              <w:jc w:val="right"/>
              <w:rPr>
                <w:rFonts w:eastAsia="Times New Roman" w:cs="Times New Roman"/>
                <w:color w:val="000000"/>
                <w:sz w:val="18"/>
                <w:szCs w:val="18"/>
                <w:lang w:eastAsia="sk-SK"/>
              </w:rPr>
            </w:pPr>
            <w:r w:rsidRPr="005F6E5F">
              <w:rPr>
                <w:rFonts w:eastAsia="Times New Roman" w:cs="Times New Roman"/>
                <w:color w:val="000000"/>
                <w:sz w:val="18"/>
                <w:szCs w:val="18"/>
                <w:lang w:eastAsia="sk-SK"/>
              </w:rPr>
              <w:t>8,2</w:t>
            </w:r>
          </w:p>
        </w:tc>
      </w:tr>
      <w:tr w:rsidR="0042635A" w:rsidRPr="005F6E5F" w14:paraId="33F07EC7" w14:textId="77777777" w:rsidTr="0042635A">
        <w:trPr>
          <w:trHeight w:val="300"/>
          <w:jc w:val="center"/>
        </w:trPr>
        <w:tc>
          <w:tcPr>
            <w:tcW w:w="5712" w:type="dxa"/>
            <w:tcBorders>
              <w:top w:val="nil"/>
              <w:left w:val="nil"/>
              <w:bottom w:val="nil"/>
              <w:right w:val="nil"/>
            </w:tcBorders>
            <w:noWrap/>
            <w:vAlign w:val="center"/>
            <w:hideMark/>
          </w:tcPr>
          <w:p w14:paraId="6CECC298" w14:textId="77777777" w:rsidR="0042635A" w:rsidRPr="005F6E5F" w:rsidRDefault="0042635A" w:rsidP="005F6E5F">
            <w:pPr>
              <w:spacing w:after="0" w:line="240" w:lineRule="auto"/>
              <w:rPr>
                <w:rFonts w:eastAsia="Times New Roman" w:cs="Times New Roman"/>
                <w:color w:val="000000"/>
                <w:sz w:val="18"/>
                <w:szCs w:val="18"/>
                <w:lang w:eastAsia="sk-SK"/>
              </w:rPr>
            </w:pPr>
            <w:r w:rsidRPr="005F6E5F">
              <w:rPr>
                <w:rFonts w:eastAsia="Times New Roman" w:cs="Times New Roman"/>
                <w:color w:val="000000"/>
                <w:sz w:val="18"/>
                <w:szCs w:val="18"/>
                <w:lang w:eastAsia="sk-SK"/>
              </w:rPr>
              <w:t>Kompenzácie na zamestnanca* (% rast)</w:t>
            </w:r>
          </w:p>
        </w:tc>
        <w:tc>
          <w:tcPr>
            <w:tcW w:w="904" w:type="dxa"/>
            <w:tcBorders>
              <w:top w:val="nil"/>
              <w:left w:val="nil"/>
              <w:bottom w:val="nil"/>
              <w:right w:val="nil"/>
            </w:tcBorders>
            <w:noWrap/>
            <w:vAlign w:val="center"/>
            <w:hideMark/>
          </w:tcPr>
          <w:p w14:paraId="51F2307D" w14:textId="77777777" w:rsidR="0042635A" w:rsidRPr="005F6E5F" w:rsidRDefault="0042635A" w:rsidP="005F6E5F">
            <w:pPr>
              <w:spacing w:after="0" w:line="240" w:lineRule="auto"/>
              <w:jc w:val="right"/>
              <w:rPr>
                <w:rFonts w:eastAsia="Times New Roman" w:cs="Times New Roman"/>
                <w:color w:val="000000"/>
                <w:sz w:val="18"/>
                <w:szCs w:val="18"/>
                <w:lang w:eastAsia="sk-SK"/>
              </w:rPr>
            </w:pPr>
            <w:r w:rsidRPr="005F6E5F">
              <w:rPr>
                <w:rFonts w:eastAsia="Times New Roman" w:cs="Times New Roman"/>
                <w:color w:val="000000"/>
                <w:sz w:val="18"/>
                <w:szCs w:val="18"/>
                <w:lang w:eastAsia="sk-SK"/>
              </w:rPr>
              <w:t>1,2</w:t>
            </w:r>
          </w:p>
        </w:tc>
        <w:tc>
          <w:tcPr>
            <w:tcW w:w="997" w:type="dxa"/>
            <w:tcBorders>
              <w:top w:val="nil"/>
              <w:left w:val="nil"/>
              <w:bottom w:val="nil"/>
              <w:right w:val="nil"/>
            </w:tcBorders>
            <w:noWrap/>
            <w:vAlign w:val="center"/>
            <w:hideMark/>
          </w:tcPr>
          <w:p w14:paraId="533AFB35" w14:textId="77777777" w:rsidR="0042635A" w:rsidRPr="005F6E5F" w:rsidRDefault="0042635A" w:rsidP="005F6E5F">
            <w:pPr>
              <w:spacing w:after="0" w:line="240" w:lineRule="auto"/>
              <w:jc w:val="right"/>
              <w:rPr>
                <w:rFonts w:eastAsia="Times New Roman" w:cs="Times New Roman"/>
                <w:color w:val="000000"/>
                <w:sz w:val="18"/>
                <w:szCs w:val="18"/>
                <w:lang w:eastAsia="sk-SK"/>
              </w:rPr>
            </w:pPr>
            <w:r w:rsidRPr="005F6E5F">
              <w:rPr>
                <w:rFonts w:eastAsia="Times New Roman" w:cs="Times New Roman"/>
                <w:color w:val="000000"/>
                <w:sz w:val="18"/>
                <w:szCs w:val="18"/>
                <w:lang w:eastAsia="sk-SK"/>
              </w:rPr>
              <w:t>1,6</w:t>
            </w:r>
          </w:p>
        </w:tc>
        <w:tc>
          <w:tcPr>
            <w:tcW w:w="1090" w:type="dxa"/>
            <w:tcBorders>
              <w:top w:val="nil"/>
              <w:left w:val="nil"/>
              <w:bottom w:val="nil"/>
              <w:right w:val="nil"/>
            </w:tcBorders>
            <w:shd w:val="clear" w:color="auto" w:fill="BFBFBF"/>
            <w:noWrap/>
            <w:vAlign w:val="center"/>
          </w:tcPr>
          <w:p w14:paraId="18C40B41" w14:textId="77777777" w:rsidR="0042635A" w:rsidRPr="005F6E5F" w:rsidRDefault="0042635A" w:rsidP="005F6E5F">
            <w:pPr>
              <w:spacing w:after="0" w:line="240" w:lineRule="auto"/>
              <w:jc w:val="right"/>
              <w:rPr>
                <w:rFonts w:eastAsia="Times New Roman" w:cs="Times New Roman"/>
                <w:color w:val="000000"/>
                <w:sz w:val="18"/>
                <w:szCs w:val="18"/>
                <w:lang w:eastAsia="sk-SK"/>
              </w:rPr>
            </w:pPr>
            <w:r w:rsidRPr="005F6E5F">
              <w:rPr>
                <w:rFonts w:eastAsia="Times New Roman" w:cs="Times New Roman"/>
                <w:color w:val="000000"/>
                <w:sz w:val="18"/>
                <w:szCs w:val="18"/>
                <w:lang w:eastAsia="sk-SK"/>
              </w:rPr>
              <w:t>2,2</w:t>
            </w:r>
          </w:p>
        </w:tc>
      </w:tr>
      <w:tr w:rsidR="0042635A" w:rsidRPr="005F6E5F" w14:paraId="7A31D7F5" w14:textId="77777777" w:rsidTr="0042635A">
        <w:trPr>
          <w:trHeight w:val="300"/>
          <w:jc w:val="center"/>
        </w:trPr>
        <w:tc>
          <w:tcPr>
            <w:tcW w:w="5712" w:type="dxa"/>
            <w:tcBorders>
              <w:top w:val="nil"/>
              <w:left w:val="nil"/>
              <w:bottom w:val="nil"/>
              <w:right w:val="nil"/>
            </w:tcBorders>
            <w:noWrap/>
            <w:vAlign w:val="center"/>
            <w:hideMark/>
          </w:tcPr>
          <w:p w14:paraId="2C3C5AAE" w14:textId="77777777" w:rsidR="0042635A" w:rsidRPr="005F6E5F" w:rsidRDefault="0042635A" w:rsidP="005F6E5F">
            <w:pPr>
              <w:spacing w:after="0" w:line="240" w:lineRule="auto"/>
              <w:rPr>
                <w:rFonts w:eastAsia="Times New Roman" w:cs="Times New Roman"/>
                <w:color w:val="000000"/>
                <w:sz w:val="18"/>
                <w:szCs w:val="18"/>
                <w:lang w:eastAsia="sk-SK"/>
              </w:rPr>
            </w:pPr>
            <w:r w:rsidRPr="005F6E5F">
              <w:rPr>
                <w:rFonts w:eastAsia="Times New Roman" w:cs="Times New Roman"/>
                <w:color w:val="000000"/>
                <w:sz w:val="18"/>
                <w:szCs w:val="18"/>
                <w:lang w:eastAsia="sk-SK"/>
              </w:rPr>
              <w:t>Miera inflácie (HICP, %)</w:t>
            </w:r>
          </w:p>
        </w:tc>
        <w:tc>
          <w:tcPr>
            <w:tcW w:w="904" w:type="dxa"/>
            <w:tcBorders>
              <w:top w:val="nil"/>
              <w:left w:val="nil"/>
              <w:bottom w:val="nil"/>
              <w:right w:val="nil"/>
            </w:tcBorders>
            <w:noWrap/>
            <w:vAlign w:val="center"/>
            <w:hideMark/>
          </w:tcPr>
          <w:p w14:paraId="226F9C81" w14:textId="77777777" w:rsidR="0042635A" w:rsidRPr="005F6E5F" w:rsidRDefault="0042635A" w:rsidP="005F6E5F">
            <w:pPr>
              <w:spacing w:after="0" w:line="240" w:lineRule="auto"/>
              <w:jc w:val="right"/>
              <w:rPr>
                <w:rFonts w:eastAsia="Times New Roman" w:cs="Times New Roman"/>
                <w:color w:val="000000"/>
                <w:sz w:val="18"/>
                <w:szCs w:val="18"/>
                <w:lang w:eastAsia="sk-SK"/>
              </w:rPr>
            </w:pPr>
            <w:r w:rsidRPr="005F6E5F">
              <w:rPr>
                <w:rFonts w:eastAsia="Times New Roman" w:cs="Times New Roman"/>
                <w:color w:val="000000"/>
                <w:sz w:val="18"/>
                <w:szCs w:val="18"/>
                <w:lang w:eastAsia="sk-SK"/>
              </w:rPr>
              <w:t>0,2</w:t>
            </w:r>
          </w:p>
        </w:tc>
        <w:tc>
          <w:tcPr>
            <w:tcW w:w="997" w:type="dxa"/>
            <w:tcBorders>
              <w:top w:val="nil"/>
              <w:left w:val="nil"/>
              <w:bottom w:val="nil"/>
              <w:right w:val="nil"/>
            </w:tcBorders>
            <w:noWrap/>
            <w:vAlign w:val="center"/>
            <w:hideMark/>
          </w:tcPr>
          <w:p w14:paraId="2ED3CBCB" w14:textId="77777777" w:rsidR="0042635A" w:rsidRPr="005F6E5F" w:rsidRDefault="0042635A" w:rsidP="005F6E5F">
            <w:pPr>
              <w:spacing w:after="0" w:line="240" w:lineRule="auto"/>
              <w:jc w:val="right"/>
              <w:rPr>
                <w:rFonts w:eastAsia="Times New Roman" w:cs="Times New Roman"/>
                <w:color w:val="000000"/>
                <w:sz w:val="18"/>
                <w:szCs w:val="18"/>
                <w:lang w:eastAsia="sk-SK"/>
              </w:rPr>
            </w:pPr>
            <w:r w:rsidRPr="005F6E5F">
              <w:rPr>
                <w:rFonts w:eastAsia="Times New Roman" w:cs="Times New Roman"/>
                <w:color w:val="000000"/>
                <w:sz w:val="18"/>
                <w:szCs w:val="18"/>
                <w:lang w:eastAsia="sk-SK"/>
              </w:rPr>
              <w:t>1,5</w:t>
            </w:r>
          </w:p>
        </w:tc>
        <w:tc>
          <w:tcPr>
            <w:tcW w:w="1090" w:type="dxa"/>
            <w:tcBorders>
              <w:top w:val="nil"/>
              <w:left w:val="nil"/>
              <w:bottom w:val="nil"/>
              <w:right w:val="nil"/>
            </w:tcBorders>
            <w:shd w:val="clear" w:color="auto" w:fill="BFBFBF"/>
            <w:noWrap/>
            <w:vAlign w:val="center"/>
          </w:tcPr>
          <w:p w14:paraId="0E3DF6CD" w14:textId="77777777" w:rsidR="0042635A" w:rsidRPr="005F6E5F" w:rsidRDefault="0042635A" w:rsidP="005F6E5F">
            <w:pPr>
              <w:spacing w:after="0" w:line="240" w:lineRule="auto"/>
              <w:jc w:val="right"/>
              <w:rPr>
                <w:rFonts w:eastAsia="Times New Roman" w:cs="Times New Roman"/>
                <w:color w:val="000000"/>
                <w:sz w:val="18"/>
                <w:szCs w:val="18"/>
                <w:lang w:eastAsia="sk-SK"/>
              </w:rPr>
            </w:pPr>
            <w:r w:rsidRPr="005F6E5F">
              <w:rPr>
                <w:rFonts w:eastAsia="Times New Roman" w:cs="Times New Roman"/>
                <w:color w:val="000000"/>
                <w:sz w:val="18"/>
                <w:szCs w:val="18"/>
                <w:lang w:eastAsia="sk-SK"/>
              </w:rPr>
              <w:t>1,8</w:t>
            </w:r>
          </w:p>
        </w:tc>
      </w:tr>
      <w:tr w:rsidR="0042635A" w:rsidRPr="005F6E5F" w14:paraId="69EBA5AD" w14:textId="77777777" w:rsidTr="0042635A">
        <w:trPr>
          <w:trHeight w:val="300"/>
          <w:jc w:val="center"/>
        </w:trPr>
        <w:tc>
          <w:tcPr>
            <w:tcW w:w="5712" w:type="dxa"/>
            <w:tcBorders>
              <w:top w:val="nil"/>
              <w:left w:val="nil"/>
              <w:bottom w:val="nil"/>
              <w:right w:val="nil"/>
            </w:tcBorders>
            <w:noWrap/>
            <w:vAlign w:val="center"/>
            <w:hideMark/>
          </w:tcPr>
          <w:p w14:paraId="6536C8C3" w14:textId="77777777" w:rsidR="0042635A" w:rsidRPr="005F6E5F" w:rsidRDefault="0042635A" w:rsidP="005F6E5F">
            <w:pPr>
              <w:spacing w:after="0" w:line="240" w:lineRule="auto"/>
              <w:rPr>
                <w:rFonts w:eastAsia="Times New Roman" w:cs="Times New Roman"/>
                <w:color w:val="000000"/>
                <w:sz w:val="18"/>
                <w:szCs w:val="18"/>
                <w:lang w:eastAsia="sk-SK"/>
              </w:rPr>
            </w:pPr>
            <w:r w:rsidRPr="005F6E5F">
              <w:rPr>
                <w:rFonts w:eastAsia="Times New Roman" w:cs="Times New Roman"/>
                <w:color w:val="000000"/>
                <w:sz w:val="18"/>
                <w:szCs w:val="18"/>
                <w:lang w:eastAsia="sk-SK"/>
              </w:rPr>
              <w:t>10 ročný nemecký dlhopis (% výnos)</w:t>
            </w:r>
          </w:p>
        </w:tc>
        <w:tc>
          <w:tcPr>
            <w:tcW w:w="904" w:type="dxa"/>
            <w:tcBorders>
              <w:top w:val="nil"/>
              <w:left w:val="nil"/>
              <w:bottom w:val="nil"/>
              <w:right w:val="nil"/>
            </w:tcBorders>
            <w:noWrap/>
            <w:vAlign w:val="center"/>
            <w:hideMark/>
          </w:tcPr>
          <w:p w14:paraId="01C0DD4D" w14:textId="77777777" w:rsidR="0042635A" w:rsidRPr="005F6E5F" w:rsidRDefault="0042635A" w:rsidP="005F6E5F">
            <w:pPr>
              <w:spacing w:after="0" w:line="240" w:lineRule="auto"/>
              <w:jc w:val="right"/>
              <w:rPr>
                <w:rFonts w:eastAsia="Times New Roman" w:cs="Times New Roman"/>
                <w:color w:val="000000"/>
                <w:sz w:val="18"/>
                <w:szCs w:val="18"/>
                <w:lang w:eastAsia="sk-SK"/>
              </w:rPr>
            </w:pPr>
            <w:r w:rsidRPr="005F6E5F">
              <w:rPr>
                <w:rFonts w:eastAsia="Times New Roman" w:cs="Times New Roman"/>
                <w:color w:val="000000"/>
                <w:sz w:val="18"/>
                <w:szCs w:val="18"/>
                <w:lang w:eastAsia="sk-SK"/>
              </w:rPr>
              <w:t>0,14 </w:t>
            </w:r>
          </w:p>
        </w:tc>
        <w:tc>
          <w:tcPr>
            <w:tcW w:w="997" w:type="dxa"/>
            <w:tcBorders>
              <w:top w:val="nil"/>
              <w:left w:val="nil"/>
              <w:bottom w:val="nil"/>
              <w:right w:val="nil"/>
            </w:tcBorders>
            <w:noWrap/>
            <w:vAlign w:val="center"/>
            <w:hideMark/>
          </w:tcPr>
          <w:p w14:paraId="5EF67B22" w14:textId="77777777" w:rsidR="0042635A" w:rsidRPr="005F6E5F" w:rsidRDefault="0042635A" w:rsidP="005F6E5F">
            <w:pPr>
              <w:spacing w:after="0" w:line="240" w:lineRule="auto"/>
              <w:jc w:val="right"/>
              <w:rPr>
                <w:rFonts w:eastAsia="Times New Roman" w:cs="Times New Roman"/>
                <w:color w:val="000000"/>
                <w:sz w:val="18"/>
                <w:szCs w:val="18"/>
                <w:lang w:eastAsia="sk-SK"/>
              </w:rPr>
            </w:pPr>
            <w:r w:rsidRPr="005F6E5F">
              <w:rPr>
                <w:rFonts w:eastAsia="Times New Roman" w:cs="Times New Roman"/>
                <w:color w:val="000000"/>
                <w:sz w:val="18"/>
                <w:szCs w:val="18"/>
                <w:lang w:eastAsia="sk-SK"/>
              </w:rPr>
              <w:t>0,39</w:t>
            </w:r>
          </w:p>
        </w:tc>
        <w:tc>
          <w:tcPr>
            <w:tcW w:w="1090" w:type="dxa"/>
            <w:tcBorders>
              <w:top w:val="nil"/>
              <w:left w:val="nil"/>
              <w:bottom w:val="nil"/>
              <w:right w:val="nil"/>
            </w:tcBorders>
            <w:shd w:val="clear" w:color="auto" w:fill="BFBFBF"/>
            <w:noWrap/>
            <w:vAlign w:val="center"/>
          </w:tcPr>
          <w:p w14:paraId="30DEAEFB" w14:textId="77777777" w:rsidR="0042635A" w:rsidRPr="005F6E5F" w:rsidRDefault="0042635A" w:rsidP="005F6E5F">
            <w:pPr>
              <w:spacing w:after="0" w:line="240" w:lineRule="auto"/>
              <w:jc w:val="right"/>
              <w:rPr>
                <w:rFonts w:eastAsia="Times New Roman" w:cs="Times New Roman"/>
                <w:color w:val="000000"/>
                <w:sz w:val="18"/>
                <w:szCs w:val="18"/>
                <w:lang w:eastAsia="sk-SK"/>
              </w:rPr>
            </w:pPr>
            <w:r w:rsidRPr="005F6E5F">
              <w:rPr>
                <w:rFonts w:eastAsia="Times New Roman" w:cs="Times New Roman"/>
                <w:color w:val="000000"/>
                <w:sz w:val="18"/>
                <w:szCs w:val="18"/>
                <w:lang w:eastAsia="sk-SK"/>
              </w:rPr>
              <w:t>0,48</w:t>
            </w:r>
          </w:p>
        </w:tc>
      </w:tr>
      <w:tr w:rsidR="0042635A" w:rsidRPr="005F6E5F" w14:paraId="688FAE78" w14:textId="77777777" w:rsidTr="0042635A">
        <w:trPr>
          <w:trHeight w:val="300"/>
          <w:jc w:val="center"/>
        </w:trPr>
        <w:tc>
          <w:tcPr>
            <w:tcW w:w="5712" w:type="dxa"/>
            <w:tcBorders>
              <w:top w:val="nil"/>
              <w:left w:val="nil"/>
              <w:bottom w:val="nil"/>
              <w:right w:val="nil"/>
            </w:tcBorders>
            <w:noWrap/>
            <w:vAlign w:val="center"/>
            <w:hideMark/>
          </w:tcPr>
          <w:p w14:paraId="103FDD87" w14:textId="77777777" w:rsidR="0042635A" w:rsidRPr="005F6E5F" w:rsidRDefault="0042635A" w:rsidP="005F6E5F">
            <w:pPr>
              <w:spacing w:after="0" w:line="240" w:lineRule="auto"/>
              <w:rPr>
                <w:rFonts w:eastAsia="Times New Roman" w:cs="Times New Roman"/>
                <w:color w:val="000000"/>
                <w:sz w:val="18"/>
                <w:szCs w:val="18"/>
                <w:lang w:eastAsia="sk-SK"/>
              </w:rPr>
            </w:pPr>
            <w:r w:rsidRPr="005F6E5F">
              <w:rPr>
                <w:rFonts w:eastAsia="Times New Roman" w:cs="Times New Roman"/>
                <w:color w:val="000000"/>
                <w:sz w:val="18"/>
                <w:szCs w:val="18"/>
                <w:lang w:eastAsia="sk-SK"/>
              </w:rPr>
              <w:t>Kurz USD/EUR (priemer roka)</w:t>
            </w:r>
          </w:p>
        </w:tc>
        <w:tc>
          <w:tcPr>
            <w:tcW w:w="904" w:type="dxa"/>
            <w:tcBorders>
              <w:top w:val="nil"/>
              <w:left w:val="nil"/>
              <w:bottom w:val="nil"/>
              <w:right w:val="nil"/>
            </w:tcBorders>
            <w:noWrap/>
            <w:vAlign w:val="center"/>
            <w:hideMark/>
          </w:tcPr>
          <w:p w14:paraId="7D224B4C" w14:textId="77777777" w:rsidR="0042635A" w:rsidRPr="005F6E5F" w:rsidRDefault="0042635A" w:rsidP="005F6E5F">
            <w:pPr>
              <w:spacing w:after="0" w:line="240" w:lineRule="auto"/>
              <w:jc w:val="right"/>
              <w:rPr>
                <w:rFonts w:eastAsia="Times New Roman" w:cs="Times New Roman"/>
                <w:color w:val="000000"/>
                <w:sz w:val="18"/>
                <w:szCs w:val="18"/>
                <w:lang w:eastAsia="sk-SK"/>
              </w:rPr>
            </w:pPr>
            <w:r w:rsidRPr="005F6E5F">
              <w:rPr>
                <w:rFonts w:eastAsia="Times New Roman" w:cs="Times New Roman"/>
                <w:color w:val="000000"/>
                <w:sz w:val="18"/>
                <w:szCs w:val="18"/>
                <w:lang w:eastAsia="sk-SK"/>
              </w:rPr>
              <w:t>1,11</w:t>
            </w:r>
          </w:p>
        </w:tc>
        <w:tc>
          <w:tcPr>
            <w:tcW w:w="997" w:type="dxa"/>
            <w:tcBorders>
              <w:top w:val="nil"/>
              <w:left w:val="nil"/>
              <w:bottom w:val="nil"/>
              <w:right w:val="nil"/>
            </w:tcBorders>
            <w:noWrap/>
            <w:vAlign w:val="center"/>
            <w:hideMark/>
          </w:tcPr>
          <w:p w14:paraId="27AF98D9" w14:textId="77777777" w:rsidR="0042635A" w:rsidRPr="005F6E5F" w:rsidRDefault="0042635A" w:rsidP="005F6E5F">
            <w:pPr>
              <w:spacing w:after="0" w:line="240" w:lineRule="auto"/>
              <w:jc w:val="right"/>
              <w:rPr>
                <w:rFonts w:eastAsia="Times New Roman" w:cs="Times New Roman"/>
                <w:color w:val="000000"/>
                <w:sz w:val="18"/>
                <w:szCs w:val="18"/>
                <w:lang w:eastAsia="sk-SK"/>
              </w:rPr>
            </w:pPr>
            <w:r w:rsidRPr="005F6E5F">
              <w:rPr>
                <w:rFonts w:eastAsia="Times New Roman" w:cs="Times New Roman"/>
                <w:color w:val="000000"/>
                <w:sz w:val="18"/>
                <w:szCs w:val="18"/>
                <w:lang w:eastAsia="sk-SK"/>
              </w:rPr>
              <w:t>1,13</w:t>
            </w:r>
          </w:p>
        </w:tc>
        <w:tc>
          <w:tcPr>
            <w:tcW w:w="1090" w:type="dxa"/>
            <w:tcBorders>
              <w:top w:val="nil"/>
              <w:left w:val="nil"/>
              <w:bottom w:val="nil"/>
              <w:right w:val="nil"/>
            </w:tcBorders>
            <w:shd w:val="clear" w:color="auto" w:fill="BFBFBF"/>
            <w:noWrap/>
            <w:vAlign w:val="center"/>
          </w:tcPr>
          <w:p w14:paraId="16878896" w14:textId="77777777" w:rsidR="0042635A" w:rsidRPr="005F6E5F" w:rsidRDefault="0042635A" w:rsidP="005F6E5F">
            <w:pPr>
              <w:spacing w:after="0" w:line="240" w:lineRule="auto"/>
              <w:jc w:val="right"/>
              <w:rPr>
                <w:rFonts w:eastAsia="Times New Roman" w:cs="Times New Roman"/>
                <w:color w:val="000000"/>
                <w:sz w:val="18"/>
                <w:szCs w:val="18"/>
                <w:lang w:eastAsia="sk-SK"/>
              </w:rPr>
            </w:pPr>
            <w:r w:rsidRPr="005F6E5F">
              <w:rPr>
                <w:rFonts w:eastAsia="Times New Roman" w:cs="Times New Roman"/>
                <w:color w:val="000000"/>
                <w:sz w:val="18"/>
                <w:szCs w:val="18"/>
                <w:lang w:eastAsia="sk-SK"/>
              </w:rPr>
              <w:t>1,18</w:t>
            </w:r>
          </w:p>
        </w:tc>
      </w:tr>
      <w:tr w:rsidR="0042635A" w:rsidRPr="005F6E5F" w14:paraId="7D9B6201" w14:textId="77777777" w:rsidTr="0042635A">
        <w:trPr>
          <w:trHeight w:val="315"/>
          <w:jc w:val="center"/>
        </w:trPr>
        <w:tc>
          <w:tcPr>
            <w:tcW w:w="5712" w:type="dxa"/>
            <w:tcBorders>
              <w:top w:val="nil"/>
              <w:left w:val="nil"/>
              <w:bottom w:val="single" w:sz="8" w:space="0" w:color="auto"/>
              <w:right w:val="nil"/>
            </w:tcBorders>
            <w:noWrap/>
            <w:vAlign w:val="center"/>
            <w:hideMark/>
          </w:tcPr>
          <w:p w14:paraId="6B251279" w14:textId="77777777" w:rsidR="0042635A" w:rsidRPr="005F6E5F" w:rsidRDefault="0042635A" w:rsidP="005F6E5F">
            <w:pPr>
              <w:spacing w:after="0" w:line="240" w:lineRule="auto"/>
              <w:rPr>
                <w:rFonts w:eastAsia="Times New Roman" w:cs="Times New Roman"/>
                <w:color w:val="000000"/>
                <w:sz w:val="18"/>
                <w:szCs w:val="18"/>
                <w:lang w:eastAsia="sk-SK"/>
              </w:rPr>
            </w:pPr>
            <w:r w:rsidRPr="005F6E5F">
              <w:rPr>
                <w:rFonts w:eastAsia="Times New Roman" w:cs="Times New Roman"/>
                <w:color w:val="000000"/>
                <w:sz w:val="18"/>
                <w:szCs w:val="18"/>
                <w:lang w:eastAsia="sk-SK"/>
              </w:rPr>
              <w:t xml:space="preserve">Cena ropy </w:t>
            </w:r>
            <w:proofErr w:type="spellStart"/>
            <w:r w:rsidRPr="005F6E5F">
              <w:rPr>
                <w:rFonts w:eastAsia="Times New Roman" w:cs="Times New Roman"/>
                <w:color w:val="000000"/>
                <w:sz w:val="18"/>
                <w:szCs w:val="18"/>
                <w:lang w:eastAsia="sk-SK"/>
              </w:rPr>
              <w:t>Brent</w:t>
            </w:r>
            <w:proofErr w:type="spellEnd"/>
            <w:r w:rsidRPr="005F6E5F">
              <w:rPr>
                <w:rFonts w:eastAsia="Times New Roman" w:cs="Times New Roman"/>
                <w:color w:val="000000"/>
                <w:sz w:val="18"/>
                <w:szCs w:val="18"/>
                <w:lang w:eastAsia="sk-SK"/>
              </w:rPr>
              <w:t xml:space="preserve"> (USD/</w:t>
            </w:r>
            <w:proofErr w:type="spellStart"/>
            <w:r w:rsidRPr="005F6E5F">
              <w:rPr>
                <w:rFonts w:eastAsia="Times New Roman" w:cs="Times New Roman"/>
                <w:color w:val="000000"/>
                <w:sz w:val="18"/>
                <w:szCs w:val="18"/>
                <w:lang w:eastAsia="sk-SK"/>
              </w:rPr>
              <w:t>bl</w:t>
            </w:r>
            <w:proofErr w:type="spellEnd"/>
            <w:r w:rsidRPr="005F6E5F">
              <w:rPr>
                <w:rFonts w:eastAsia="Times New Roman" w:cs="Times New Roman"/>
                <w:color w:val="000000"/>
                <w:sz w:val="18"/>
                <w:szCs w:val="18"/>
                <w:lang w:eastAsia="sk-SK"/>
              </w:rPr>
              <w:t>)</w:t>
            </w:r>
          </w:p>
        </w:tc>
        <w:tc>
          <w:tcPr>
            <w:tcW w:w="904" w:type="dxa"/>
            <w:tcBorders>
              <w:top w:val="nil"/>
              <w:left w:val="nil"/>
              <w:bottom w:val="single" w:sz="8" w:space="0" w:color="auto"/>
              <w:right w:val="nil"/>
            </w:tcBorders>
            <w:noWrap/>
            <w:vAlign w:val="center"/>
            <w:hideMark/>
          </w:tcPr>
          <w:p w14:paraId="0842A6D8" w14:textId="77777777" w:rsidR="0042635A" w:rsidRPr="005F6E5F" w:rsidRDefault="0042635A" w:rsidP="005F6E5F">
            <w:pPr>
              <w:spacing w:after="0" w:line="240" w:lineRule="auto"/>
              <w:jc w:val="right"/>
              <w:rPr>
                <w:rFonts w:eastAsia="Times New Roman" w:cs="Times New Roman"/>
                <w:color w:val="000000"/>
                <w:sz w:val="18"/>
                <w:szCs w:val="18"/>
                <w:lang w:eastAsia="sk-SK"/>
              </w:rPr>
            </w:pPr>
            <w:r w:rsidRPr="005F6E5F">
              <w:rPr>
                <w:rFonts w:eastAsia="Times New Roman" w:cs="Times New Roman"/>
                <w:color w:val="000000"/>
                <w:sz w:val="18"/>
                <w:szCs w:val="18"/>
                <w:lang w:eastAsia="sk-SK"/>
              </w:rPr>
              <w:t>45,0</w:t>
            </w:r>
          </w:p>
        </w:tc>
        <w:tc>
          <w:tcPr>
            <w:tcW w:w="997" w:type="dxa"/>
            <w:tcBorders>
              <w:top w:val="nil"/>
              <w:left w:val="nil"/>
              <w:bottom w:val="single" w:sz="8" w:space="0" w:color="auto"/>
              <w:right w:val="nil"/>
            </w:tcBorders>
            <w:noWrap/>
            <w:vAlign w:val="center"/>
            <w:hideMark/>
          </w:tcPr>
          <w:p w14:paraId="00075BC1" w14:textId="77777777" w:rsidR="0042635A" w:rsidRPr="005F6E5F" w:rsidRDefault="0042635A" w:rsidP="005F6E5F">
            <w:pPr>
              <w:spacing w:after="0" w:line="240" w:lineRule="auto"/>
              <w:jc w:val="right"/>
              <w:rPr>
                <w:rFonts w:eastAsia="Times New Roman" w:cs="Times New Roman"/>
                <w:color w:val="000000"/>
                <w:sz w:val="18"/>
                <w:szCs w:val="18"/>
                <w:lang w:eastAsia="sk-SK"/>
              </w:rPr>
            </w:pPr>
            <w:r w:rsidRPr="005F6E5F">
              <w:rPr>
                <w:rFonts w:eastAsia="Times New Roman" w:cs="Times New Roman"/>
                <w:color w:val="000000"/>
                <w:sz w:val="18"/>
                <w:szCs w:val="18"/>
                <w:lang w:eastAsia="sk-SK"/>
              </w:rPr>
              <w:t>54,8</w:t>
            </w:r>
          </w:p>
        </w:tc>
        <w:tc>
          <w:tcPr>
            <w:tcW w:w="1090" w:type="dxa"/>
            <w:tcBorders>
              <w:top w:val="nil"/>
              <w:left w:val="nil"/>
              <w:bottom w:val="single" w:sz="8" w:space="0" w:color="auto"/>
              <w:right w:val="nil"/>
            </w:tcBorders>
            <w:shd w:val="clear" w:color="auto" w:fill="BFBFBF"/>
            <w:noWrap/>
            <w:vAlign w:val="center"/>
          </w:tcPr>
          <w:p w14:paraId="35579FD4" w14:textId="77777777" w:rsidR="0042635A" w:rsidRPr="005F6E5F" w:rsidRDefault="0042635A" w:rsidP="005F6E5F">
            <w:pPr>
              <w:spacing w:after="0" w:line="240" w:lineRule="auto"/>
              <w:jc w:val="right"/>
              <w:rPr>
                <w:rFonts w:eastAsia="Times New Roman" w:cs="Times New Roman"/>
                <w:color w:val="000000"/>
                <w:sz w:val="18"/>
                <w:szCs w:val="18"/>
                <w:lang w:eastAsia="sk-SK"/>
              </w:rPr>
            </w:pPr>
            <w:r w:rsidRPr="005F6E5F">
              <w:rPr>
                <w:rFonts w:eastAsia="Times New Roman" w:cs="Times New Roman"/>
                <w:color w:val="000000"/>
                <w:sz w:val="18"/>
                <w:szCs w:val="18"/>
                <w:lang w:eastAsia="sk-SK"/>
              </w:rPr>
              <w:t>71,5</w:t>
            </w:r>
          </w:p>
        </w:tc>
      </w:tr>
    </w:tbl>
    <w:p w14:paraId="3F61A81D" w14:textId="1966F378" w:rsidR="00577A5E" w:rsidRPr="00577A5E" w:rsidRDefault="00577A5E" w:rsidP="00577A5E">
      <w:pPr>
        <w:rPr>
          <w:iCs/>
          <w:color w:val="000000"/>
          <w:sz w:val="20"/>
          <w:szCs w:val="20"/>
        </w:rPr>
      </w:pPr>
      <w:r w:rsidRPr="00577A5E">
        <w:rPr>
          <w:iCs/>
          <w:color w:val="000000"/>
          <w:sz w:val="20"/>
          <w:szCs w:val="20"/>
          <w:vertAlign w:val="superscript"/>
        </w:rPr>
        <w:t>*</w:t>
      </w:r>
      <w:r w:rsidRPr="00577A5E">
        <w:rPr>
          <w:color w:val="1F497D"/>
          <w:sz w:val="20"/>
          <w:szCs w:val="20"/>
        </w:rPr>
        <w:t xml:space="preserve"> </w:t>
      </w:r>
      <w:r w:rsidRPr="00577A5E">
        <w:rPr>
          <w:iCs/>
          <w:color w:val="000000"/>
          <w:sz w:val="20"/>
          <w:szCs w:val="20"/>
        </w:rPr>
        <w:t>suma všetkých miezd a odvodov na jedného zamestnanca v ekonomike („</w:t>
      </w:r>
      <w:proofErr w:type="spellStart"/>
      <w:r w:rsidRPr="00577A5E">
        <w:rPr>
          <w:iCs/>
          <w:color w:val="000000"/>
          <w:sz w:val="20"/>
          <w:szCs w:val="20"/>
        </w:rPr>
        <w:t>superhrubá</w:t>
      </w:r>
      <w:proofErr w:type="spellEnd"/>
      <w:r w:rsidRPr="00577A5E">
        <w:rPr>
          <w:iCs/>
          <w:color w:val="000000"/>
          <w:sz w:val="20"/>
          <w:szCs w:val="20"/>
        </w:rPr>
        <w:t>“ mzda</w:t>
      </w:r>
      <w:r w:rsidRPr="00577A5E">
        <w:rPr>
          <w:color w:val="1F497D"/>
          <w:sz w:val="20"/>
          <w:szCs w:val="20"/>
        </w:rPr>
        <w:t>)</w:t>
      </w:r>
      <w:r w:rsidRPr="00577A5E">
        <w:rPr>
          <w:iCs/>
          <w:color w:val="000000"/>
          <w:sz w:val="20"/>
          <w:szCs w:val="20"/>
        </w:rPr>
        <w:t>, podľa EK z</w:t>
      </w:r>
      <w:r>
        <w:rPr>
          <w:iCs/>
          <w:color w:val="000000"/>
          <w:sz w:val="20"/>
          <w:szCs w:val="20"/>
        </w:rPr>
        <w:t> </w:t>
      </w:r>
      <w:r w:rsidRPr="00577A5E">
        <w:rPr>
          <w:iCs/>
          <w:color w:val="000000"/>
          <w:sz w:val="20"/>
          <w:szCs w:val="20"/>
        </w:rPr>
        <w:t>AMECO</w:t>
      </w:r>
      <w:r>
        <w:rPr>
          <w:iCs/>
          <w:color w:val="000000"/>
          <w:sz w:val="20"/>
          <w:szCs w:val="20"/>
        </w:rPr>
        <w:tab/>
      </w:r>
      <w:r>
        <w:rPr>
          <w:iCs/>
          <w:color w:val="000000"/>
          <w:sz w:val="20"/>
          <w:szCs w:val="20"/>
        </w:rPr>
        <w:tab/>
      </w:r>
      <w:r>
        <w:rPr>
          <w:iCs/>
          <w:color w:val="000000"/>
          <w:sz w:val="20"/>
          <w:szCs w:val="20"/>
        </w:rPr>
        <w:tab/>
      </w:r>
      <w:r>
        <w:rPr>
          <w:iCs/>
          <w:color w:val="000000"/>
          <w:sz w:val="20"/>
          <w:szCs w:val="20"/>
        </w:rPr>
        <w:tab/>
      </w:r>
      <w:r>
        <w:rPr>
          <w:iCs/>
          <w:color w:val="000000"/>
          <w:sz w:val="20"/>
          <w:szCs w:val="20"/>
        </w:rPr>
        <w:tab/>
      </w:r>
      <w:r>
        <w:rPr>
          <w:iCs/>
          <w:color w:val="000000"/>
          <w:sz w:val="20"/>
          <w:szCs w:val="20"/>
        </w:rPr>
        <w:tab/>
      </w:r>
      <w:r>
        <w:rPr>
          <w:iCs/>
          <w:color w:val="000000"/>
          <w:sz w:val="20"/>
          <w:szCs w:val="20"/>
        </w:rPr>
        <w:tab/>
        <w:t xml:space="preserve">            Zdroj: </w:t>
      </w:r>
      <w:proofErr w:type="spellStart"/>
      <w:r>
        <w:rPr>
          <w:iCs/>
          <w:color w:val="000000"/>
          <w:sz w:val="20"/>
          <w:szCs w:val="20"/>
        </w:rPr>
        <w:t>Eurostat</w:t>
      </w:r>
      <w:proofErr w:type="spellEnd"/>
      <w:r>
        <w:rPr>
          <w:iCs/>
          <w:color w:val="000000"/>
          <w:sz w:val="20"/>
          <w:szCs w:val="20"/>
        </w:rPr>
        <w:t xml:space="preserve">, </w:t>
      </w:r>
      <w:proofErr w:type="spellStart"/>
      <w:r>
        <w:rPr>
          <w:iCs/>
          <w:color w:val="000000"/>
          <w:sz w:val="20"/>
          <w:szCs w:val="20"/>
        </w:rPr>
        <w:t>Bloomberg</w:t>
      </w:r>
      <w:proofErr w:type="spellEnd"/>
    </w:p>
    <w:p w14:paraId="7134557C" w14:textId="77777777" w:rsidR="005F5B88" w:rsidRDefault="005F5B88" w:rsidP="0042635A">
      <w:pPr>
        <w:pStyle w:val="Nadpis2"/>
      </w:pPr>
      <w:bookmarkStart w:id="6" w:name="_Toc6415628"/>
      <w:bookmarkStart w:id="7" w:name="_Toc7502820"/>
      <w:r>
        <w:t>Makroekonomický vývoj SR</w:t>
      </w:r>
      <w:bookmarkEnd w:id="6"/>
      <w:bookmarkEnd w:id="7"/>
    </w:p>
    <w:p w14:paraId="7FC076D8" w14:textId="77777777" w:rsidR="005F5B88" w:rsidRDefault="005F5B88" w:rsidP="00C34E95">
      <w:pPr>
        <w:pStyle w:val="Nadpis3"/>
      </w:pPr>
      <w:bookmarkStart w:id="8" w:name="_Toc6415629"/>
      <w:bookmarkStart w:id="9" w:name="_Toc7502821"/>
      <w:r>
        <w:t xml:space="preserve">Hrubý domáci </w:t>
      </w:r>
      <w:r w:rsidRPr="0042635A">
        <w:t>produkt</w:t>
      </w:r>
      <w:bookmarkEnd w:id="8"/>
      <w:bookmarkEnd w:id="9"/>
    </w:p>
    <w:p w14:paraId="775A6612" w14:textId="77777777" w:rsidR="0042635A" w:rsidRDefault="0042635A" w:rsidP="0042635A">
      <w:r w:rsidRPr="00F92E6B">
        <w:t>Slovenská ekonomika vlani vzrástla o 4,1 %. Najväčší príspevok k rastu zaznamenali investície a spotreba domácností. Export v druhom polroku rástol najmä vďaka automobilovému priemyslu, keď výraznejšie stúpla nová produkcia vo Volkswagene (VW). Nová produkcia v JLR začala nabiehať iba postupne. Celoročnú produkciu automobilov na Slovensku na úrovni 1 080 000 tak JLR ovplyvnila zatiaľ iba minimálne.</w:t>
      </w:r>
    </w:p>
    <w:p w14:paraId="4DCB3639" w14:textId="2D698F27" w:rsidR="005F6E5F" w:rsidRDefault="0042635A" w:rsidP="0042635A">
      <w:r>
        <w:t>Zo sektorového pohľadu k reálnemu rastu HDP v roku 2018 najviac prispela pridaná hodnota v službách s rastom o 3,1 % (príspevok k rastu HDP 1,8 p.</w:t>
      </w:r>
      <w:r w:rsidR="00EC1909">
        <w:t xml:space="preserve"> </w:t>
      </w:r>
      <w:r>
        <w:t>b.). Pridaná hodnota v stavebníctve prudko stúpla o 8,3 % (príspevok k rastu HDP 0,7 p.</w:t>
      </w:r>
      <w:r w:rsidR="00EC1909">
        <w:t xml:space="preserve"> </w:t>
      </w:r>
      <w:r>
        <w:t>b.), čo je dané vysokou dynamikou investícií. Pridaná hodnota v priemysle vzrástla o 3,3 % (príspevok k rastu HDP 1 p.</w:t>
      </w:r>
      <w:r w:rsidR="00EC1909">
        <w:t xml:space="preserve"> </w:t>
      </w:r>
      <w:r>
        <w:t>b.).</w:t>
      </w:r>
    </w:p>
    <w:p w14:paraId="34230EE2" w14:textId="77777777" w:rsidR="005F6E5F" w:rsidRDefault="005F6E5F">
      <w:pPr>
        <w:spacing w:after="160" w:line="259" w:lineRule="auto"/>
        <w:jc w:val="left"/>
      </w:pPr>
      <w:r>
        <w:br w:type="page"/>
      </w:r>
    </w:p>
    <w:tbl>
      <w:tblPr>
        <w:tblW w:w="9017" w:type="dxa"/>
        <w:tblInd w:w="70" w:type="dxa"/>
        <w:tblCellMar>
          <w:left w:w="70" w:type="dxa"/>
          <w:right w:w="70" w:type="dxa"/>
        </w:tblCellMar>
        <w:tblLook w:val="04A0" w:firstRow="1" w:lastRow="0" w:firstColumn="1" w:lastColumn="0" w:noHBand="0" w:noVBand="1"/>
      </w:tblPr>
      <w:tblGrid>
        <w:gridCol w:w="1560"/>
        <w:gridCol w:w="951"/>
        <w:gridCol w:w="605"/>
        <w:gridCol w:w="605"/>
        <w:gridCol w:w="581"/>
        <w:gridCol w:w="4715"/>
      </w:tblGrid>
      <w:tr w:rsidR="0042635A" w:rsidRPr="0042635A" w14:paraId="1599C00A" w14:textId="77777777" w:rsidTr="0042635A">
        <w:trPr>
          <w:trHeight w:val="342"/>
        </w:trPr>
        <w:tc>
          <w:tcPr>
            <w:tcW w:w="9017" w:type="dxa"/>
            <w:gridSpan w:val="6"/>
            <w:tcBorders>
              <w:top w:val="nil"/>
              <w:left w:val="nil"/>
              <w:bottom w:val="nil"/>
              <w:right w:val="nil"/>
            </w:tcBorders>
            <w:shd w:val="clear" w:color="000000" w:fill="000000"/>
            <w:vAlign w:val="center"/>
            <w:hideMark/>
          </w:tcPr>
          <w:p w14:paraId="05AE9513" w14:textId="5B6BCCDF" w:rsidR="0042635A" w:rsidRPr="0042635A" w:rsidRDefault="007A0434" w:rsidP="0042635A">
            <w:pPr>
              <w:rPr>
                <w:rFonts w:cs="Times New Roman"/>
                <w:b/>
                <w:bCs/>
                <w:color w:val="FFFFFF"/>
                <w:sz w:val="20"/>
              </w:rPr>
            </w:pPr>
            <w:r>
              <w:rPr>
                <w:rFonts w:cs="Times New Roman"/>
                <w:b/>
                <w:bCs/>
                <w:color w:val="FFFFFF"/>
                <w:sz w:val="20"/>
              </w:rPr>
              <w:t xml:space="preserve">Vývoj HDP a jeho hlavných </w:t>
            </w:r>
            <w:r w:rsidR="0042635A" w:rsidRPr="0042635A">
              <w:rPr>
                <w:rFonts w:cs="Times New Roman"/>
                <w:b/>
                <w:bCs/>
                <w:color w:val="FFFFFF"/>
                <w:sz w:val="20"/>
              </w:rPr>
              <w:t xml:space="preserve">zložiek </w:t>
            </w:r>
          </w:p>
        </w:tc>
      </w:tr>
      <w:tr w:rsidR="0042635A" w:rsidRPr="0042635A" w14:paraId="3B47AD41" w14:textId="77777777" w:rsidTr="005F6E5F">
        <w:trPr>
          <w:trHeight w:val="342"/>
        </w:trPr>
        <w:tc>
          <w:tcPr>
            <w:tcW w:w="2511" w:type="dxa"/>
            <w:gridSpan w:val="2"/>
            <w:tcBorders>
              <w:top w:val="nil"/>
              <w:left w:val="nil"/>
              <w:bottom w:val="single" w:sz="4" w:space="0" w:color="auto"/>
              <w:right w:val="nil"/>
            </w:tcBorders>
            <w:shd w:val="clear" w:color="auto" w:fill="BFBFBF"/>
            <w:vAlign w:val="center"/>
            <w:hideMark/>
          </w:tcPr>
          <w:p w14:paraId="4668F3B5" w14:textId="77777777" w:rsidR="0042635A" w:rsidRPr="0042635A" w:rsidRDefault="0042635A" w:rsidP="007E5EA0">
            <w:pPr>
              <w:jc w:val="left"/>
              <w:rPr>
                <w:rFonts w:cs="Times New Roman"/>
                <w:b/>
                <w:bCs/>
                <w:color w:val="000000"/>
                <w:sz w:val="18"/>
                <w:szCs w:val="18"/>
              </w:rPr>
            </w:pPr>
            <w:r w:rsidRPr="0042635A">
              <w:rPr>
                <w:rFonts w:cs="Times New Roman"/>
                <w:b/>
                <w:bCs/>
                <w:color w:val="000000"/>
                <w:sz w:val="18"/>
                <w:szCs w:val="16"/>
              </w:rPr>
              <w:t>reálny rast v %</w:t>
            </w:r>
          </w:p>
        </w:tc>
        <w:tc>
          <w:tcPr>
            <w:tcW w:w="605" w:type="dxa"/>
            <w:tcBorders>
              <w:top w:val="nil"/>
              <w:left w:val="nil"/>
              <w:bottom w:val="single" w:sz="4" w:space="0" w:color="auto"/>
              <w:right w:val="nil"/>
            </w:tcBorders>
            <w:shd w:val="clear" w:color="auto" w:fill="BFBFBF"/>
            <w:vAlign w:val="center"/>
            <w:hideMark/>
          </w:tcPr>
          <w:p w14:paraId="435A49CF" w14:textId="77777777" w:rsidR="0042635A" w:rsidRPr="0042635A" w:rsidRDefault="0042635A" w:rsidP="0042635A">
            <w:pPr>
              <w:jc w:val="center"/>
              <w:rPr>
                <w:rFonts w:cs="Times New Roman"/>
                <w:b/>
                <w:bCs/>
                <w:color w:val="000000"/>
                <w:sz w:val="18"/>
                <w:szCs w:val="18"/>
              </w:rPr>
            </w:pPr>
            <w:r w:rsidRPr="0042635A">
              <w:rPr>
                <w:rFonts w:cs="Times New Roman"/>
                <w:b/>
                <w:bCs/>
                <w:color w:val="000000"/>
                <w:sz w:val="18"/>
                <w:szCs w:val="16"/>
              </w:rPr>
              <w:t>2016</w:t>
            </w:r>
          </w:p>
        </w:tc>
        <w:tc>
          <w:tcPr>
            <w:tcW w:w="605" w:type="dxa"/>
            <w:tcBorders>
              <w:top w:val="nil"/>
              <w:left w:val="nil"/>
              <w:bottom w:val="single" w:sz="4" w:space="0" w:color="auto"/>
              <w:right w:val="nil"/>
            </w:tcBorders>
            <w:shd w:val="clear" w:color="auto" w:fill="BFBFBF"/>
            <w:vAlign w:val="center"/>
            <w:hideMark/>
          </w:tcPr>
          <w:p w14:paraId="79CE68FB" w14:textId="77777777" w:rsidR="0042635A" w:rsidRPr="0042635A" w:rsidRDefault="0042635A" w:rsidP="0042635A">
            <w:pPr>
              <w:jc w:val="center"/>
              <w:rPr>
                <w:rFonts w:cs="Times New Roman"/>
                <w:b/>
                <w:bCs/>
                <w:color w:val="000000"/>
                <w:sz w:val="18"/>
                <w:szCs w:val="18"/>
              </w:rPr>
            </w:pPr>
            <w:r w:rsidRPr="0042635A">
              <w:rPr>
                <w:rFonts w:cs="Times New Roman"/>
                <w:b/>
                <w:bCs/>
                <w:color w:val="000000"/>
                <w:sz w:val="18"/>
                <w:szCs w:val="16"/>
              </w:rPr>
              <w:t>2017</w:t>
            </w:r>
          </w:p>
        </w:tc>
        <w:tc>
          <w:tcPr>
            <w:tcW w:w="581" w:type="dxa"/>
            <w:tcBorders>
              <w:top w:val="nil"/>
              <w:left w:val="nil"/>
              <w:bottom w:val="single" w:sz="4" w:space="0" w:color="auto"/>
              <w:right w:val="nil"/>
            </w:tcBorders>
            <w:shd w:val="clear" w:color="auto" w:fill="BFBFBF"/>
            <w:vAlign w:val="center"/>
            <w:hideMark/>
          </w:tcPr>
          <w:p w14:paraId="7E9E5CC4" w14:textId="77777777" w:rsidR="0042635A" w:rsidRPr="0042635A" w:rsidRDefault="0042635A" w:rsidP="0042635A">
            <w:pPr>
              <w:jc w:val="center"/>
              <w:rPr>
                <w:rFonts w:cs="Times New Roman"/>
                <w:b/>
                <w:bCs/>
                <w:color w:val="000000"/>
                <w:sz w:val="18"/>
                <w:szCs w:val="18"/>
              </w:rPr>
            </w:pPr>
            <w:r w:rsidRPr="0042635A">
              <w:rPr>
                <w:rFonts w:cs="Times New Roman"/>
                <w:b/>
                <w:bCs/>
                <w:color w:val="000000"/>
                <w:sz w:val="18"/>
                <w:szCs w:val="16"/>
              </w:rPr>
              <w:t>2018</w:t>
            </w:r>
          </w:p>
        </w:tc>
        <w:tc>
          <w:tcPr>
            <w:tcW w:w="4715" w:type="dxa"/>
            <w:vMerge w:val="restart"/>
            <w:tcBorders>
              <w:top w:val="nil"/>
              <w:left w:val="nil"/>
              <w:bottom w:val="single" w:sz="4" w:space="0" w:color="auto"/>
              <w:right w:val="nil"/>
            </w:tcBorders>
            <w:shd w:val="clear" w:color="auto" w:fill="auto"/>
            <w:hideMark/>
          </w:tcPr>
          <w:p w14:paraId="1C59C783" w14:textId="77777777" w:rsidR="0042635A" w:rsidRPr="0042635A" w:rsidRDefault="0042635A" w:rsidP="0042635A">
            <w:pPr>
              <w:jc w:val="center"/>
              <w:rPr>
                <w:rFonts w:cs="Times New Roman"/>
                <w:b/>
                <w:bCs/>
                <w:color w:val="000000"/>
                <w:sz w:val="18"/>
                <w:szCs w:val="18"/>
              </w:rPr>
            </w:pPr>
            <w:r w:rsidRPr="0042635A">
              <w:rPr>
                <w:rFonts w:cs="Times New Roman"/>
                <w:noProof/>
                <w:lang w:eastAsia="sk-SK"/>
              </w:rPr>
              <w:drawing>
                <wp:inline distT="0" distB="0" distL="0" distR="0" wp14:anchorId="70A95844" wp14:editId="02C8A0D2">
                  <wp:extent cx="2905125" cy="2085975"/>
                  <wp:effectExtent l="0" t="0" r="0" b="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A43BEA" w:rsidRPr="005F6E5F" w14:paraId="7AFB74F5" w14:textId="77777777" w:rsidTr="00F61D9C">
        <w:trPr>
          <w:trHeight w:val="342"/>
        </w:trPr>
        <w:tc>
          <w:tcPr>
            <w:tcW w:w="2511" w:type="dxa"/>
            <w:gridSpan w:val="2"/>
            <w:tcBorders>
              <w:top w:val="nil"/>
              <w:left w:val="nil"/>
              <w:bottom w:val="nil"/>
              <w:right w:val="nil"/>
            </w:tcBorders>
            <w:shd w:val="clear" w:color="auto" w:fill="auto"/>
            <w:hideMark/>
          </w:tcPr>
          <w:p w14:paraId="47CE6716" w14:textId="4AE7231D" w:rsidR="00A43BEA" w:rsidRPr="005F6E5F" w:rsidRDefault="00A43BEA" w:rsidP="00A43BEA">
            <w:pPr>
              <w:spacing w:after="0" w:line="240" w:lineRule="auto"/>
              <w:rPr>
                <w:rFonts w:eastAsia="Times New Roman" w:cs="Times New Roman"/>
                <w:b/>
                <w:color w:val="000000"/>
                <w:sz w:val="18"/>
                <w:szCs w:val="18"/>
                <w:lang w:eastAsia="sk-SK"/>
              </w:rPr>
            </w:pPr>
            <w:r>
              <w:rPr>
                <w:b/>
                <w:bCs/>
                <w:color w:val="000000"/>
                <w:sz w:val="18"/>
                <w:szCs w:val="18"/>
              </w:rPr>
              <w:t xml:space="preserve">HDP </w:t>
            </w:r>
          </w:p>
        </w:tc>
        <w:tc>
          <w:tcPr>
            <w:tcW w:w="605" w:type="dxa"/>
            <w:tcBorders>
              <w:top w:val="nil"/>
              <w:left w:val="nil"/>
              <w:bottom w:val="nil"/>
              <w:right w:val="nil"/>
            </w:tcBorders>
            <w:shd w:val="clear" w:color="auto" w:fill="auto"/>
            <w:hideMark/>
          </w:tcPr>
          <w:p w14:paraId="545593FA" w14:textId="0F7F54E5" w:rsidR="00A43BEA" w:rsidRPr="005F6E5F" w:rsidRDefault="00A43BEA" w:rsidP="00A43BEA">
            <w:pPr>
              <w:spacing w:after="0" w:line="240" w:lineRule="auto"/>
              <w:jc w:val="right"/>
              <w:rPr>
                <w:rFonts w:eastAsia="Times New Roman" w:cs="Times New Roman"/>
                <w:b/>
                <w:color w:val="000000"/>
                <w:sz w:val="18"/>
                <w:szCs w:val="18"/>
                <w:lang w:eastAsia="sk-SK"/>
              </w:rPr>
            </w:pPr>
            <w:r>
              <w:rPr>
                <w:b/>
                <w:bCs/>
                <w:color w:val="000000"/>
                <w:sz w:val="18"/>
                <w:szCs w:val="18"/>
              </w:rPr>
              <w:t>3,1</w:t>
            </w:r>
          </w:p>
        </w:tc>
        <w:tc>
          <w:tcPr>
            <w:tcW w:w="605" w:type="dxa"/>
            <w:tcBorders>
              <w:top w:val="nil"/>
              <w:left w:val="nil"/>
              <w:bottom w:val="nil"/>
              <w:right w:val="nil"/>
            </w:tcBorders>
            <w:shd w:val="clear" w:color="auto" w:fill="auto"/>
            <w:hideMark/>
          </w:tcPr>
          <w:p w14:paraId="721AC79E" w14:textId="4E8211C6" w:rsidR="00A43BEA" w:rsidRPr="005F6E5F" w:rsidRDefault="00A43BEA" w:rsidP="00A43BEA">
            <w:pPr>
              <w:spacing w:after="0" w:line="240" w:lineRule="auto"/>
              <w:jc w:val="right"/>
              <w:rPr>
                <w:rFonts w:eastAsia="Times New Roman" w:cs="Times New Roman"/>
                <w:b/>
                <w:color w:val="000000"/>
                <w:sz w:val="18"/>
                <w:szCs w:val="18"/>
                <w:lang w:eastAsia="sk-SK"/>
              </w:rPr>
            </w:pPr>
            <w:r>
              <w:rPr>
                <w:b/>
                <w:bCs/>
                <w:color w:val="000000"/>
                <w:sz w:val="18"/>
                <w:szCs w:val="18"/>
              </w:rPr>
              <w:t>3,2</w:t>
            </w:r>
          </w:p>
        </w:tc>
        <w:tc>
          <w:tcPr>
            <w:tcW w:w="581" w:type="dxa"/>
            <w:tcBorders>
              <w:top w:val="nil"/>
              <w:left w:val="nil"/>
              <w:bottom w:val="nil"/>
              <w:right w:val="nil"/>
            </w:tcBorders>
            <w:shd w:val="clear" w:color="auto" w:fill="BFBFBF" w:themeFill="background1" w:themeFillShade="BF"/>
            <w:hideMark/>
          </w:tcPr>
          <w:p w14:paraId="0868E486" w14:textId="24E9EB83" w:rsidR="00A43BEA" w:rsidRPr="005F6E5F" w:rsidRDefault="00A43BEA" w:rsidP="00A43BEA">
            <w:pPr>
              <w:spacing w:after="0" w:line="240" w:lineRule="auto"/>
              <w:jc w:val="right"/>
              <w:rPr>
                <w:rFonts w:eastAsia="Times New Roman" w:cs="Times New Roman"/>
                <w:b/>
                <w:color w:val="000000"/>
                <w:sz w:val="18"/>
                <w:szCs w:val="18"/>
                <w:lang w:eastAsia="sk-SK"/>
              </w:rPr>
            </w:pPr>
            <w:r>
              <w:rPr>
                <w:b/>
                <w:bCs/>
                <w:color w:val="000000"/>
                <w:sz w:val="18"/>
                <w:szCs w:val="18"/>
              </w:rPr>
              <w:t>4,1</w:t>
            </w:r>
          </w:p>
        </w:tc>
        <w:tc>
          <w:tcPr>
            <w:tcW w:w="4715" w:type="dxa"/>
            <w:vMerge/>
            <w:tcBorders>
              <w:top w:val="nil"/>
              <w:left w:val="nil"/>
              <w:bottom w:val="single" w:sz="4" w:space="0" w:color="auto"/>
              <w:right w:val="nil"/>
            </w:tcBorders>
            <w:vAlign w:val="center"/>
            <w:hideMark/>
          </w:tcPr>
          <w:p w14:paraId="3B13A05A" w14:textId="77777777" w:rsidR="00A43BEA" w:rsidRPr="005F6E5F" w:rsidRDefault="00A43BEA" w:rsidP="00A43BEA">
            <w:pPr>
              <w:spacing w:after="0" w:line="240" w:lineRule="auto"/>
              <w:rPr>
                <w:rFonts w:eastAsia="Times New Roman" w:cs="Times New Roman"/>
                <w:b/>
                <w:color w:val="000000"/>
                <w:sz w:val="18"/>
                <w:szCs w:val="18"/>
                <w:lang w:eastAsia="sk-SK"/>
              </w:rPr>
            </w:pPr>
          </w:p>
        </w:tc>
      </w:tr>
      <w:tr w:rsidR="003F16BB" w:rsidRPr="005F6E5F" w14:paraId="4A732D8E" w14:textId="77777777" w:rsidTr="00F61D9C">
        <w:trPr>
          <w:trHeight w:val="342"/>
        </w:trPr>
        <w:tc>
          <w:tcPr>
            <w:tcW w:w="2511" w:type="dxa"/>
            <w:gridSpan w:val="2"/>
            <w:tcBorders>
              <w:top w:val="nil"/>
              <w:left w:val="nil"/>
              <w:bottom w:val="nil"/>
              <w:right w:val="nil"/>
            </w:tcBorders>
            <w:shd w:val="clear" w:color="auto" w:fill="auto"/>
          </w:tcPr>
          <w:p w14:paraId="0A3C05DA" w14:textId="77777777" w:rsidR="003F16BB" w:rsidRDefault="003F16BB" w:rsidP="00A43BEA">
            <w:pPr>
              <w:spacing w:after="0" w:line="240" w:lineRule="auto"/>
              <w:rPr>
                <w:b/>
                <w:bCs/>
                <w:color w:val="000000"/>
                <w:sz w:val="18"/>
                <w:szCs w:val="18"/>
              </w:rPr>
            </w:pPr>
          </w:p>
        </w:tc>
        <w:tc>
          <w:tcPr>
            <w:tcW w:w="605" w:type="dxa"/>
            <w:tcBorders>
              <w:top w:val="nil"/>
              <w:left w:val="nil"/>
              <w:bottom w:val="nil"/>
              <w:right w:val="nil"/>
            </w:tcBorders>
            <w:shd w:val="clear" w:color="auto" w:fill="auto"/>
          </w:tcPr>
          <w:p w14:paraId="3BB9384A" w14:textId="77777777" w:rsidR="003F16BB" w:rsidRDefault="003F16BB" w:rsidP="00A43BEA">
            <w:pPr>
              <w:spacing w:after="0" w:line="240" w:lineRule="auto"/>
              <w:jc w:val="right"/>
              <w:rPr>
                <w:b/>
                <w:bCs/>
                <w:color w:val="000000"/>
                <w:sz w:val="18"/>
                <w:szCs w:val="18"/>
              </w:rPr>
            </w:pPr>
          </w:p>
        </w:tc>
        <w:tc>
          <w:tcPr>
            <w:tcW w:w="605" w:type="dxa"/>
            <w:tcBorders>
              <w:top w:val="nil"/>
              <w:left w:val="nil"/>
              <w:bottom w:val="nil"/>
              <w:right w:val="nil"/>
            </w:tcBorders>
            <w:shd w:val="clear" w:color="auto" w:fill="auto"/>
          </w:tcPr>
          <w:p w14:paraId="4BB13C49" w14:textId="77777777" w:rsidR="003F16BB" w:rsidRDefault="003F16BB" w:rsidP="00A43BEA">
            <w:pPr>
              <w:spacing w:after="0" w:line="240" w:lineRule="auto"/>
              <w:jc w:val="right"/>
              <w:rPr>
                <w:b/>
                <w:bCs/>
                <w:color w:val="000000"/>
                <w:sz w:val="18"/>
                <w:szCs w:val="18"/>
              </w:rPr>
            </w:pPr>
          </w:p>
        </w:tc>
        <w:tc>
          <w:tcPr>
            <w:tcW w:w="581" w:type="dxa"/>
            <w:tcBorders>
              <w:top w:val="nil"/>
              <w:left w:val="nil"/>
              <w:bottom w:val="nil"/>
              <w:right w:val="nil"/>
            </w:tcBorders>
            <w:shd w:val="clear" w:color="auto" w:fill="BFBFBF" w:themeFill="background1" w:themeFillShade="BF"/>
          </w:tcPr>
          <w:p w14:paraId="69628858" w14:textId="77777777" w:rsidR="003F16BB" w:rsidRDefault="003F16BB" w:rsidP="00A43BEA">
            <w:pPr>
              <w:spacing w:after="0" w:line="240" w:lineRule="auto"/>
              <w:jc w:val="right"/>
              <w:rPr>
                <w:b/>
                <w:bCs/>
                <w:color w:val="000000"/>
                <w:sz w:val="18"/>
                <w:szCs w:val="18"/>
              </w:rPr>
            </w:pPr>
          </w:p>
        </w:tc>
        <w:tc>
          <w:tcPr>
            <w:tcW w:w="4715" w:type="dxa"/>
            <w:vMerge/>
            <w:tcBorders>
              <w:top w:val="nil"/>
              <w:left w:val="nil"/>
              <w:bottom w:val="single" w:sz="4" w:space="0" w:color="auto"/>
              <w:right w:val="nil"/>
            </w:tcBorders>
            <w:vAlign w:val="center"/>
          </w:tcPr>
          <w:p w14:paraId="04159148" w14:textId="77777777" w:rsidR="003F16BB" w:rsidRPr="005F6E5F" w:rsidRDefault="003F16BB" w:rsidP="00A43BEA">
            <w:pPr>
              <w:spacing w:after="0" w:line="240" w:lineRule="auto"/>
              <w:rPr>
                <w:rFonts w:eastAsia="Times New Roman" w:cs="Times New Roman"/>
                <w:b/>
                <w:color w:val="000000"/>
                <w:sz w:val="18"/>
                <w:szCs w:val="18"/>
                <w:lang w:eastAsia="sk-SK"/>
              </w:rPr>
            </w:pPr>
          </w:p>
        </w:tc>
      </w:tr>
      <w:tr w:rsidR="00A43BEA" w:rsidRPr="005F6E5F" w14:paraId="2DCAFFC0" w14:textId="77777777" w:rsidTr="00F61D9C">
        <w:trPr>
          <w:trHeight w:val="342"/>
        </w:trPr>
        <w:tc>
          <w:tcPr>
            <w:tcW w:w="1560" w:type="dxa"/>
            <w:tcBorders>
              <w:top w:val="nil"/>
              <w:left w:val="nil"/>
              <w:bottom w:val="nil"/>
              <w:right w:val="nil"/>
            </w:tcBorders>
            <w:shd w:val="clear" w:color="auto" w:fill="auto"/>
            <w:hideMark/>
          </w:tcPr>
          <w:p w14:paraId="1BC2DA29" w14:textId="4B040341" w:rsidR="00A43BEA" w:rsidRPr="005F6E5F" w:rsidRDefault="00A43BEA" w:rsidP="00A43BEA">
            <w:pPr>
              <w:spacing w:after="0" w:line="240" w:lineRule="auto"/>
              <w:rPr>
                <w:rFonts w:eastAsia="Times New Roman" w:cs="Times New Roman"/>
                <w:color w:val="000000"/>
                <w:sz w:val="18"/>
                <w:szCs w:val="18"/>
                <w:lang w:eastAsia="sk-SK"/>
              </w:rPr>
            </w:pPr>
            <w:r>
              <w:rPr>
                <w:color w:val="000000"/>
                <w:sz w:val="18"/>
                <w:szCs w:val="18"/>
              </w:rPr>
              <w:t>z toho:</w:t>
            </w:r>
          </w:p>
        </w:tc>
        <w:tc>
          <w:tcPr>
            <w:tcW w:w="1556" w:type="dxa"/>
            <w:gridSpan w:val="2"/>
            <w:tcBorders>
              <w:top w:val="nil"/>
              <w:left w:val="nil"/>
              <w:bottom w:val="nil"/>
              <w:right w:val="nil"/>
            </w:tcBorders>
            <w:shd w:val="clear" w:color="auto" w:fill="auto"/>
            <w:hideMark/>
          </w:tcPr>
          <w:p w14:paraId="1D3813D0" w14:textId="77777777" w:rsidR="00A43BEA" w:rsidRPr="005F6E5F" w:rsidRDefault="00A43BEA" w:rsidP="00A43BEA">
            <w:pPr>
              <w:spacing w:after="0" w:line="240" w:lineRule="auto"/>
              <w:jc w:val="right"/>
              <w:rPr>
                <w:rFonts w:eastAsia="Times New Roman" w:cs="Times New Roman"/>
                <w:color w:val="000000"/>
                <w:sz w:val="18"/>
                <w:szCs w:val="18"/>
                <w:lang w:eastAsia="sk-SK"/>
              </w:rPr>
            </w:pPr>
          </w:p>
        </w:tc>
        <w:tc>
          <w:tcPr>
            <w:tcW w:w="605" w:type="dxa"/>
            <w:tcBorders>
              <w:top w:val="nil"/>
              <w:left w:val="nil"/>
              <w:bottom w:val="nil"/>
              <w:right w:val="nil"/>
            </w:tcBorders>
            <w:shd w:val="clear" w:color="auto" w:fill="auto"/>
            <w:hideMark/>
          </w:tcPr>
          <w:p w14:paraId="0B5CDFE4" w14:textId="77777777" w:rsidR="00A43BEA" w:rsidRPr="005F6E5F" w:rsidRDefault="00A43BEA" w:rsidP="00A43BEA">
            <w:pPr>
              <w:spacing w:after="0" w:line="240" w:lineRule="auto"/>
              <w:jc w:val="right"/>
              <w:rPr>
                <w:rFonts w:eastAsia="Times New Roman" w:cs="Times New Roman"/>
                <w:color w:val="000000"/>
                <w:sz w:val="18"/>
                <w:szCs w:val="18"/>
                <w:lang w:eastAsia="sk-SK"/>
              </w:rPr>
            </w:pPr>
          </w:p>
        </w:tc>
        <w:tc>
          <w:tcPr>
            <w:tcW w:w="581" w:type="dxa"/>
            <w:tcBorders>
              <w:top w:val="nil"/>
              <w:left w:val="nil"/>
              <w:bottom w:val="nil"/>
              <w:right w:val="nil"/>
            </w:tcBorders>
            <w:shd w:val="clear" w:color="auto" w:fill="BFBFBF" w:themeFill="background1" w:themeFillShade="BF"/>
            <w:hideMark/>
          </w:tcPr>
          <w:p w14:paraId="0505F2B1" w14:textId="6614AA12" w:rsidR="00A43BEA" w:rsidRPr="005F6E5F" w:rsidRDefault="00A43BEA" w:rsidP="00A43BEA">
            <w:pPr>
              <w:spacing w:after="0" w:line="240" w:lineRule="auto"/>
              <w:jc w:val="right"/>
              <w:rPr>
                <w:rFonts w:eastAsia="Times New Roman" w:cs="Times New Roman"/>
                <w:b/>
                <w:color w:val="000000"/>
                <w:sz w:val="18"/>
                <w:szCs w:val="18"/>
                <w:lang w:eastAsia="sk-SK"/>
              </w:rPr>
            </w:pPr>
            <w:r>
              <w:rPr>
                <w:rFonts w:ascii="Calibri" w:hAnsi="Calibri"/>
                <w:color w:val="000000"/>
              </w:rPr>
              <w:t> </w:t>
            </w:r>
          </w:p>
        </w:tc>
        <w:tc>
          <w:tcPr>
            <w:tcW w:w="4715" w:type="dxa"/>
            <w:vMerge/>
            <w:tcBorders>
              <w:top w:val="nil"/>
              <w:left w:val="nil"/>
              <w:bottom w:val="single" w:sz="4" w:space="0" w:color="auto"/>
              <w:right w:val="nil"/>
            </w:tcBorders>
            <w:vAlign w:val="center"/>
            <w:hideMark/>
          </w:tcPr>
          <w:p w14:paraId="503C2101" w14:textId="77777777" w:rsidR="00A43BEA" w:rsidRPr="005F6E5F" w:rsidRDefault="00A43BEA" w:rsidP="00A43BEA">
            <w:pPr>
              <w:spacing w:after="0" w:line="240" w:lineRule="auto"/>
              <w:rPr>
                <w:rFonts w:eastAsia="Times New Roman" w:cs="Times New Roman"/>
                <w:color w:val="000000"/>
                <w:sz w:val="18"/>
                <w:szCs w:val="18"/>
                <w:lang w:eastAsia="sk-SK"/>
              </w:rPr>
            </w:pPr>
          </w:p>
        </w:tc>
      </w:tr>
      <w:tr w:rsidR="00A43BEA" w:rsidRPr="0042635A" w14:paraId="67258793" w14:textId="77777777" w:rsidTr="00F61D9C">
        <w:trPr>
          <w:trHeight w:val="342"/>
        </w:trPr>
        <w:tc>
          <w:tcPr>
            <w:tcW w:w="2511" w:type="dxa"/>
            <w:gridSpan w:val="2"/>
            <w:tcBorders>
              <w:top w:val="nil"/>
              <w:left w:val="nil"/>
              <w:bottom w:val="nil"/>
              <w:right w:val="nil"/>
            </w:tcBorders>
            <w:shd w:val="clear" w:color="auto" w:fill="auto"/>
            <w:hideMark/>
          </w:tcPr>
          <w:p w14:paraId="5FC2412A" w14:textId="7D6FA375" w:rsidR="00A43BEA" w:rsidRPr="005F6E5F" w:rsidRDefault="00A43BEA" w:rsidP="00A43BEA">
            <w:pPr>
              <w:spacing w:after="0" w:line="240" w:lineRule="auto"/>
              <w:rPr>
                <w:rFonts w:eastAsia="Times New Roman" w:cs="Times New Roman"/>
                <w:color w:val="000000"/>
                <w:sz w:val="18"/>
                <w:szCs w:val="18"/>
                <w:lang w:eastAsia="sk-SK"/>
              </w:rPr>
            </w:pPr>
            <w:r>
              <w:rPr>
                <w:color w:val="000000"/>
                <w:sz w:val="18"/>
                <w:szCs w:val="18"/>
              </w:rPr>
              <w:t>Konečná spotreba domácností</w:t>
            </w:r>
          </w:p>
        </w:tc>
        <w:tc>
          <w:tcPr>
            <w:tcW w:w="605" w:type="dxa"/>
            <w:tcBorders>
              <w:top w:val="nil"/>
              <w:left w:val="nil"/>
              <w:bottom w:val="nil"/>
              <w:right w:val="nil"/>
            </w:tcBorders>
            <w:shd w:val="clear" w:color="auto" w:fill="auto"/>
            <w:hideMark/>
          </w:tcPr>
          <w:p w14:paraId="3A4ACEFC" w14:textId="015F20A9" w:rsidR="00A43BEA" w:rsidRPr="005F6E5F" w:rsidRDefault="00A43BEA" w:rsidP="00A43BEA">
            <w:pPr>
              <w:spacing w:after="0" w:line="240" w:lineRule="auto"/>
              <w:jc w:val="right"/>
              <w:rPr>
                <w:rFonts w:eastAsia="Times New Roman" w:cs="Times New Roman"/>
                <w:color w:val="000000"/>
                <w:sz w:val="18"/>
                <w:szCs w:val="18"/>
                <w:lang w:eastAsia="sk-SK"/>
              </w:rPr>
            </w:pPr>
            <w:r>
              <w:rPr>
                <w:color w:val="000000"/>
                <w:sz w:val="18"/>
                <w:szCs w:val="18"/>
              </w:rPr>
              <w:t>2,9</w:t>
            </w:r>
          </w:p>
        </w:tc>
        <w:tc>
          <w:tcPr>
            <w:tcW w:w="605" w:type="dxa"/>
            <w:tcBorders>
              <w:top w:val="nil"/>
              <w:left w:val="nil"/>
              <w:bottom w:val="nil"/>
              <w:right w:val="nil"/>
            </w:tcBorders>
            <w:shd w:val="clear" w:color="auto" w:fill="auto"/>
            <w:hideMark/>
          </w:tcPr>
          <w:p w14:paraId="62F37482" w14:textId="4CBC58F7" w:rsidR="00A43BEA" w:rsidRPr="005F6E5F" w:rsidRDefault="00A43BEA" w:rsidP="00A43BEA">
            <w:pPr>
              <w:spacing w:after="0" w:line="240" w:lineRule="auto"/>
              <w:jc w:val="right"/>
              <w:rPr>
                <w:rFonts w:eastAsia="Times New Roman" w:cs="Times New Roman"/>
                <w:color w:val="000000"/>
                <w:sz w:val="18"/>
                <w:szCs w:val="18"/>
                <w:lang w:eastAsia="sk-SK"/>
              </w:rPr>
            </w:pPr>
            <w:r>
              <w:rPr>
                <w:color w:val="000000"/>
                <w:sz w:val="18"/>
                <w:szCs w:val="18"/>
              </w:rPr>
              <w:t>3,5</w:t>
            </w:r>
          </w:p>
        </w:tc>
        <w:tc>
          <w:tcPr>
            <w:tcW w:w="581" w:type="dxa"/>
            <w:tcBorders>
              <w:top w:val="nil"/>
              <w:left w:val="nil"/>
              <w:bottom w:val="nil"/>
              <w:right w:val="nil"/>
            </w:tcBorders>
            <w:shd w:val="clear" w:color="auto" w:fill="BFBFBF" w:themeFill="background1" w:themeFillShade="BF"/>
            <w:hideMark/>
          </w:tcPr>
          <w:p w14:paraId="30C98CB3" w14:textId="5B2E6DF2" w:rsidR="00A43BEA" w:rsidRPr="005F6E5F" w:rsidRDefault="00A43BEA" w:rsidP="00A43BEA">
            <w:pPr>
              <w:spacing w:after="0" w:line="240" w:lineRule="auto"/>
              <w:jc w:val="right"/>
              <w:rPr>
                <w:rFonts w:eastAsia="Times New Roman" w:cs="Times New Roman"/>
                <w:color w:val="000000"/>
                <w:sz w:val="18"/>
                <w:szCs w:val="18"/>
                <w:lang w:eastAsia="sk-SK"/>
              </w:rPr>
            </w:pPr>
            <w:r>
              <w:rPr>
                <w:color w:val="000000"/>
                <w:sz w:val="18"/>
                <w:szCs w:val="18"/>
              </w:rPr>
              <w:t>3</w:t>
            </w:r>
          </w:p>
        </w:tc>
        <w:tc>
          <w:tcPr>
            <w:tcW w:w="4715" w:type="dxa"/>
            <w:vMerge/>
            <w:tcBorders>
              <w:top w:val="nil"/>
              <w:left w:val="nil"/>
              <w:bottom w:val="single" w:sz="4" w:space="0" w:color="auto"/>
              <w:right w:val="nil"/>
            </w:tcBorders>
            <w:vAlign w:val="center"/>
            <w:hideMark/>
          </w:tcPr>
          <w:p w14:paraId="3F2770F7" w14:textId="77777777" w:rsidR="00A43BEA" w:rsidRPr="0042635A" w:rsidRDefault="00A43BEA" w:rsidP="00A43BEA">
            <w:pPr>
              <w:rPr>
                <w:rFonts w:cs="Times New Roman"/>
                <w:b/>
                <w:bCs/>
                <w:color w:val="000000"/>
                <w:sz w:val="18"/>
                <w:szCs w:val="18"/>
              </w:rPr>
            </w:pPr>
          </w:p>
        </w:tc>
      </w:tr>
      <w:tr w:rsidR="00A43BEA" w:rsidRPr="00A43BEA" w14:paraId="2FE26F26" w14:textId="77777777" w:rsidTr="00F61D9C">
        <w:trPr>
          <w:trHeight w:val="342"/>
        </w:trPr>
        <w:tc>
          <w:tcPr>
            <w:tcW w:w="2511" w:type="dxa"/>
            <w:gridSpan w:val="2"/>
            <w:tcBorders>
              <w:top w:val="nil"/>
              <w:left w:val="nil"/>
              <w:bottom w:val="nil"/>
              <w:right w:val="nil"/>
            </w:tcBorders>
            <w:shd w:val="clear" w:color="auto" w:fill="auto"/>
            <w:hideMark/>
          </w:tcPr>
          <w:p w14:paraId="25CEF60F" w14:textId="7AD3B266" w:rsidR="00A43BEA" w:rsidRPr="00A43BEA" w:rsidRDefault="00A43BEA" w:rsidP="00A43BEA">
            <w:pPr>
              <w:spacing w:after="0" w:line="240" w:lineRule="auto"/>
              <w:rPr>
                <w:color w:val="000000"/>
                <w:sz w:val="18"/>
                <w:szCs w:val="18"/>
              </w:rPr>
            </w:pPr>
            <w:r>
              <w:rPr>
                <w:color w:val="000000"/>
                <w:sz w:val="18"/>
                <w:szCs w:val="18"/>
              </w:rPr>
              <w:t>Konečná spotreba ver. správy</w:t>
            </w:r>
          </w:p>
        </w:tc>
        <w:tc>
          <w:tcPr>
            <w:tcW w:w="605" w:type="dxa"/>
            <w:tcBorders>
              <w:top w:val="nil"/>
              <w:left w:val="nil"/>
              <w:bottom w:val="nil"/>
              <w:right w:val="nil"/>
            </w:tcBorders>
            <w:shd w:val="clear" w:color="auto" w:fill="auto"/>
            <w:hideMark/>
          </w:tcPr>
          <w:p w14:paraId="0FC26742" w14:textId="2D9AD655" w:rsidR="00A43BEA" w:rsidRPr="00A43BEA" w:rsidRDefault="00A43BEA" w:rsidP="00A43BEA">
            <w:pPr>
              <w:spacing w:after="0" w:line="240" w:lineRule="auto"/>
              <w:jc w:val="right"/>
              <w:rPr>
                <w:color w:val="000000"/>
                <w:sz w:val="18"/>
                <w:szCs w:val="18"/>
              </w:rPr>
            </w:pPr>
            <w:r>
              <w:rPr>
                <w:color w:val="000000"/>
                <w:sz w:val="18"/>
                <w:szCs w:val="18"/>
              </w:rPr>
              <w:t>1,6</w:t>
            </w:r>
          </w:p>
        </w:tc>
        <w:tc>
          <w:tcPr>
            <w:tcW w:w="605" w:type="dxa"/>
            <w:tcBorders>
              <w:top w:val="nil"/>
              <w:left w:val="nil"/>
              <w:bottom w:val="nil"/>
              <w:right w:val="nil"/>
            </w:tcBorders>
            <w:shd w:val="clear" w:color="auto" w:fill="auto"/>
            <w:hideMark/>
          </w:tcPr>
          <w:p w14:paraId="2FFFFF3B" w14:textId="050EEDA3" w:rsidR="00A43BEA" w:rsidRPr="00A43BEA" w:rsidRDefault="00A43BEA" w:rsidP="00A43BEA">
            <w:pPr>
              <w:spacing w:after="0" w:line="240" w:lineRule="auto"/>
              <w:jc w:val="right"/>
              <w:rPr>
                <w:color w:val="000000"/>
                <w:sz w:val="18"/>
                <w:szCs w:val="18"/>
              </w:rPr>
            </w:pPr>
            <w:r>
              <w:rPr>
                <w:color w:val="000000"/>
                <w:sz w:val="18"/>
                <w:szCs w:val="18"/>
              </w:rPr>
              <w:t>1,7</w:t>
            </w:r>
          </w:p>
        </w:tc>
        <w:tc>
          <w:tcPr>
            <w:tcW w:w="581" w:type="dxa"/>
            <w:tcBorders>
              <w:top w:val="nil"/>
              <w:left w:val="nil"/>
              <w:bottom w:val="nil"/>
              <w:right w:val="nil"/>
            </w:tcBorders>
            <w:shd w:val="clear" w:color="auto" w:fill="BFBFBF" w:themeFill="background1" w:themeFillShade="BF"/>
            <w:hideMark/>
          </w:tcPr>
          <w:p w14:paraId="0AEF5361" w14:textId="4A09B900" w:rsidR="00A43BEA" w:rsidRPr="00A43BEA" w:rsidRDefault="00A43BEA" w:rsidP="00A43BEA">
            <w:pPr>
              <w:spacing w:after="0" w:line="240" w:lineRule="auto"/>
              <w:jc w:val="right"/>
              <w:rPr>
                <w:color w:val="000000"/>
                <w:sz w:val="18"/>
                <w:szCs w:val="18"/>
              </w:rPr>
            </w:pPr>
            <w:r>
              <w:rPr>
                <w:color w:val="000000"/>
                <w:sz w:val="18"/>
                <w:szCs w:val="18"/>
              </w:rPr>
              <w:t>1,9</w:t>
            </w:r>
          </w:p>
        </w:tc>
        <w:tc>
          <w:tcPr>
            <w:tcW w:w="4715" w:type="dxa"/>
            <w:vMerge/>
            <w:tcBorders>
              <w:top w:val="nil"/>
              <w:left w:val="nil"/>
              <w:bottom w:val="single" w:sz="4" w:space="0" w:color="auto"/>
              <w:right w:val="nil"/>
            </w:tcBorders>
            <w:vAlign w:val="center"/>
            <w:hideMark/>
          </w:tcPr>
          <w:p w14:paraId="1A5E54A8" w14:textId="77777777" w:rsidR="00A43BEA" w:rsidRPr="00A43BEA" w:rsidRDefault="00A43BEA" w:rsidP="00A43BEA">
            <w:pPr>
              <w:spacing w:after="0" w:line="240" w:lineRule="auto"/>
              <w:rPr>
                <w:color w:val="000000"/>
                <w:sz w:val="18"/>
                <w:szCs w:val="18"/>
              </w:rPr>
            </w:pPr>
          </w:p>
        </w:tc>
      </w:tr>
      <w:tr w:rsidR="00A43BEA" w:rsidRPr="00A43BEA" w14:paraId="5FA50EDF" w14:textId="77777777" w:rsidTr="00F61D9C">
        <w:trPr>
          <w:trHeight w:val="342"/>
        </w:trPr>
        <w:tc>
          <w:tcPr>
            <w:tcW w:w="2511" w:type="dxa"/>
            <w:gridSpan w:val="2"/>
            <w:tcBorders>
              <w:top w:val="nil"/>
              <w:left w:val="nil"/>
              <w:bottom w:val="nil"/>
              <w:right w:val="nil"/>
            </w:tcBorders>
            <w:shd w:val="clear" w:color="auto" w:fill="auto"/>
            <w:hideMark/>
          </w:tcPr>
          <w:p w14:paraId="1CCECE89" w14:textId="2D258134" w:rsidR="00A43BEA" w:rsidRPr="00A43BEA" w:rsidRDefault="00A43BEA" w:rsidP="00A43BEA">
            <w:pPr>
              <w:spacing w:after="0" w:line="240" w:lineRule="auto"/>
              <w:rPr>
                <w:color w:val="000000"/>
                <w:sz w:val="18"/>
                <w:szCs w:val="18"/>
              </w:rPr>
            </w:pPr>
            <w:r>
              <w:rPr>
                <w:color w:val="000000"/>
                <w:sz w:val="18"/>
                <w:szCs w:val="18"/>
              </w:rPr>
              <w:t>Tvorba hrubého fixného kapitálu</w:t>
            </w:r>
          </w:p>
        </w:tc>
        <w:tc>
          <w:tcPr>
            <w:tcW w:w="605" w:type="dxa"/>
            <w:tcBorders>
              <w:top w:val="nil"/>
              <w:left w:val="nil"/>
              <w:bottom w:val="nil"/>
              <w:right w:val="nil"/>
            </w:tcBorders>
            <w:shd w:val="clear" w:color="auto" w:fill="auto"/>
            <w:hideMark/>
          </w:tcPr>
          <w:p w14:paraId="44D62D6B" w14:textId="5EECEB70" w:rsidR="00A43BEA" w:rsidRPr="00A43BEA" w:rsidRDefault="00A43BEA" w:rsidP="00A43BEA">
            <w:pPr>
              <w:spacing w:after="0" w:line="240" w:lineRule="auto"/>
              <w:jc w:val="right"/>
              <w:rPr>
                <w:color w:val="000000"/>
                <w:sz w:val="18"/>
                <w:szCs w:val="18"/>
              </w:rPr>
            </w:pPr>
            <w:r>
              <w:rPr>
                <w:color w:val="000000"/>
                <w:sz w:val="18"/>
                <w:szCs w:val="18"/>
              </w:rPr>
              <w:t>-9,4</w:t>
            </w:r>
          </w:p>
        </w:tc>
        <w:tc>
          <w:tcPr>
            <w:tcW w:w="605" w:type="dxa"/>
            <w:tcBorders>
              <w:top w:val="nil"/>
              <w:left w:val="nil"/>
              <w:bottom w:val="nil"/>
              <w:right w:val="nil"/>
            </w:tcBorders>
            <w:shd w:val="clear" w:color="auto" w:fill="auto"/>
            <w:hideMark/>
          </w:tcPr>
          <w:p w14:paraId="67993EEE" w14:textId="24880648" w:rsidR="00A43BEA" w:rsidRPr="00A43BEA" w:rsidRDefault="00A43BEA" w:rsidP="00A43BEA">
            <w:pPr>
              <w:spacing w:after="0" w:line="240" w:lineRule="auto"/>
              <w:jc w:val="right"/>
              <w:rPr>
                <w:color w:val="000000"/>
                <w:sz w:val="18"/>
                <w:szCs w:val="18"/>
              </w:rPr>
            </w:pPr>
            <w:r>
              <w:rPr>
                <w:color w:val="000000"/>
                <w:sz w:val="18"/>
                <w:szCs w:val="18"/>
              </w:rPr>
              <w:t>3,4</w:t>
            </w:r>
          </w:p>
        </w:tc>
        <w:tc>
          <w:tcPr>
            <w:tcW w:w="581" w:type="dxa"/>
            <w:tcBorders>
              <w:top w:val="nil"/>
              <w:left w:val="nil"/>
              <w:bottom w:val="nil"/>
              <w:right w:val="nil"/>
            </w:tcBorders>
            <w:shd w:val="clear" w:color="auto" w:fill="BFBFBF" w:themeFill="background1" w:themeFillShade="BF"/>
            <w:hideMark/>
          </w:tcPr>
          <w:p w14:paraId="7D10213A" w14:textId="07A692CC" w:rsidR="00A43BEA" w:rsidRPr="00A43BEA" w:rsidRDefault="00A43BEA" w:rsidP="00A43BEA">
            <w:pPr>
              <w:spacing w:after="0" w:line="240" w:lineRule="auto"/>
              <w:jc w:val="right"/>
              <w:rPr>
                <w:color w:val="000000"/>
                <w:sz w:val="18"/>
                <w:szCs w:val="18"/>
              </w:rPr>
            </w:pPr>
            <w:r>
              <w:rPr>
                <w:color w:val="000000"/>
                <w:sz w:val="18"/>
                <w:szCs w:val="18"/>
              </w:rPr>
              <w:t>6,8</w:t>
            </w:r>
          </w:p>
        </w:tc>
        <w:tc>
          <w:tcPr>
            <w:tcW w:w="4715" w:type="dxa"/>
            <w:vMerge/>
            <w:tcBorders>
              <w:top w:val="nil"/>
              <w:left w:val="nil"/>
              <w:bottom w:val="single" w:sz="4" w:space="0" w:color="auto"/>
              <w:right w:val="nil"/>
            </w:tcBorders>
            <w:vAlign w:val="center"/>
            <w:hideMark/>
          </w:tcPr>
          <w:p w14:paraId="6ED79611" w14:textId="77777777" w:rsidR="00A43BEA" w:rsidRPr="00A43BEA" w:rsidRDefault="00A43BEA" w:rsidP="00A43BEA">
            <w:pPr>
              <w:spacing w:after="0" w:line="240" w:lineRule="auto"/>
              <w:rPr>
                <w:color w:val="000000"/>
                <w:sz w:val="18"/>
                <w:szCs w:val="18"/>
              </w:rPr>
            </w:pPr>
          </w:p>
        </w:tc>
      </w:tr>
      <w:tr w:rsidR="00A43BEA" w:rsidRPr="005F6E5F" w14:paraId="6D0827E4" w14:textId="77777777" w:rsidTr="00F61D9C">
        <w:trPr>
          <w:trHeight w:val="342"/>
        </w:trPr>
        <w:tc>
          <w:tcPr>
            <w:tcW w:w="2511" w:type="dxa"/>
            <w:gridSpan w:val="2"/>
            <w:tcBorders>
              <w:top w:val="nil"/>
              <w:left w:val="nil"/>
              <w:bottom w:val="nil"/>
              <w:right w:val="nil"/>
            </w:tcBorders>
            <w:shd w:val="clear" w:color="auto" w:fill="auto"/>
            <w:hideMark/>
          </w:tcPr>
          <w:p w14:paraId="5A387539" w14:textId="526F1F59" w:rsidR="00A43BEA" w:rsidRPr="005F6E5F" w:rsidRDefault="00A43BEA" w:rsidP="00A43BEA">
            <w:pPr>
              <w:spacing w:after="0" w:line="240" w:lineRule="auto"/>
              <w:rPr>
                <w:rFonts w:eastAsia="Times New Roman" w:cs="Times New Roman"/>
                <w:color w:val="000000"/>
                <w:sz w:val="18"/>
                <w:szCs w:val="18"/>
                <w:lang w:eastAsia="sk-SK"/>
              </w:rPr>
            </w:pPr>
            <w:r>
              <w:rPr>
                <w:color w:val="000000"/>
                <w:sz w:val="18"/>
                <w:szCs w:val="18"/>
              </w:rPr>
              <w:t>Vývoz výrobkov a služieb</w:t>
            </w:r>
          </w:p>
        </w:tc>
        <w:tc>
          <w:tcPr>
            <w:tcW w:w="605" w:type="dxa"/>
            <w:tcBorders>
              <w:top w:val="nil"/>
              <w:left w:val="nil"/>
              <w:bottom w:val="nil"/>
              <w:right w:val="nil"/>
            </w:tcBorders>
            <w:shd w:val="clear" w:color="auto" w:fill="auto"/>
            <w:hideMark/>
          </w:tcPr>
          <w:p w14:paraId="42F60158" w14:textId="3E150B69" w:rsidR="00A43BEA" w:rsidRPr="005F6E5F" w:rsidRDefault="00A43BEA" w:rsidP="00A43BEA">
            <w:pPr>
              <w:spacing w:after="0" w:line="240" w:lineRule="auto"/>
              <w:jc w:val="right"/>
              <w:rPr>
                <w:rFonts w:eastAsia="Times New Roman" w:cs="Times New Roman"/>
                <w:color w:val="000000"/>
                <w:sz w:val="18"/>
                <w:szCs w:val="18"/>
                <w:lang w:eastAsia="sk-SK"/>
              </w:rPr>
            </w:pPr>
            <w:r>
              <w:rPr>
                <w:color w:val="000000"/>
                <w:sz w:val="18"/>
                <w:szCs w:val="18"/>
              </w:rPr>
              <w:t>5,5</w:t>
            </w:r>
          </w:p>
        </w:tc>
        <w:tc>
          <w:tcPr>
            <w:tcW w:w="605" w:type="dxa"/>
            <w:tcBorders>
              <w:top w:val="nil"/>
              <w:left w:val="nil"/>
              <w:bottom w:val="nil"/>
              <w:right w:val="nil"/>
            </w:tcBorders>
            <w:shd w:val="clear" w:color="auto" w:fill="auto"/>
            <w:hideMark/>
          </w:tcPr>
          <w:p w14:paraId="729E6D8C" w14:textId="2FA215DC" w:rsidR="00A43BEA" w:rsidRPr="005F6E5F" w:rsidRDefault="00A43BEA" w:rsidP="00A43BEA">
            <w:pPr>
              <w:spacing w:after="0" w:line="240" w:lineRule="auto"/>
              <w:jc w:val="right"/>
              <w:rPr>
                <w:rFonts w:eastAsia="Times New Roman" w:cs="Times New Roman"/>
                <w:color w:val="000000"/>
                <w:sz w:val="18"/>
                <w:szCs w:val="18"/>
                <w:lang w:eastAsia="sk-SK"/>
              </w:rPr>
            </w:pPr>
            <w:r>
              <w:rPr>
                <w:color w:val="000000"/>
                <w:sz w:val="18"/>
                <w:szCs w:val="18"/>
              </w:rPr>
              <w:t>5,9</w:t>
            </w:r>
          </w:p>
        </w:tc>
        <w:tc>
          <w:tcPr>
            <w:tcW w:w="581" w:type="dxa"/>
            <w:tcBorders>
              <w:top w:val="nil"/>
              <w:left w:val="nil"/>
              <w:bottom w:val="nil"/>
              <w:right w:val="nil"/>
            </w:tcBorders>
            <w:shd w:val="clear" w:color="auto" w:fill="BFBFBF" w:themeFill="background1" w:themeFillShade="BF"/>
            <w:hideMark/>
          </w:tcPr>
          <w:p w14:paraId="42DD993B" w14:textId="7DF829CA" w:rsidR="00A43BEA" w:rsidRPr="005F6E5F" w:rsidRDefault="00A43BEA" w:rsidP="00A43BEA">
            <w:pPr>
              <w:spacing w:after="0" w:line="240" w:lineRule="auto"/>
              <w:jc w:val="right"/>
              <w:rPr>
                <w:rFonts w:eastAsia="Times New Roman" w:cs="Times New Roman"/>
                <w:color w:val="000000"/>
                <w:sz w:val="18"/>
                <w:szCs w:val="18"/>
                <w:lang w:eastAsia="sk-SK"/>
              </w:rPr>
            </w:pPr>
            <w:r>
              <w:rPr>
                <w:color w:val="000000"/>
                <w:sz w:val="18"/>
                <w:szCs w:val="18"/>
              </w:rPr>
              <w:t>4,8</w:t>
            </w:r>
          </w:p>
        </w:tc>
        <w:tc>
          <w:tcPr>
            <w:tcW w:w="4715" w:type="dxa"/>
            <w:vMerge/>
            <w:tcBorders>
              <w:top w:val="nil"/>
              <w:left w:val="nil"/>
              <w:bottom w:val="single" w:sz="4" w:space="0" w:color="auto"/>
              <w:right w:val="nil"/>
            </w:tcBorders>
            <w:vAlign w:val="center"/>
            <w:hideMark/>
          </w:tcPr>
          <w:p w14:paraId="4A4C5290" w14:textId="77777777" w:rsidR="00A43BEA" w:rsidRPr="005F6E5F" w:rsidRDefault="00A43BEA" w:rsidP="00A43BEA">
            <w:pPr>
              <w:spacing w:after="0" w:line="240" w:lineRule="auto"/>
              <w:rPr>
                <w:rFonts w:eastAsia="Times New Roman" w:cs="Times New Roman"/>
                <w:color w:val="000000"/>
                <w:sz w:val="18"/>
                <w:szCs w:val="18"/>
                <w:lang w:eastAsia="sk-SK"/>
              </w:rPr>
            </w:pPr>
          </w:p>
        </w:tc>
      </w:tr>
      <w:tr w:rsidR="00A43BEA" w:rsidRPr="005F6E5F" w14:paraId="74D97A1C" w14:textId="77777777" w:rsidTr="00F61D9C">
        <w:trPr>
          <w:trHeight w:val="550"/>
        </w:trPr>
        <w:tc>
          <w:tcPr>
            <w:tcW w:w="2511" w:type="dxa"/>
            <w:gridSpan w:val="2"/>
            <w:tcBorders>
              <w:top w:val="nil"/>
              <w:left w:val="nil"/>
              <w:bottom w:val="single" w:sz="4" w:space="0" w:color="auto"/>
              <w:right w:val="nil"/>
            </w:tcBorders>
            <w:shd w:val="clear" w:color="auto" w:fill="auto"/>
            <w:hideMark/>
          </w:tcPr>
          <w:p w14:paraId="6CEF3DE7" w14:textId="1CA67DB0" w:rsidR="00A43BEA" w:rsidRPr="005F6E5F" w:rsidRDefault="00A43BEA" w:rsidP="00A43BEA">
            <w:pPr>
              <w:spacing w:after="0" w:line="240" w:lineRule="auto"/>
              <w:rPr>
                <w:rFonts w:eastAsia="Times New Roman" w:cs="Times New Roman"/>
                <w:color w:val="000000"/>
                <w:sz w:val="18"/>
                <w:szCs w:val="18"/>
                <w:lang w:eastAsia="sk-SK"/>
              </w:rPr>
            </w:pPr>
            <w:r>
              <w:rPr>
                <w:color w:val="000000"/>
                <w:sz w:val="18"/>
                <w:szCs w:val="18"/>
              </w:rPr>
              <w:t>Dovoz výrobkov a služieb</w:t>
            </w:r>
          </w:p>
        </w:tc>
        <w:tc>
          <w:tcPr>
            <w:tcW w:w="605" w:type="dxa"/>
            <w:tcBorders>
              <w:top w:val="nil"/>
              <w:left w:val="nil"/>
              <w:bottom w:val="single" w:sz="4" w:space="0" w:color="auto"/>
              <w:right w:val="nil"/>
            </w:tcBorders>
            <w:shd w:val="clear" w:color="auto" w:fill="auto"/>
            <w:hideMark/>
          </w:tcPr>
          <w:p w14:paraId="3126AC4C" w14:textId="738BC45F" w:rsidR="00A43BEA" w:rsidRPr="005F6E5F" w:rsidRDefault="00A43BEA" w:rsidP="00A43BEA">
            <w:pPr>
              <w:spacing w:after="0" w:line="240" w:lineRule="auto"/>
              <w:jc w:val="right"/>
              <w:rPr>
                <w:rFonts w:eastAsia="Times New Roman" w:cs="Times New Roman"/>
                <w:color w:val="000000"/>
                <w:sz w:val="18"/>
                <w:szCs w:val="18"/>
                <w:lang w:eastAsia="sk-SK"/>
              </w:rPr>
            </w:pPr>
            <w:r>
              <w:rPr>
                <w:color w:val="000000"/>
                <w:sz w:val="18"/>
                <w:szCs w:val="18"/>
              </w:rPr>
              <w:t>3,4</w:t>
            </w:r>
          </w:p>
        </w:tc>
        <w:tc>
          <w:tcPr>
            <w:tcW w:w="605" w:type="dxa"/>
            <w:tcBorders>
              <w:top w:val="nil"/>
              <w:left w:val="nil"/>
              <w:bottom w:val="single" w:sz="4" w:space="0" w:color="auto"/>
              <w:right w:val="nil"/>
            </w:tcBorders>
            <w:shd w:val="clear" w:color="auto" w:fill="auto"/>
            <w:hideMark/>
          </w:tcPr>
          <w:p w14:paraId="33ACB04F" w14:textId="22C7D544" w:rsidR="00A43BEA" w:rsidRPr="005F6E5F" w:rsidRDefault="00A43BEA" w:rsidP="00A43BEA">
            <w:pPr>
              <w:spacing w:after="0" w:line="240" w:lineRule="auto"/>
              <w:jc w:val="right"/>
              <w:rPr>
                <w:rFonts w:eastAsia="Times New Roman" w:cs="Times New Roman"/>
                <w:color w:val="000000"/>
                <w:sz w:val="18"/>
                <w:szCs w:val="18"/>
                <w:lang w:eastAsia="sk-SK"/>
              </w:rPr>
            </w:pPr>
            <w:r>
              <w:rPr>
                <w:color w:val="000000"/>
                <w:sz w:val="18"/>
                <w:szCs w:val="18"/>
              </w:rPr>
              <w:t>5,3</w:t>
            </w:r>
          </w:p>
        </w:tc>
        <w:tc>
          <w:tcPr>
            <w:tcW w:w="581" w:type="dxa"/>
            <w:tcBorders>
              <w:top w:val="nil"/>
              <w:left w:val="nil"/>
              <w:bottom w:val="single" w:sz="4" w:space="0" w:color="auto"/>
              <w:right w:val="nil"/>
            </w:tcBorders>
            <w:shd w:val="clear" w:color="auto" w:fill="BFBFBF" w:themeFill="background1" w:themeFillShade="BF"/>
            <w:hideMark/>
          </w:tcPr>
          <w:p w14:paraId="02F4923B" w14:textId="1F8B2C06" w:rsidR="00A43BEA" w:rsidRPr="005F6E5F" w:rsidRDefault="00A43BEA" w:rsidP="00A43BEA">
            <w:pPr>
              <w:spacing w:after="0" w:line="240" w:lineRule="auto"/>
              <w:jc w:val="right"/>
              <w:rPr>
                <w:rFonts w:eastAsia="Times New Roman" w:cs="Times New Roman"/>
                <w:color w:val="000000"/>
                <w:sz w:val="18"/>
                <w:szCs w:val="18"/>
                <w:lang w:eastAsia="sk-SK"/>
              </w:rPr>
            </w:pPr>
            <w:r>
              <w:rPr>
                <w:color w:val="000000"/>
                <w:sz w:val="18"/>
                <w:szCs w:val="18"/>
              </w:rPr>
              <w:t>5,3</w:t>
            </w:r>
          </w:p>
        </w:tc>
        <w:tc>
          <w:tcPr>
            <w:tcW w:w="4715" w:type="dxa"/>
            <w:vMerge/>
            <w:tcBorders>
              <w:top w:val="nil"/>
              <w:left w:val="nil"/>
              <w:bottom w:val="single" w:sz="4" w:space="0" w:color="auto"/>
              <w:right w:val="nil"/>
            </w:tcBorders>
            <w:vAlign w:val="center"/>
            <w:hideMark/>
          </w:tcPr>
          <w:p w14:paraId="7B9A9881" w14:textId="77777777" w:rsidR="00A43BEA" w:rsidRPr="005F6E5F" w:rsidRDefault="00A43BEA" w:rsidP="00A43BEA">
            <w:pPr>
              <w:spacing w:after="0" w:line="240" w:lineRule="auto"/>
              <w:rPr>
                <w:rFonts w:eastAsia="Times New Roman" w:cs="Times New Roman"/>
                <w:color w:val="000000"/>
                <w:sz w:val="18"/>
                <w:szCs w:val="18"/>
                <w:lang w:eastAsia="sk-SK"/>
              </w:rPr>
            </w:pPr>
          </w:p>
        </w:tc>
      </w:tr>
      <w:tr w:rsidR="0042635A" w:rsidRPr="00331568" w14:paraId="0FF447D5" w14:textId="77777777" w:rsidTr="005F6E5F">
        <w:trPr>
          <w:trHeight w:val="342"/>
        </w:trPr>
        <w:tc>
          <w:tcPr>
            <w:tcW w:w="4302" w:type="dxa"/>
            <w:gridSpan w:val="5"/>
            <w:tcBorders>
              <w:top w:val="nil"/>
              <w:left w:val="nil"/>
              <w:bottom w:val="nil"/>
              <w:right w:val="nil"/>
            </w:tcBorders>
            <w:shd w:val="clear" w:color="auto" w:fill="auto"/>
            <w:vAlign w:val="center"/>
            <w:hideMark/>
          </w:tcPr>
          <w:p w14:paraId="562E6EA5" w14:textId="77777777" w:rsidR="0042635A" w:rsidRPr="00331568" w:rsidRDefault="0042635A" w:rsidP="0042635A">
            <w:pPr>
              <w:jc w:val="right"/>
              <w:rPr>
                <w:rFonts w:cs="Times New Roman"/>
                <w:iCs/>
                <w:color w:val="000000"/>
                <w:sz w:val="18"/>
                <w:szCs w:val="18"/>
              </w:rPr>
            </w:pPr>
            <w:r w:rsidRPr="00331568">
              <w:rPr>
                <w:rFonts w:cs="Times New Roman"/>
                <w:iCs/>
                <w:color w:val="000000"/>
                <w:sz w:val="18"/>
                <w:szCs w:val="18"/>
              </w:rPr>
              <w:t>Zdroj: ŠÚ SR</w:t>
            </w:r>
          </w:p>
        </w:tc>
        <w:tc>
          <w:tcPr>
            <w:tcW w:w="4715" w:type="dxa"/>
            <w:tcBorders>
              <w:top w:val="single" w:sz="4" w:space="0" w:color="auto"/>
              <w:left w:val="nil"/>
              <w:bottom w:val="nil"/>
              <w:right w:val="nil"/>
            </w:tcBorders>
            <w:shd w:val="clear" w:color="auto" w:fill="auto"/>
            <w:vAlign w:val="center"/>
            <w:hideMark/>
          </w:tcPr>
          <w:p w14:paraId="4E578E20" w14:textId="77777777" w:rsidR="0042635A" w:rsidRPr="00331568" w:rsidRDefault="0042635A" w:rsidP="0042635A">
            <w:pPr>
              <w:jc w:val="right"/>
              <w:rPr>
                <w:rFonts w:cs="Times New Roman"/>
                <w:color w:val="000000"/>
                <w:sz w:val="18"/>
                <w:szCs w:val="18"/>
              </w:rPr>
            </w:pPr>
            <w:r w:rsidRPr="00331568">
              <w:rPr>
                <w:rFonts w:cs="Times New Roman"/>
                <w:color w:val="000000"/>
                <w:sz w:val="18"/>
                <w:szCs w:val="18"/>
              </w:rPr>
              <w:t xml:space="preserve"> </w:t>
            </w:r>
            <w:r w:rsidRPr="00331568">
              <w:rPr>
                <w:rFonts w:cs="Times New Roman"/>
                <w:iCs/>
                <w:color w:val="000000"/>
                <w:sz w:val="18"/>
                <w:szCs w:val="18"/>
              </w:rPr>
              <w:t>Zdroj: ŠÚ SR</w:t>
            </w:r>
          </w:p>
        </w:tc>
      </w:tr>
    </w:tbl>
    <w:p w14:paraId="159C45F7" w14:textId="77777777" w:rsidR="005F5B88" w:rsidRDefault="005F5B88" w:rsidP="00C34E95">
      <w:pPr>
        <w:pStyle w:val="Nadpis3"/>
      </w:pPr>
      <w:bookmarkStart w:id="10" w:name="_Toc6415630"/>
      <w:bookmarkStart w:id="11" w:name="_Toc7502822"/>
      <w:r>
        <w:t>Trh práce</w:t>
      </w:r>
      <w:bookmarkEnd w:id="10"/>
      <w:bookmarkEnd w:id="11"/>
    </w:p>
    <w:p w14:paraId="15D74FE6" w14:textId="03E34350" w:rsidR="005F6E5F" w:rsidRPr="00A265D6" w:rsidRDefault="005F6E5F" w:rsidP="005F6E5F">
      <w:r w:rsidRPr="00F92E6B">
        <w:t xml:space="preserve">Trh práce expandoval aj v roku 2018. </w:t>
      </w:r>
      <w:r>
        <w:t>Medziročne sa z</w:t>
      </w:r>
      <w:r w:rsidRPr="00F92E6B">
        <w:t>amestnanosť zvýšila o takmer 50 tisíc osôb a presiahla úroveň 2,4 milióna ľudí. Zvýšenie počtu pracujúcich o 2 %</w:t>
      </w:r>
      <w:r w:rsidRPr="00D129AD">
        <w:rPr>
          <w:vertAlign w:val="superscript"/>
        </w:rPr>
        <w:footnoteReference w:id="2"/>
      </w:r>
      <w:r w:rsidRPr="00F92E6B">
        <w:t xml:space="preserve"> viedlo k poklesu miery nezamestnanosti (podľa metodiky VZPS)</w:t>
      </w:r>
      <w:r w:rsidRPr="00D129AD">
        <w:rPr>
          <w:vertAlign w:val="superscript"/>
        </w:rPr>
        <w:footnoteReference w:id="3"/>
      </w:r>
      <w:r w:rsidR="003E5DF8">
        <w:t xml:space="preserve"> na nové minimum na </w:t>
      </w:r>
      <w:r w:rsidR="003E5DF8" w:rsidRPr="00A265D6">
        <w:t>úrovni 6,6</w:t>
      </w:r>
      <w:r w:rsidRPr="00A265D6">
        <w:t xml:space="preserve"> %</w:t>
      </w:r>
      <w:r w:rsidRPr="00A265D6">
        <w:rPr>
          <w:vertAlign w:val="superscript"/>
        </w:rPr>
        <w:footnoteReference w:id="4"/>
      </w:r>
      <w:r w:rsidRPr="00A265D6">
        <w:t>. Polovica nových pracovných miest vznikla v sektore služieb s prevažujúcim príspevkom z nižšie-kvalifikovaných odvetví ako obchod, doprava a skladovanie. Najrýchlejšia tvorba pracovných miest bola v stavebníctve, kde rástla zamestnanosť najviac od krízy. Rekordne rástol počet cudzincov pracujúcich na Slovensku (nárast o 16 tisíc), ktorí obsadili každé tretie novovytvorené pracovné miesto.</w:t>
      </w:r>
    </w:p>
    <w:p w14:paraId="0020EC59" w14:textId="2A52EAB8" w:rsidR="005F6E5F" w:rsidRPr="00F92E6B" w:rsidRDefault="005F6E5F" w:rsidP="005F6E5F">
      <w:r w:rsidRPr="00A265D6">
        <w:t xml:space="preserve">Nominálna priemerná mzda </w:t>
      </w:r>
      <w:r w:rsidR="001200B1" w:rsidRPr="00A265D6">
        <w:t xml:space="preserve">prvýkrát presiahla hranicu </w:t>
      </w:r>
      <w:r w:rsidRPr="00A265D6">
        <w:t>10</w:t>
      </w:r>
      <w:r w:rsidR="001200B1" w:rsidRPr="00A265D6">
        <w:t>00</w:t>
      </w:r>
      <w:r w:rsidRPr="00A265D6">
        <w:t xml:space="preserve"> eur </w:t>
      </w:r>
      <w:r w:rsidR="001200B1" w:rsidRPr="00A265D6">
        <w:t xml:space="preserve">a vyšplhala sa na </w:t>
      </w:r>
      <w:r w:rsidR="003C3EA4" w:rsidRPr="00A265D6">
        <w:t>úroveň</w:t>
      </w:r>
      <w:r w:rsidR="001200B1" w:rsidRPr="00A265D6">
        <w:t xml:space="preserve"> 1013 eur</w:t>
      </w:r>
      <w:r w:rsidR="003C3EA4" w:rsidRPr="00A265D6">
        <w:t xml:space="preserve"> </w:t>
      </w:r>
      <w:r w:rsidRPr="00A265D6">
        <w:t>(2017: 954 eur). Rast miezd nad 6 %</w:t>
      </w:r>
      <w:r w:rsidR="001200B1" w:rsidRPr="00A265D6">
        <w:t xml:space="preserve"> bol najsilnejší</w:t>
      </w:r>
      <w:r w:rsidRPr="00A265D6">
        <w:t xml:space="preserve"> od krízy. Zrýchlenie inflácie nezastavilo</w:t>
      </w:r>
      <w:r w:rsidRPr="00F92E6B">
        <w:t xml:space="preserve"> akceleráciu reálnych miezd. Tie vlani stúpli o 3,6 %. </w:t>
      </w:r>
    </w:p>
    <w:p w14:paraId="760EDDD9" w14:textId="77777777" w:rsidR="00A43BEA" w:rsidRDefault="00A43BEA">
      <w:r>
        <w:br w:type="page"/>
      </w:r>
    </w:p>
    <w:tbl>
      <w:tblPr>
        <w:tblW w:w="5335" w:type="pct"/>
        <w:tblInd w:w="-142" w:type="dxa"/>
        <w:tblLayout w:type="fixed"/>
        <w:tblCellMar>
          <w:left w:w="70" w:type="dxa"/>
          <w:right w:w="70" w:type="dxa"/>
        </w:tblCellMar>
        <w:tblLook w:val="0000" w:firstRow="0" w:lastRow="0" w:firstColumn="0" w:lastColumn="0" w:noHBand="0" w:noVBand="0"/>
      </w:tblPr>
      <w:tblGrid>
        <w:gridCol w:w="4678"/>
        <w:gridCol w:w="4395"/>
      </w:tblGrid>
      <w:tr w:rsidR="005F6E5F" w:rsidRPr="005F6E5F" w14:paraId="5ACFB6DC" w14:textId="77777777" w:rsidTr="00A43BEA">
        <w:trPr>
          <w:trHeight w:val="562"/>
        </w:trPr>
        <w:tc>
          <w:tcPr>
            <w:tcW w:w="2578" w:type="pct"/>
            <w:tcBorders>
              <w:top w:val="nil"/>
              <w:left w:val="nil"/>
              <w:bottom w:val="nil"/>
              <w:right w:val="nil"/>
            </w:tcBorders>
            <w:shd w:val="clear" w:color="auto" w:fill="000000"/>
            <w:vAlign w:val="center"/>
          </w:tcPr>
          <w:p w14:paraId="0A17B1E1" w14:textId="5779C888" w:rsidR="005F6E5F" w:rsidRPr="00A43BEA" w:rsidRDefault="005F6E5F" w:rsidP="00F61D9C">
            <w:pPr>
              <w:rPr>
                <w:rFonts w:cs="Times New Roman"/>
                <w:b/>
                <w:bCs/>
                <w:color w:val="FFFFFF"/>
                <w:sz w:val="18"/>
                <w:szCs w:val="18"/>
              </w:rPr>
            </w:pPr>
            <w:r w:rsidRPr="00A43BEA">
              <w:rPr>
                <w:rFonts w:cs="Times New Roman"/>
                <w:b/>
                <w:color w:val="FFFFFF"/>
                <w:sz w:val="18"/>
                <w:szCs w:val="18"/>
              </w:rPr>
              <w:t>Príspevky sektorov k vývoju zamestnanosti (ESA, v p. b.)</w:t>
            </w:r>
          </w:p>
        </w:tc>
        <w:tc>
          <w:tcPr>
            <w:tcW w:w="2422" w:type="pct"/>
            <w:tcBorders>
              <w:top w:val="nil"/>
              <w:left w:val="nil"/>
              <w:bottom w:val="nil"/>
              <w:right w:val="nil"/>
            </w:tcBorders>
            <w:shd w:val="clear" w:color="auto" w:fill="000000"/>
            <w:vAlign w:val="center"/>
          </w:tcPr>
          <w:p w14:paraId="4A0FCA46" w14:textId="77777777" w:rsidR="005F6E5F" w:rsidRPr="00A43BEA" w:rsidRDefault="005F6E5F" w:rsidP="00F61D9C">
            <w:pPr>
              <w:rPr>
                <w:rFonts w:cs="Times New Roman"/>
                <w:b/>
                <w:bCs/>
                <w:color w:val="FFFFFF"/>
                <w:sz w:val="18"/>
                <w:szCs w:val="18"/>
              </w:rPr>
            </w:pPr>
            <w:r w:rsidRPr="00A43BEA">
              <w:rPr>
                <w:rFonts w:cs="Times New Roman"/>
                <w:b/>
                <w:color w:val="FFFFFF"/>
                <w:sz w:val="18"/>
                <w:szCs w:val="18"/>
              </w:rPr>
              <w:t>Rast nominálnej produktivity práce a mzdy (v %)</w:t>
            </w:r>
          </w:p>
        </w:tc>
      </w:tr>
      <w:tr w:rsidR="005F6E5F" w:rsidRPr="00AB3FC5" w14:paraId="718AC9CC" w14:textId="77777777" w:rsidTr="00A43BEA">
        <w:trPr>
          <w:trHeight w:val="3118"/>
        </w:trPr>
        <w:tc>
          <w:tcPr>
            <w:tcW w:w="2578" w:type="pct"/>
            <w:tcBorders>
              <w:top w:val="nil"/>
              <w:left w:val="nil"/>
              <w:bottom w:val="single" w:sz="8" w:space="0" w:color="auto"/>
              <w:right w:val="nil"/>
            </w:tcBorders>
          </w:tcPr>
          <w:p w14:paraId="6DA705DD" w14:textId="77777777" w:rsidR="005F6E5F" w:rsidRPr="00AB3FC5" w:rsidRDefault="005F6E5F" w:rsidP="00F61D9C">
            <w:pPr>
              <w:rPr>
                <w:rFonts w:ascii="NeueHaasGroteskText W02" w:hAnsi="NeueHaasGroteskText W02" w:cs="Garamond"/>
                <w:b/>
                <w:bCs/>
                <w:sz w:val="16"/>
                <w:szCs w:val="16"/>
              </w:rPr>
            </w:pPr>
            <w:r>
              <w:rPr>
                <w:noProof/>
                <w:lang w:eastAsia="sk-SK"/>
              </w:rPr>
              <w:drawing>
                <wp:inline distT="0" distB="0" distL="0" distR="0" wp14:anchorId="2EDBF684" wp14:editId="2AF65298">
                  <wp:extent cx="2880360" cy="2334895"/>
                  <wp:effectExtent l="0" t="0" r="0" b="8255"/>
                  <wp:docPr id="6" name="Graf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2422" w:type="pct"/>
            <w:tcBorders>
              <w:top w:val="nil"/>
              <w:left w:val="nil"/>
              <w:bottom w:val="single" w:sz="8" w:space="0" w:color="auto"/>
              <w:right w:val="nil"/>
            </w:tcBorders>
          </w:tcPr>
          <w:p w14:paraId="3B98D75C" w14:textId="77777777" w:rsidR="005F6E5F" w:rsidRPr="00AB3FC5" w:rsidRDefault="005F6E5F" w:rsidP="00F61D9C">
            <w:pPr>
              <w:spacing w:after="100" w:afterAutospacing="1"/>
              <w:rPr>
                <w:rFonts w:ascii="NeueHaasGroteskText W02" w:hAnsi="NeueHaasGroteskText W02" w:cs="Garamond"/>
                <w:b/>
                <w:bCs/>
                <w:sz w:val="16"/>
                <w:szCs w:val="16"/>
              </w:rPr>
            </w:pPr>
            <w:r>
              <w:rPr>
                <w:noProof/>
                <w:lang w:eastAsia="sk-SK"/>
              </w:rPr>
              <w:drawing>
                <wp:inline distT="0" distB="0" distL="0" distR="0" wp14:anchorId="0597536F" wp14:editId="3F260CC1">
                  <wp:extent cx="2701290" cy="2026285"/>
                  <wp:effectExtent l="0" t="0" r="3810" b="0"/>
                  <wp:docPr id="4"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5F6E5F" w:rsidRPr="006704DE" w14:paraId="63A88A35" w14:textId="77777777" w:rsidTr="00A43BEA">
        <w:trPr>
          <w:trHeight w:val="113"/>
        </w:trPr>
        <w:tc>
          <w:tcPr>
            <w:tcW w:w="2578" w:type="pct"/>
            <w:tcBorders>
              <w:top w:val="nil"/>
              <w:left w:val="nil"/>
              <w:bottom w:val="nil"/>
              <w:right w:val="nil"/>
            </w:tcBorders>
          </w:tcPr>
          <w:p w14:paraId="746C8E18" w14:textId="3513AFE9" w:rsidR="005F6E5F" w:rsidRPr="006704DE" w:rsidRDefault="005F6E5F" w:rsidP="00331568">
            <w:pPr>
              <w:jc w:val="right"/>
              <w:rPr>
                <w:rFonts w:cs="Times New Roman"/>
                <w:iCs/>
                <w:sz w:val="20"/>
                <w:szCs w:val="20"/>
              </w:rPr>
            </w:pPr>
            <w:r w:rsidRPr="006704DE">
              <w:rPr>
                <w:rFonts w:cs="Times New Roman"/>
                <w:iCs/>
                <w:sz w:val="20"/>
                <w:szCs w:val="20"/>
              </w:rPr>
              <w:t>Zdroj: ŠÚ SR, MF SR</w:t>
            </w:r>
          </w:p>
        </w:tc>
        <w:tc>
          <w:tcPr>
            <w:tcW w:w="2422" w:type="pct"/>
            <w:tcBorders>
              <w:top w:val="nil"/>
              <w:left w:val="nil"/>
              <w:bottom w:val="nil"/>
              <w:right w:val="nil"/>
            </w:tcBorders>
          </w:tcPr>
          <w:p w14:paraId="039419A5" w14:textId="77777777" w:rsidR="005F6E5F" w:rsidRPr="006704DE" w:rsidRDefault="005F6E5F" w:rsidP="00F61D9C">
            <w:pPr>
              <w:jc w:val="right"/>
              <w:rPr>
                <w:rFonts w:cs="Times New Roman"/>
                <w:iCs/>
                <w:sz w:val="20"/>
                <w:szCs w:val="20"/>
              </w:rPr>
            </w:pPr>
            <w:r w:rsidRPr="006704DE">
              <w:rPr>
                <w:rFonts w:cs="Times New Roman"/>
                <w:iCs/>
                <w:sz w:val="20"/>
                <w:szCs w:val="20"/>
              </w:rPr>
              <w:t xml:space="preserve">Zdroj: ŠÚ SR, MF SR </w:t>
            </w:r>
          </w:p>
        </w:tc>
      </w:tr>
    </w:tbl>
    <w:p w14:paraId="2734D432" w14:textId="77777777" w:rsidR="005F5B88" w:rsidRDefault="005F5B88" w:rsidP="00C34E95">
      <w:pPr>
        <w:pStyle w:val="Nadpis3"/>
      </w:pPr>
      <w:bookmarkStart w:id="12" w:name="_Toc6415631"/>
      <w:bookmarkStart w:id="13" w:name="_Toc7502823"/>
      <w:r>
        <w:t>Vývoj cien</w:t>
      </w:r>
      <w:bookmarkEnd w:id="12"/>
      <w:bookmarkEnd w:id="13"/>
    </w:p>
    <w:p w14:paraId="6D5127AE" w14:textId="6E7AED04" w:rsidR="006704DE" w:rsidRPr="004C54B9" w:rsidRDefault="006704DE" w:rsidP="006704DE">
      <w:r w:rsidRPr="00D129AD">
        <w:t>Inflácia v roku 2018 zrýchlila najmä kvôli vyšším cenám potravín.</w:t>
      </w:r>
      <w:r w:rsidRPr="004C54B9">
        <w:t xml:space="preserve"> Celoročne stúpli ceny merané indexom CPI o 2,5 %. K vyššej inflácii tlačil predovšetkým rast cien služieb reagujúci na rastúce mzdy</w:t>
      </w:r>
      <w:r>
        <w:t>.</w:t>
      </w:r>
      <w:r w:rsidRPr="004C54B9">
        <w:t xml:space="preserve"> Pokračoval aj silný rast cien potravín</w:t>
      </w:r>
      <w:r>
        <w:t>,</w:t>
      </w:r>
      <w:r w:rsidRPr="004C54B9">
        <w:t xml:space="preserve"> významne </w:t>
      </w:r>
      <w:r>
        <w:t xml:space="preserve">tiež </w:t>
      </w:r>
      <w:r w:rsidRPr="004C54B9">
        <w:t>stúpli ceny pohonných hmôt. Zrýchlil aj rast cien obchodovateľných tovarov v reakcii na oživenie inflácie v zahraničí. K rastu prispelo aj zvýšenie regulovaných cien energií od začiatku roka</w:t>
      </w:r>
      <w:r>
        <w:t xml:space="preserve"> v priemere o 1,3 % (0,5 p.</w:t>
      </w:r>
      <w:r w:rsidR="006D6BBF">
        <w:t xml:space="preserve"> </w:t>
      </w:r>
      <w:r>
        <w:t>b. z celkového rastu).</w:t>
      </w:r>
    </w:p>
    <w:p w14:paraId="30BD563C" w14:textId="77777777" w:rsidR="005F5B88" w:rsidRDefault="005F5B88" w:rsidP="00C34E95">
      <w:pPr>
        <w:pStyle w:val="Nadpis3"/>
      </w:pPr>
      <w:bookmarkStart w:id="14" w:name="_Toc6415632"/>
      <w:bookmarkStart w:id="15" w:name="_Toc7502824"/>
      <w:r>
        <w:t>Platobná bilancia</w:t>
      </w:r>
      <w:bookmarkEnd w:id="14"/>
      <w:bookmarkEnd w:id="15"/>
    </w:p>
    <w:p w14:paraId="7BC3CF8F" w14:textId="5447D57A" w:rsidR="006704DE" w:rsidRDefault="006704DE" w:rsidP="006704DE">
      <w:r w:rsidRPr="003F092D">
        <w:t>Deficit bežného účtu platobnej bilancie sa v roku 2018 prehĺbil na 2,5 % HDP z 2,0 % HDP v roku 2017. Rýchlejší rast dovozu tovarov oproti vývozom znamenal pokles bilancie tovarov na 0,1 % HDP. Rovnaká situácia nastala aj v prípade služieb, kde sa prebytok znížil na 0,9 % HDP. Opačným smerom sa vyvíjali bilancie primárnych aj sekundárnych výnosov</w:t>
      </w:r>
      <w:r>
        <w:rPr>
          <w:rStyle w:val="Odkaznapoznmkupodiarou"/>
          <w:rFonts w:ascii="Arial Narrow" w:hAnsi="Arial Narrow"/>
        </w:rPr>
        <w:footnoteReference w:id="5"/>
      </w:r>
      <w:r w:rsidRPr="003F092D">
        <w:t>, ktoré sa v roku 2018 mierne zlepšili. História platobnej bilancie bola zároveň ovplyvnená aj revíziou údajov N</w:t>
      </w:r>
      <w:r w:rsidR="002031C9">
        <w:t>árodnej banky Slovenska</w:t>
      </w:r>
      <w:r w:rsidRPr="003F092D">
        <w:t>.</w:t>
      </w:r>
    </w:p>
    <w:p w14:paraId="4A3C1ADF" w14:textId="77777777" w:rsidR="0041115C" w:rsidRDefault="0041115C">
      <w:r>
        <w:br w:type="page"/>
      </w:r>
    </w:p>
    <w:tbl>
      <w:tblPr>
        <w:tblW w:w="5000" w:type="pct"/>
        <w:tblLayout w:type="fixed"/>
        <w:tblCellMar>
          <w:left w:w="70" w:type="dxa"/>
          <w:right w:w="70" w:type="dxa"/>
        </w:tblCellMar>
        <w:tblLook w:val="0000" w:firstRow="0" w:lastRow="0" w:firstColumn="0" w:lastColumn="0" w:noHBand="0" w:noVBand="0"/>
      </w:tblPr>
      <w:tblGrid>
        <w:gridCol w:w="4384"/>
        <w:gridCol w:w="4119"/>
      </w:tblGrid>
      <w:tr w:rsidR="006704DE" w:rsidRPr="006704DE" w14:paraId="3B149775" w14:textId="77777777" w:rsidTr="00F61D9C">
        <w:trPr>
          <w:trHeight w:val="562"/>
        </w:trPr>
        <w:tc>
          <w:tcPr>
            <w:tcW w:w="2578" w:type="pct"/>
            <w:tcBorders>
              <w:top w:val="nil"/>
              <w:left w:val="nil"/>
              <w:bottom w:val="nil"/>
              <w:right w:val="nil"/>
            </w:tcBorders>
            <w:shd w:val="clear" w:color="auto" w:fill="000000"/>
            <w:vAlign w:val="center"/>
          </w:tcPr>
          <w:p w14:paraId="3E0C42D9" w14:textId="1A159D31" w:rsidR="006704DE" w:rsidRPr="006704DE" w:rsidRDefault="006704DE" w:rsidP="00F61D9C">
            <w:pPr>
              <w:rPr>
                <w:rFonts w:cs="Times New Roman"/>
                <w:b/>
                <w:bCs/>
                <w:color w:val="FFFFFF"/>
                <w:sz w:val="20"/>
                <w:highlight w:val="yellow"/>
              </w:rPr>
            </w:pPr>
            <w:r w:rsidRPr="006704DE">
              <w:rPr>
                <w:rFonts w:cs="Times New Roman"/>
                <w:b/>
                <w:color w:val="FFFFFF"/>
                <w:sz w:val="20"/>
              </w:rPr>
              <w:t xml:space="preserve">Štruktúra spotrebiteľskej inflácie – medziročné príspevky zložiek CPI (p. b.) </w:t>
            </w:r>
          </w:p>
        </w:tc>
        <w:tc>
          <w:tcPr>
            <w:tcW w:w="2422" w:type="pct"/>
            <w:tcBorders>
              <w:top w:val="nil"/>
              <w:left w:val="nil"/>
              <w:bottom w:val="nil"/>
              <w:right w:val="nil"/>
            </w:tcBorders>
            <w:shd w:val="clear" w:color="auto" w:fill="000000"/>
            <w:vAlign w:val="center"/>
          </w:tcPr>
          <w:p w14:paraId="776D66FB" w14:textId="77777777" w:rsidR="006704DE" w:rsidRPr="006704DE" w:rsidRDefault="006704DE" w:rsidP="00F61D9C">
            <w:pPr>
              <w:rPr>
                <w:rFonts w:cs="Times New Roman"/>
                <w:b/>
                <w:bCs/>
                <w:color w:val="FFFFFF"/>
                <w:sz w:val="20"/>
                <w:highlight w:val="yellow"/>
              </w:rPr>
            </w:pPr>
            <w:r w:rsidRPr="006704DE">
              <w:rPr>
                <w:rFonts w:cs="Times New Roman"/>
                <w:b/>
                <w:bCs/>
                <w:color w:val="FFFFFF"/>
                <w:sz w:val="20"/>
              </w:rPr>
              <w:t>Vývoj bežného účtu platobnej bilancie podľa jeho zložiek (% HDP)</w:t>
            </w:r>
          </w:p>
        </w:tc>
      </w:tr>
      <w:tr w:rsidR="006704DE" w:rsidRPr="006704DE" w14:paraId="0B0E007E" w14:textId="77777777" w:rsidTr="00F61D9C">
        <w:trPr>
          <w:trHeight w:val="3118"/>
        </w:trPr>
        <w:tc>
          <w:tcPr>
            <w:tcW w:w="2578" w:type="pct"/>
            <w:tcBorders>
              <w:top w:val="nil"/>
              <w:left w:val="nil"/>
              <w:bottom w:val="single" w:sz="8" w:space="0" w:color="auto"/>
              <w:right w:val="nil"/>
            </w:tcBorders>
          </w:tcPr>
          <w:p w14:paraId="2003291D" w14:textId="77777777" w:rsidR="006704DE" w:rsidRPr="006704DE" w:rsidRDefault="006704DE" w:rsidP="00F61D9C">
            <w:pPr>
              <w:rPr>
                <w:rFonts w:cs="Times New Roman"/>
                <w:b/>
                <w:bCs/>
                <w:sz w:val="16"/>
                <w:szCs w:val="16"/>
                <w:highlight w:val="yellow"/>
              </w:rPr>
            </w:pPr>
            <w:r w:rsidRPr="006704DE">
              <w:rPr>
                <w:rFonts w:cs="Times New Roman"/>
                <w:noProof/>
                <w:lang w:eastAsia="sk-SK"/>
              </w:rPr>
              <w:drawing>
                <wp:inline distT="0" distB="0" distL="0" distR="0" wp14:anchorId="1CD0DC23" wp14:editId="167C71CA">
                  <wp:extent cx="2769870" cy="2133600"/>
                  <wp:effectExtent l="0" t="0" r="0" b="0"/>
                  <wp:docPr id="28" name="Graf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2422" w:type="pct"/>
            <w:tcBorders>
              <w:top w:val="nil"/>
              <w:left w:val="nil"/>
              <w:bottom w:val="single" w:sz="8" w:space="0" w:color="auto"/>
              <w:right w:val="nil"/>
            </w:tcBorders>
          </w:tcPr>
          <w:p w14:paraId="344D0D8F" w14:textId="77777777" w:rsidR="006704DE" w:rsidRPr="006704DE" w:rsidRDefault="006704DE" w:rsidP="00F61D9C">
            <w:pPr>
              <w:spacing w:after="100" w:afterAutospacing="1"/>
              <w:rPr>
                <w:rFonts w:cs="Times New Roman"/>
                <w:b/>
                <w:bCs/>
                <w:sz w:val="16"/>
                <w:szCs w:val="16"/>
                <w:highlight w:val="yellow"/>
              </w:rPr>
            </w:pPr>
            <w:r w:rsidRPr="006704DE">
              <w:rPr>
                <w:rFonts w:cs="Times New Roman"/>
                <w:noProof/>
                <w:lang w:eastAsia="sk-SK"/>
              </w:rPr>
              <w:drawing>
                <wp:inline distT="0" distB="0" distL="0" distR="0" wp14:anchorId="15743B5B" wp14:editId="074D5744">
                  <wp:extent cx="2505075" cy="2076450"/>
                  <wp:effectExtent l="0" t="0" r="0" b="0"/>
                  <wp:docPr id="5"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6704DE" w:rsidRPr="0041115C" w14:paraId="0F5DCEBD" w14:textId="77777777" w:rsidTr="00F61D9C">
        <w:trPr>
          <w:trHeight w:val="113"/>
        </w:trPr>
        <w:tc>
          <w:tcPr>
            <w:tcW w:w="2578" w:type="pct"/>
            <w:tcBorders>
              <w:top w:val="nil"/>
              <w:left w:val="nil"/>
              <w:bottom w:val="nil"/>
              <w:right w:val="nil"/>
            </w:tcBorders>
          </w:tcPr>
          <w:p w14:paraId="33359793" w14:textId="41EE5AF5" w:rsidR="006704DE" w:rsidRPr="0041115C" w:rsidRDefault="006704DE" w:rsidP="007A0434">
            <w:pPr>
              <w:jc w:val="right"/>
              <w:rPr>
                <w:rFonts w:cs="Times New Roman"/>
                <w:iCs/>
                <w:sz w:val="18"/>
                <w:szCs w:val="18"/>
              </w:rPr>
            </w:pPr>
            <w:r w:rsidRPr="0041115C">
              <w:rPr>
                <w:rFonts w:cs="Times New Roman"/>
                <w:iCs/>
                <w:sz w:val="18"/>
                <w:szCs w:val="18"/>
              </w:rPr>
              <w:t>Zdroj: ŠÚ SR, MF SR</w:t>
            </w:r>
          </w:p>
        </w:tc>
        <w:tc>
          <w:tcPr>
            <w:tcW w:w="2422" w:type="pct"/>
            <w:tcBorders>
              <w:top w:val="nil"/>
              <w:left w:val="nil"/>
              <w:bottom w:val="nil"/>
              <w:right w:val="nil"/>
            </w:tcBorders>
          </w:tcPr>
          <w:p w14:paraId="2A04A5EA" w14:textId="77777777" w:rsidR="006704DE" w:rsidRPr="0041115C" w:rsidRDefault="006704DE" w:rsidP="00F61D9C">
            <w:pPr>
              <w:jc w:val="right"/>
              <w:rPr>
                <w:rFonts w:cs="Times New Roman"/>
                <w:iCs/>
                <w:sz w:val="18"/>
                <w:szCs w:val="18"/>
              </w:rPr>
            </w:pPr>
            <w:r w:rsidRPr="0041115C">
              <w:rPr>
                <w:rFonts w:cs="Times New Roman"/>
                <w:iCs/>
                <w:sz w:val="18"/>
                <w:szCs w:val="18"/>
              </w:rPr>
              <w:t xml:space="preserve">Zdroj: NBS, MF SR </w:t>
            </w:r>
          </w:p>
        </w:tc>
      </w:tr>
    </w:tbl>
    <w:p w14:paraId="6AA20DFE" w14:textId="0B0ECA88" w:rsidR="005F5B88" w:rsidRDefault="005F5B88" w:rsidP="00C34E95">
      <w:pPr>
        <w:pStyle w:val="Nadpis3"/>
      </w:pPr>
      <w:bookmarkStart w:id="16" w:name="_Toc6415633"/>
      <w:bookmarkStart w:id="17" w:name="_Toc7502825"/>
      <w:r>
        <w:t>Porovnanie makroekonomických predpokladov rozpočtu a</w:t>
      </w:r>
      <w:r w:rsidR="006704DE">
        <w:t> </w:t>
      </w:r>
      <w:r>
        <w:t>skutočnosti</w:t>
      </w:r>
      <w:bookmarkEnd w:id="16"/>
      <w:bookmarkEnd w:id="17"/>
    </w:p>
    <w:p w14:paraId="517C8950" w14:textId="4225BC80" w:rsidR="006704DE" w:rsidRPr="00D129AD" w:rsidRDefault="001200B1" w:rsidP="006704DE">
      <w:pPr>
        <w:rPr>
          <w:highlight w:val="yellow"/>
        </w:rPr>
      </w:pPr>
      <w:r w:rsidRPr="00A265D6">
        <w:t>Väčšina makroekonomických ukazovateľov skončila výsledkovo lepšie ako predpokladala prognóza Ministerstva financií SR použitá pri zostavovaní rozpočtu verejnej správy pre rok 2018.</w:t>
      </w:r>
      <w:r>
        <w:t xml:space="preserve"> </w:t>
      </w:r>
      <w:r w:rsidR="006704DE" w:rsidRPr="00A46BB9">
        <w:t>Reálny rast ekonomiky bol mierne nižší</w:t>
      </w:r>
      <w:r>
        <w:t>.</w:t>
      </w:r>
      <w:r w:rsidR="006704DE" w:rsidRPr="00A46BB9">
        <w:t xml:space="preserve"> </w:t>
      </w:r>
      <w:r>
        <w:t>R</w:t>
      </w:r>
      <w:r w:rsidR="006704DE">
        <w:t>ýchlejšie</w:t>
      </w:r>
      <w:r w:rsidR="006704DE" w:rsidRPr="00746AEC">
        <w:t xml:space="preserve"> oproti prognóze rástli vládna aj súkromná spotreba</w:t>
      </w:r>
      <w:r w:rsidR="006704DE">
        <w:t xml:space="preserve">, očakávaný rast výrazne prekročili investície. </w:t>
      </w:r>
      <w:r w:rsidR="006704DE" w:rsidRPr="00746AEC">
        <w:t xml:space="preserve">Rast HDP smerom nadol však výrazne ovplyvnil zahraničný obchod. Export aj import rástli pomalšie ako </w:t>
      </w:r>
      <w:r w:rsidR="006704DE">
        <w:t>očakávala</w:t>
      </w:r>
      <w:r w:rsidR="006704DE" w:rsidRPr="00746AEC">
        <w:t>, export však spomalil výraznejšie. Nominálnemu HDP však pomohol rýchlejší návrat inflácie.</w:t>
      </w:r>
    </w:p>
    <w:p w14:paraId="31ACADF6" w14:textId="4AB31346" w:rsidR="006704DE" w:rsidRPr="00AA3B92" w:rsidRDefault="006704DE" w:rsidP="006704DE">
      <w:r w:rsidRPr="00746AEC">
        <w:t xml:space="preserve">Rok 2018 si však polepšil oproti rozpočtu z pohľadu makroekonomických základní pre dane a odvody. Výrazne rýchlejšie rástla mzdová báza, ktorá je najvýznamnejšou základňou pre daň z príjmu fyzických osôb a odvodov. </w:t>
      </w:r>
      <w:r w:rsidRPr="002A7A85">
        <w:t>Očakávania predbehli rast miezd aj rast zamestnanosti. Rýc</w:t>
      </w:r>
      <w:r w:rsidRPr="00746AEC">
        <w:t xml:space="preserve">hlejší než očakávaný rast cien podporil </w:t>
      </w:r>
      <w:r w:rsidR="002031C9">
        <w:t xml:space="preserve">nominálnu spotrebu domácností a </w:t>
      </w:r>
      <w:r w:rsidRPr="00746AEC">
        <w:t>HDP, čo sú základne pre DPH a daň z príjmu právnických osôb. Celkovo tak makroekonomický vývoj vytvoril pozitívne riziká pre rozpočtované príjmy verejnej správy v 2018.</w:t>
      </w:r>
      <w:r w:rsidRPr="00AA3B92">
        <w:t xml:space="preserve"> </w:t>
      </w:r>
    </w:p>
    <w:tbl>
      <w:tblPr>
        <w:tblW w:w="8506" w:type="dxa"/>
        <w:jc w:val="center"/>
        <w:tblLayout w:type="fixed"/>
        <w:tblCellMar>
          <w:left w:w="70" w:type="dxa"/>
          <w:right w:w="70" w:type="dxa"/>
        </w:tblCellMar>
        <w:tblLook w:val="04A0" w:firstRow="1" w:lastRow="0" w:firstColumn="1" w:lastColumn="0" w:noHBand="0" w:noVBand="1"/>
      </w:tblPr>
      <w:tblGrid>
        <w:gridCol w:w="4437"/>
        <w:gridCol w:w="1375"/>
        <w:gridCol w:w="1276"/>
        <w:gridCol w:w="1418"/>
      </w:tblGrid>
      <w:tr w:rsidR="006704DE" w:rsidRPr="003F605E" w14:paraId="6A172FE4" w14:textId="77777777" w:rsidTr="008E7D36">
        <w:trPr>
          <w:trHeight w:val="268"/>
          <w:jc w:val="center"/>
        </w:trPr>
        <w:tc>
          <w:tcPr>
            <w:tcW w:w="8506" w:type="dxa"/>
            <w:gridSpan w:val="4"/>
            <w:tcBorders>
              <w:top w:val="nil"/>
              <w:left w:val="nil"/>
              <w:right w:val="nil"/>
            </w:tcBorders>
            <w:shd w:val="clear" w:color="000000" w:fill="000000"/>
            <w:vAlign w:val="bottom"/>
            <w:hideMark/>
          </w:tcPr>
          <w:p w14:paraId="489A7F6C" w14:textId="77777777" w:rsidR="006704DE" w:rsidRPr="003F605E" w:rsidRDefault="006704DE" w:rsidP="00F61D9C">
            <w:pPr>
              <w:rPr>
                <w:rFonts w:cs="Times New Roman"/>
                <w:b/>
                <w:bCs/>
                <w:color w:val="FFFFFF"/>
                <w:sz w:val="18"/>
                <w:szCs w:val="18"/>
              </w:rPr>
            </w:pPr>
            <w:r w:rsidRPr="003F605E">
              <w:rPr>
                <w:rFonts w:cs="Times New Roman"/>
                <w:b/>
                <w:bCs/>
                <w:color w:val="FFFFFF"/>
                <w:sz w:val="18"/>
                <w:szCs w:val="18"/>
              </w:rPr>
              <w:t>Porovnanie skutočnosti za rok 2018 s predpokladmi pre tvorbu rozpočtu na roky 2018-2021</w:t>
            </w:r>
          </w:p>
        </w:tc>
      </w:tr>
      <w:tr w:rsidR="008E7D36" w:rsidRPr="003F605E" w14:paraId="4D79EAB1" w14:textId="77777777" w:rsidTr="003F605E">
        <w:trPr>
          <w:trHeight w:val="508"/>
          <w:jc w:val="center"/>
        </w:trPr>
        <w:tc>
          <w:tcPr>
            <w:tcW w:w="4437" w:type="dxa"/>
            <w:tcBorders>
              <w:top w:val="nil"/>
              <w:left w:val="nil"/>
              <w:bottom w:val="single" w:sz="8" w:space="0" w:color="auto"/>
              <w:right w:val="nil"/>
            </w:tcBorders>
            <w:shd w:val="clear" w:color="000000" w:fill="C0C0C0"/>
            <w:vAlign w:val="bottom"/>
            <w:hideMark/>
          </w:tcPr>
          <w:p w14:paraId="16953FFB" w14:textId="77777777" w:rsidR="006704DE" w:rsidRPr="003F605E" w:rsidRDefault="006704DE" w:rsidP="00F61D9C">
            <w:pPr>
              <w:rPr>
                <w:rFonts w:cs="Times New Roman"/>
                <w:b/>
                <w:bCs/>
                <w:color w:val="000000"/>
                <w:sz w:val="18"/>
                <w:szCs w:val="18"/>
              </w:rPr>
            </w:pPr>
            <w:r w:rsidRPr="003F605E">
              <w:rPr>
                <w:rFonts w:cs="Times New Roman"/>
                <w:b/>
                <w:bCs/>
                <w:color w:val="000000"/>
                <w:sz w:val="18"/>
                <w:szCs w:val="18"/>
              </w:rPr>
              <w:t>v %, ak nie je uvedené inak</w:t>
            </w:r>
          </w:p>
        </w:tc>
        <w:tc>
          <w:tcPr>
            <w:tcW w:w="1375" w:type="dxa"/>
            <w:tcBorders>
              <w:top w:val="nil"/>
              <w:left w:val="nil"/>
              <w:bottom w:val="single" w:sz="8" w:space="0" w:color="auto"/>
              <w:right w:val="nil"/>
            </w:tcBorders>
            <w:shd w:val="clear" w:color="000000" w:fill="C0C0C0"/>
            <w:vAlign w:val="bottom"/>
            <w:hideMark/>
          </w:tcPr>
          <w:p w14:paraId="76C44736" w14:textId="77777777" w:rsidR="006704DE" w:rsidRPr="003F605E" w:rsidRDefault="006704DE" w:rsidP="00F61D9C">
            <w:pPr>
              <w:jc w:val="center"/>
              <w:rPr>
                <w:rFonts w:cs="Times New Roman"/>
                <w:b/>
                <w:bCs/>
                <w:color w:val="000000"/>
                <w:sz w:val="18"/>
                <w:szCs w:val="18"/>
              </w:rPr>
            </w:pPr>
            <w:r w:rsidRPr="003F605E">
              <w:rPr>
                <w:rFonts w:cs="Times New Roman"/>
                <w:b/>
                <w:bCs/>
                <w:color w:val="000000"/>
                <w:sz w:val="18"/>
                <w:szCs w:val="18"/>
              </w:rPr>
              <w:t>Rozpočet 2018</w:t>
            </w:r>
          </w:p>
        </w:tc>
        <w:tc>
          <w:tcPr>
            <w:tcW w:w="1276" w:type="dxa"/>
            <w:tcBorders>
              <w:top w:val="nil"/>
              <w:left w:val="nil"/>
              <w:bottom w:val="single" w:sz="8" w:space="0" w:color="auto"/>
              <w:right w:val="nil"/>
            </w:tcBorders>
            <w:shd w:val="clear" w:color="000000" w:fill="C0C0C0"/>
            <w:vAlign w:val="bottom"/>
            <w:hideMark/>
          </w:tcPr>
          <w:p w14:paraId="62ECEA4F" w14:textId="76A9A9C4" w:rsidR="006704DE" w:rsidRPr="003F605E" w:rsidRDefault="006704DE" w:rsidP="003F605E">
            <w:pPr>
              <w:spacing w:after="0" w:line="240" w:lineRule="auto"/>
              <w:jc w:val="center"/>
              <w:rPr>
                <w:rFonts w:cs="Times New Roman"/>
                <w:b/>
                <w:bCs/>
                <w:color w:val="000000"/>
                <w:sz w:val="18"/>
                <w:szCs w:val="18"/>
              </w:rPr>
            </w:pPr>
            <w:r w:rsidRPr="003F605E">
              <w:rPr>
                <w:rFonts w:cs="Times New Roman"/>
                <w:b/>
                <w:bCs/>
                <w:color w:val="000000"/>
                <w:sz w:val="18"/>
                <w:szCs w:val="18"/>
              </w:rPr>
              <w:t>Skutočnosť</w:t>
            </w:r>
            <w:r w:rsidR="003F605E">
              <w:rPr>
                <w:rFonts w:cs="Times New Roman"/>
                <w:b/>
                <w:bCs/>
                <w:color w:val="000000"/>
                <w:sz w:val="18"/>
                <w:szCs w:val="18"/>
              </w:rPr>
              <w:t xml:space="preserve"> </w:t>
            </w:r>
            <w:r w:rsidRPr="003F605E">
              <w:rPr>
                <w:rFonts w:cs="Times New Roman"/>
                <w:b/>
                <w:bCs/>
                <w:color w:val="000000"/>
                <w:sz w:val="18"/>
                <w:szCs w:val="18"/>
              </w:rPr>
              <w:t>2018</w:t>
            </w:r>
          </w:p>
        </w:tc>
        <w:tc>
          <w:tcPr>
            <w:tcW w:w="1418" w:type="dxa"/>
            <w:tcBorders>
              <w:top w:val="nil"/>
              <w:left w:val="nil"/>
              <w:bottom w:val="single" w:sz="8" w:space="0" w:color="auto"/>
              <w:right w:val="nil"/>
            </w:tcBorders>
            <w:shd w:val="clear" w:color="000000" w:fill="C0C0C0"/>
            <w:vAlign w:val="bottom"/>
            <w:hideMark/>
          </w:tcPr>
          <w:p w14:paraId="35E5D71B" w14:textId="77777777" w:rsidR="006704DE" w:rsidRPr="003F605E" w:rsidRDefault="006704DE" w:rsidP="00F61D9C">
            <w:pPr>
              <w:jc w:val="center"/>
              <w:rPr>
                <w:rFonts w:cs="Times New Roman"/>
                <w:b/>
                <w:bCs/>
                <w:color w:val="000000"/>
                <w:sz w:val="18"/>
                <w:szCs w:val="18"/>
              </w:rPr>
            </w:pPr>
            <w:r w:rsidRPr="003F605E">
              <w:rPr>
                <w:rFonts w:cs="Times New Roman"/>
                <w:b/>
                <w:bCs/>
                <w:color w:val="000000"/>
                <w:sz w:val="18"/>
                <w:szCs w:val="18"/>
              </w:rPr>
              <w:t>Rozdiel v </w:t>
            </w:r>
            <w:proofErr w:type="spellStart"/>
            <w:r w:rsidRPr="003F605E">
              <w:rPr>
                <w:rFonts w:cs="Times New Roman"/>
                <w:b/>
                <w:bCs/>
                <w:color w:val="000000"/>
                <w:sz w:val="18"/>
                <w:szCs w:val="18"/>
              </w:rPr>
              <w:t>p.b</w:t>
            </w:r>
            <w:proofErr w:type="spellEnd"/>
            <w:r w:rsidRPr="003F605E">
              <w:rPr>
                <w:rFonts w:cs="Times New Roman"/>
                <w:b/>
                <w:bCs/>
                <w:color w:val="000000"/>
                <w:sz w:val="18"/>
                <w:szCs w:val="18"/>
              </w:rPr>
              <w:t>.</w:t>
            </w:r>
          </w:p>
        </w:tc>
      </w:tr>
      <w:tr w:rsidR="008E7D36" w:rsidRPr="003F605E" w14:paraId="6991E318" w14:textId="77777777" w:rsidTr="006D6BBF">
        <w:trPr>
          <w:trHeight w:val="268"/>
          <w:jc w:val="center"/>
        </w:trPr>
        <w:tc>
          <w:tcPr>
            <w:tcW w:w="4437" w:type="dxa"/>
            <w:tcBorders>
              <w:top w:val="single" w:sz="8" w:space="0" w:color="auto"/>
              <w:left w:val="nil"/>
              <w:bottom w:val="nil"/>
              <w:right w:val="nil"/>
            </w:tcBorders>
            <w:shd w:val="clear" w:color="auto" w:fill="auto"/>
            <w:vAlign w:val="bottom"/>
            <w:hideMark/>
          </w:tcPr>
          <w:p w14:paraId="592D77DE" w14:textId="70243D25" w:rsidR="006704DE" w:rsidRPr="003F605E" w:rsidRDefault="006704DE" w:rsidP="007A0434">
            <w:pPr>
              <w:spacing w:after="0" w:line="240" w:lineRule="auto"/>
              <w:rPr>
                <w:rFonts w:eastAsia="Times New Roman" w:cs="Times New Roman"/>
                <w:color w:val="000000"/>
                <w:sz w:val="18"/>
                <w:szCs w:val="18"/>
                <w:lang w:eastAsia="sk-SK"/>
              </w:rPr>
            </w:pPr>
            <w:r w:rsidRPr="003F605E">
              <w:rPr>
                <w:rFonts w:eastAsia="Times New Roman" w:cs="Times New Roman"/>
                <w:color w:val="000000"/>
                <w:sz w:val="18"/>
                <w:szCs w:val="18"/>
                <w:lang w:eastAsia="sk-SK"/>
              </w:rPr>
              <w:t>Hrubý domáci produkt, reálny rast</w:t>
            </w:r>
          </w:p>
        </w:tc>
        <w:tc>
          <w:tcPr>
            <w:tcW w:w="1375" w:type="dxa"/>
            <w:tcBorders>
              <w:top w:val="single" w:sz="8" w:space="0" w:color="auto"/>
              <w:left w:val="nil"/>
              <w:bottom w:val="nil"/>
              <w:right w:val="nil"/>
            </w:tcBorders>
            <w:shd w:val="clear" w:color="auto" w:fill="auto"/>
            <w:vAlign w:val="bottom"/>
            <w:hideMark/>
          </w:tcPr>
          <w:p w14:paraId="405C6B3F" w14:textId="77777777" w:rsidR="006704DE" w:rsidRPr="003F605E" w:rsidRDefault="006704DE" w:rsidP="008E7D36">
            <w:pPr>
              <w:spacing w:after="0" w:line="240" w:lineRule="auto"/>
              <w:jc w:val="center"/>
              <w:rPr>
                <w:rFonts w:eastAsia="Times New Roman" w:cs="Times New Roman"/>
                <w:color w:val="000000"/>
                <w:sz w:val="18"/>
                <w:szCs w:val="18"/>
                <w:lang w:eastAsia="sk-SK"/>
              </w:rPr>
            </w:pPr>
            <w:r w:rsidRPr="003F605E">
              <w:rPr>
                <w:rFonts w:eastAsia="Times New Roman" w:cs="Times New Roman"/>
                <w:color w:val="000000"/>
                <w:sz w:val="18"/>
                <w:szCs w:val="18"/>
                <w:lang w:eastAsia="sk-SK"/>
              </w:rPr>
              <w:t>4,2</w:t>
            </w:r>
          </w:p>
        </w:tc>
        <w:tc>
          <w:tcPr>
            <w:tcW w:w="1276" w:type="dxa"/>
            <w:tcBorders>
              <w:top w:val="single" w:sz="8" w:space="0" w:color="auto"/>
              <w:left w:val="nil"/>
              <w:right w:val="nil"/>
            </w:tcBorders>
            <w:shd w:val="clear" w:color="auto" w:fill="BFBFBF" w:themeFill="background1" w:themeFillShade="BF"/>
            <w:vAlign w:val="bottom"/>
            <w:hideMark/>
          </w:tcPr>
          <w:p w14:paraId="348B236F" w14:textId="77777777" w:rsidR="006704DE" w:rsidRPr="003F605E" w:rsidRDefault="006704DE" w:rsidP="008E7D36">
            <w:pPr>
              <w:spacing w:after="0" w:line="240" w:lineRule="auto"/>
              <w:jc w:val="center"/>
              <w:rPr>
                <w:rFonts w:eastAsia="Times New Roman" w:cs="Times New Roman"/>
                <w:color w:val="000000"/>
                <w:sz w:val="18"/>
                <w:szCs w:val="18"/>
                <w:lang w:eastAsia="sk-SK"/>
              </w:rPr>
            </w:pPr>
            <w:r w:rsidRPr="003F605E">
              <w:rPr>
                <w:rFonts w:eastAsia="Times New Roman" w:cs="Times New Roman"/>
                <w:color w:val="000000"/>
                <w:sz w:val="18"/>
                <w:szCs w:val="18"/>
                <w:lang w:eastAsia="sk-SK"/>
              </w:rPr>
              <w:t>4,1</w:t>
            </w:r>
          </w:p>
        </w:tc>
        <w:tc>
          <w:tcPr>
            <w:tcW w:w="1418" w:type="dxa"/>
            <w:tcBorders>
              <w:top w:val="single" w:sz="8" w:space="0" w:color="auto"/>
              <w:left w:val="nil"/>
              <w:bottom w:val="nil"/>
              <w:right w:val="nil"/>
            </w:tcBorders>
            <w:shd w:val="clear" w:color="auto" w:fill="auto"/>
            <w:vAlign w:val="bottom"/>
            <w:hideMark/>
          </w:tcPr>
          <w:p w14:paraId="58DB211B" w14:textId="77777777" w:rsidR="006704DE" w:rsidRPr="003F605E" w:rsidRDefault="006704DE" w:rsidP="008E7D36">
            <w:pPr>
              <w:spacing w:after="0" w:line="240" w:lineRule="auto"/>
              <w:jc w:val="center"/>
              <w:rPr>
                <w:rFonts w:eastAsia="Times New Roman" w:cs="Times New Roman"/>
                <w:color w:val="000000"/>
                <w:sz w:val="18"/>
                <w:szCs w:val="18"/>
                <w:lang w:eastAsia="sk-SK"/>
              </w:rPr>
            </w:pPr>
            <w:r w:rsidRPr="003F605E">
              <w:rPr>
                <w:rFonts w:eastAsia="Times New Roman" w:cs="Times New Roman"/>
                <w:color w:val="000000"/>
                <w:sz w:val="18"/>
                <w:szCs w:val="18"/>
                <w:lang w:eastAsia="sk-SK"/>
              </w:rPr>
              <w:t>-0,1</w:t>
            </w:r>
          </w:p>
        </w:tc>
      </w:tr>
      <w:tr w:rsidR="008E7D36" w:rsidRPr="003F605E" w14:paraId="21164220" w14:textId="77777777" w:rsidTr="006D6BBF">
        <w:trPr>
          <w:trHeight w:val="268"/>
          <w:jc w:val="center"/>
        </w:trPr>
        <w:tc>
          <w:tcPr>
            <w:tcW w:w="4437" w:type="dxa"/>
            <w:tcBorders>
              <w:top w:val="nil"/>
              <w:left w:val="nil"/>
              <w:bottom w:val="nil"/>
              <w:right w:val="nil"/>
            </w:tcBorders>
            <w:shd w:val="clear" w:color="auto" w:fill="auto"/>
            <w:vAlign w:val="bottom"/>
            <w:hideMark/>
          </w:tcPr>
          <w:p w14:paraId="1CC20B34" w14:textId="77777777" w:rsidR="006704DE" w:rsidRPr="003F605E" w:rsidRDefault="006704DE" w:rsidP="006704DE">
            <w:pPr>
              <w:spacing w:after="0" w:line="240" w:lineRule="auto"/>
              <w:rPr>
                <w:rFonts w:eastAsia="Times New Roman" w:cs="Times New Roman"/>
                <w:color w:val="000000"/>
                <w:sz w:val="18"/>
                <w:szCs w:val="18"/>
                <w:lang w:eastAsia="sk-SK"/>
              </w:rPr>
            </w:pPr>
            <w:r w:rsidRPr="003F605E">
              <w:rPr>
                <w:rFonts w:eastAsia="Times New Roman" w:cs="Times New Roman"/>
                <w:color w:val="000000"/>
                <w:sz w:val="18"/>
                <w:szCs w:val="18"/>
                <w:lang w:eastAsia="sk-SK"/>
              </w:rPr>
              <w:t>Hrubý domáci produkt v bežných cenách mld. Eur</w:t>
            </w:r>
          </w:p>
        </w:tc>
        <w:tc>
          <w:tcPr>
            <w:tcW w:w="1375" w:type="dxa"/>
            <w:tcBorders>
              <w:top w:val="nil"/>
              <w:left w:val="nil"/>
              <w:bottom w:val="nil"/>
              <w:right w:val="nil"/>
            </w:tcBorders>
            <w:shd w:val="clear" w:color="auto" w:fill="auto"/>
            <w:vAlign w:val="bottom"/>
            <w:hideMark/>
          </w:tcPr>
          <w:p w14:paraId="5B348A8D" w14:textId="77777777" w:rsidR="006704DE" w:rsidRPr="003F605E" w:rsidRDefault="006704DE" w:rsidP="008E7D36">
            <w:pPr>
              <w:spacing w:after="0" w:line="240" w:lineRule="auto"/>
              <w:jc w:val="center"/>
              <w:rPr>
                <w:rFonts w:eastAsia="Times New Roman" w:cs="Times New Roman"/>
                <w:color w:val="000000"/>
                <w:sz w:val="18"/>
                <w:szCs w:val="18"/>
                <w:lang w:eastAsia="sk-SK"/>
              </w:rPr>
            </w:pPr>
            <w:r w:rsidRPr="003F605E">
              <w:rPr>
                <w:rFonts w:eastAsia="Times New Roman" w:cs="Times New Roman"/>
                <w:color w:val="000000"/>
                <w:sz w:val="18"/>
                <w:szCs w:val="18"/>
                <w:lang w:eastAsia="sk-SK"/>
              </w:rPr>
              <w:t>89,5</w:t>
            </w:r>
          </w:p>
        </w:tc>
        <w:tc>
          <w:tcPr>
            <w:tcW w:w="1276" w:type="dxa"/>
            <w:tcBorders>
              <w:left w:val="nil"/>
              <w:bottom w:val="nil"/>
              <w:right w:val="nil"/>
            </w:tcBorders>
            <w:shd w:val="clear" w:color="auto" w:fill="BFBFBF" w:themeFill="background1" w:themeFillShade="BF"/>
            <w:noWrap/>
            <w:vAlign w:val="bottom"/>
            <w:hideMark/>
          </w:tcPr>
          <w:p w14:paraId="09B43A10" w14:textId="77777777" w:rsidR="006704DE" w:rsidRPr="003F605E" w:rsidRDefault="006704DE" w:rsidP="008E7D36">
            <w:pPr>
              <w:spacing w:after="0" w:line="240" w:lineRule="auto"/>
              <w:jc w:val="center"/>
              <w:rPr>
                <w:rFonts w:eastAsia="Times New Roman" w:cs="Times New Roman"/>
                <w:color w:val="000000"/>
                <w:sz w:val="18"/>
                <w:szCs w:val="18"/>
                <w:lang w:eastAsia="sk-SK"/>
              </w:rPr>
            </w:pPr>
            <w:r w:rsidRPr="003F605E">
              <w:rPr>
                <w:rFonts w:eastAsia="Times New Roman" w:cs="Times New Roman"/>
                <w:color w:val="000000"/>
                <w:sz w:val="18"/>
                <w:szCs w:val="18"/>
                <w:lang w:eastAsia="sk-SK"/>
              </w:rPr>
              <w:t>90,2</w:t>
            </w:r>
          </w:p>
        </w:tc>
        <w:tc>
          <w:tcPr>
            <w:tcW w:w="1418" w:type="dxa"/>
            <w:tcBorders>
              <w:top w:val="nil"/>
              <w:left w:val="nil"/>
              <w:bottom w:val="nil"/>
              <w:right w:val="nil"/>
            </w:tcBorders>
            <w:shd w:val="clear" w:color="auto" w:fill="auto"/>
            <w:vAlign w:val="bottom"/>
            <w:hideMark/>
          </w:tcPr>
          <w:p w14:paraId="62242E6F" w14:textId="77777777" w:rsidR="006704DE" w:rsidRPr="003F605E" w:rsidRDefault="006704DE" w:rsidP="008E7D36">
            <w:pPr>
              <w:spacing w:after="0" w:line="240" w:lineRule="auto"/>
              <w:jc w:val="center"/>
              <w:rPr>
                <w:rFonts w:eastAsia="Times New Roman" w:cs="Times New Roman"/>
                <w:color w:val="000000"/>
                <w:sz w:val="18"/>
                <w:szCs w:val="18"/>
                <w:lang w:eastAsia="sk-SK"/>
              </w:rPr>
            </w:pPr>
            <w:r w:rsidRPr="003F605E">
              <w:rPr>
                <w:rFonts w:eastAsia="Times New Roman" w:cs="Times New Roman"/>
                <w:color w:val="000000"/>
                <w:sz w:val="18"/>
                <w:szCs w:val="18"/>
                <w:lang w:eastAsia="sk-SK"/>
              </w:rPr>
              <w:t>+0,7</w:t>
            </w:r>
          </w:p>
        </w:tc>
      </w:tr>
      <w:tr w:rsidR="006704DE" w:rsidRPr="003F605E" w14:paraId="27EDBCBE" w14:textId="77777777" w:rsidTr="006D6BBF">
        <w:trPr>
          <w:trHeight w:val="268"/>
          <w:jc w:val="center"/>
        </w:trPr>
        <w:tc>
          <w:tcPr>
            <w:tcW w:w="4437" w:type="dxa"/>
            <w:tcBorders>
              <w:top w:val="nil"/>
              <w:left w:val="nil"/>
              <w:bottom w:val="nil"/>
              <w:right w:val="nil"/>
            </w:tcBorders>
            <w:shd w:val="clear" w:color="auto" w:fill="auto"/>
            <w:vAlign w:val="bottom"/>
            <w:hideMark/>
          </w:tcPr>
          <w:p w14:paraId="6DF38B61" w14:textId="01E710EE" w:rsidR="006704DE" w:rsidRPr="003F605E" w:rsidRDefault="006704DE" w:rsidP="006704DE">
            <w:pPr>
              <w:spacing w:after="0" w:line="240" w:lineRule="auto"/>
              <w:rPr>
                <w:rFonts w:eastAsia="Times New Roman" w:cs="Times New Roman"/>
                <w:color w:val="000000"/>
                <w:sz w:val="18"/>
                <w:szCs w:val="18"/>
                <w:lang w:eastAsia="sk-SK"/>
              </w:rPr>
            </w:pPr>
            <w:r w:rsidRPr="003F605E">
              <w:rPr>
                <w:rFonts w:eastAsia="Times New Roman" w:cs="Times New Roman"/>
                <w:color w:val="000000"/>
                <w:sz w:val="18"/>
                <w:szCs w:val="18"/>
                <w:lang w:eastAsia="sk-SK"/>
              </w:rPr>
              <w:t>Koneč</w:t>
            </w:r>
            <w:r w:rsidR="007A0434" w:rsidRPr="003F605E">
              <w:rPr>
                <w:rFonts w:eastAsia="Times New Roman" w:cs="Times New Roman"/>
                <w:color w:val="000000"/>
                <w:sz w:val="18"/>
                <w:szCs w:val="18"/>
                <w:lang w:eastAsia="sk-SK"/>
              </w:rPr>
              <w:t xml:space="preserve">ná spotreba domácností a NISD, </w:t>
            </w:r>
            <w:r w:rsidRPr="003F605E">
              <w:rPr>
                <w:rFonts w:eastAsia="Times New Roman" w:cs="Times New Roman"/>
                <w:color w:val="000000"/>
                <w:sz w:val="18"/>
                <w:szCs w:val="18"/>
                <w:lang w:eastAsia="sk-SK"/>
              </w:rPr>
              <w:t>reálny rast</w:t>
            </w:r>
          </w:p>
        </w:tc>
        <w:tc>
          <w:tcPr>
            <w:tcW w:w="1375" w:type="dxa"/>
            <w:tcBorders>
              <w:top w:val="nil"/>
              <w:left w:val="nil"/>
              <w:bottom w:val="nil"/>
              <w:right w:val="nil"/>
            </w:tcBorders>
            <w:shd w:val="clear" w:color="auto" w:fill="auto"/>
            <w:vAlign w:val="bottom"/>
            <w:hideMark/>
          </w:tcPr>
          <w:p w14:paraId="33370C90" w14:textId="77777777" w:rsidR="006704DE" w:rsidRPr="003F605E" w:rsidRDefault="006704DE" w:rsidP="008E7D36">
            <w:pPr>
              <w:spacing w:after="0" w:line="240" w:lineRule="auto"/>
              <w:jc w:val="center"/>
              <w:rPr>
                <w:rFonts w:eastAsia="Times New Roman" w:cs="Times New Roman"/>
                <w:color w:val="000000"/>
                <w:sz w:val="18"/>
                <w:szCs w:val="18"/>
                <w:lang w:eastAsia="sk-SK"/>
              </w:rPr>
            </w:pPr>
            <w:r w:rsidRPr="003F605E">
              <w:rPr>
                <w:rFonts w:eastAsia="Times New Roman" w:cs="Times New Roman"/>
                <w:color w:val="000000"/>
                <w:sz w:val="18"/>
                <w:szCs w:val="18"/>
                <w:lang w:eastAsia="sk-SK"/>
              </w:rPr>
              <w:t>2,9</w:t>
            </w:r>
          </w:p>
        </w:tc>
        <w:tc>
          <w:tcPr>
            <w:tcW w:w="1276" w:type="dxa"/>
            <w:tcBorders>
              <w:top w:val="nil"/>
              <w:left w:val="nil"/>
              <w:bottom w:val="nil"/>
              <w:right w:val="nil"/>
            </w:tcBorders>
            <w:shd w:val="clear" w:color="auto" w:fill="BFBFBF" w:themeFill="background1" w:themeFillShade="BF"/>
            <w:vAlign w:val="bottom"/>
            <w:hideMark/>
          </w:tcPr>
          <w:p w14:paraId="61E9C1C2" w14:textId="77777777" w:rsidR="006704DE" w:rsidRPr="003F605E" w:rsidRDefault="006704DE" w:rsidP="008E7D36">
            <w:pPr>
              <w:spacing w:after="0" w:line="240" w:lineRule="auto"/>
              <w:jc w:val="center"/>
              <w:rPr>
                <w:rFonts w:eastAsia="Times New Roman" w:cs="Times New Roman"/>
                <w:color w:val="000000"/>
                <w:sz w:val="18"/>
                <w:szCs w:val="18"/>
                <w:lang w:eastAsia="sk-SK"/>
              </w:rPr>
            </w:pPr>
            <w:r w:rsidRPr="003F605E">
              <w:rPr>
                <w:rFonts w:eastAsia="Times New Roman" w:cs="Times New Roman"/>
                <w:color w:val="000000"/>
                <w:sz w:val="18"/>
                <w:szCs w:val="18"/>
                <w:lang w:eastAsia="sk-SK"/>
              </w:rPr>
              <w:t>3,0</w:t>
            </w:r>
          </w:p>
        </w:tc>
        <w:tc>
          <w:tcPr>
            <w:tcW w:w="1418" w:type="dxa"/>
            <w:tcBorders>
              <w:top w:val="nil"/>
              <w:left w:val="nil"/>
              <w:bottom w:val="nil"/>
              <w:right w:val="nil"/>
            </w:tcBorders>
            <w:shd w:val="clear" w:color="auto" w:fill="auto"/>
            <w:vAlign w:val="bottom"/>
            <w:hideMark/>
          </w:tcPr>
          <w:p w14:paraId="5FBB1A53" w14:textId="77777777" w:rsidR="006704DE" w:rsidRPr="003F605E" w:rsidRDefault="006704DE" w:rsidP="008E7D36">
            <w:pPr>
              <w:spacing w:after="0" w:line="240" w:lineRule="auto"/>
              <w:jc w:val="center"/>
              <w:rPr>
                <w:rFonts w:eastAsia="Times New Roman" w:cs="Times New Roman"/>
                <w:color w:val="000000"/>
                <w:sz w:val="18"/>
                <w:szCs w:val="18"/>
                <w:lang w:eastAsia="sk-SK"/>
              </w:rPr>
            </w:pPr>
            <w:r w:rsidRPr="003F605E">
              <w:rPr>
                <w:rFonts w:eastAsia="Times New Roman" w:cs="Times New Roman"/>
                <w:color w:val="000000"/>
                <w:sz w:val="18"/>
                <w:szCs w:val="18"/>
                <w:lang w:eastAsia="sk-SK"/>
              </w:rPr>
              <w:t>+0,1</w:t>
            </w:r>
          </w:p>
        </w:tc>
      </w:tr>
      <w:tr w:rsidR="006704DE" w:rsidRPr="003F605E" w14:paraId="03242439" w14:textId="77777777" w:rsidTr="006D6BBF">
        <w:trPr>
          <w:trHeight w:val="268"/>
          <w:jc w:val="center"/>
        </w:trPr>
        <w:tc>
          <w:tcPr>
            <w:tcW w:w="4437" w:type="dxa"/>
            <w:tcBorders>
              <w:top w:val="nil"/>
              <w:left w:val="nil"/>
              <w:bottom w:val="nil"/>
              <w:right w:val="nil"/>
            </w:tcBorders>
            <w:shd w:val="clear" w:color="auto" w:fill="auto"/>
            <w:vAlign w:val="bottom"/>
            <w:hideMark/>
          </w:tcPr>
          <w:p w14:paraId="666E8FA6" w14:textId="18813A27" w:rsidR="006704DE" w:rsidRPr="003F605E" w:rsidRDefault="006704DE" w:rsidP="007A0434">
            <w:pPr>
              <w:spacing w:after="0" w:line="240" w:lineRule="auto"/>
              <w:rPr>
                <w:rFonts w:eastAsia="Times New Roman" w:cs="Times New Roman"/>
                <w:color w:val="000000"/>
                <w:sz w:val="18"/>
                <w:szCs w:val="18"/>
                <w:lang w:eastAsia="sk-SK"/>
              </w:rPr>
            </w:pPr>
            <w:r w:rsidRPr="003F605E">
              <w:rPr>
                <w:rFonts w:eastAsia="Times New Roman" w:cs="Times New Roman"/>
                <w:color w:val="000000"/>
                <w:sz w:val="18"/>
                <w:szCs w:val="18"/>
                <w:lang w:eastAsia="sk-SK"/>
              </w:rPr>
              <w:t>Konečná spotreba domácností a NISD, nominálny rast</w:t>
            </w:r>
          </w:p>
        </w:tc>
        <w:tc>
          <w:tcPr>
            <w:tcW w:w="1375" w:type="dxa"/>
            <w:tcBorders>
              <w:top w:val="nil"/>
              <w:left w:val="nil"/>
              <w:bottom w:val="nil"/>
              <w:right w:val="nil"/>
            </w:tcBorders>
            <w:shd w:val="clear" w:color="auto" w:fill="auto"/>
            <w:vAlign w:val="bottom"/>
            <w:hideMark/>
          </w:tcPr>
          <w:p w14:paraId="3A89D036" w14:textId="77777777" w:rsidR="006704DE" w:rsidRPr="003F605E" w:rsidRDefault="006704DE" w:rsidP="008E7D36">
            <w:pPr>
              <w:spacing w:after="0" w:line="240" w:lineRule="auto"/>
              <w:jc w:val="center"/>
              <w:rPr>
                <w:rFonts w:eastAsia="Times New Roman" w:cs="Times New Roman"/>
                <w:color w:val="000000"/>
                <w:sz w:val="18"/>
                <w:szCs w:val="18"/>
                <w:lang w:eastAsia="sk-SK"/>
              </w:rPr>
            </w:pPr>
            <w:r w:rsidRPr="003F605E">
              <w:rPr>
                <w:rFonts w:eastAsia="Times New Roman" w:cs="Times New Roman"/>
                <w:color w:val="000000"/>
                <w:sz w:val="18"/>
                <w:szCs w:val="18"/>
                <w:lang w:eastAsia="sk-SK"/>
              </w:rPr>
              <w:t>4,6</w:t>
            </w:r>
          </w:p>
        </w:tc>
        <w:tc>
          <w:tcPr>
            <w:tcW w:w="1276" w:type="dxa"/>
            <w:tcBorders>
              <w:top w:val="nil"/>
              <w:left w:val="nil"/>
              <w:bottom w:val="nil"/>
              <w:right w:val="nil"/>
            </w:tcBorders>
            <w:shd w:val="clear" w:color="auto" w:fill="BFBFBF" w:themeFill="background1" w:themeFillShade="BF"/>
            <w:vAlign w:val="bottom"/>
            <w:hideMark/>
          </w:tcPr>
          <w:p w14:paraId="54057996" w14:textId="77777777" w:rsidR="006704DE" w:rsidRPr="003F605E" w:rsidRDefault="006704DE" w:rsidP="008E7D36">
            <w:pPr>
              <w:spacing w:after="0" w:line="240" w:lineRule="auto"/>
              <w:jc w:val="center"/>
              <w:rPr>
                <w:rFonts w:eastAsia="Times New Roman" w:cs="Times New Roman"/>
                <w:color w:val="000000"/>
                <w:sz w:val="18"/>
                <w:szCs w:val="18"/>
                <w:lang w:eastAsia="sk-SK"/>
              </w:rPr>
            </w:pPr>
            <w:r w:rsidRPr="003F605E">
              <w:rPr>
                <w:rFonts w:eastAsia="Times New Roman" w:cs="Times New Roman"/>
                <w:color w:val="000000"/>
                <w:sz w:val="18"/>
                <w:szCs w:val="18"/>
                <w:lang w:eastAsia="sk-SK"/>
              </w:rPr>
              <w:t>5,4</w:t>
            </w:r>
          </w:p>
        </w:tc>
        <w:tc>
          <w:tcPr>
            <w:tcW w:w="1418" w:type="dxa"/>
            <w:tcBorders>
              <w:top w:val="nil"/>
              <w:left w:val="nil"/>
              <w:bottom w:val="nil"/>
              <w:right w:val="nil"/>
            </w:tcBorders>
            <w:shd w:val="clear" w:color="auto" w:fill="auto"/>
            <w:vAlign w:val="bottom"/>
            <w:hideMark/>
          </w:tcPr>
          <w:p w14:paraId="711664C1" w14:textId="77777777" w:rsidR="006704DE" w:rsidRPr="003F605E" w:rsidRDefault="006704DE" w:rsidP="008E7D36">
            <w:pPr>
              <w:spacing w:after="0" w:line="240" w:lineRule="auto"/>
              <w:jc w:val="center"/>
              <w:rPr>
                <w:rFonts w:eastAsia="Times New Roman" w:cs="Times New Roman"/>
                <w:color w:val="000000"/>
                <w:sz w:val="18"/>
                <w:szCs w:val="18"/>
                <w:lang w:eastAsia="sk-SK"/>
              </w:rPr>
            </w:pPr>
            <w:r w:rsidRPr="003F605E">
              <w:rPr>
                <w:rFonts w:eastAsia="Times New Roman" w:cs="Times New Roman"/>
                <w:color w:val="000000"/>
                <w:sz w:val="18"/>
                <w:szCs w:val="18"/>
                <w:lang w:eastAsia="sk-SK"/>
              </w:rPr>
              <w:t>+0,8</w:t>
            </w:r>
          </w:p>
        </w:tc>
      </w:tr>
      <w:tr w:rsidR="006704DE" w:rsidRPr="003F605E" w14:paraId="5DD9F682" w14:textId="77777777" w:rsidTr="006D6BBF">
        <w:trPr>
          <w:trHeight w:val="268"/>
          <w:jc w:val="center"/>
        </w:trPr>
        <w:tc>
          <w:tcPr>
            <w:tcW w:w="4437" w:type="dxa"/>
            <w:tcBorders>
              <w:top w:val="nil"/>
              <w:left w:val="nil"/>
              <w:bottom w:val="nil"/>
              <w:right w:val="nil"/>
            </w:tcBorders>
            <w:shd w:val="clear" w:color="auto" w:fill="auto"/>
            <w:vAlign w:val="bottom"/>
            <w:hideMark/>
          </w:tcPr>
          <w:p w14:paraId="1C8E4599" w14:textId="30A0ACC8" w:rsidR="006704DE" w:rsidRPr="003F605E" w:rsidRDefault="006704DE" w:rsidP="007A0434">
            <w:pPr>
              <w:spacing w:after="0" w:line="240" w:lineRule="auto"/>
              <w:rPr>
                <w:rFonts w:eastAsia="Times New Roman" w:cs="Times New Roman"/>
                <w:color w:val="000000"/>
                <w:sz w:val="18"/>
                <w:szCs w:val="18"/>
                <w:lang w:eastAsia="sk-SK"/>
              </w:rPr>
            </w:pPr>
            <w:r w:rsidRPr="003F605E">
              <w:rPr>
                <w:rFonts w:eastAsia="Times New Roman" w:cs="Times New Roman"/>
                <w:color w:val="000000"/>
                <w:sz w:val="18"/>
                <w:szCs w:val="18"/>
                <w:lang w:eastAsia="sk-SK"/>
              </w:rPr>
              <w:t>Priemerná mesačná mzda, reálny rast</w:t>
            </w:r>
          </w:p>
        </w:tc>
        <w:tc>
          <w:tcPr>
            <w:tcW w:w="1375" w:type="dxa"/>
            <w:tcBorders>
              <w:top w:val="nil"/>
              <w:left w:val="nil"/>
              <w:bottom w:val="nil"/>
              <w:right w:val="nil"/>
            </w:tcBorders>
            <w:shd w:val="clear" w:color="auto" w:fill="auto"/>
            <w:vAlign w:val="bottom"/>
            <w:hideMark/>
          </w:tcPr>
          <w:p w14:paraId="1910BC7A" w14:textId="77777777" w:rsidR="006704DE" w:rsidRPr="003F605E" w:rsidRDefault="006704DE" w:rsidP="008E7D36">
            <w:pPr>
              <w:spacing w:after="0" w:line="240" w:lineRule="auto"/>
              <w:jc w:val="center"/>
              <w:rPr>
                <w:rFonts w:eastAsia="Times New Roman" w:cs="Times New Roman"/>
                <w:color w:val="000000"/>
                <w:sz w:val="18"/>
                <w:szCs w:val="18"/>
                <w:lang w:eastAsia="sk-SK"/>
              </w:rPr>
            </w:pPr>
            <w:r w:rsidRPr="003F605E">
              <w:rPr>
                <w:rFonts w:eastAsia="Times New Roman" w:cs="Times New Roman"/>
                <w:color w:val="000000"/>
                <w:sz w:val="18"/>
                <w:szCs w:val="18"/>
                <w:lang w:eastAsia="sk-SK"/>
              </w:rPr>
              <w:t>2,9</w:t>
            </w:r>
          </w:p>
        </w:tc>
        <w:tc>
          <w:tcPr>
            <w:tcW w:w="1276" w:type="dxa"/>
            <w:tcBorders>
              <w:top w:val="nil"/>
              <w:left w:val="nil"/>
              <w:bottom w:val="nil"/>
              <w:right w:val="nil"/>
            </w:tcBorders>
            <w:shd w:val="clear" w:color="auto" w:fill="BFBFBF" w:themeFill="background1" w:themeFillShade="BF"/>
            <w:vAlign w:val="bottom"/>
            <w:hideMark/>
          </w:tcPr>
          <w:p w14:paraId="321B6026" w14:textId="77777777" w:rsidR="006704DE" w:rsidRPr="003F605E" w:rsidRDefault="006704DE" w:rsidP="008E7D36">
            <w:pPr>
              <w:spacing w:after="0" w:line="240" w:lineRule="auto"/>
              <w:jc w:val="center"/>
              <w:rPr>
                <w:rFonts w:eastAsia="Times New Roman" w:cs="Times New Roman"/>
                <w:color w:val="000000"/>
                <w:sz w:val="18"/>
                <w:szCs w:val="18"/>
                <w:lang w:eastAsia="sk-SK"/>
              </w:rPr>
            </w:pPr>
            <w:r w:rsidRPr="003F605E">
              <w:rPr>
                <w:rFonts w:eastAsia="Times New Roman" w:cs="Times New Roman"/>
                <w:color w:val="000000"/>
                <w:sz w:val="18"/>
                <w:szCs w:val="18"/>
                <w:lang w:eastAsia="sk-SK"/>
              </w:rPr>
              <w:t>3,6</w:t>
            </w:r>
          </w:p>
        </w:tc>
        <w:tc>
          <w:tcPr>
            <w:tcW w:w="1418" w:type="dxa"/>
            <w:tcBorders>
              <w:top w:val="nil"/>
              <w:left w:val="nil"/>
              <w:bottom w:val="nil"/>
              <w:right w:val="nil"/>
            </w:tcBorders>
            <w:shd w:val="clear" w:color="auto" w:fill="auto"/>
            <w:vAlign w:val="bottom"/>
            <w:hideMark/>
          </w:tcPr>
          <w:p w14:paraId="5F4464C0" w14:textId="77777777" w:rsidR="006704DE" w:rsidRPr="003F605E" w:rsidRDefault="006704DE" w:rsidP="008E7D36">
            <w:pPr>
              <w:spacing w:after="0" w:line="240" w:lineRule="auto"/>
              <w:jc w:val="center"/>
              <w:rPr>
                <w:rFonts w:eastAsia="Times New Roman" w:cs="Times New Roman"/>
                <w:color w:val="000000"/>
                <w:sz w:val="18"/>
                <w:szCs w:val="18"/>
                <w:lang w:eastAsia="sk-SK"/>
              </w:rPr>
            </w:pPr>
            <w:r w:rsidRPr="003F605E">
              <w:rPr>
                <w:rFonts w:eastAsia="Times New Roman" w:cs="Times New Roman"/>
                <w:color w:val="000000"/>
                <w:sz w:val="18"/>
                <w:szCs w:val="18"/>
                <w:lang w:eastAsia="sk-SK"/>
              </w:rPr>
              <w:t>+0,7</w:t>
            </w:r>
          </w:p>
        </w:tc>
      </w:tr>
      <w:tr w:rsidR="006704DE" w:rsidRPr="003F605E" w14:paraId="3E3E6D05" w14:textId="77777777" w:rsidTr="006D6BBF">
        <w:trPr>
          <w:trHeight w:val="268"/>
          <w:jc w:val="center"/>
        </w:trPr>
        <w:tc>
          <w:tcPr>
            <w:tcW w:w="4437" w:type="dxa"/>
            <w:tcBorders>
              <w:top w:val="nil"/>
              <w:left w:val="nil"/>
              <w:bottom w:val="nil"/>
              <w:right w:val="nil"/>
            </w:tcBorders>
            <w:shd w:val="clear" w:color="auto" w:fill="auto"/>
            <w:vAlign w:val="bottom"/>
            <w:hideMark/>
          </w:tcPr>
          <w:p w14:paraId="0DD2D47D" w14:textId="1F11517F" w:rsidR="006704DE" w:rsidRPr="003F605E" w:rsidRDefault="006704DE" w:rsidP="007A0434">
            <w:pPr>
              <w:spacing w:after="0" w:line="240" w:lineRule="auto"/>
              <w:rPr>
                <w:rFonts w:eastAsia="Times New Roman" w:cs="Times New Roman"/>
                <w:color w:val="000000"/>
                <w:sz w:val="18"/>
                <w:szCs w:val="18"/>
                <w:lang w:eastAsia="sk-SK"/>
              </w:rPr>
            </w:pPr>
            <w:r w:rsidRPr="003F605E">
              <w:rPr>
                <w:rFonts w:eastAsia="Times New Roman" w:cs="Times New Roman"/>
                <w:color w:val="000000"/>
                <w:sz w:val="18"/>
                <w:szCs w:val="18"/>
                <w:lang w:eastAsia="sk-SK"/>
              </w:rPr>
              <w:t>Priemerná mesačná mzda, nominálny rast</w:t>
            </w:r>
          </w:p>
        </w:tc>
        <w:tc>
          <w:tcPr>
            <w:tcW w:w="1375" w:type="dxa"/>
            <w:tcBorders>
              <w:top w:val="nil"/>
              <w:left w:val="nil"/>
              <w:bottom w:val="nil"/>
              <w:right w:val="nil"/>
            </w:tcBorders>
            <w:shd w:val="clear" w:color="auto" w:fill="auto"/>
            <w:vAlign w:val="bottom"/>
            <w:hideMark/>
          </w:tcPr>
          <w:p w14:paraId="6C2E6B2A" w14:textId="77777777" w:rsidR="006704DE" w:rsidRPr="003F605E" w:rsidRDefault="006704DE" w:rsidP="008E7D36">
            <w:pPr>
              <w:spacing w:after="0" w:line="240" w:lineRule="auto"/>
              <w:jc w:val="center"/>
              <w:rPr>
                <w:rFonts w:eastAsia="Times New Roman" w:cs="Times New Roman"/>
                <w:color w:val="000000"/>
                <w:sz w:val="18"/>
                <w:szCs w:val="18"/>
                <w:lang w:eastAsia="sk-SK"/>
              </w:rPr>
            </w:pPr>
            <w:r w:rsidRPr="003F605E">
              <w:rPr>
                <w:rFonts w:eastAsia="Times New Roman" w:cs="Times New Roman"/>
                <w:color w:val="000000"/>
                <w:sz w:val="18"/>
                <w:szCs w:val="18"/>
                <w:lang w:eastAsia="sk-SK"/>
              </w:rPr>
              <w:t>4,6</w:t>
            </w:r>
          </w:p>
        </w:tc>
        <w:tc>
          <w:tcPr>
            <w:tcW w:w="1276" w:type="dxa"/>
            <w:tcBorders>
              <w:top w:val="nil"/>
              <w:left w:val="nil"/>
              <w:bottom w:val="nil"/>
              <w:right w:val="nil"/>
            </w:tcBorders>
            <w:shd w:val="clear" w:color="auto" w:fill="BFBFBF" w:themeFill="background1" w:themeFillShade="BF"/>
            <w:vAlign w:val="bottom"/>
            <w:hideMark/>
          </w:tcPr>
          <w:p w14:paraId="4BD22D75" w14:textId="77777777" w:rsidR="006704DE" w:rsidRPr="003F605E" w:rsidRDefault="006704DE" w:rsidP="008E7D36">
            <w:pPr>
              <w:spacing w:after="0" w:line="240" w:lineRule="auto"/>
              <w:jc w:val="center"/>
              <w:rPr>
                <w:rFonts w:eastAsia="Times New Roman" w:cs="Times New Roman"/>
                <w:color w:val="000000"/>
                <w:sz w:val="18"/>
                <w:szCs w:val="18"/>
                <w:lang w:eastAsia="sk-SK"/>
              </w:rPr>
            </w:pPr>
            <w:r w:rsidRPr="003F605E">
              <w:rPr>
                <w:rFonts w:eastAsia="Times New Roman" w:cs="Times New Roman"/>
                <w:color w:val="000000"/>
                <w:sz w:val="18"/>
                <w:szCs w:val="18"/>
                <w:lang w:eastAsia="sk-SK"/>
              </w:rPr>
              <w:t>6,2</w:t>
            </w:r>
          </w:p>
        </w:tc>
        <w:tc>
          <w:tcPr>
            <w:tcW w:w="1418" w:type="dxa"/>
            <w:tcBorders>
              <w:top w:val="nil"/>
              <w:left w:val="nil"/>
              <w:bottom w:val="nil"/>
              <w:right w:val="nil"/>
            </w:tcBorders>
            <w:shd w:val="clear" w:color="auto" w:fill="auto"/>
            <w:vAlign w:val="bottom"/>
            <w:hideMark/>
          </w:tcPr>
          <w:p w14:paraId="5926BD71" w14:textId="77777777" w:rsidR="006704DE" w:rsidRPr="003F605E" w:rsidRDefault="006704DE" w:rsidP="008E7D36">
            <w:pPr>
              <w:spacing w:after="0" w:line="240" w:lineRule="auto"/>
              <w:jc w:val="center"/>
              <w:rPr>
                <w:rFonts w:eastAsia="Times New Roman" w:cs="Times New Roman"/>
                <w:color w:val="000000"/>
                <w:sz w:val="18"/>
                <w:szCs w:val="18"/>
                <w:lang w:eastAsia="sk-SK"/>
              </w:rPr>
            </w:pPr>
            <w:r w:rsidRPr="003F605E">
              <w:rPr>
                <w:rFonts w:eastAsia="Times New Roman" w:cs="Times New Roman"/>
                <w:color w:val="000000"/>
                <w:sz w:val="18"/>
                <w:szCs w:val="18"/>
                <w:lang w:eastAsia="sk-SK"/>
              </w:rPr>
              <w:t>+1,2</w:t>
            </w:r>
          </w:p>
        </w:tc>
      </w:tr>
      <w:tr w:rsidR="006704DE" w:rsidRPr="003F605E" w14:paraId="43CFD82A" w14:textId="77777777" w:rsidTr="006D6BBF">
        <w:trPr>
          <w:trHeight w:val="268"/>
          <w:jc w:val="center"/>
        </w:trPr>
        <w:tc>
          <w:tcPr>
            <w:tcW w:w="4437" w:type="dxa"/>
            <w:tcBorders>
              <w:top w:val="nil"/>
              <w:left w:val="nil"/>
              <w:bottom w:val="nil"/>
              <w:right w:val="nil"/>
            </w:tcBorders>
            <w:shd w:val="clear" w:color="auto" w:fill="auto"/>
            <w:vAlign w:val="bottom"/>
            <w:hideMark/>
          </w:tcPr>
          <w:p w14:paraId="7BE931E7" w14:textId="77777777" w:rsidR="006704DE" w:rsidRPr="003F605E" w:rsidRDefault="006704DE" w:rsidP="006704DE">
            <w:pPr>
              <w:spacing w:after="0" w:line="240" w:lineRule="auto"/>
              <w:rPr>
                <w:rFonts w:eastAsia="Times New Roman" w:cs="Times New Roman"/>
                <w:color w:val="000000"/>
                <w:sz w:val="18"/>
                <w:szCs w:val="18"/>
                <w:lang w:eastAsia="sk-SK"/>
              </w:rPr>
            </w:pPr>
            <w:r w:rsidRPr="003F605E">
              <w:rPr>
                <w:rFonts w:eastAsia="Times New Roman" w:cs="Times New Roman"/>
                <w:color w:val="000000"/>
                <w:sz w:val="18"/>
                <w:szCs w:val="18"/>
                <w:lang w:eastAsia="sk-SK"/>
              </w:rPr>
              <w:t>Zamestnanosť (ESA)</w:t>
            </w:r>
          </w:p>
        </w:tc>
        <w:tc>
          <w:tcPr>
            <w:tcW w:w="1375" w:type="dxa"/>
            <w:tcBorders>
              <w:top w:val="nil"/>
              <w:left w:val="nil"/>
              <w:bottom w:val="nil"/>
              <w:right w:val="nil"/>
            </w:tcBorders>
            <w:shd w:val="clear" w:color="auto" w:fill="auto"/>
            <w:vAlign w:val="bottom"/>
            <w:hideMark/>
          </w:tcPr>
          <w:p w14:paraId="3C2C69FF" w14:textId="77777777" w:rsidR="006704DE" w:rsidRPr="003F605E" w:rsidRDefault="006704DE" w:rsidP="008E7D36">
            <w:pPr>
              <w:spacing w:after="0" w:line="240" w:lineRule="auto"/>
              <w:jc w:val="center"/>
              <w:rPr>
                <w:rFonts w:eastAsia="Times New Roman" w:cs="Times New Roman"/>
                <w:color w:val="000000"/>
                <w:sz w:val="18"/>
                <w:szCs w:val="18"/>
                <w:lang w:eastAsia="sk-SK"/>
              </w:rPr>
            </w:pPr>
            <w:r w:rsidRPr="003F605E">
              <w:rPr>
                <w:rFonts w:eastAsia="Times New Roman" w:cs="Times New Roman"/>
                <w:color w:val="000000"/>
                <w:sz w:val="18"/>
                <w:szCs w:val="18"/>
                <w:lang w:eastAsia="sk-SK"/>
              </w:rPr>
              <w:t>1,4</w:t>
            </w:r>
          </w:p>
        </w:tc>
        <w:tc>
          <w:tcPr>
            <w:tcW w:w="1276" w:type="dxa"/>
            <w:tcBorders>
              <w:top w:val="nil"/>
              <w:left w:val="nil"/>
              <w:bottom w:val="nil"/>
              <w:right w:val="nil"/>
            </w:tcBorders>
            <w:shd w:val="clear" w:color="auto" w:fill="BFBFBF" w:themeFill="background1" w:themeFillShade="BF"/>
            <w:vAlign w:val="bottom"/>
            <w:hideMark/>
          </w:tcPr>
          <w:p w14:paraId="0EEB37E0" w14:textId="77777777" w:rsidR="006704DE" w:rsidRPr="003F605E" w:rsidRDefault="006704DE" w:rsidP="008E7D36">
            <w:pPr>
              <w:spacing w:after="0" w:line="240" w:lineRule="auto"/>
              <w:jc w:val="center"/>
              <w:rPr>
                <w:rFonts w:eastAsia="Times New Roman" w:cs="Times New Roman"/>
                <w:color w:val="000000"/>
                <w:sz w:val="18"/>
                <w:szCs w:val="18"/>
                <w:lang w:eastAsia="sk-SK"/>
              </w:rPr>
            </w:pPr>
            <w:r w:rsidRPr="003F605E">
              <w:rPr>
                <w:rFonts w:eastAsia="Times New Roman" w:cs="Times New Roman"/>
                <w:color w:val="000000"/>
                <w:sz w:val="18"/>
                <w:szCs w:val="18"/>
                <w:lang w:eastAsia="sk-SK"/>
              </w:rPr>
              <w:t>2,0</w:t>
            </w:r>
          </w:p>
        </w:tc>
        <w:tc>
          <w:tcPr>
            <w:tcW w:w="1418" w:type="dxa"/>
            <w:tcBorders>
              <w:top w:val="nil"/>
              <w:left w:val="nil"/>
              <w:bottom w:val="nil"/>
              <w:right w:val="nil"/>
            </w:tcBorders>
            <w:shd w:val="clear" w:color="auto" w:fill="auto"/>
            <w:vAlign w:val="bottom"/>
            <w:hideMark/>
          </w:tcPr>
          <w:p w14:paraId="70CB56DA" w14:textId="77777777" w:rsidR="006704DE" w:rsidRPr="003F605E" w:rsidRDefault="006704DE" w:rsidP="008E7D36">
            <w:pPr>
              <w:spacing w:after="0" w:line="240" w:lineRule="auto"/>
              <w:jc w:val="center"/>
              <w:rPr>
                <w:rFonts w:eastAsia="Times New Roman" w:cs="Times New Roman"/>
                <w:color w:val="000000"/>
                <w:sz w:val="18"/>
                <w:szCs w:val="18"/>
                <w:lang w:eastAsia="sk-SK"/>
              </w:rPr>
            </w:pPr>
            <w:r w:rsidRPr="003F605E">
              <w:rPr>
                <w:rFonts w:eastAsia="Times New Roman" w:cs="Times New Roman"/>
                <w:color w:val="000000"/>
                <w:sz w:val="18"/>
                <w:szCs w:val="18"/>
                <w:lang w:eastAsia="sk-SK"/>
              </w:rPr>
              <w:t>+0,6</w:t>
            </w:r>
          </w:p>
        </w:tc>
      </w:tr>
      <w:tr w:rsidR="006704DE" w:rsidRPr="003F605E" w14:paraId="5852AB52" w14:textId="77777777" w:rsidTr="006D6BBF">
        <w:trPr>
          <w:trHeight w:val="268"/>
          <w:jc w:val="center"/>
        </w:trPr>
        <w:tc>
          <w:tcPr>
            <w:tcW w:w="4437" w:type="dxa"/>
            <w:tcBorders>
              <w:top w:val="nil"/>
              <w:left w:val="nil"/>
              <w:bottom w:val="nil"/>
              <w:right w:val="nil"/>
            </w:tcBorders>
            <w:shd w:val="clear" w:color="auto" w:fill="auto"/>
            <w:vAlign w:val="bottom"/>
          </w:tcPr>
          <w:p w14:paraId="17A49D8D" w14:textId="77777777" w:rsidR="006704DE" w:rsidRPr="003F605E" w:rsidRDefault="006704DE" w:rsidP="006704DE">
            <w:pPr>
              <w:spacing w:after="0" w:line="240" w:lineRule="auto"/>
              <w:rPr>
                <w:rFonts w:eastAsia="Times New Roman" w:cs="Times New Roman"/>
                <w:color w:val="000000"/>
                <w:sz w:val="18"/>
                <w:szCs w:val="18"/>
                <w:lang w:eastAsia="sk-SK"/>
              </w:rPr>
            </w:pPr>
            <w:r w:rsidRPr="003F605E">
              <w:rPr>
                <w:rFonts w:eastAsia="Times New Roman" w:cs="Times New Roman"/>
                <w:color w:val="000000"/>
                <w:sz w:val="18"/>
                <w:szCs w:val="18"/>
                <w:lang w:eastAsia="sk-SK"/>
              </w:rPr>
              <w:t>Miera nezamestnanosti (VZPS)</w:t>
            </w:r>
          </w:p>
        </w:tc>
        <w:tc>
          <w:tcPr>
            <w:tcW w:w="1375" w:type="dxa"/>
            <w:tcBorders>
              <w:top w:val="nil"/>
              <w:left w:val="nil"/>
              <w:bottom w:val="nil"/>
              <w:right w:val="nil"/>
            </w:tcBorders>
            <w:shd w:val="clear" w:color="auto" w:fill="auto"/>
            <w:vAlign w:val="bottom"/>
          </w:tcPr>
          <w:p w14:paraId="213CD8FB" w14:textId="77777777" w:rsidR="006704DE" w:rsidRPr="003F605E" w:rsidRDefault="006704DE" w:rsidP="008E7D36">
            <w:pPr>
              <w:spacing w:after="0" w:line="240" w:lineRule="auto"/>
              <w:jc w:val="center"/>
              <w:rPr>
                <w:rFonts w:eastAsia="Times New Roman" w:cs="Times New Roman"/>
                <w:color w:val="000000"/>
                <w:sz w:val="18"/>
                <w:szCs w:val="18"/>
                <w:lang w:eastAsia="sk-SK"/>
              </w:rPr>
            </w:pPr>
            <w:r w:rsidRPr="003F605E">
              <w:rPr>
                <w:rFonts w:eastAsia="Times New Roman" w:cs="Times New Roman"/>
                <w:color w:val="000000"/>
                <w:sz w:val="18"/>
                <w:szCs w:val="18"/>
                <w:lang w:eastAsia="sk-SK"/>
              </w:rPr>
              <w:t>7,3</w:t>
            </w:r>
          </w:p>
        </w:tc>
        <w:tc>
          <w:tcPr>
            <w:tcW w:w="1276" w:type="dxa"/>
            <w:tcBorders>
              <w:top w:val="nil"/>
              <w:left w:val="nil"/>
              <w:bottom w:val="nil"/>
              <w:right w:val="nil"/>
            </w:tcBorders>
            <w:shd w:val="clear" w:color="auto" w:fill="BFBFBF" w:themeFill="background1" w:themeFillShade="BF"/>
            <w:vAlign w:val="bottom"/>
          </w:tcPr>
          <w:p w14:paraId="365CD5D9" w14:textId="77777777" w:rsidR="006704DE" w:rsidRPr="003F605E" w:rsidRDefault="006704DE" w:rsidP="008E7D36">
            <w:pPr>
              <w:spacing w:after="0" w:line="240" w:lineRule="auto"/>
              <w:jc w:val="center"/>
              <w:rPr>
                <w:rFonts w:eastAsia="Times New Roman" w:cs="Times New Roman"/>
                <w:color w:val="000000"/>
                <w:sz w:val="18"/>
                <w:szCs w:val="18"/>
                <w:lang w:eastAsia="sk-SK"/>
              </w:rPr>
            </w:pPr>
            <w:r w:rsidRPr="003F605E">
              <w:rPr>
                <w:rFonts w:eastAsia="Times New Roman" w:cs="Times New Roman"/>
                <w:color w:val="000000"/>
                <w:sz w:val="18"/>
                <w:szCs w:val="18"/>
                <w:lang w:eastAsia="sk-SK"/>
              </w:rPr>
              <w:t>6,6</w:t>
            </w:r>
          </w:p>
        </w:tc>
        <w:tc>
          <w:tcPr>
            <w:tcW w:w="1418" w:type="dxa"/>
            <w:tcBorders>
              <w:top w:val="nil"/>
              <w:left w:val="nil"/>
              <w:bottom w:val="nil"/>
              <w:right w:val="nil"/>
            </w:tcBorders>
            <w:shd w:val="clear" w:color="auto" w:fill="auto"/>
            <w:vAlign w:val="bottom"/>
          </w:tcPr>
          <w:p w14:paraId="2284B64F" w14:textId="77777777" w:rsidR="006704DE" w:rsidRPr="003F605E" w:rsidRDefault="006704DE" w:rsidP="008E7D36">
            <w:pPr>
              <w:spacing w:after="0" w:line="240" w:lineRule="auto"/>
              <w:jc w:val="center"/>
              <w:rPr>
                <w:rFonts w:eastAsia="Times New Roman" w:cs="Times New Roman"/>
                <w:color w:val="000000"/>
                <w:sz w:val="18"/>
                <w:szCs w:val="18"/>
                <w:lang w:eastAsia="sk-SK"/>
              </w:rPr>
            </w:pPr>
            <w:r w:rsidRPr="003F605E">
              <w:rPr>
                <w:rFonts w:eastAsia="Times New Roman" w:cs="Times New Roman"/>
                <w:color w:val="000000"/>
                <w:sz w:val="18"/>
                <w:szCs w:val="18"/>
                <w:lang w:eastAsia="sk-SK"/>
              </w:rPr>
              <w:t>-0,7</w:t>
            </w:r>
          </w:p>
        </w:tc>
      </w:tr>
      <w:tr w:rsidR="006704DE" w:rsidRPr="003F605E" w14:paraId="600616A0" w14:textId="77777777" w:rsidTr="006D6BBF">
        <w:trPr>
          <w:trHeight w:val="268"/>
          <w:jc w:val="center"/>
        </w:trPr>
        <w:tc>
          <w:tcPr>
            <w:tcW w:w="4437" w:type="dxa"/>
            <w:tcBorders>
              <w:top w:val="nil"/>
              <w:left w:val="nil"/>
              <w:bottom w:val="nil"/>
              <w:right w:val="nil"/>
            </w:tcBorders>
            <w:shd w:val="clear" w:color="auto" w:fill="auto"/>
            <w:vAlign w:val="bottom"/>
            <w:hideMark/>
          </w:tcPr>
          <w:p w14:paraId="76835296" w14:textId="76702AA2" w:rsidR="006704DE" w:rsidRPr="003F605E" w:rsidRDefault="006704DE" w:rsidP="007A0434">
            <w:pPr>
              <w:spacing w:after="0" w:line="240" w:lineRule="auto"/>
              <w:rPr>
                <w:rFonts w:eastAsia="Times New Roman" w:cs="Times New Roman"/>
                <w:color w:val="000000"/>
                <w:sz w:val="18"/>
                <w:szCs w:val="18"/>
                <w:lang w:eastAsia="sk-SK"/>
              </w:rPr>
            </w:pPr>
            <w:r w:rsidRPr="003F605E">
              <w:rPr>
                <w:rFonts w:eastAsia="Times New Roman" w:cs="Times New Roman"/>
                <w:color w:val="000000"/>
                <w:sz w:val="18"/>
                <w:szCs w:val="18"/>
                <w:lang w:eastAsia="sk-SK"/>
              </w:rPr>
              <w:t>Index spotrebiteľských cien, priemerný rast</w:t>
            </w:r>
          </w:p>
        </w:tc>
        <w:tc>
          <w:tcPr>
            <w:tcW w:w="1375" w:type="dxa"/>
            <w:tcBorders>
              <w:top w:val="nil"/>
              <w:left w:val="nil"/>
              <w:bottom w:val="nil"/>
              <w:right w:val="nil"/>
            </w:tcBorders>
            <w:shd w:val="clear" w:color="auto" w:fill="auto"/>
            <w:vAlign w:val="bottom"/>
            <w:hideMark/>
          </w:tcPr>
          <w:p w14:paraId="2704309E" w14:textId="77777777" w:rsidR="006704DE" w:rsidRPr="003F605E" w:rsidRDefault="006704DE" w:rsidP="008E7D36">
            <w:pPr>
              <w:spacing w:after="0" w:line="240" w:lineRule="auto"/>
              <w:jc w:val="center"/>
              <w:rPr>
                <w:rFonts w:eastAsia="Times New Roman" w:cs="Times New Roman"/>
                <w:color w:val="000000"/>
                <w:sz w:val="18"/>
                <w:szCs w:val="18"/>
                <w:lang w:eastAsia="sk-SK"/>
              </w:rPr>
            </w:pPr>
            <w:r w:rsidRPr="003F605E">
              <w:rPr>
                <w:rFonts w:eastAsia="Times New Roman" w:cs="Times New Roman"/>
                <w:color w:val="000000"/>
                <w:sz w:val="18"/>
                <w:szCs w:val="18"/>
                <w:lang w:eastAsia="sk-SK"/>
              </w:rPr>
              <w:t>1,7</w:t>
            </w:r>
          </w:p>
        </w:tc>
        <w:tc>
          <w:tcPr>
            <w:tcW w:w="1276" w:type="dxa"/>
            <w:tcBorders>
              <w:top w:val="nil"/>
              <w:left w:val="nil"/>
              <w:bottom w:val="nil"/>
              <w:right w:val="nil"/>
            </w:tcBorders>
            <w:shd w:val="clear" w:color="auto" w:fill="BFBFBF" w:themeFill="background1" w:themeFillShade="BF"/>
            <w:vAlign w:val="bottom"/>
            <w:hideMark/>
          </w:tcPr>
          <w:p w14:paraId="66C9D511" w14:textId="77777777" w:rsidR="006704DE" w:rsidRPr="003F605E" w:rsidRDefault="006704DE" w:rsidP="008E7D36">
            <w:pPr>
              <w:spacing w:after="0" w:line="240" w:lineRule="auto"/>
              <w:jc w:val="center"/>
              <w:rPr>
                <w:rFonts w:eastAsia="Times New Roman" w:cs="Times New Roman"/>
                <w:color w:val="000000"/>
                <w:sz w:val="18"/>
                <w:szCs w:val="18"/>
                <w:lang w:eastAsia="sk-SK"/>
              </w:rPr>
            </w:pPr>
            <w:r w:rsidRPr="003F605E">
              <w:rPr>
                <w:rFonts w:eastAsia="Times New Roman" w:cs="Times New Roman"/>
                <w:color w:val="000000"/>
                <w:sz w:val="18"/>
                <w:szCs w:val="18"/>
                <w:lang w:eastAsia="sk-SK"/>
              </w:rPr>
              <w:t>2,5</w:t>
            </w:r>
          </w:p>
        </w:tc>
        <w:tc>
          <w:tcPr>
            <w:tcW w:w="1418" w:type="dxa"/>
            <w:tcBorders>
              <w:top w:val="nil"/>
              <w:left w:val="nil"/>
              <w:bottom w:val="nil"/>
              <w:right w:val="nil"/>
            </w:tcBorders>
            <w:shd w:val="clear" w:color="auto" w:fill="auto"/>
            <w:vAlign w:val="bottom"/>
            <w:hideMark/>
          </w:tcPr>
          <w:p w14:paraId="67FFEBCD" w14:textId="77777777" w:rsidR="006704DE" w:rsidRPr="003F605E" w:rsidRDefault="006704DE" w:rsidP="008E7D36">
            <w:pPr>
              <w:spacing w:after="0" w:line="240" w:lineRule="auto"/>
              <w:jc w:val="center"/>
              <w:rPr>
                <w:rFonts w:eastAsia="Times New Roman" w:cs="Times New Roman"/>
                <w:color w:val="000000"/>
                <w:sz w:val="18"/>
                <w:szCs w:val="18"/>
                <w:lang w:eastAsia="sk-SK"/>
              </w:rPr>
            </w:pPr>
            <w:r w:rsidRPr="003F605E">
              <w:rPr>
                <w:rFonts w:eastAsia="Times New Roman" w:cs="Times New Roman"/>
                <w:color w:val="000000"/>
                <w:sz w:val="18"/>
                <w:szCs w:val="18"/>
                <w:lang w:eastAsia="sk-SK"/>
              </w:rPr>
              <w:t>+0,8</w:t>
            </w:r>
          </w:p>
        </w:tc>
      </w:tr>
      <w:tr w:rsidR="006704DE" w:rsidRPr="003F605E" w14:paraId="4B614379" w14:textId="77777777" w:rsidTr="006D6BBF">
        <w:trPr>
          <w:trHeight w:val="268"/>
          <w:jc w:val="center"/>
        </w:trPr>
        <w:tc>
          <w:tcPr>
            <w:tcW w:w="4437" w:type="dxa"/>
            <w:tcBorders>
              <w:top w:val="nil"/>
              <w:left w:val="nil"/>
              <w:bottom w:val="nil"/>
              <w:right w:val="nil"/>
            </w:tcBorders>
            <w:shd w:val="clear" w:color="auto" w:fill="auto"/>
            <w:vAlign w:val="bottom"/>
          </w:tcPr>
          <w:p w14:paraId="649EDB54" w14:textId="77777777" w:rsidR="006704DE" w:rsidRPr="003F605E" w:rsidRDefault="006704DE" w:rsidP="006704DE">
            <w:pPr>
              <w:spacing w:after="0" w:line="240" w:lineRule="auto"/>
              <w:rPr>
                <w:rFonts w:eastAsia="Times New Roman" w:cs="Times New Roman"/>
                <w:color w:val="000000"/>
                <w:sz w:val="18"/>
                <w:szCs w:val="18"/>
                <w:lang w:eastAsia="sk-SK"/>
              </w:rPr>
            </w:pPr>
            <w:r w:rsidRPr="003F605E">
              <w:rPr>
                <w:rFonts w:eastAsia="Times New Roman" w:cs="Times New Roman"/>
                <w:color w:val="000000"/>
                <w:sz w:val="18"/>
                <w:szCs w:val="18"/>
                <w:lang w:eastAsia="sk-SK"/>
              </w:rPr>
              <w:t>Saldo bežného účtu platobnej bilancie (% HDP)</w:t>
            </w:r>
          </w:p>
        </w:tc>
        <w:tc>
          <w:tcPr>
            <w:tcW w:w="1375" w:type="dxa"/>
            <w:tcBorders>
              <w:top w:val="nil"/>
              <w:left w:val="nil"/>
              <w:bottom w:val="nil"/>
              <w:right w:val="nil"/>
            </w:tcBorders>
            <w:shd w:val="clear" w:color="auto" w:fill="auto"/>
            <w:vAlign w:val="bottom"/>
          </w:tcPr>
          <w:p w14:paraId="3D51123D" w14:textId="77777777" w:rsidR="006704DE" w:rsidRPr="003F605E" w:rsidRDefault="006704DE" w:rsidP="008E7D36">
            <w:pPr>
              <w:spacing w:after="0" w:line="240" w:lineRule="auto"/>
              <w:jc w:val="center"/>
              <w:rPr>
                <w:rFonts w:eastAsia="Times New Roman" w:cs="Times New Roman"/>
                <w:color w:val="000000"/>
                <w:sz w:val="18"/>
                <w:szCs w:val="18"/>
                <w:lang w:eastAsia="sk-SK"/>
              </w:rPr>
            </w:pPr>
            <w:r w:rsidRPr="003F605E">
              <w:rPr>
                <w:rFonts w:eastAsia="Times New Roman" w:cs="Times New Roman"/>
                <w:color w:val="000000"/>
                <w:sz w:val="18"/>
                <w:szCs w:val="18"/>
                <w:lang w:eastAsia="sk-SK"/>
              </w:rPr>
              <w:t>-0,1</w:t>
            </w:r>
          </w:p>
        </w:tc>
        <w:tc>
          <w:tcPr>
            <w:tcW w:w="1276" w:type="dxa"/>
            <w:tcBorders>
              <w:top w:val="nil"/>
              <w:left w:val="nil"/>
              <w:bottom w:val="nil"/>
              <w:right w:val="nil"/>
            </w:tcBorders>
            <w:shd w:val="clear" w:color="auto" w:fill="BFBFBF" w:themeFill="background1" w:themeFillShade="BF"/>
            <w:vAlign w:val="bottom"/>
          </w:tcPr>
          <w:p w14:paraId="6A357723" w14:textId="77777777" w:rsidR="006704DE" w:rsidRPr="003F605E" w:rsidRDefault="006704DE" w:rsidP="008E7D36">
            <w:pPr>
              <w:spacing w:after="0" w:line="240" w:lineRule="auto"/>
              <w:jc w:val="center"/>
              <w:rPr>
                <w:rFonts w:eastAsia="Times New Roman" w:cs="Times New Roman"/>
                <w:color w:val="000000"/>
                <w:sz w:val="18"/>
                <w:szCs w:val="18"/>
                <w:lang w:eastAsia="sk-SK"/>
              </w:rPr>
            </w:pPr>
            <w:r w:rsidRPr="003F605E">
              <w:rPr>
                <w:rFonts w:eastAsia="Times New Roman" w:cs="Times New Roman"/>
                <w:color w:val="000000"/>
                <w:sz w:val="18"/>
                <w:szCs w:val="18"/>
                <w:lang w:eastAsia="sk-SK"/>
              </w:rPr>
              <w:t>-2,5</w:t>
            </w:r>
          </w:p>
        </w:tc>
        <w:tc>
          <w:tcPr>
            <w:tcW w:w="1418" w:type="dxa"/>
            <w:tcBorders>
              <w:top w:val="nil"/>
              <w:left w:val="nil"/>
              <w:bottom w:val="nil"/>
              <w:right w:val="nil"/>
            </w:tcBorders>
            <w:shd w:val="clear" w:color="auto" w:fill="auto"/>
            <w:vAlign w:val="bottom"/>
          </w:tcPr>
          <w:p w14:paraId="202876C6" w14:textId="77777777" w:rsidR="006704DE" w:rsidRPr="003F605E" w:rsidRDefault="006704DE" w:rsidP="008E7D36">
            <w:pPr>
              <w:spacing w:after="0" w:line="240" w:lineRule="auto"/>
              <w:jc w:val="center"/>
              <w:rPr>
                <w:rFonts w:eastAsia="Times New Roman" w:cs="Times New Roman"/>
                <w:color w:val="000000"/>
                <w:sz w:val="18"/>
                <w:szCs w:val="18"/>
                <w:lang w:eastAsia="sk-SK"/>
              </w:rPr>
            </w:pPr>
            <w:r w:rsidRPr="003F605E">
              <w:rPr>
                <w:rFonts w:eastAsia="Times New Roman" w:cs="Times New Roman"/>
                <w:color w:val="000000"/>
                <w:sz w:val="18"/>
                <w:szCs w:val="18"/>
                <w:lang w:eastAsia="sk-SK"/>
              </w:rPr>
              <w:t>-2,4</w:t>
            </w:r>
          </w:p>
        </w:tc>
      </w:tr>
      <w:tr w:rsidR="006704DE" w:rsidRPr="003F605E" w14:paraId="0C630CAD" w14:textId="77777777" w:rsidTr="006704DE">
        <w:trPr>
          <w:trHeight w:val="268"/>
          <w:jc w:val="center"/>
        </w:trPr>
        <w:tc>
          <w:tcPr>
            <w:tcW w:w="8506" w:type="dxa"/>
            <w:gridSpan w:val="4"/>
            <w:tcBorders>
              <w:top w:val="single" w:sz="8" w:space="0" w:color="auto"/>
              <w:left w:val="nil"/>
              <w:bottom w:val="nil"/>
              <w:right w:val="nil"/>
            </w:tcBorders>
            <w:shd w:val="clear" w:color="auto" w:fill="auto"/>
            <w:vAlign w:val="bottom"/>
            <w:hideMark/>
          </w:tcPr>
          <w:p w14:paraId="6D6665FA" w14:textId="48207D37" w:rsidR="006704DE" w:rsidRPr="003F605E" w:rsidRDefault="006704DE" w:rsidP="00F61D9C">
            <w:pPr>
              <w:jc w:val="right"/>
              <w:rPr>
                <w:rFonts w:cs="Times New Roman"/>
                <w:iCs/>
                <w:color w:val="000000"/>
                <w:sz w:val="18"/>
                <w:szCs w:val="18"/>
              </w:rPr>
            </w:pPr>
            <w:proofErr w:type="spellStart"/>
            <w:r w:rsidRPr="003F605E">
              <w:rPr>
                <w:rFonts w:cs="Times New Roman"/>
                <w:iCs/>
                <w:color w:val="000000"/>
                <w:sz w:val="18"/>
                <w:szCs w:val="18"/>
                <w:lang w:val="de-DE"/>
              </w:rPr>
              <w:t>Zdroj</w:t>
            </w:r>
            <w:proofErr w:type="spellEnd"/>
            <w:r w:rsidRPr="003F605E">
              <w:rPr>
                <w:rFonts w:cs="Times New Roman"/>
                <w:iCs/>
                <w:color w:val="000000"/>
                <w:sz w:val="18"/>
                <w:szCs w:val="18"/>
                <w:lang w:val="de-DE"/>
              </w:rPr>
              <w:t>: MF SR, ŠÚ SR</w:t>
            </w:r>
          </w:p>
        </w:tc>
      </w:tr>
    </w:tbl>
    <w:p w14:paraId="1C9FB002" w14:textId="14C5199E" w:rsidR="005F5B88" w:rsidRDefault="005F5B88" w:rsidP="00387B36">
      <w:pPr>
        <w:pStyle w:val="Nadpis1"/>
        <w:ind w:left="426"/>
      </w:pPr>
      <w:bookmarkStart w:id="18" w:name="_Toc6415634"/>
      <w:bookmarkStart w:id="19" w:name="_Toc7502826"/>
      <w:r>
        <w:t>Hospodárenie verejnej správy v metodike ESA 2010</w:t>
      </w:r>
      <w:bookmarkEnd w:id="18"/>
      <w:bookmarkEnd w:id="19"/>
    </w:p>
    <w:p w14:paraId="186DFADE" w14:textId="2ABC0D4B" w:rsidR="00614751" w:rsidRPr="00223682" w:rsidRDefault="00614751" w:rsidP="00614751">
      <w:r w:rsidRPr="00390337">
        <w:t xml:space="preserve">Výsledky hospodárenia verejnej správy sa predkladajú </w:t>
      </w:r>
      <w:r w:rsidR="00211BE4">
        <w:t>Európskemu štatistického úradu (</w:t>
      </w:r>
      <w:proofErr w:type="spellStart"/>
      <w:r w:rsidRPr="00390337">
        <w:t>Eurostatu</w:t>
      </w:r>
      <w:proofErr w:type="spellEnd"/>
      <w:r w:rsidR="00211BE4">
        <w:t>)</w:t>
      </w:r>
      <w:r w:rsidRPr="00390337">
        <w:t xml:space="preserve"> dvakrát ročne na</w:t>
      </w:r>
      <w:r>
        <w:t> z</w:t>
      </w:r>
      <w:r w:rsidRPr="00390337">
        <w:t>áklade nariadenia</w:t>
      </w:r>
      <w:r w:rsidR="008978E7">
        <w:rPr>
          <w:rStyle w:val="Odkaznapoznmkupodiarou"/>
        </w:rPr>
        <w:footnoteReference w:id="6"/>
      </w:r>
      <w:r w:rsidRPr="00390337">
        <w:t xml:space="preserve"> o nadmernom schodku prvýkrát do</w:t>
      </w:r>
      <w:r>
        <w:t> </w:t>
      </w:r>
      <w:r w:rsidRPr="00390337">
        <w:t>1. apríla bežného roka a druhýkrát do</w:t>
      </w:r>
      <w:r>
        <w:t> </w:t>
      </w:r>
      <w:r w:rsidRPr="00390337">
        <w:t>1. októbra bežného roka. Do</w:t>
      </w:r>
      <w:r>
        <w:t> </w:t>
      </w:r>
      <w:r w:rsidRPr="00390337">
        <w:t>1. apríla bežného roka sa predkladá odhad schodku za</w:t>
      </w:r>
      <w:r>
        <w:t> </w:t>
      </w:r>
      <w:r w:rsidRPr="00390337">
        <w:t>predchádzajúci rozpočtový rok a</w:t>
      </w:r>
      <w:r>
        <w:t> </w:t>
      </w:r>
      <w:r w:rsidRPr="00390337">
        <w:t>do</w:t>
      </w:r>
      <w:r>
        <w:t> </w:t>
      </w:r>
      <w:r w:rsidRPr="00390337">
        <w:t>1.</w:t>
      </w:r>
      <w:r>
        <w:t> </w:t>
      </w:r>
      <w:r w:rsidRPr="00390337">
        <w:t>októbra bežného roka sa predkladá aktualizovaný schodok za predchádzajúci rozpočtový rok. V zmysle uvedeného pravidla je potrebné údaje v</w:t>
      </w:r>
      <w:r w:rsidR="00244138">
        <w:t xml:space="preserve"> kapitole 2 </w:t>
      </w:r>
      <w:r w:rsidRPr="00390337">
        <w:t>chápať ako predbežné, ktoré môžu byť v období do</w:t>
      </w:r>
      <w:r>
        <w:t> </w:t>
      </w:r>
      <w:r w:rsidRPr="00390337">
        <w:t xml:space="preserve">1. októbra tohto roka revidované. Základnou databázou o hospodárení </w:t>
      </w:r>
      <w:r w:rsidR="00111E27">
        <w:t xml:space="preserve">verejnej správy </w:t>
      </w:r>
      <w:r w:rsidRPr="00390337">
        <w:t>sú údaje z</w:t>
      </w:r>
      <w:r>
        <w:t xml:space="preserve"> finančných výkazov </w:t>
      </w:r>
      <w:r w:rsidR="00111E27" w:rsidRPr="00390337">
        <w:t xml:space="preserve">jednotlivých subjektov verejnej správy </w:t>
      </w:r>
      <w:r>
        <w:t>za </w:t>
      </w:r>
      <w:r w:rsidRPr="00390337">
        <w:t>rok 2018, avšak nie všetky boli verifikované schvaľovacím procesom. Definitívne údaje o hospodárení verejnej správy za</w:t>
      </w:r>
      <w:r>
        <w:t> </w:t>
      </w:r>
      <w:r w:rsidRPr="00390337">
        <w:t>rok 2018 budú prezentované po skončení schvaľovacieho procesu, na</w:t>
      </w:r>
      <w:r>
        <w:t> </w:t>
      </w:r>
      <w:r w:rsidRPr="00390337">
        <w:t>základe vykonaný</w:t>
      </w:r>
      <w:r>
        <w:t xml:space="preserve">ch auditov </w:t>
      </w:r>
      <w:r w:rsidR="00F25438">
        <w:t>účtovných</w:t>
      </w:r>
      <w:r>
        <w:t xml:space="preserve"> výkazov a </w:t>
      </w:r>
      <w:r w:rsidRPr="00390337">
        <w:t>po získaní definitívnych údajov pre</w:t>
      </w:r>
      <w:r>
        <w:t> </w:t>
      </w:r>
      <w:r w:rsidRPr="00390337">
        <w:t>časové rozlíšenie daní a poistného z Finančnej správy SR, Sociálnej poisťovne a zdravotných poisťovní. Z hľadiska definitívnych výsledkov hospodárenia verejnej správy za</w:t>
      </w:r>
      <w:r>
        <w:t> </w:t>
      </w:r>
      <w:r w:rsidRPr="00390337">
        <w:t xml:space="preserve">rok 2018 bude preto rozhodujúce stanovisko </w:t>
      </w:r>
      <w:proofErr w:type="spellStart"/>
      <w:r w:rsidRPr="00390337">
        <w:t>Eurostatu</w:t>
      </w:r>
      <w:proofErr w:type="spellEnd"/>
      <w:r w:rsidRPr="00390337">
        <w:t xml:space="preserve"> pri</w:t>
      </w:r>
      <w:r>
        <w:t> </w:t>
      </w:r>
      <w:r w:rsidRPr="00390337">
        <w:t>notifikácii výsledkov predložených do</w:t>
      </w:r>
      <w:r>
        <w:t> </w:t>
      </w:r>
      <w:r w:rsidRPr="00390337">
        <w:t>1. októbra 2019.</w:t>
      </w:r>
    </w:p>
    <w:p w14:paraId="35300B1A" w14:textId="77777777" w:rsidR="005F5B88" w:rsidRDefault="005F5B88" w:rsidP="0042635A">
      <w:pPr>
        <w:pStyle w:val="Nadpis2"/>
      </w:pPr>
      <w:bookmarkStart w:id="20" w:name="_Toc6415635"/>
      <w:bookmarkStart w:id="21" w:name="_Toc7502827"/>
      <w:r>
        <w:t>Saldo verejnej správy</w:t>
      </w:r>
      <w:bookmarkEnd w:id="20"/>
      <w:bookmarkEnd w:id="21"/>
    </w:p>
    <w:p w14:paraId="796AD5BD" w14:textId="51CCF91C" w:rsidR="00614751" w:rsidRDefault="00614751" w:rsidP="00614751">
      <w:r w:rsidRPr="00390337">
        <w:t>Rozpočet verejnej správy na</w:t>
      </w:r>
      <w:r>
        <w:t> </w:t>
      </w:r>
      <w:r w:rsidRPr="00390337">
        <w:t>rok 2018, ktorý bol schválený vládou SR uznesením č.</w:t>
      </w:r>
      <w:r>
        <w:t> </w:t>
      </w:r>
      <w:r w:rsidRPr="00390337">
        <w:t>471/2017 a </w:t>
      </w:r>
      <w:r w:rsidR="00C01921" w:rsidRPr="00390337">
        <w:t>vzatý na</w:t>
      </w:r>
      <w:r w:rsidR="00C01921">
        <w:t> </w:t>
      </w:r>
      <w:r w:rsidR="00C01921" w:rsidRPr="00390337">
        <w:t xml:space="preserve">vedomie </w:t>
      </w:r>
      <w:r w:rsidR="00C01921">
        <w:t xml:space="preserve">v </w:t>
      </w:r>
      <w:r w:rsidRPr="00390337">
        <w:t>NR</w:t>
      </w:r>
      <w:r>
        <w:t> </w:t>
      </w:r>
      <w:r w:rsidRPr="00390337">
        <w:t xml:space="preserve">SR </w:t>
      </w:r>
      <w:r w:rsidR="00C01921" w:rsidRPr="00390337">
        <w:t xml:space="preserve">uznesením </w:t>
      </w:r>
      <w:r w:rsidRPr="00390337">
        <w:t xml:space="preserve">č. 984/2017, predpokladal podiel </w:t>
      </w:r>
      <w:r w:rsidRPr="00390337">
        <w:rPr>
          <w:b/>
        </w:rPr>
        <w:t>schodku</w:t>
      </w:r>
      <w:r w:rsidRPr="00390337">
        <w:t xml:space="preserve"> k HDP </w:t>
      </w:r>
      <w:r w:rsidRPr="00A265D6">
        <w:t xml:space="preserve">vo výške </w:t>
      </w:r>
      <w:r w:rsidRPr="00A265D6">
        <w:rPr>
          <w:b/>
        </w:rPr>
        <w:t>0,8</w:t>
      </w:r>
      <w:r w:rsidR="00473490" w:rsidRPr="00A265D6">
        <w:rPr>
          <w:b/>
        </w:rPr>
        <w:t>3</w:t>
      </w:r>
      <w:r w:rsidRPr="00A265D6">
        <w:rPr>
          <w:b/>
        </w:rPr>
        <w:t xml:space="preserve"> %. </w:t>
      </w:r>
      <w:r w:rsidRPr="00A265D6">
        <w:t>Slovenská republika odoslala do </w:t>
      </w:r>
      <w:proofErr w:type="spellStart"/>
      <w:r w:rsidRPr="00A265D6">
        <w:t>Eurostatu</w:t>
      </w:r>
      <w:proofErr w:type="spellEnd"/>
      <w:r w:rsidRPr="00A265D6">
        <w:t xml:space="preserve"> dňa 29. 3. 2019 predbežné výsledky hospodárenia verejných financií za rok 2018, pričom </w:t>
      </w:r>
      <w:r w:rsidRPr="00A265D6">
        <w:rPr>
          <w:b/>
        </w:rPr>
        <w:t>deficit bol deklarovaný vo výške 0,7</w:t>
      </w:r>
      <w:r w:rsidR="00473490" w:rsidRPr="00A265D6">
        <w:rPr>
          <w:b/>
        </w:rPr>
        <w:t>0</w:t>
      </w:r>
      <w:r w:rsidRPr="00A265D6">
        <w:rPr>
          <w:b/>
        </w:rPr>
        <w:t> % HDP.</w:t>
      </w:r>
      <w:r w:rsidRPr="00A265D6">
        <w:t xml:space="preserve"> Ten už obsahoval aj nevyhnutné korekcie EÚ fondov, ktoré boli mimo dosahu</w:t>
      </w:r>
      <w:r w:rsidRPr="00390337">
        <w:t xml:space="preserve"> rozpočtovej politiky vlády. </w:t>
      </w:r>
    </w:p>
    <w:tbl>
      <w:tblPr>
        <w:tblW w:w="8268" w:type="dxa"/>
        <w:tblCellMar>
          <w:left w:w="70" w:type="dxa"/>
          <w:right w:w="70" w:type="dxa"/>
        </w:tblCellMar>
        <w:tblLook w:val="04A0" w:firstRow="1" w:lastRow="0" w:firstColumn="1" w:lastColumn="0" w:noHBand="0" w:noVBand="1"/>
      </w:tblPr>
      <w:tblGrid>
        <w:gridCol w:w="2250"/>
        <w:gridCol w:w="1370"/>
        <w:gridCol w:w="1176"/>
        <w:gridCol w:w="1220"/>
        <w:gridCol w:w="1196"/>
        <w:gridCol w:w="1056"/>
      </w:tblGrid>
      <w:tr w:rsidR="00C22128" w:rsidRPr="00C22128" w14:paraId="36AAB6D3" w14:textId="77777777" w:rsidTr="00C22128">
        <w:trPr>
          <w:trHeight w:val="330"/>
        </w:trPr>
        <w:tc>
          <w:tcPr>
            <w:tcW w:w="6016" w:type="dxa"/>
            <w:gridSpan w:val="4"/>
            <w:tcBorders>
              <w:top w:val="nil"/>
              <w:left w:val="nil"/>
              <w:bottom w:val="single" w:sz="4" w:space="0" w:color="auto"/>
              <w:right w:val="nil"/>
            </w:tcBorders>
            <w:shd w:val="clear" w:color="000000" w:fill="000000"/>
            <w:noWrap/>
            <w:vAlign w:val="center"/>
            <w:hideMark/>
          </w:tcPr>
          <w:p w14:paraId="2D48FAD8" w14:textId="77777777" w:rsidR="00C22128" w:rsidRPr="00C22128" w:rsidRDefault="00C22128" w:rsidP="00C22128">
            <w:pPr>
              <w:spacing w:after="0" w:line="240" w:lineRule="auto"/>
              <w:jc w:val="left"/>
              <w:rPr>
                <w:rFonts w:eastAsia="Times New Roman" w:cs="Times New Roman"/>
                <w:b/>
                <w:bCs/>
                <w:color w:val="FFFFFF"/>
                <w:sz w:val="20"/>
                <w:szCs w:val="20"/>
                <w:lang w:eastAsia="sk-SK"/>
              </w:rPr>
            </w:pPr>
            <w:r w:rsidRPr="00C22128">
              <w:rPr>
                <w:rFonts w:eastAsia="Times New Roman" w:cs="Times New Roman"/>
                <w:b/>
                <w:bCs/>
                <w:color w:val="FFFFFF"/>
                <w:sz w:val="20"/>
                <w:szCs w:val="20"/>
                <w:lang w:eastAsia="sk-SK"/>
              </w:rPr>
              <w:t>Plnenie príjmov a výdavkov verejnej správy (na akruálnej báze)</w:t>
            </w:r>
          </w:p>
        </w:tc>
        <w:tc>
          <w:tcPr>
            <w:tcW w:w="1196" w:type="dxa"/>
            <w:tcBorders>
              <w:top w:val="nil"/>
              <w:left w:val="nil"/>
              <w:bottom w:val="single" w:sz="4" w:space="0" w:color="auto"/>
              <w:right w:val="nil"/>
            </w:tcBorders>
            <w:shd w:val="clear" w:color="000000" w:fill="000000"/>
            <w:noWrap/>
            <w:vAlign w:val="center"/>
            <w:hideMark/>
          </w:tcPr>
          <w:p w14:paraId="63CBEFA2" w14:textId="77777777" w:rsidR="00C22128" w:rsidRPr="00C22128" w:rsidRDefault="00C22128" w:rsidP="00C22128">
            <w:pPr>
              <w:spacing w:after="0" w:line="240" w:lineRule="auto"/>
              <w:jc w:val="left"/>
              <w:rPr>
                <w:rFonts w:eastAsia="Times New Roman" w:cs="Times New Roman"/>
                <w:b/>
                <w:bCs/>
                <w:color w:val="FFFFFF"/>
                <w:sz w:val="20"/>
                <w:szCs w:val="20"/>
                <w:lang w:eastAsia="sk-SK"/>
              </w:rPr>
            </w:pPr>
            <w:r w:rsidRPr="00C22128">
              <w:rPr>
                <w:rFonts w:eastAsia="Times New Roman" w:cs="Times New Roman"/>
                <w:b/>
                <w:bCs/>
                <w:color w:val="FFFFFF"/>
                <w:sz w:val="20"/>
                <w:szCs w:val="20"/>
                <w:lang w:eastAsia="sk-SK"/>
              </w:rPr>
              <w:t> </w:t>
            </w:r>
          </w:p>
        </w:tc>
        <w:tc>
          <w:tcPr>
            <w:tcW w:w="1056" w:type="dxa"/>
            <w:tcBorders>
              <w:top w:val="nil"/>
              <w:left w:val="nil"/>
              <w:bottom w:val="nil"/>
              <w:right w:val="nil"/>
            </w:tcBorders>
            <w:shd w:val="clear" w:color="000000" w:fill="000000"/>
            <w:noWrap/>
            <w:vAlign w:val="center"/>
            <w:hideMark/>
          </w:tcPr>
          <w:p w14:paraId="21B4F86A" w14:textId="77777777" w:rsidR="00C22128" w:rsidRPr="00C22128" w:rsidRDefault="00C22128" w:rsidP="00C22128">
            <w:pPr>
              <w:spacing w:after="0" w:line="240" w:lineRule="auto"/>
              <w:jc w:val="right"/>
              <w:rPr>
                <w:rFonts w:eastAsia="Times New Roman" w:cs="Times New Roman"/>
                <w:b/>
                <w:bCs/>
                <w:color w:val="FFFFFF"/>
                <w:sz w:val="20"/>
                <w:szCs w:val="20"/>
                <w:lang w:eastAsia="sk-SK"/>
              </w:rPr>
            </w:pPr>
            <w:r w:rsidRPr="00C22128">
              <w:rPr>
                <w:rFonts w:eastAsia="Times New Roman" w:cs="Times New Roman"/>
                <w:b/>
                <w:bCs/>
                <w:color w:val="FFFFFF"/>
                <w:sz w:val="20"/>
                <w:szCs w:val="20"/>
                <w:lang w:eastAsia="sk-SK"/>
              </w:rPr>
              <w:t>v tis. eur</w:t>
            </w:r>
          </w:p>
        </w:tc>
      </w:tr>
      <w:tr w:rsidR="00C22128" w:rsidRPr="00C22128" w14:paraId="632155E5" w14:textId="77777777" w:rsidTr="00C22128">
        <w:trPr>
          <w:trHeight w:val="330"/>
        </w:trPr>
        <w:tc>
          <w:tcPr>
            <w:tcW w:w="2250" w:type="dxa"/>
            <w:tcBorders>
              <w:top w:val="single" w:sz="4" w:space="0" w:color="auto"/>
              <w:left w:val="nil"/>
              <w:bottom w:val="nil"/>
              <w:right w:val="nil"/>
            </w:tcBorders>
            <w:shd w:val="clear" w:color="000000" w:fill="BFBFBF"/>
            <w:noWrap/>
            <w:vAlign w:val="center"/>
            <w:hideMark/>
          </w:tcPr>
          <w:p w14:paraId="4E349EF5" w14:textId="77777777" w:rsidR="00C22128" w:rsidRPr="00C22128" w:rsidRDefault="00C22128" w:rsidP="00C22128">
            <w:pPr>
              <w:spacing w:after="0" w:line="240" w:lineRule="auto"/>
              <w:jc w:val="left"/>
              <w:rPr>
                <w:rFonts w:eastAsia="Times New Roman" w:cs="Times New Roman"/>
                <w:b/>
                <w:bCs/>
                <w:sz w:val="20"/>
                <w:szCs w:val="20"/>
                <w:lang w:eastAsia="sk-SK"/>
              </w:rPr>
            </w:pPr>
            <w:r w:rsidRPr="00C22128">
              <w:rPr>
                <w:rFonts w:eastAsia="Times New Roman" w:cs="Times New Roman"/>
                <w:b/>
                <w:bCs/>
                <w:sz w:val="20"/>
                <w:szCs w:val="20"/>
                <w:lang w:eastAsia="sk-SK"/>
              </w:rPr>
              <w:t> </w:t>
            </w:r>
          </w:p>
        </w:tc>
        <w:tc>
          <w:tcPr>
            <w:tcW w:w="1370" w:type="dxa"/>
            <w:tcBorders>
              <w:top w:val="single" w:sz="4" w:space="0" w:color="auto"/>
              <w:left w:val="nil"/>
              <w:bottom w:val="nil"/>
              <w:right w:val="nil"/>
            </w:tcBorders>
            <w:shd w:val="clear" w:color="000000" w:fill="BFBFBF"/>
            <w:noWrap/>
            <w:vAlign w:val="center"/>
            <w:hideMark/>
          </w:tcPr>
          <w:p w14:paraId="53C302D5" w14:textId="77777777" w:rsidR="00C22128" w:rsidRPr="00C22128" w:rsidRDefault="00C22128" w:rsidP="00C22128">
            <w:pPr>
              <w:spacing w:after="0" w:line="240" w:lineRule="auto"/>
              <w:jc w:val="center"/>
              <w:rPr>
                <w:rFonts w:eastAsia="Times New Roman" w:cs="Times New Roman"/>
                <w:b/>
                <w:bCs/>
                <w:sz w:val="20"/>
                <w:szCs w:val="20"/>
                <w:lang w:eastAsia="sk-SK"/>
              </w:rPr>
            </w:pPr>
            <w:r w:rsidRPr="00C22128">
              <w:rPr>
                <w:rFonts w:eastAsia="Times New Roman" w:cs="Times New Roman"/>
                <w:b/>
                <w:bCs/>
                <w:sz w:val="20"/>
                <w:szCs w:val="20"/>
                <w:lang w:eastAsia="sk-SK"/>
              </w:rPr>
              <w:t>2016</w:t>
            </w:r>
          </w:p>
        </w:tc>
        <w:tc>
          <w:tcPr>
            <w:tcW w:w="1176" w:type="dxa"/>
            <w:tcBorders>
              <w:top w:val="single" w:sz="4" w:space="0" w:color="auto"/>
              <w:left w:val="nil"/>
              <w:bottom w:val="nil"/>
              <w:right w:val="nil"/>
            </w:tcBorders>
            <w:shd w:val="clear" w:color="000000" w:fill="BFBFBF"/>
            <w:noWrap/>
            <w:vAlign w:val="center"/>
            <w:hideMark/>
          </w:tcPr>
          <w:p w14:paraId="7B507972" w14:textId="77777777" w:rsidR="00C22128" w:rsidRPr="00C22128" w:rsidRDefault="00C22128" w:rsidP="00C22128">
            <w:pPr>
              <w:spacing w:after="0" w:line="240" w:lineRule="auto"/>
              <w:jc w:val="center"/>
              <w:rPr>
                <w:rFonts w:eastAsia="Times New Roman" w:cs="Times New Roman"/>
                <w:b/>
                <w:bCs/>
                <w:sz w:val="20"/>
                <w:szCs w:val="20"/>
                <w:lang w:eastAsia="sk-SK"/>
              </w:rPr>
            </w:pPr>
            <w:r w:rsidRPr="00C22128">
              <w:rPr>
                <w:rFonts w:eastAsia="Times New Roman" w:cs="Times New Roman"/>
                <w:b/>
                <w:bCs/>
                <w:sz w:val="20"/>
                <w:szCs w:val="20"/>
                <w:lang w:eastAsia="sk-SK"/>
              </w:rPr>
              <w:t>2017</w:t>
            </w:r>
          </w:p>
        </w:tc>
        <w:tc>
          <w:tcPr>
            <w:tcW w:w="1220" w:type="dxa"/>
            <w:tcBorders>
              <w:top w:val="single" w:sz="4" w:space="0" w:color="auto"/>
              <w:left w:val="nil"/>
              <w:bottom w:val="nil"/>
              <w:right w:val="nil"/>
            </w:tcBorders>
            <w:shd w:val="clear" w:color="000000" w:fill="BFBFBF"/>
            <w:noWrap/>
            <w:vAlign w:val="center"/>
            <w:hideMark/>
          </w:tcPr>
          <w:p w14:paraId="595002F9" w14:textId="77777777" w:rsidR="00C22128" w:rsidRPr="00C22128" w:rsidRDefault="00C22128" w:rsidP="00C22128">
            <w:pPr>
              <w:spacing w:after="0" w:line="240" w:lineRule="auto"/>
              <w:jc w:val="center"/>
              <w:rPr>
                <w:rFonts w:eastAsia="Times New Roman" w:cs="Times New Roman"/>
                <w:b/>
                <w:bCs/>
                <w:sz w:val="20"/>
                <w:szCs w:val="20"/>
                <w:lang w:eastAsia="sk-SK"/>
              </w:rPr>
            </w:pPr>
            <w:r w:rsidRPr="00C22128">
              <w:rPr>
                <w:rFonts w:eastAsia="Times New Roman" w:cs="Times New Roman"/>
                <w:b/>
                <w:bCs/>
                <w:sz w:val="20"/>
                <w:szCs w:val="20"/>
                <w:lang w:eastAsia="sk-SK"/>
              </w:rPr>
              <w:t>2018</w:t>
            </w:r>
          </w:p>
        </w:tc>
        <w:tc>
          <w:tcPr>
            <w:tcW w:w="1196" w:type="dxa"/>
            <w:tcBorders>
              <w:top w:val="single" w:sz="4" w:space="0" w:color="auto"/>
              <w:left w:val="nil"/>
              <w:bottom w:val="nil"/>
              <w:right w:val="nil"/>
            </w:tcBorders>
            <w:shd w:val="clear" w:color="000000" w:fill="BFBFBF"/>
            <w:noWrap/>
            <w:vAlign w:val="center"/>
            <w:hideMark/>
          </w:tcPr>
          <w:p w14:paraId="6D8EEE56" w14:textId="77777777" w:rsidR="00C22128" w:rsidRPr="00C22128" w:rsidRDefault="00C22128" w:rsidP="00C22128">
            <w:pPr>
              <w:spacing w:after="0" w:line="240" w:lineRule="auto"/>
              <w:jc w:val="center"/>
              <w:rPr>
                <w:rFonts w:eastAsia="Times New Roman" w:cs="Times New Roman"/>
                <w:b/>
                <w:bCs/>
                <w:sz w:val="20"/>
                <w:szCs w:val="20"/>
                <w:lang w:eastAsia="sk-SK"/>
              </w:rPr>
            </w:pPr>
            <w:r w:rsidRPr="00C22128">
              <w:rPr>
                <w:rFonts w:eastAsia="Times New Roman" w:cs="Times New Roman"/>
                <w:b/>
                <w:bCs/>
                <w:sz w:val="20"/>
                <w:szCs w:val="20"/>
                <w:lang w:eastAsia="sk-SK"/>
              </w:rPr>
              <w:t>2018</w:t>
            </w:r>
          </w:p>
        </w:tc>
        <w:tc>
          <w:tcPr>
            <w:tcW w:w="1056" w:type="dxa"/>
            <w:tcBorders>
              <w:top w:val="single" w:sz="4" w:space="0" w:color="auto"/>
              <w:left w:val="nil"/>
              <w:bottom w:val="nil"/>
              <w:right w:val="nil"/>
            </w:tcBorders>
            <w:shd w:val="clear" w:color="000000" w:fill="BFBFBF"/>
            <w:noWrap/>
            <w:vAlign w:val="center"/>
            <w:hideMark/>
          </w:tcPr>
          <w:p w14:paraId="1F5A37F4" w14:textId="77777777" w:rsidR="00C22128" w:rsidRPr="00C22128" w:rsidRDefault="00C22128" w:rsidP="00C22128">
            <w:pPr>
              <w:spacing w:after="0" w:line="240" w:lineRule="auto"/>
              <w:jc w:val="center"/>
              <w:rPr>
                <w:rFonts w:eastAsia="Times New Roman" w:cs="Times New Roman"/>
                <w:b/>
                <w:bCs/>
                <w:sz w:val="20"/>
                <w:szCs w:val="20"/>
                <w:lang w:eastAsia="sk-SK"/>
              </w:rPr>
            </w:pPr>
            <w:r w:rsidRPr="00C22128">
              <w:rPr>
                <w:rFonts w:eastAsia="Times New Roman" w:cs="Times New Roman"/>
                <w:b/>
                <w:bCs/>
                <w:sz w:val="20"/>
                <w:szCs w:val="20"/>
                <w:lang w:eastAsia="sk-SK"/>
              </w:rPr>
              <w:t>2018</w:t>
            </w:r>
          </w:p>
        </w:tc>
      </w:tr>
      <w:tr w:rsidR="00C22128" w:rsidRPr="00C22128" w14:paraId="3DC1F57E" w14:textId="77777777" w:rsidTr="00C22128">
        <w:trPr>
          <w:trHeight w:val="330"/>
        </w:trPr>
        <w:tc>
          <w:tcPr>
            <w:tcW w:w="2250" w:type="dxa"/>
            <w:tcBorders>
              <w:top w:val="nil"/>
              <w:left w:val="nil"/>
              <w:bottom w:val="nil"/>
              <w:right w:val="nil"/>
            </w:tcBorders>
            <w:shd w:val="clear" w:color="000000" w:fill="BFBFBF"/>
            <w:noWrap/>
            <w:vAlign w:val="center"/>
            <w:hideMark/>
          </w:tcPr>
          <w:p w14:paraId="10E90C42" w14:textId="77777777" w:rsidR="00C22128" w:rsidRPr="00C22128" w:rsidRDefault="00C22128" w:rsidP="00C22128">
            <w:pPr>
              <w:spacing w:after="0" w:line="240" w:lineRule="auto"/>
              <w:jc w:val="left"/>
              <w:rPr>
                <w:rFonts w:eastAsia="Times New Roman" w:cs="Times New Roman"/>
                <w:b/>
                <w:bCs/>
                <w:sz w:val="20"/>
                <w:szCs w:val="20"/>
                <w:lang w:eastAsia="sk-SK"/>
              </w:rPr>
            </w:pPr>
            <w:r w:rsidRPr="00C22128">
              <w:rPr>
                <w:rFonts w:eastAsia="Times New Roman" w:cs="Times New Roman"/>
                <w:b/>
                <w:bCs/>
                <w:sz w:val="20"/>
                <w:szCs w:val="20"/>
                <w:lang w:eastAsia="sk-SK"/>
              </w:rPr>
              <w:t> </w:t>
            </w:r>
          </w:p>
        </w:tc>
        <w:tc>
          <w:tcPr>
            <w:tcW w:w="1370" w:type="dxa"/>
            <w:tcBorders>
              <w:top w:val="nil"/>
              <w:left w:val="nil"/>
              <w:bottom w:val="nil"/>
              <w:right w:val="nil"/>
            </w:tcBorders>
            <w:shd w:val="clear" w:color="000000" w:fill="BFBFBF"/>
            <w:noWrap/>
            <w:vAlign w:val="center"/>
            <w:hideMark/>
          </w:tcPr>
          <w:p w14:paraId="57880030" w14:textId="77777777" w:rsidR="00C22128" w:rsidRPr="00C22128" w:rsidRDefault="00C22128" w:rsidP="00C22128">
            <w:pPr>
              <w:spacing w:after="0" w:line="240" w:lineRule="auto"/>
              <w:jc w:val="center"/>
              <w:rPr>
                <w:rFonts w:eastAsia="Times New Roman" w:cs="Times New Roman"/>
                <w:b/>
                <w:bCs/>
                <w:sz w:val="20"/>
                <w:szCs w:val="20"/>
                <w:lang w:eastAsia="sk-SK"/>
              </w:rPr>
            </w:pPr>
            <w:r w:rsidRPr="00C22128">
              <w:rPr>
                <w:rFonts w:eastAsia="Times New Roman" w:cs="Times New Roman"/>
                <w:b/>
                <w:bCs/>
                <w:sz w:val="20"/>
                <w:szCs w:val="20"/>
                <w:lang w:eastAsia="sk-SK"/>
              </w:rPr>
              <w:t>Skutočnosť</w:t>
            </w:r>
          </w:p>
        </w:tc>
        <w:tc>
          <w:tcPr>
            <w:tcW w:w="1176" w:type="dxa"/>
            <w:tcBorders>
              <w:top w:val="nil"/>
              <w:left w:val="nil"/>
              <w:bottom w:val="nil"/>
              <w:right w:val="nil"/>
            </w:tcBorders>
            <w:shd w:val="clear" w:color="000000" w:fill="BFBFBF"/>
            <w:noWrap/>
            <w:vAlign w:val="center"/>
            <w:hideMark/>
          </w:tcPr>
          <w:p w14:paraId="177C24D4" w14:textId="77777777" w:rsidR="00C22128" w:rsidRPr="00C22128" w:rsidRDefault="00C22128" w:rsidP="00C22128">
            <w:pPr>
              <w:spacing w:after="0" w:line="240" w:lineRule="auto"/>
              <w:jc w:val="center"/>
              <w:rPr>
                <w:rFonts w:eastAsia="Times New Roman" w:cs="Times New Roman"/>
                <w:b/>
                <w:bCs/>
                <w:sz w:val="20"/>
                <w:szCs w:val="20"/>
                <w:lang w:eastAsia="sk-SK"/>
              </w:rPr>
            </w:pPr>
            <w:r w:rsidRPr="00C22128">
              <w:rPr>
                <w:rFonts w:eastAsia="Times New Roman" w:cs="Times New Roman"/>
                <w:b/>
                <w:bCs/>
                <w:sz w:val="20"/>
                <w:szCs w:val="20"/>
                <w:lang w:eastAsia="sk-SK"/>
              </w:rPr>
              <w:t>Skutočnosť</w:t>
            </w:r>
          </w:p>
        </w:tc>
        <w:tc>
          <w:tcPr>
            <w:tcW w:w="1220" w:type="dxa"/>
            <w:tcBorders>
              <w:top w:val="nil"/>
              <w:left w:val="nil"/>
              <w:bottom w:val="nil"/>
              <w:right w:val="nil"/>
            </w:tcBorders>
            <w:shd w:val="clear" w:color="000000" w:fill="BFBFBF"/>
            <w:noWrap/>
            <w:vAlign w:val="center"/>
            <w:hideMark/>
          </w:tcPr>
          <w:p w14:paraId="109DA85E" w14:textId="77777777" w:rsidR="00C22128" w:rsidRPr="00C22128" w:rsidRDefault="00C22128" w:rsidP="00C22128">
            <w:pPr>
              <w:spacing w:after="0" w:line="240" w:lineRule="auto"/>
              <w:jc w:val="center"/>
              <w:rPr>
                <w:rFonts w:eastAsia="Times New Roman" w:cs="Times New Roman"/>
                <w:b/>
                <w:bCs/>
                <w:sz w:val="20"/>
                <w:szCs w:val="20"/>
                <w:lang w:eastAsia="sk-SK"/>
              </w:rPr>
            </w:pPr>
            <w:r w:rsidRPr="00C22128">
              <w:rPr>
                <w:rFonts w:eastAsia="Times New Roman" w:cs="Times New Roman"/>
                <w:b/>
                <w:bCs/>
                <w:sz w:val="20"/>
                <w:szCs w:val="20"/>
                <w:lang w:eastAsia="sk-SK"/>
              </w:rPr>
              <w:t>Rozpočet</w:t>
            </w:r>
          </w:p>
        </w:tc>
        <w:tc>
          <w:tcPr>
            <w:tcW w:w="1196" w:type="dxa"/>
            <w:tcBorders>
              <w:top w:val="nil"/>
              <w:left w:val="nil"/>
              <w:bottom w:val="nil"/>
              <w:right w:val="nil"/>
            </w:tcBorders>
            <w:shd w:val="clear" w:color="000000" w:fill="BFBFBF"/>
            <w:noWrap/>
            <w:vAlign w:val="center"/>
            <w:hideMark/>
          </w:tcPr>
          <w:p w14:paraId="0B50DF57" w14:textId="77777777" w:rsidR="00C22128" w:rsidRPr="00C22128" w:rsidRDefault="00C22128" w:rsidP="00C22128">
            <w:pPr>
              <w:spacing w:after="0" w:line="240" w:lineRule="auto"/>
              <w:jc w:val="center"/>
              <w:rPr>
                <w:rFonts w:eastAsia="Times New Roman" w:cs="Times New Roman"/>
                <w:b/>
                <w:bCs/>
                <w:sz w:val="20"/>
                <w:szCs w:val="20"/>
                <w:lang w:eastAsia="sk-SK"/>
              </w:rPr>
            </w:pPr>
            <w:r w:rsidRPr="00C22128">
              <w:rPr>
                <w:rFonts w:eastAsia="Times New Roman" w:cs="Times New Roman"/>
                <w:b/>
                <w:bCs/>
                <w:sz w:val="20"/>
                <w:szCs w:val="20"/>
                <w:lang w:eastAsia="sk-SK"/>
              </w:rPr>
              <w:t>Skutočnosť</w:t>
            </w:r>
          </w:p>
        </w:tc>
        <w:tc>
          <w:tcPr>
            <w:tcW w:w="1056" w:type="dxa"/>
            <w:tcBorders>
              <w:top w:val="nil"/>
              <w:left w:val="nil"/>
              <w:bottom w:val="nil"/>
              <w:right w:val="nil"/>
            </w:tcBorders>
            <w:shd w:val="clear" w:color="000000" w:fill="BFBFBF"/>
            <w:noWrap/>
            <w:vAlign w:val="center"/>
            <w:hideMark/>
          </w:tcPr>
          <w:p w14:paraId="3894C122" w14:textId="77777777" w:rsidR="00C22128" w:rsidRPr="00C22128" w:rsidRDefault="00C22128" w:rsidP="00C22128">
            <w:pPr>
              <w:spacing w:after="0" w:line="240" w:lineRule="auto"/>
              <w:jc w:val="center"/>
              <w:rPr>
                <w:rFonts w:eastAsia="Times New Roman" w:cs="Times New Roman"/>
                <w:b/>
                <w:bCs/>
                <w:sz w:val="20"/>
                <w:szCs w:val="20"/>
                <w:lang w:eastAsia="sk-SK"/>
              </w:rPr>
            </w:pPr>
            <w:r w:rsidRPr="00C22128">
              <w:rPr>
                <w:rFonts w:eastAsia="Times New Roman" w:cs="Times New Roman"/>
                <w:b/>
                <w:bCs/>
                <w:sz w:val="20"/>
                <w:szCs w:val="20"/>
                <w:lang w:eastAsia="sk-SK"/>
              </w:rPr>
              <w:t>(S -R)</w:t>
            </w:r>
          </w:p>
        </w:tc>
      </w:tr>
      <w:tr w:rsidR="00C22128" w:rsidRPr="00C22128" w14:paraId="2D0ADACD" w14:textId="77777777" w:rsidTr="00C22128">
        <w:trPr>
          <w:trHeight w:val="330"/>
        </w:trPr>
        <w:tc>
          <w:tcPr>
            <w:tcW w:w="2250" w:type="dxa"/>
            <w:tcBorders>
              <w:top w:val="nil"/>
              <w:left w:val="nil"/>
              <w:bottom w:val="nil"/>
              <w:right w:val="nil"/>
            </w:tcBorders>
            <w:shd w:val="clear" w:color="000000" w:fill="FFFFFF"/>
            <w:noWrap/>
            <w:vAlign w:val="center"/>
            <w:hideMark/>
          </w:tcPr>
          <w:p w14:paraId="54F3A8D5" w14:textId="77777777" w:rsidR="00C22128" w:rsidRPr="00C22128" w:rsidRDefault="00C22128" w:rsidP="00C22128">
            <w:pPr>
              <w:spacing w:after="0" w:line="240" w:lineRule="auto"/>
              <w:jc w:val="left"/>
              <w:rPr>
                <w:rFonts w:eastAsia="Times New Roman" w:cs="Times New Roman"/>
                <w:b/>
                <w:bCs/>
                <w:sz w:val="20"/>
                <w:szCs w:val="20"/>
                <w:lang w:eastAsia="sk-SK"/>
              </w:rPr>
            </w:pPr>
            <w:r w:rsidRPr="00C22128">
              <w:rPr>
                <w:rFonts w:eastAsia="Times New Roman" w:cs="Times New Roman"/>
                <w:b/>
                <w:bCs/>
                <w:sz w:val="20"/>
                <w:szCs w:val="20"/>
                <w:lang w:eastAsia="sk-SK"/>
              </w:rPr>
              <w:t>Príjmy spolu, v tom:</w:t>
            </w:r>
          </w:p>
        </w:tc>
        <w:tc>
          <w:tcPr>
            <w:tcW w:w="1370" w:type="dxa"/>
            <w:tcBorders>
              <w:top w:val="nil"/>
              <w:left w:val="nil"/>
              <w:bottom w:val="nil"/>
              <w:right w:val="nil"/>
            </w:tcBorders>
            <w:shd w:val="clear" w:color="auto" w:fill="auto"/>
            <w:noWrap/>
            <w:vAlign w:val="center"/>
            <w:hideMark/>
          </w:tcPr>
          <w:p w14:paraId="22A0C6DA" w14:textId="77777777" w:rsidR="00C22128" w:rsidRPr="00C22128" w:rsidRDefault="00C22128" w:rsidP="00C22128">
            <w:pPr>
              <w:spacing w:after="0" w:line="240" w:lineRule="auto"/>
              <w:jc w:val="right"/>
              <w:rPr>
                <w:rFonts w:eastAsia="Times New Roman" w:cs="Times New Roman"/>
                <w:b/>
                <w:bCs/>
                <w:sz w:val="20"/>
                <w:szCs w:val="20"/>
                <w:lang w:eastAsia="sk-SK"/>
              </w:rPr>
            </w:pPr>
            <w:r w:rsidRPr="00C22128">
              <w:rPr>
                <w:rFonts w:eastAsia="Times New Roman" w:cs="Times New Roman"/>
                <w:b/>
                <w:bCs/>
                <w:sz w:val="20"/>
                <w:szCs w:val="20"/>
                <w:lang w:eastAsia="sk-SK"/>
              </w:rPr>
              <w:t>31 552 315</w:t>
            </w:r>
          </w:p>
        </w:tc>
        <w:tc>
          <w:tcPr>
            <w:tcW w:w="1176" w:type="dxa"/>
            <w:tcBorders>
              <w:top w:val="nil"/>
              <w:left w:val="nil"/>
              <w:bottom w:val="nil"/>
              <w:right w:val="nil"/>
            </w:tcBorders>
            <w:shd w:val="clear" w:color="auto" w:fill="auto"/>
            <w:noWrap/>
            <w:vAlign w:val="center"/>
            <w:hideMark/>
          </w:tcPr>
          <w:p w14:paraId="0CF95A03" w14:textId="77777777" w:rsidR="00C22128" w:rsidRPr="00C22128" w:rsidRDefault="00C22128" w:rsidP="00C22128">
            <w:pPr>
              <w:spacing w:after="0" w:line="240" w:lineRule="auto"/>
              <w:jc w:val="right"/>
              <w:rPr>
                <w:rFonts w:eastAsia="Times New Roman" w:cs="Times New Roman"/>
                <w:b/>
                <w:bCs/>
                <w:sz w:val="20"/>
                <w:szCs w:val="20"/>
                <w:lang w:eastAsia="sk-SK"/>
              </w:rPr>
            </w:pPr>
            <w:r w:rsidRPr="00C22128">
              <w:rPr>
                <w:rFonts w:eastAsia="Times New Roman" w:cs="Times New Roman"/>
                <w:b/>
                <w:bCs/>
                <w:sz w:val="20"/>
                <w:szCs w:val="20"/>
                <w:lang w:eastAsia="sk-SK"/>
              </w:rPr>
              <w:t>33 502 106</w:t>
            </w:r>
          </w:p>
        </w:tc>
        <w:tc>
          <w:tcPr>
            <w:tcW w:w="1220" w:type="dxa"/>
            <w:tcBorders>
              <w:top w:val="nil"/>
              <w:left w:val="nil"/>
              <w:bottom w:val="nil"/>
              <w:right w:val="nil"/>
            </w:tcBorders>
            <w:shd w:val="clear" w:color="auto" w:fill="auto"/>
            <w:noWrap/>
            <w:vAlign w:val="center"/>
            <w:hideMark/>
          </w:tcPr>
          <w:p w14:paraId="54FEDD23" w14:textId="77777777" w:rsidR="00C22128" w:rsidRPr="00C22128" w:rsidRDefault="00C22128" w:rsidP="00C22128">
            <w:pPr>
              <w:spacing w:after="0" w:line="240" w:lineRule="auto"/>
              <w:jc w:val="right"/>
              <w:rPr>
                <w:rFonts w:eastAsia="Times New Roman" w:cs="Times New Roman"/>
                <w:b/>
                <w:bCs/>
                <w:sz w:val="20"/>
                <w:szCs w:val="20"/>
                <w:lang w:eastAsia="sk-SK"/>
              </w:rPr>
            </w:pPr>
            <w:r w:rsidRPr="00C22128">
              <w:rPr>
                <w:rFonts w:eastAsia="Times New Roman" w:cs="Times New Roman"/>
                <w:b/>
                <w:bCs/>
                <w:sz w:val="20"/>
                <w:szCs w:val="20"/>
                <w:lang w:eastAsia="sk-SK"/>
              </w:rPr>
              <w:t>34 102 500</w:t>
            </w:r>
          </w:p>
        </w:tc>
        <w:tc>
          <w:tcPr>
            <w:tcW w:w="1196" w:type="dxa"/>
            <w:tcBorders>
              <w:top w:val="nil"/>
              <w:left w:val="nil"/>
              <w:bottom w:val="nil"/>
              <w:right w:val="nil"/>
            </w:tcBorders>
            <w:shd w:val="clear" w:color="000000" w:fill="BFBFBF"/>
            <w:noWrap/>
            <w:vAlign w:val="center"/>
            <w:hideMark/>
          </w:tcPr>
          <w:p w14:paraId="50765C75" w14:textId="77777777" w:rsidR="00C22128" w:rsidRPr="00A265D6" w:rsidRDefault="00C22128" w:rsidP="00C22128">
            <w:pPr>
              <w:spacing w:after="0" w:line="240" w:lineRule="auto"/>
              <w:jc w:val="right"/>
              <w:rPr>
                <w:rFonts w:eastAsia="Times New Roman" w:cs="Times New Roman"/>
                <w:b/>
                <w:bCs/>
                <w:sz w:val="20"/>
                <w:szCs w:val="20"/>
                <w:lang w:eastAsia="sk-SK"/>
              </w:rPr>
            </w:pPr>
            <w:r w:rsidRPr="00A265D6">
              <w:rPr>
                <w:rFonts w:eastAsia="Times New Roman" w:cs="Times New Roman"/>
                <w:b/>
                <w:bCs/>
                <w:sz w:val="20"/>
                <w:szCs w:val="20"/>
                <w:lang w:eastAsia="sk-SK"/>
              </w:rPr>
              <w:t>35 906 802</w:t>
            </w:r>
          </w:p>
        </w:tc>
        <w:tc>
          <w:tcPr>
            <w:tcW w:w="1056" w:type="dxa"/>
            <w:tcBorders>
              <w:top w:val="nil"/>
              <w:left w:val="nil"/>
              <w:bottom w:val="nil"/>
              <w:right w:val="nil"/>
            </w:tcBorders>
            <w:shd w:val="clear" w:color="auto" w:fill="auto"/>
            <w:noWrap/>
            <w:vAlign w:val="center"/>
            <w:hideMark/>
          </w:tcPr>
          <w:p w14:paraId="67C5DF0D" w14:textId="77777777" w:rsidR="00C22128" w:rsidRPr="00A265D6" w:rsidRDefault="00C22128" w:rsidP="00C22128">
            <w:pPr>
              <w:spacing w:after="0" w:line="240" w:lineRule="auto"/>
              <w:jc w:val="right"/>
              <w:rPr>
                <w:rFonts w:eastAsia="Times New Roman" w:cs="Times New Roman"/>
                <w:b/>
                <w:bCs/>
                <w:sz w:val="20"/>
                <w:szCs w:val="20"/>
                <w:lang w:eastAsia="sk-SK"/>
              </w:rPr>
            </w:pPr>
            <w:r w:rsidRPr="00A265D6">
              <w:rPr>
                <w:rFonts w:eastAsia="Times New Roman" w:cs="Times New Roman"/>
                <w:b/>
                <w:bCs/>
                <w:sz w:val="20"/>
                <w:szCs w:val="20"/>
                <w:lang w:eastAsia="sk-SK"/>
              </w:rPr>
              <w:t>1 804 302</w:t>
            </w:r>
          </w:p>
        </w:tc>
      </w:tr>
      <w:tr w:rsidR="00C22128" w:rsidRPr="00C22128" w14:paraId="29EF00FB" w14:textId="77777777" w:rsidTr="00C22128">
        <w:trPr>
          <w:trHeight w:val="330"/>
        </w:trPr>
        <w:tc>
          <w:tcPr>
            <w:tcW w:w="2250" w:type="dxa"/>
            <w:tcBorders>
              <w:top w:val="nil"/>
              <w:left w:val="nil"/>
              <w:bottom w:val="nil"/>
              <w:right w:val="nil"/>
            </w:tcBorders>
            <w:shd w:val="clear" w:color="000000" w:fill="FFFFFF"/>
            <w:noWrap/>
            <w:vAlign w:val="center"/>
            <w:hideMark/>
          </w:tcPr>
          <w:p w14:paraId="1478C597" w14:textId="77777777" w:rsidR="00C22128" w:rsidRPr="00C22128" w:rsidRDefault="00C22128" w:rsidP="00C22128">
            <w:pPr>
              <w:spacing w:after="0" w:line="240" w:lineRule="auto"/>
              <w:jc w:val="left"/>
              <w:rPr>
                <w:rFonts w:eastAsia="Times New Roman" w:cs="Times New Roman"/>
                <w:color w:val="000000"/>
                <w:sz w:val="20"/>
                <w:szCs w:val="20"/>
                <w:lang w:eastAsia="sk-SK"/>
              </w:rPr>
            </w:pPr>
            <w:r w:rsidRPr="00C22128">
              <w:rPr>
                <w:rFonts w:eastAsia="Times New Roman" w:cs="Times New Roman"/>
                <w:color w:val="000000"/>
                <w:sz w:val="20"/>
                <w:szCs w:val="20"/>
                <w:lang w:eastAsia="sk-SK"/>
              </w:rPr>
              <w:t>Daňové a poistné príjmy</w:t>
            </w:r>
          </w:p>
        </w:tc>
        <w:tc>
          <w:tcPr>
            <w:tcW w:w="1370" w:type="dxa"/>
            <w:tcBorders>
              <w:top w:val="nil"/>
              <w:left w:val="nil"/>
              <w:bottom w:val="nil"/>
              <w:right w:val="nil"/>
            </w:tcBorders>
            <w:shd w:val="clear" w:color="000000" w:fill="FFFFFF"/>
            <w:noWrap/>
            <w:vAlign w:val="center"/>
            <w:hideMark/>
          </w:tcPr>
          <w:p w14:paraId="7840E088" w14:textId="77777777" w:rsidR="00C22128" w:rsidRPr="00C22128" w:rsidRDefault="00C22128" w:rsidP="00C22128">
            <w:pPr>
              <w:spacing w:after="0" w:line="240" w:lineRule="auto"/>
              <w:jc w:val="right"/>
              <w:rPr>
                <w:rFonts w:eastAsia="Times New Roman" w:cs="Times New Roman"/>
                <w:sz w:val="20"/>
                <w:szCs w:val="20"/>
                <w:lang w:eastAsia="sk-SK"/>
              </w:rPr>
            </w:pPr>
            <w:r w:rsidRPr="00C22128">
              <w:rPr>
                <w:rFonts w:eastAsia="Times New Roman" w:cs="Times New Roman"/>
                <w:sz w:val="20"/>
                <w:szCs w:val="20"/>
                <w:lang w:eastAsia="sk-SK"/>
              </w:rPr>
              <w:t>25 784 072</w:t>
            </w:r>
          </w:p>
        </w:tc>
        <w:tc>
          <w:tcPr>
            <w:tcW w:w="1176" w:type="dxa"/>
            <w:tcBorders>
              <w:top w:val="nil"/>
              <w:left w:val="nil"/>
              <w:bottom w:val="nil"/>
              <w:right w:val="nil"/>
            </w:tcBorders>
            <w:shd w:val="clear" w:color="000000" w:fill="FFFFFF"/>
            <w:noWrap/>
            <w:vAlign w:val="center"/>
            <w:hideMark/>
          </w:tcPr>
          <w:p w14:paraId="6BF2C7D3" w14:textId="77777777" w:rsidR="00C22128" w:rsidRPr="00C22128" w:rsidRDefault="00C22128" w:rsidP="00C22128">
            <w:pPr>
              <w:spacing w:after="0" w:line="240" w:lineRule="auto"/>
              <w:jc w:val="right"/>
              <w:rPr>
                <w:rFonts w:eastAsia="Times New Roman" w:cs="Times New Roman"/>
                <w:sz w:val="20"/>
                <w:szCs w:val="20"/>
                <w:lang w:eastAsia="sk-SK"/>
              </w:rPr>
            </w:pPr>
            <w:r w:rsidRPr="00C22128">
              <w:rPr>
                <w:rFonts w:eastAsia="Times New Roman" w:cs="Times New Roman"/>
                <w:sz w:val="20"/>
                <w:szCs w:val="20"/>
                <w:lang w:eastAsia="sk-SK"/>
              </w:rPr>
              <w:t>28 005 356</w:t>
            </w:r>
          </w:p>
        </w:tc>
        <w:tc>
          <w:tcPr>
            <w:tcW w:w="1220" w:type="dxa"/>
            <w:tcBorders>
              <w:top w:val="nil"/>
              <w:left w:val="nil"/>
              <w:bottom w:val="nil"/>
              <w:right w:val="nil"/>
            </w:tcBorders>
            <w:shd w:val="clear" w:color="000000" w:fill="FFFFFF"/>
            <w:noWrap/>
            <w:vAlign w:val="center"/>
            <w:hideMark/>
          </w:tcPr>
          <w:p w14:paraId="5BE8E4C2" w14:textId="77777777" w:rsidR="00C22128" w:rsidRPr="00C22128" w:rsidRDefault="00C22128" w:rsidP="00C22128">
            <w:pPr>
              <w:spacing w:after="0" w:line="240" w:lineRule="auto"/>
              <w:jc w:val="right"/>
              <w:rPr>
                <w:rFonts w:eastAsia="Times New Roman" w:cs="Times New Roman"/>
                <w:sz w:val="20"/>
                <w:szCs w:val="20"/>
                <w:lang w:eastAsia="sk-SK"/>
              </w:rPr>
            </w:pPr>
            <w:r w:rsidRPr="00C22128">
              <w:rPr>
                <w:rFonts w:eastAsia="Times New Roman" w:cs="Times New Roman"/>
                <w:sz w:val="20"/>
                <w:szCs w:val="20"/>
                <w:lang w:eastAsia="sk-SK"/>
              </w:rPr>
              <w:t>28 694 985</w:t>
            </w:r>
          </w:p>
        </w:tc>
        <w:tc>
          <w:tcPr>
            <w:tcW w:w="1196" w:type="dxa"/>
            <w:tcBorders>
              <w:top w:val="nil"/>
              <w:left w:val="nil"/>
              <w:bottom w:val="nil"/>
              <w:right w:val="nil"/>
            </w:tcBorders>
            <w:shd w:val="clear" w:color="000000" w:fill="BFBFBF"/>
            <w:noWrap/>
            <w:vAlign w:val="center"/>
            <w:hideMark/>
          </w:tcPr>
          <w:p w14:paraId="109CD11A" w14:textId="77777777" w:rsidR="00C22128" w:rsidRPr="00A265D6" w:rsidRDefault="00C22128" w:rsidP="00C22128">
            <w:pPr>
              <w:spacing w:after="0" w:line="240" w:lineRule="auto"/>
              <w:jc w:val="right"/>
              <w:rPr>
                <w:rFonts w:eastAsia="Times New Roman" w:cs="Times New Roman"/>
                <w:sz w:val="20"/>
                <w:szCs w:val="20"/>
                <w:lang w:eastAsia="sk-SK"/>
              </w:rPr>
            </w:pPr>
            <w:r w:rsidRPr="00A265D6">
              <w:rPr>
                <w:rFonts w:eastAsia="Times New Roman" w:cs="Times New Roman"/>
                <w:sz w:val="20"/>
                <w:szCs w:val="20"/>
                <w:lang w:eastAsia="sk-SK"/>
              </w:rPr>
              <w:t>29 515 902</w:t>
            </w:r>
          </w:p>
        </w:tc>
        <w:tc>
          <w:tcPr>
            <w:tcW w:w="1056" w:type="dxa"/>
            <w:tcBorders>
              <w:top w:val="nil"/>
              <w:left w:val="nil"/>
              <w:bottom w:val="nil"/>
              <w:right w:val="nil"/>
            </w:tcBorders>
            <w:shd w:val="clear" w:color="000000" w:fill="FFFFFF"/>
            <w:noWrap/>
            <w:vAlign w:val="center"/>
            <w:hideMark/>
          </w:tcPr>
          <w:p w14:paraId="6B0E9820" w14:textId="77777777" w:rsidR="00C22128" w:rsidRPr="00A265D6" w:rsidRDefault="00C22128" w:rsidP="00C22128">
            <w:pPr>
              <w:spacing w:after="0" w:line="240" w:lineRule="auto"/>
              <w:jc w:val="right"/>
              <w:rPr>
                <w:rFonts w:eastAsia="Times New Roman" w:cs="Times New Roman"/>
                <w:sz w:val="20"/>
                <w:szCs w:val="20"/>
                <w:lang w:eastAsia="sk-SK"/>
              </w:rPr>
            </w:pPr>
            <w:r w:rsidRPr="00A265D6">
              <w:rPr>
                <w:rFonts w:eastAsia="Times New Roman" w:cs="Times New Roman"/>
                <w:sz w:val="20"/>
                <w:szCs w:val="20"/>
                <w:lang w:eastAsia="sk-SK"/>
              </w:rPr>
              <w:t>820 917</w:t>
            </w:r>
          </w:p>
        </w:tc>
      </w:tr>
      <w:tr w:rsidR="00C22128" w:rsidRPr="00C22128" w14:paraId="1E07D2CE" w14:textId="77777777" w:rsidTr="00C22128">
        <w:trPr>
          <w:trHeight w:val="330"/>
        </w:trPr>
        <w:tc>
          <w:tcPr>
            <w:tcW w:w="2250" w:type="dxa"/>
            <w:tcBorders>
              <w:top w:val="nil"/>
              <w:left w:val="nil"/>
              <w:bottom w:val="nil"/>
              <w:right w:val="nil"/>
            </w:tcBorders>
            <w:shd w:val="clear" w:color="000000" w:fill="FFFFFF"/>
            <w:noWrap/>
            <w:vAlign w:val="center"/>
            <w:hideMark/>
          </w:tcPr>
          <w:p w14:paraId="510572AD" w14:textId="77777777" w:rsidR="00C22128" w:rsidRPr="00C22128" w:rsidRDefault="00C22128" w:rsidP="00C22128">
            <w:pPr>
              <w:spacing w:after="0" w:line="240" w:lineRule="auto"/>
              <w:jc w:val="left"/>
              <w:rPr>
                <w:rFonts w:eastAsia="Times New Roman" w:cs="Times New Roman"/>
                <w:color w:val="000000"/>
                <w:sz w:val="20"/>
                <w:szCs w:val="20"/>
                <w:lang w:eastAsia="sk-SK"/>
              </w:rPr>
            </w:pPr>
            <w:r w:rsidRPr="00C22128">
              <w:rPr>
                <w:rFonts w:eastAsia="Times New Roman" w:cs="Times New Roman"/>
                <w:color w:val="000000"/>
                <w:sz w:val="20"/>
                <w:szCs w:val="20"/>
                <w:lang w:eastAsia="sk-SK"/>
              </w:rPr>
              <w:t>Nedaňové príjmy</w:t>
            </w:r>
          </w:p>
        </w:tc>
        <w:tc>
          <w:tcPr>
            <w:tcW w:w="1370" w:type="dxa"/>
            <w:tcBorders>
              <w:top w:val="nil"/>
              <w:left w:val="nil"/>
              <w:bottom w:val="nil"/>
              <w:right w:val="nil"/>
            </w:tcBorders>
            <w:shd w:val="clear" w:color="000000" w:fill="FFFFFF"/>
            <w:noWrap/>
            <w:vAlign w:val="center"/>
            <w:hideMark/>
          </w:tcPr>
          <w:p w14:paraId="590D3A5A" w14:textId="77777777" w:rsidR="00C22128" w:rsidRPr="00C22128" w:rsidRDefault="00C22128" w:rsidP="00C22128">
            <w:pPr>
              <w:spacing w:after="0" w:line="240" w:lineRule="auto"/>
              <w:jc w:val="right"/>
              <w:rPr>
                <w:rFonts w:eastAsia="Times New Roman" w:cs="Times New Roman"/>
                <w:sz w:val="20"/>
                <w:szCs w:val="20"/>
                <w:lang w:eastAsia="sk-SK"/>
              </w:rPr>
            </w:pPr>
            <w:r w:rsidRPr="00C22128">
              <w:rPr>
                <w:rFonts w:eastAsia="Times New Roman" w:cs="Times New Roman"/>
                <w:sz w:val="20"/>
                <w:szCs w:val="20"/>
                <w:lang w:eastAsia="sk-SK"/>
              </w:rPr>
              <w:t>4 890 175</w:t>
            </w:r>
          </w:p>
        </w:tc>
        <w:tc>
          <w:tcPr>
            <w:tcW w:w="1176" w:type="dxa"/>
            <w:tcBorders>
              <w:top w:val="nil"/>
              <w:left w:val="nil"/>
              <w:bottom w:val="nil"/>
              <w:right w:val="nil"/>
            </w:tcBorders>
            <w:shd w:val="clear" w:color="000000" w:fill="FFFFFF"/>
            <w:noWrap/>
            <w:vAlign w:val="center"/>
            <w:hideMark/>
          </w:tcPr>
          <w:p w14:paraId="6B8470ED" w14:textId="77777777" w:rsidR="00C22128" w:rsidRPr="00C22128" w:rsidRDefault="00C22128" w:rsidP="00C22128">
            <w:pPr>
              <w:spacing w:after="0" w:line="240" w:lineRule="auto"/>
              <w:jc w:val="right"/>
              <w:rPr>
                <w:rFonts w:eastAsia="Times New Roman" w:cs="Times New Roman"/>
                <w:sz w:val="20"/>
                <w:szCs w:val="20"/>
                <w:lang w:eastAsia="sk-SK"/>
              </w:rPr>
            </w:pPr>
            <w:r w:rsidRPr="00C22128">
              <w:rPr>
                <w:rFonts w:eastAsia="Times New Roman" w:cs="Times New Roman"/>
                <w:sz w:val="20"/>
                <w:szCs w:val="20"/>
                <w:lang w:eastAsia="sk-SK"/>
              </w:rPr>
              <w:t>4 702 178</w:t>
            </w:r>
          </w:p>
        </w:tc>
        <w:tc>
          <w:tcPr>
            <w:tcW w:w="1220" w:type="dxa"/>
            <w:tcBorders>
              <w:top w:val="nil"/>
              <w:left w:val="nil"/>
              <w:bottom w:val="nil"/>
              <w:right w:val="nil"/>
            </w:tcBorders>
            <w:shd w:val="clear" w:color="000000" w:fill="FFFFFF"/>
            <w:noWrap/>
            <w:vAlign w:val="center"/>
            <w:hideMark/>
          </w:tcPr>
          <w:p w14:paraId="52ED12F5" w14:textId="77777777" w:rsidR="00C22128" w:rsidRPr="00C22128" w:rsidRDefault="00C22128" w:rsidP="00C22128">
            <w:pPr>
              <w:spacing w:after="0" w:line="240" w:lineRule="auto"/>
              <w:jc w:val="right"/>
              <w:rPr>
                <w:rFonts w:eastAsia="Times New Roman" w:cs="Times New Roman"/>
                <w:sz w:val="20"/>
                <w:szCs w:val="20"/>
                <w:lang w:eastAsia="sk-SK"/>
              </w:rPr>
            </w:pPr>
            <w:r w:rsidRPr="00C22128">
              <w:rPr>
                <w:rFonts w:eastAsia="Times New Roman" w:cs="Times New Roman"/>
                <w:sz w:val="20"/>
                <w:szCs w:val="20"/>
                <w:lang w:eastAsia="sk-SK"/>
              </w:rPr>
              <w:t>5 063 671</w:t>
            </w:r>
          </w:p>
        </w:tc>
        <w:tc>
          <w:tcPr>
            <w:tcW w:w="1196" w:type="dxa"/>
            <w:tcBorders>
              <w:top w:val="nil"/>
              <w:left w:val="nil"/>
              <w:bottom w:val="nil"/>
              <w:right w:val="nil"/>
            </w:tcBorders>
            <w:shd w:val="clear" w:color="000000" w:fill="BFBFBF"/>
            <w:noWrap/>
            <w:vAlign w:val="center"/>
            <w:hideMark/>
          </w:tcPr>
          <w:p w14:paraId="6BFD1958" w14:textId="77777777" w:rsidR="00C22128" w:rsidRPr="00A265D6" w:rsidRDefault="00C22128" w:rsidP="00C22128">
            <w:pPr>
              <w:spacing w:after="0" w:line="240" w:lineRule="auto"/>
              <w:jc w:val="right"/>
              <w:rPr>
                <w:rFonts w:eastAsia="Times New Roman" w:cs="Times New Roman"/>
                <w:sz w:val="20"/>
                <w:szCs w:val="20"/>
                <w:lang w:eastAsia="sk-SK"/>
              </w:rPr>
            </w:pPr>
            <w:r w:rsidRPr="00A265D6">
              <w:rPr>
                <w:rFonts w:eastAsia="Times New Roman" w:cs="Times New Roman"/>
                <w:sz w:val="20"/>
                <w:szCs w:val="20"/>
                <w:lang w:eastAsia="sk-SK"/>
              </w:rPr>
              <w:t>5 033 724</w:t>
            </w:r>
          </w:p>
        </w:tc>
        <w:tc>
          <w:tcPr>
            <w:tcW w:w="1056" w:type="dxa"/>
            <w:tcBorders>
              <w:top w:val="nil"/>
              <w:left w:val="nil"/>
              <w:bottom w:val="nil"/>
              <w:right w:val="nil"/>
            </w:tcBorders>
            <w:shd w:val="clear" w:color="000000" w:fill="FFFFFF"/>
            <w:noWrap/>
            <w:vAlign w:val="center"/>
            <w:hideMark/>
          </w:tcPr>
          <w:p w14:paraId="67C224BA" w14:textId="77777777" w:rsidR="00C22128" w:rsidRPr="00A265D6" w:rsidRDefault="00C22128" w:rsidP="00C22128">
            <w:pPr>
              <w:spacing w:after="0" w:line="240" w:lineRule="auto"/>
              <w:jc w:val="right"/>
              <w:rPr>
                <w:rFonts w:eastAsia="Times New Roman" w:cs="Times New Roman"/>
                <w:sz w:val="20"/>
                <w:szCs w:val="20"/>
                <w:lang w:eastAsia="sk-SK"/>
              </w:rPr>
            </w:pPr>
            <w:r w:rsidRPr="00A265D6">
              <w:rPr>
                <w:rFonts w:eastAsia="Times New Roman" w:cs="Times New Roman"/>
                <w:sz w:val="20"/>
                <w:szCs w:val="20"/>
                <w:lang w:eastAsia="sk-SK"/>
              </w:rPr>
              <w:t>-29 947</w:t>
            </w:r>
          </w:p>
        </w:tc>
      </w:tr>
      <w:tr w:rsidR="00C22128" w:rsidRPr="00C22128" w14:paraId="5AE0107B" w14:textId="77777777" w:rsidTr="00C22128">
        <w:trPr>
          <w:trHeight w:val="330"/>
        </w:trPr>
        <w:tc>
          <w:tcPr>
            <w:tcW w:w="2250" w:type="dxa"/>
            <w:tcBorders>
              <w:top w:val="nil"/>
              <w:left w:val="nil"/>
              <w:bottom w:val="nil"/>
              <w:right w:val="nil"/>
            </w:tcBorders>
            <w:shd w:val="clear" w:color="000000" w:fill="FFFFFF"/>
            <w:noWrap/>
            <w:vAlign w:val="center"/>
            <w:hideMark/>
          </w:tcPr>
          <w:p w14:paraId="2D2EFD82" w14:textId="77777777" w:rsidR="00C22128" w:rsidRPr="00C22128" w:rsidRDefault="00C22128" w:rsidP="00C22128">
            <w:pPr>
              <w:spacing w:after="0" w:line="240" w:lineRule="auto"/>
              <w:jc w:val="left"/>
              <w:rPr>
                <w:rFonts w:eastAsia="Times New Roman" w:cs="Times New Roman"/>
                <w:color w:val="000000"/>
                <w:sz w:val="20"/>
                <w:szCs w:val="20"/>
                <w:lang w:eastAsia="sk-SK"/>
              </w:rPr>
            </w:pPr>
            <w:r w:rsidRPr="00C22128">
              <w:rPr>
                <w:rFonts w:eastAsia="Times New Roman" w:cs="Times New Roman"/>
                <w:color w:val="000000"/>
                <w:sz w:val="20"/>
                <w:szCs w:val="20"/>
                <w:lang w:eastAsia="sk-SK"/>
              </w:rPr>
              <w:t>Granty a transfery</w:t>
            </w:r>
          </w:p>
        </w:tc>
        <w:tc>
          <w:tcPr>
            <w:tcW w:w="1370" w:type="dxa"/>
            <w:tcBorders>
              <w:top w:val="nil"/>
              <w:left w:val="nil"/>
              <w:bottom w:val="nil"/>
              <w:right w:val="nil"/>
            </w:tcBorders>
            <w:shd w:val="clear" w:color="000000" w:fill="FFFFFF"/>
            <w:noWrap/>
            <w:vAlign w:val="center"/>
            <w:hideMark/>
          </w:tcPr>
          <w:p w14:paraId="7EC02171" w14:textId="77777777" w:rsidR="00C22128" w:rsidRPr="00C22128" w:rsidRDefault="00C22128" w:rsidP="00C22128">
            <w:pPr>
              <w:spacing w:after="0" w:line="240" w:lineRule="auto"/>
              <w:jc w:val="right"/>
              <w:rPr>
                <w:rFonts w:eastAsia="Times New Roman" w:cs="Times New Roman"/>
                <w:sz w:val="20"/>
                <w:szCs w:val="20"/>
                <w:lang w:eastAsia="sk-SK"/>
              </w:rPr>
            </w:pPr>
            <w:r w:rsidRPr="00C22128">
              <w:rPr>
                <w:rFonts w:eastAsia="Times New Roman" w:cs="Times New Roman"/>
                <w:sz w:val="20"/>
                <w:szCs w:val="20"/>
                <w:lang w:eastAsia="sk-SK"/>
              </w:rPr>
              <w:t>878 068</w:t>
            </w:r>
          </w:p>
        </w:tc>
        <w:tc>
          <w:tcPr>
            <w:tcW w:w="1176" w:type="dxa"/>
            <w:tcBorders>
              <w:top w:val="nil"/>
              <w:left w:val="nil"/>
              <w:bottom w:val="nil"/>
              <w:right w:val="nil"/>
            </w:tcBorders>
            <w:shd w:val="clear" w:color="000000" w:fill="FFFFFF"/>
            <w:noWrap/>
            <w:vAlign w:val="center"/>
            <w:hideMark/>
          </w:tcPr>
          <w:p w14:paraId="2BCFD540" w14:textId="77777777" w:rsidR="00C22128" w:rsidRPr="00C22128" w:rsidRDefault="00C22128" w:rsidP="00C22128">
            <w:pPr>
              <w:spacing w:after="0" w:line="240" w:lineRule="auto"/>
              <w:jc w:val="right"/>
              <w:rPr>
                <w:rFonts w:eastAsia="Times New Roman" w:cs="Times New Roman"/>
                <w:sz w:val="20"/>
                <w:szCs w:val="20"/>
                <w:lang w:eastAsia="sk-SK"/>
              </w:rPr>
            </w:pPr>
            <w:r w:rsidRPr="00C22128">
              <w:rPr>
                <w:rFonts w:eastAsia="Times New Roman" w:cs="Times New Roman"/>
                <w:sz w:val="20"/>
                <w:szCs w:val="20"/>
                <w:lang w:eastAsia="sk-SK"/>
              </w:rPr>
              <w:t>794 572</w:t>
            </w:r>
          </w:p>
        </w:tc>
        <w:tc>
          <w:tcPr>
            <w:tcW w:w="1220" w:type="dxa"/>
            <w:tcBorders>
              <w:top w:val="nil"/>
              <w:left w:val="nil"/>
              <w:bottom w:val="nil"/>
              <w:right w:val="nil"/>
            </w:tcBorders>
            <w:shd w:val="clear" w:color="000000" w:fill="FFFFFF"/>
            <w:noWrap/>
            <w:vAlign w:val="center"/>
            <w:hideMark/>
          </w:tcPr>
          <w:p w14:paraId="5F34D2FD" w14:textId="77777777" w:rsidR="00C22128" w:rsidRPr="00C22128" w:rsidRDefault="00C22128" w:rsidP="00C22128">
            <w:pPr>
              <w:spacing w:after="0" w:line="240" w:lineRule="auto"/>
              <w:jc w:val="right"/>
              <w:rPr>
                <w:rFonts w:eastAsia="Times New Roman" w:cs="Times New Roman"/>
                <w:sz w:val="20"/>
                <w:szCs w:val="20"/>
                <w:lang w:eastAsia="sk-SK"/>
              </w:rPr>
            </w:pPr>
            <w:r w:rsidRPr="00C22128">
              <w:rPr>
                <w:rFonts w:eastAsia="Times New Roman" w:cs="Times New Roman"/>
                <w:sz w:val="20"/>
                <w:szCs w:val="20"/>
                <w:lang w:eastAsia="sk-SK"/>
              </w:rPr>
              <w:t>343 844</w:t>
            </w:r>
          </w:p>
        </w:tc>
        <w:tc>
          <w:tcPr>
            <w:tcW w:w="1196" w:type="dxa"/>
            <w:tcBorders>
              <w:top w:val="nil"/>
              <w:left w:val="nil"/>
              <w:bottom w:val="nil"/>
              <w:right w:val="nil"/>
            </w:tcBorders>
            <w:shd w:val="clear" w:color="000000" w:fill="BFBFBF"/>
            <w:noWrap/>
            <w:vAlign w:val="center"/>
            <w:hideMark/>
          </w:tcPr>
          <w:p w14:paraId="088F0C7B" w14:textId="77777777" w:rsidR="00C22128" w:rsidRPr="00A265D6" w:rsidRDefault="00C22128" w:rsidP="00C22128">
            <w:pPr>
              <w:spacing w:after="0" w:line="240" w:lineRule="auto"/>
              <w:jc w:val="right"/>
              <w:rPr>
                <w:rFonts w:eastAsia="Times New Roman" w:cs="Times New Roman"/>
                <w:sz w:val="20"/>
                <w:szCs w:val="20"/>
                <w:lang w:eastAsia="sk-SK"/>
              </w:rPr>
            </w:pPr>
            <w:r w:rsidRPr="00A265D6">
              <w:rPr>
                <w:rFonts w:eastAsia="Times New Roman" w:cs="Times New Roman"/>
                <w:sz w:val="20"/>
                <w:szCs w:val="20"/>
                <w:lang w:eastAsia="sk-SK"/>
              </w:rPr>
              <w:t>1 357 176</w:t>
            </w:r>
          </w:p>
        </w:tc>
        <w:tc>
          <w:tcPr>
            <w:tcW w:w="1056" w:type="dxa"/>
            <w:tcBorders>
              <w:top w:val="nil"/>
              <w:left w:val="nil"/>
              <w:bottom w:val="nil"/>
              <w:right w:val="nil"/>
            </w:tcBorders>
            <w:shd w:val="clear" w:color="000000" w:fill="FFFFFF"/>
            <w:noWrap/>
            <w:vAlign w:val="center"/>
            <w:hideMark/>
          </w:tcPr>
          <w:p w14:paraId="72DE729E" w14:textId="77777777" w:rsidR="00C22128" w:rsidRPr="00A265D6" w:rsidRDefault="00C22128" w:rsidP="00C22128">
            <w:pPr>
              <w:spacing w:after="0" w:line="240" w:lineRule="auto"/>
              <w:jc w:val="right"/>
              <w:rPr>
                <w:rFonts w:eastAsia="Times New Roman" w:cs="Times New Roman"/>
                <w:sz w:val="20"/>
                <w:szCs w:val="20"/>
                <w:lang w:eastAsia="sk-SK"/>
              </w:rPr>
            </w:pPr>
            <w:r w:rsidRPr="00A265D6">
              <w:rPr>
                <w:rFonts w:eastAsia="Times New Roman" w:cs="Times New Roman"/>
                <w:sz w:val="20"/>
                <w:szCs w:val="20"/>
                <w:lang w:eastAsia="sk-SK"/>
              </w:rPr>
              <w:t>1 013 332</w:t>
            </w:r>
          </w:p>
        </w:tc>
      </w:tr>
      <w:tr w:rsidR="00C22128" w:rsidRPr="00C22128" w14:paraId="11C97759" w14:textId="77777777" w:rsidTr="00C22128">
        <w:trPr>
          <w:trHeight w:val="330"/>
        </w:trPr>
        <w:tc>
          <w:tcPr>
            <w:tcW w:w="2250" w:type="dxa"/>
            <w:tcBorders>
              <w:top w:val="nil"/>
              <w:left w:val="nil"/>
              <w:bottom w:val="nil"/>
              <w:right w:val="nil"/>
            </w:tcBorders>
            <w:shd w:val="clear" w:color="000000" w:fill="FFFFFF"/>
            <w:noWrap/>
            <w:vAlign w:val="center"/>
            <w:hideMark/>
          </w:tcPr>
          <w:p w14:paraId="60E52CE7" w14:textId="77777777" w:rsidR="00C22128" w:rsidRPr="00C22128" w:rsidRDefault="00C22128" w:rsidP="00C22128">
            <w:pPr>
              <w:spacing w:after="0" w:line="240" w:lineRule="auto"/>
              <w:jc w:val="left"/>
              <w:rPr>
                <w:rFonts w:eastAsia="Times New Roman" w:cs="Times New Roman"/>
                <w:b/>
                <w:bCs/>
                <w:sz w:val="20"/>
                <w:szCs w:val="20"/>
                <w:lang w:eastAsia="sk-SK"/>
              </w:rPr>
            </w:pPr>
            <w:r w:rsidRPr="00C22128">
              <w:rPr>
                <w:rFonts w:eastAsia="Times New Roman" w:cs="Times New Roman"/>
                <w:b/>
                <w:bCs/>
                <w:sz w:val="20"/>
                <w:szCs w:val="20"/>
                <w:lang w:eastAsia="sk-SK"/>
              </w:rPr>
              <w:t>Výdavky spolu, v tom:</w:t>
            </w:r>
          </w:p>
        </w:tc>
        <w:tc>
          <w:tcPr>
            <w:tcW w:w="1370" w:type="dxa"/>
            <w:tcBorders>
              <w:top w:val="nil"/>
              <w:left w:val="nil"/>
              <w:bottom w:val="nil"/>
              <w:right w:val="nil"/>
            </w:tcBorders>
            <w:shd w:val="clear" w:color="auto" w:fill="auto"/>
            <w:noWrap/>
            <w:vAlign w:val="center"/>
            <w:hideMark/>
          </w:tcPr>
          <w:p w14:paraId="52F87B2D" w14:textId="77777777" w:rsidR="00C22128" w:rsidRPr="00C22128" w:rsidRDefault="00C22128" w:rsidP="00C22128">
            <w:pPr>
              <w:spacing w:after="0" w:line="240" w:lineRule="auto"/>
              <w:jc w:val="right"/>
              <w:rPr>
                <w:rFonts w:eastAsia="Times New Roman" w:cs="Times New Roman"/>
                <w:b/>
                <w:bCs/>
                <w:sz w:val="20"/>
                <w:szCs w:val="20"/>
                <w:lang w:eastAsia="sk-SK"/>
              </w:rPr>
            </w:pPr>
            <w:r w:rsidRPr="00C22128">
              <w:rPr>
                <w:rFonts w:eastAsia="Times New Roman" w:cs="Times New Roman"/>
                <w:b/>
                <w:bCs/>
                <w:sz w:val="20"/>
                <w:szCs w:val="20"/>
                <w:lang w:eastAsia="sk-SK"/>
              </w:rPr>
              <w:t>33 357 028</w:t>
            </w:r>
          </w:p>
        </w:tc>
        <w:tc>
          <w:tcPr>
            <w:tcW w:w="1176" w:type="dxa"/>
            <w:tcBorders>
              <w:top w:val="nil"/>
              <w:left w:val="nil"/>
              <w:bottom w:val="nil"/>
              <w:right w:val="nil"/>
            </w:tcBorders>
            <w:shd w:val="clear" w:color="auto" w:fill="auto"/>
            <w:noWrap/>
            <w:vAlign w:val="center"/>
            <w:hideMark/>
          </w:tcPr>
          <w:p w14:paraId="219A3E59" w14:textId="77777777" w:rsidR="00C22128" w:rsidRPr="00C22128" w:rsidRDefault="00C22128" w:rsidP="00C22128">
            <w:pPr>
              <w:spacing w:after="0" w:line="240" w:lineRule="auto"/>
              <w:jc w:val="right"/>
              <w:rPr>
                <w:rFonts w:eastAsia="Times New Roman" w:cs="Times New Roman"/>
                <w:b/>
                <w:bCs/>
                <w:sz w:val="20"/>
                <w:szCs w:val="20"/>
                <w:lang w:eastAsia="sk-SK"/>
              </w:rPr>
            </w:pPr>
            <w:r w:rsidRPr="00C22128">
              <w:rPr>
                <w:rFonts w:eastAsia="Times New Roman" w:cs="Times New Roman"/>
                <w:b/>
                <w:bCs/>
                <w:sz w:val="20"/>
                <w:szCs w:val="20"/>
                <w:lang w:eastAsia="sk-SK"/>
              </w:rPr>
              <w:t>34 170 034</w:t>
            </w:r>
          </w:p>
        </w:tc>
        <w:tc>
          <w:tcPr>
            <w:tcW w:w="1220" w:type="dxa"/>
            <w:tcBorders>
              <w:top w:val="nil"/>
              <w:left w:val="nil"/>
              <w:bottom w:val="nil"/>
              <w:right w:val="nil"/>
            </w:tcBorders>
            <w:shd w:val="clear" w:color="auto" w:fill="auto"/>
            <w:noWrap/>
            <w:vAlign w:val="center"/>
            <w:hideMark/>
          </w:tcPr>
          <w:p w14:paraId="35569D5F" w14:textId="77777777" w:rsidR="00C22128" w:rsidRPr="00C22128" w:rsidRDefault="00C22128" w:rsidP="00C22128">
            <w:pPr>
              <w:spacing w:after="0" w:line="240" w:lineRule="auto"/>
              <w:jc w:val="right"/>
              <w:rPr>
                <w:rFonts w:eastAsia="Times New Roman" w:cs="Times New Roman"/>
                <w:b/>
                <w:bCs/>
                <w:sz w:val="20"/>
                <w:szCs w:val="20"/>
                <w:lang w:eastAsia="sk-SK"/>
              </w:rPr>
            </w:pPr>
            <w:r w:rsidRPr="00C22128">
              <w:rPr>
                <w:rFonts w:eastAsia="Times New Roman" w:cs="Times New Roman"/>
                <w:b/>
                <w:bCs/>
                <w:sz w:val="20"/>
                <w:szCs w:val="20"/>
                <w:lang w:eastAsia="sk-SK"/>
              </w:rPr>
              <w:t>34 845 311</w:t>
            </w:r>
          </w:p>
        </w:tc>
        <w:tc>
          <w:tcPr>
            <w:tcW w:w="1196" w:type="dxa"/>
            <w:tcBorders>
              <w:top w:val="nil"/>
              <w:left w:val="nil"/>
              <w:bottom w:val="nil"/>
              <w:right w:val="nil"/>
            </w:tcBorders>
            <w:shd w:val="clear" w:color="000000" w:fill="BFBFBF"/>
            <w:noWrap/>
            <w:vAlign w:val="center"/>
            <w:hideMark/>
          </w:tcPr>
          <w:p w14:paraId="56E01276" w14:textId="77777777" w:rsidR="00C22128" w:rsidRPr="00A265D6" w:rsidRDefault="00C22128" w:rsidP="00C22128">
            <w:pPr>
              <w:spacing w:after="0" w:line="240" w:lineRule="auto"/>
              <w:jc w:val="right"/>
              <w:rPr>
                <w:rFonts w:eastAsia="Times New Roman" w:cs="Times New Roman"/>
                <w:b/>
                <w:bCs/>
                <w:sz w:val="20"/>
                <w:szCs w:val="20"/>
                <w:lang w:eastAsia="sk-SK"/>
              </w:rPr>
            </w:pPr>
            <w:r w:rsidRPr="00A265D6">
              <w:rPr>
                <w:rFonts w:eastAsia="Times New Roman" w:cs="Times New Roman"/>
                <w:b/>
                <w:bCs/>
                <w:sz w:val="20"/>
                <w:szCs w:val="20"/>
                <w:lang w:eastAsia="sk-SK"/>
              </w:rPr>
              <w:t>36 536 259</w:t>
            </w:r>
          </w:p>
        </w:tc>
        <w:tc>
          <w:tcPr>
            <w:tcW w:w="1056" w:type="dxa"/>
            <w:tcBorders>
              <w:top w:val="nil"/>
              <w:left w:val="nil"/>
              <w:bottom w:val="nil"/>
              <w:right w:val="nil"/>
            </w:tcBorders>
            <w:shd w:val="clear" w:color="auto" w:fill="auto"/>
            <w:noWrap/>
            <w:vAlign w:val="center"/>
            <w:hideMark/>
          </w:tcPr>
          <w:p w14:paraId="6D31279C" w14:textId="77777777" w:rsidR="00C22128" w:rsidRPr="00A265D6" w:rsidRDefault="00C22128" w:rsidP="00C22128">
            <w:pPr>
              <w:spacing w:after="0" w:line="240" w:lineRule="auto"/>
              <w:jc w:val="right"/>
              <w:rPr>
                <w:rFonts w:eastAsia="Times New Roman" w:cs="Times New Roman"/>
                <w:b/>
                <w:bCs/>
                <w:sz w:val="20"/>
                <w:szCs w:val="20"/>
                <w:lang w:eastAsia="sk-SK"/>
              </w:rPr>
            </w:pPr>
            <w:r w:rsidRPr="00A265D6">
              <w:rPr>
                <w:rFonts w:eastAsia="Times New Roman" w:cs="Times New Roman"/>
                <w:b/>
                <w:bCs/>
                <w:sz w:val="20"/>
                <w:szCs w:val="20"/>
                <w:lang w:eastAsia="sk-SK"/>
              </w:rPr>
              <w:t>1 690 948</w:t>
            </w:r>
          </w:p>
        </w:tc>
      </w:tr>
      <w:tr w:rsidR="00C22128" w:rsidRPr="00C22128" w14:paraId="75F07201" w14:textId="77777777" w:rsidTr="00C22128">
        <w:trPr>
          <w:trHeight w:val="330"/>
        </w:trPr>
        <w:tc>
          <w:tcPr>
            <w:tcW w:w="2250" w:type="dxa"/>
            <w:tcBorders>
              <w:top w:val="nil"/>
              <w:left w:val="nil"/>
              <w:bottom w:val="nil"/>
              <w:right w:val="nil"/>
            </w:tcBorders>
            <w:shd w:val="clear" w:color="000000" w:fill="FFFFFF"/>
            <w:noWrap/>
            <w:vAlign w:val="center"/>
            <w:hideMark/>
          </w:tcPr>
          <w:p w14:paraId="78F4458E" w14:textId="77777777" w:rsidR="00C22128" w:rsidRPr="00C22128" w:rsidRDefault="00C22128" w:rsidP="00C22128">
            <w:pPr>
              <w:spacing w:after="0" w:line="240" w:lineRule="auto"/>
              <w:jc w:val="left"/>
              <w:rPr>
                <w:rFonts w:eastAsia="Times New Roman" w:cs="Times New Roman"/>
                <w:color w:val="000000"/>
                <w:sz w:val="20"/>
                <w:szCs w:val="20"/>
                <w:lang w:eastAsia="sk-SK"/>
              </w:rPr>
            </w:pPr>
            <w:r w:rsidRPr="00C22128">
              <w:rPr>
                <w:rFonts w:eastAsia="Times New Roman" w:cs="Times New Roman"/>
                <w:color w:val="000000"/>
                <w:sz w:val="20"/>
                <w:szCs w:val="20"/>
                <w:lang w:eastAsia="sk-SK"/>
              </w:rPr>
              <w:t>Bežné výdavky</w:t>
            </w:r>
          </w:p>
        </w:tc>
        <w:tc>
          <w:tcPr>
            <w:tcW w:w="1370" w:type="dxa"/>
            <w:tcBorders>
              <w:top w:val="nil"/>
              <w:left w:val="nil"/>
              <w:bottom w:val="nil"/>
              <w:right w:val="nil"/>
            </w:tcBorders>
            <w:shd w:val="clear" w:color="000000" w:fill="FFFFFF"/>
            <w:noWrap/>
            <w:vAlign w:val="center"/>
            <w:hideMark/>
          </w:tcPr>
          <w:p w14:paraId="4E1D4994" w14:textId="77777777" w:rsidR="00C22128" w:rsidRPr="00C22128" w:rsidRDefault="00C22128" w:rsidP="00C22128">
            <w:pPr>
              <w:spacing w:after="0" w:line="240" w:lineRule="auto"/>
              <w:jc w:val="right"/>
              <w:rPr>
                <w:rFonts w:eastAsia="Times New Roman" w:cs="Times New Roman"/>
                <w:sz w:val="20"/>
                <w:szCs w:val="20"/>
                <w:lang w:eastAsia="sk-SK"/>
              </w:rPr>
            </w:pPr>
            <w:r w:rsidRPr="00C22128">
              <w:rPr>
                <w:rFonts w:eastAsia="Times New Roman" w:cs="Times New Roman"/>
                <w:sz w:val="20"/>
                <w:szCs w:val="20"/>
                <w:lang w:eastAsia="sk-SK"/>
              </w:rPr>
              <w:t>33 026 579</w:t>
            </w:r>
          </w:p>
        </w:tc>
        <w:tc>
          <w:tcPr>
            <w:tcW w:w="1176" w:type="dxa"/>
            <w:tcBorders>
              <w:top w:val="nil"/>
              <w:left w:val="nil"/>
              <w:bottom w:val="nil"/>
              <w:right w:val="nil"/>
            </w:tcBorders>
            <w:shd w:val="clear" w:color="000000" w:fill="FFFFFF"/>
            <w:noWrap/>
            <w:vAlign w:val="center"/>
            <w:hideMark/>
          </w:tcPr>
          <w:p w14:paraId="549C894F" w14:textId="77777777" w:rsidR="00C22128" w:rsidRPr="00C22128" w:rsidRDefault="00C22128" w:rsidP="00C22128">
            <w:pPr>
              <w:spacing w:after="0" w:line="240" w:lineRule="auto"/>
              <w:jc w:val="right"/>
              <w:rPr>
                <w:rFonts w:eastAsia="Times New Roman" w:cs="Times New Roman"/>
                <w:sz w:val="20"/>
                <w:szCs w:val="20"/>
                <w:lang w:eastAsia="sk-SK"/>
              </w:rPr>
            </w:pPr>
            <w:r w:rsidRPr="00C22128">
              <w:rPr>
                <w:rFonts w:eastAsia="Times New Roman" w:cs="Times New Roman"/>
                <w:sz w:val="20"/>
                <w:szCs w:val="20"/>
                <w:lang w:eastAsia="sk-SK"/>
              </w:rPr>
              <w:t>31 485 382</w:t>
            </w:r>
          </w:p>
        </w:tc>
        <w:tc>
          <w:tcPr>
            <w:tcW w:w="1220" w:type="dxa"/>
            <w:tcBorders>
              <w:top w:val="nil"/>
              <w:left w:val="nil"/>
              <w:bottom w:val="nil"/>
              <w:right w:val="nil"/>
            </w:tcBorders>
            <w:shd w:val="clear" w:color="000000" w:fill="FFFFFF"/>
            <w:noWrap/>
            <w:vAlign w:val="center"/>
            <w:hideMark/>
          </w:tcPr>
          <w:p w14:paraId="144C6DAC" w14:textId="77777777" w:rsidR="00C22128" w:rsidRPr="00C22128" w:rsidRDefault="00C22128" w:rsidP="00C22128">
            <w:pPr>
              <w:spacing w:after="0" w:line="240" w:lineRule="auto"/>
              <w:jc w:val="right"/>
              <w:rPr>
                <w:rFonts w:eastAsia="Times New Roman" w:cs="Times New Roman"/>
                <w:sz w:val="20"/>
                <w:szCs w:val="20"/>
                <w:lang w:eastAsia="sk-SK"/>
              </w:rPr>
            </w:pPr>
            <w:r w:rsidRPr="00C22128">
              <w:rPr>
                <w:rFonts w:eastAsia="Times New Roman" w:cs="Times New Roman"/>
                <w:sz w:val="20"/>
                <w:szCs w:val="20"/>
                <w:lang w:eastAsia="sk-SK"/>
              </w:rPr>
              <w:t>32 712 485</w:t>
            </w:r>
          </w:p>
        </w:tc>
        <w:tc>
          <w:tcPr>
            <w:tcW w:w="1196" w:type="dxa"/>
            <w:tcBorders>
              <w:top w:val="nil"/>
              <w:left w:val="nil"/>
              <w:bottom w:val="nil"/>
              <w:right w:val="nil"/>
            </w:tcBorders>
            <w:shd w:val="clear" w:color="000000" w:fill="BFBFBF"/>
            <w:noWrap/>
            <w:vAlign w:val="center"/>
            <w:hideMark/>
          </w:tcPr>
          <w:p w14:paraId="53182E62" w14:textId="77777777" w:rsidR="00C22128" w:rsidRPr="00A265D6" w:rsidRDefault="00C22128" w:rsidP="00C22128">
            <w:pPr>
              <w:spacing w:after="0" w:line="240" w:lineRule="auto"/>
              <w:jc w:val="right"/>
              <w:rPr>
                <w:rFonts w:eastAsia="Times New Roman" w:cs="Times New Roman"/>
                <w:sz w:val="20"/>
                <w:szCs w:val="20"/>
                <w:lang w:eastAsia="sk-SK"/>
              </w:rPr>
            </w:pPr>
            <w:r w:rsidRPr="00A265D6">
              <w:rPr>
                <w:rFonts w:eastAsia="Times New Roman" w:cs="Times New Roman"/>
                <w:sz w:val="20"/>
                <w:szCs w:val="20"/>
                <w:lang w:eastAsia="sk-SK"/>
              </w:rPr>
              <w:t>33 590 006</w:t>
            </w:r>
          </w:p>
        </w:tc>
        <w:tc>
          <w:tcPr>
            <w:tcW w:w="1056" w:type="dxa"/>
            <w:tcBorders>
              <w:top w:val="nil"/>
              <w:left w:val="nil"/>
              <w:bottom w:val="nil"/>
              <w:right w:val="nil"/>
            </w:tcBorders>
            <w:shd w:val="clear" w:color="000000" w:fill="FFFFFF"/>
            <w:noWrap/>
            <w:vAlign w:val="center"/>
            <w:hideMark/>
          </w:tcPr>
          <w:p w14:paraId="61B849B4" w14:textId="77777777" w:rsidR="00C22128" w:rsidRPr="00A265D6" w:rsidRDefault="00C22128" w:rsidP="00C22128">
            <w:pPr>
              <w:spacing w:after="0" w:line="240" w:lineRule="auto"/>
              <w:jc w:val="right"/>
              <w:rPr>
                <w:rFonts w:eastAsia="Times New Roman" w:cs="Times New Roman"/>
                <w:sz w:val="20"/>
                <w:szCs w:val="20"/>
                <w:lang w:eastAsia="sk-SK"/>
              </w:rPr>
            </w:pPr>
            <w:r w:rsidRPr="00A265D6">
              <w:rPr>
                <w:rFonts w:eastAsia="Times New Roman" w:cs="Times New Roman"/>
                <w:sz w:val="20"/>
                <w:szCs w:val="20"/>
                <w:lang w:eastAsia="sk-SK"/>
              </w:rPr>
              <w:t>877 521</w:t>
            </w:r>
          </w:p>
        </w:tc>
      </w:tr>
      <w:tr w:rsidR="00C22128" w:rsidRPr="00C22128" w14:paraId="303E829B" w14:textId="77777777" w:rsidTr="00C22128">
        <w:trPr>
          <w:trHeight w:val="330"/>
        </w:trPr>
        <w:tc>
          <w:tcPr>
            <w:tcW w:w="2250" w:type="dxa"/>
            <w:tcBorders>
              <w:top w:val="nil"/>
              <w:left w:val="nil"/>
              <w:bottom w:val="nil"/>
              <w:right w:val="nil"/>
            </w:tcBorders>
            <w:shd w:val="clear" w:color="000000" w:fill="FFFFFF"/>
            <w:noWrap/>
            <w:vAlign w:val="center"/>
            <w:hideMark/>
          </w:tcPr>
          <w:p w14:paraId="2452749F" w14:textId="77777777" w:rsidR="00C22128" w:rsidRPr="00C22128" w:rsidRDefault="00C22128" w:rsidP="00C22128">
            <w:pPr>
              <w:spacing w:after="0" w:line="240" w:lineRule="auto"/>
              <w:jc w:val="left"/>
              <w:rPr>
                <w:rFonts w:eastAsia="Times New Roman" w:cs="Times New Roman"/>
                <w:color w:val="000000"/>
                <w:sz w:val="20"/>
                <w:szCs w:val="20"/>
                <w:lang w:eastAsia="sk-SK"/>
              </w:rPr>
            </w:pPr>
            <w:r w:rsidRPr="00C22128">
              <w:rPr>
                <w:rFonts w:eastAsia="Times New Roman" w:cs="Times New Roman"/>
                <w:color w:val="000000"/>
                <w:sz w:val="20"/>
                <w:szCs w:val="20"/>
                <w:lang w:eastAsia="sk-SK"/>
              </w:rPr>
              <w:t>Kapitálové výdavky</w:t>
            </w:r>
          </w:p>
        </w:tc>
        <w:tc>
          <w:tcPr>
            <w:tcW w:w="1370" w:type="dxa"/>
            <w:tcBorders>
              <w:top w:val="nil"/>
              <w:left w:val="nil"/>
              <w:bottom w:val="nil"/>
              <w:right w:val="nil"/>
            </w:tcBorders>
            <w:shd w:val="clear" w:color="000000" w:fill="FFFFFF"/>
            <w:noWrap/>
            <w:vAlign w:val="center"/>
            <w:hideMark/>
          </w:tcPr>
          <w:p w14:paraId="0A50ACBD" w14:textId="77777777" w:rsidR="00C22128" w:rsidRPr="00C22128" w:rsidRDefault="00C22128" w:rsidP="00C22128">
            <w:pPr>
              <w:spacing w:after="0" w:line="240" w:lineRule="auto"/>
              <w:jc w:val="right"/>
              <w:rPr>
                <w:rFonts w:eastAsia="Times New Roman" w:cs="Times New Roman"/>
                <w:sz w:val="20"/>
                <w:szCs w:val="20"/>
                <w:lang w:eastAsia="sk-SK"/>
              </w:rPr>
            </w:pPr>
            <w:r w:rsidRPr="00C22128">
              <w:rPr>
                <w:rFonts w:eastAsia="Times New Roman" w:cs="Times New Roman"/>
                <w:sz w:val="20"/>
                <w:szCs w:val="20"/>
                <w:lang w:eastAsia="sk-SK"/>
              </w:rPr>
              <w:t>330 449</w:t>
            </w:r>
          </w:p>
        </w:tc>
        <w:tc>
          <w:tcPr>
            <w:tcW w:w="1176" w:type="dxa"/>
            <w:tcBorders>
              <w:top w:val="nil"/>
              <w:left w:val="nil"/>
              <w:bottom w:val="nil"/>
              <w:right w:val="nil"/>
            </w:tcBorders>
            <w:shd w:val="clear" w:color="000000" w:fill="FFFFFF"/>
            <w:noWrap/>
            <w:vAlign w:val="center"/>
            <w:hideMark/>
          </w:tcPr>
          <w:p w14:paraId="53FF923F" w14:textId="77777777" w:rsidR="00C22128" w:rsidRPr="00C22128" w:rsidRDefault="00C22128" w:rsidP="00C22128">
            <w:pPr>
              <w:spacing w:after="0" w:line="240" w:lineRule="auto"/>
              <w:jc w:val="right"/>
              <w:rPr>
                <w:rFonts w:eastAsia="Times New Roman" w:cs="Times New Roman"/>
                <w:sz w:val="20"/>
                <w:szCs w:val="20"/>
                <w:lang w:eastAsia="sk-SK"/>
              </w:rPr>
            </w:pPr>
            <w:r w:rsidRPr="00C22128">
              <w:rPr>
                <w:rFonts w:eastAsia="Times New Roman" w:cs="Times New Roman"/>
                <w:sz w:val="20"/>
                <w:szCs w:val="20"/>
                <w:lang w:eastAsia="sk-SK"/>
              </w:rPr>
              <w:t>2 684 652</w:t>
            </w:r>
          </w:p>
        </w:tc>
        <w:tc>
          <w:tcPr>
            <w:tcW w:w="1220" w:type="dxa"/>
            <w:tcBorders>
              <w:top w:val="nil"/>
              <w:left w:val="nil"/>
              <w:bottom w:val="nil"/>
              <w:right w:val="nil"/>
            </w:tcBorders>
            <w:shd w:val="clear" w:color="000000" w:fill="FFFFFF"/>
            <w:noWrap/>
            <w:vAlign w:val="center"/>
            <w:hideMark/>
          </w:tcPr>
          <w:p w14:paraId="0E9A4E96" w14:textId="77777777" w:rsidR="00C22128" w:rsidRPr="00C22128" w:rsidRDefault="00C22128" w:rsidP="00C22128">
            <w:pPr>
              <w:spacing w:after="0" w:line="240" w:lineRule="auto"/>
              <w:jc w:val="right"/>
              <w:rPr>
                <w:rFonts w:eastAsia="Times New Roman" w:cs="Times New Roman"/>
                <w:sz w:val="20"/>
                <w:szCs w:val="20"/>
                <w:lang w:eastAsia="sk-SK"/>
              </w:rPr>
            </w:pPr>
            <w:r w:rsidRPr="00C22128">
              <w:rPr>
                <w:rFonts w:eastAsia="Times New Roman" w:cs="Times New Roman"/>
                <w:sz w:val="20"/>
                <w:szCs w:val="20"/>
                <w:lang w:eastAsia="sk-SK"/>
              </w:rPr>
              <w:t>2 132 826</w:t>
            </w:r>
          </w:p>
        </w:tc>
        <w:tc>
          <w:tcPr>
            <w:tcW w:w="1196" w:type="dxa"/>
            <w:tcBorders>
              <w:top w:val="nil"/>
              <w:left w:val="nil"/>
              <w:bottom w:val="nil"/>
              <w:right w:val="nil"/>
            </w:tcBorders>
            <w:shd w:val="clear" w:color="000000" w:fill="BFBFBF"/>
            <w:noWrap/>
            <w:vAlign w:val="center"/>
            <w:hideMark/>
          </w:tcPr>
          <w:p w14:paraId="50C57FD9" w14:textId="77777777" w:rsidR="00C22128" w:rsidRPr="00A265D6" w:rsidRDefault="00C22128" w:rsidP="00C22128">
            <w:pPr>
              <w:spacing w:after="0" w:line="240" w:lineRule="auto"/>
              <w:jc w:val="right"/>
              <w:rPr>
                <w:rFonts w:eastAsia="Times New Roman" w:cs="Times New Roman"/>
                <w:sz w:val="20"/>
                <w:szCs w:val="20"/>
                <w:lang w:eastAsia="sk-SK"/>
              </w:rPr>
            </w:pPr>
            <w:r w:rsidRPr="00A265D6">
              <w:rPr>
                <w:rFonts w:eastAsia="Times New Roman" w:cs="Times New Roman"/>
                <w:sz w:val="20"/>
                <w:szCs w:val="20"/>
                <w:lang w:eastAsia="sk-SK"/>
              </w:rPr>
              <w:t>2 946 253</w:t>
            </w:r>
          </w:p>
        </w:tc>
        <w:tc>
          <w:tcPr>
            <w:tcW w:w="1056" w:type="dxa"/>
            <w:tcBorders>
              <w:top w:val="nil"/>
              <w:left w:val="nil"/>
              <w:bottom w:val="nil"/>
              <w:right w:val="nil"/>
            </w:tcBorders>
            <w:shd w:val="clear" w:color="000000" w:fill="FFFFFF"/>
            <w:noWrap/>
            <w:vAlign w:val="center"/>
            <w:hideMark/>
          </w:tcPr>
          <w:p w14:paraId="43C679E1" w14:textId="77777777" w:rsidR="00C22128" w:rsidRPr="00A265D6" w:rsidRDefault="00C22128" w:rsidP="00C22128">
            <w:pPr>
              <w:spacing w:after="0" w:line="240" w:lineRule="auto"/>
              <w:jc w:val="right"/>
              <w:rPr>
                <w:rFonts w:eastAsia="Times New Roman" w:cs="Times New Roman"/>
                <w:sz w:val="20"/>
                <w:szCs w:val="20"/>
                <w:lang w:eastAsia="sk-SK"/>
              </w:rPr>
            </w:pPr>
            <w:r w:rsidRPr="00A265D6">
              <w:rPr>
                <w:rFonts w:eastAsia="Times New Roman" w:cs="Times New Roman"/>
                <w:sz w:val="20"/>
                <w:szCs w:val="20"/>
                <w:lang w:eastAsia="sk-SK"/>
              </w:rPr>
              <w:t>813 427</w:t>
            </w:r>
          </w:p>
        </w:tc>
      </w:tr>
      <w:tr w:rsidR="00C22128" w:rsidRPr="00C22128" w14:paraId="0E5A16A0" w14:textId="77777777" w:rsidTr="00C22128">
        <w:trPr>
          <w:trHeight w:val="330"/>
        </w:trPr>
        <w:tc>
          <w:tcPr>
            <w:tcW w:w="2250" w:type="dxa"/>
            <w:tcBorders>
              <w:top w:val="nil"/>
              <w:left w:val="nil"/>
              <w:bottom w:val="nil"/>
              <w:right w:val="nil"/>
            </w:tcBorders>
            <w:shd w:val="clear" w:color="000000" w:fill="FFFFFF"/>
            <w:noWrap/>
            <w:vAlign w:val="center"/>
            <w:hideMark/>
          </w:tcPr>
          <w:p w14:paraId="6925544A" w14:textId="77777777" w:rsidR="00C22128" w:rsidRPr="00C22128" w:rsidRDefault="00C22128" w:rsidP="00C22128">
            <w:pPr>
              <w:spacing w:after="0" w:line="240" w:lineRule="auto"/>
              <w:jc w:val="left"/>
              <w:rPr>
                <w:rFonts w:eastAsia="Times New Roman" w:cs="Times New Roman"/>
                <w:b/>
                <w:bCs/>
                <w:sz w:val="20"/>
                <w:szCs w:val="20"/>
                <w:lang w:eastAsia="sk-SK"/>
              </w:rPr>
            </w:pPr>
            <w:r w:rsidRPr="00C22128">
              <w:rPr>
                <w:rFonts w:eastAsia="Times New Roman" w:cs="Times New Roman"/>
                <w:b/>
                <w:bCs/>
                <w:sz w:val="20"/>
                <w:szCs w:val="20"/>
                <w:lang w:eastAsia="sk-SK"/>
              </w:rPr>
              <w:t>Saldo podľa ESA 2010</w:t>
            </w:r>
          </w:p>
        </w:tc>
        <w:tc>
          <w:tcPr>
            <w:tcW w:w="1370" w:type="dxa"/>
            <w:tcBorders>
              <w:top w:val="nil"/>
              <w:left w:val="nil"/>
              <w:bottom w:val="nil"/>
              <w:right w:val="nil"/>
            </w:tcBorders>
            <w:shd w:val="clear" w:color="000000" w:fill="FFFFFF"/>
            <w:noWrap/>
            <w:vAlign w:val="center"/>
            <w:hideMark/>
          </w:tcPr>
          <w:p w14:paraId="581F8EDF" w14:textId="77777777" w:rsidR="00C22128" w:rsidRPr="00C22128" w:rsidRDefault="00C22128" w:rsidP="00C22128">
            <w:pPr>
              <w:spacing w:after="0" w:line="240" w:lineRule="auto"/>
              <w:jc w:val="right"/>
              <w:rPr>
                <w:rFonts w:eastAsia="Times New Roman" w:cs="Times New Roman"/>
                <w:b/>
                <w:bCs/>
                <w:sz w:val="20"/>
                <w:szCs w:val="20"/>
                <w:lang w:eastAsia="sk-SK"/>
              </w:rPr>
            </w:pPr>
            <w:r w:rsidRPr="00C22128">
              <w:rPr>
                <w:rFonts w:eastAsia="Times New Roman" w:cs="Times New Roman"/>
                <w:b/>
                <w:bCs/>
                <w:sz w:val="20"/>
                <w:szCs w:val="20"/>
                <w:lang w:eastAsia="sk-SK"/>
              </w:rPr>
              <w:t>-1 804 713</w:t>
            </w:r>
          </w:p>
        </w:tc>
        <w:tc>
          <w:tcPr>
            <w:tcW w:w="1176" w:type="dxa"/>
            <w:tcBorders>
              <w:top w:val="nil"/>
              <w:left w:val="nil"/>
              <w:bottom w:val="nil"/>
              <w:right w:val="nil"/>
            </w:tcBorders>
            <w:shd w:val="clear" w:color="000000" w:fill="FFFFFF"/>
            <w:noWrap/>
            <w:vAlign w:val="center"/>
            <w:hideMark/>
          </w:tcPr>
          <w:p w14:paraId="4DB8E1BE" w14:textId="77777777" w:rsidR="00C22128" w:rsidRPr="00C22128" w:rsidRDefault="00C22128" w:rsidP="00C22128">
            <w:pPr>
              <w:spacing w:after="0" w:line="240" w:lineRule="auto"/>
              <w:jc w:val="right"/>
              <w:rPr>
                <w:rFonts w:eastAsia="Times New Roman" w:cs="Times New Roman"/>
                <w:b/>
                <w:bCs/>
                <w:sz w:val="20"/>
                <w:szCs w:val="20"/>
                <w:lang w:eastAsia="sk-SK"/>
              </w:rPr>
            </w:pPr>
            <w:r w:rsidRPr="00C22128">
              <w:rPr>
                <w:rFonts w:eastAsia="Times New Roman" w:cs="Times New Roman"/>
                <w:b/>
                <w:bCs/>
                <w:sz w:val="20"/>
                <w:szCs w:val="20"/>
                <w:lang w:eastAsia="sk-SK"/>
              </w:rPr>
              <w:t>-667 928</w:t>
            </w:r>
          </w:p>
        </w:tc>
        <w:tc>
          <w:tcPr>
            <w:tcW w:w="1220" w:type="dxa"/>
            <w:tcBorders>
              <w:top w:val="nil"/>
              <w:left w:val="nil"/>
              <w:bottom w:val="nil"/>
              <w:right w:val="nil"/>
            </w:tcBorders>
            <w:shd w:val="clear" w:color="000000" w:fill="FFFFFF"/>
            <w:noWrap/>
            <w:vAlign w:val="center"/>
            <w:hideMark/>
          </w:tcPr>
          <w:p w14:paraId="48B922F8" w14:textId="77777777" w:rsidR="00C22128" w:rsidRPr="00C22128" w:rsidRDefault="00C22128" w:rsidP="00C22128">
            <w:pPr>
              <w:spacing w:after="0" w:line="240" w:lineRule="auto"/>
              <w:jc w:val="right"/>
              <w:rPr>
                <w:rFonts w:eastAsia="Times New Roman" w:cs="Times New Roman"/>
                <w:b/>
                <w:bCs/>
                <w:sz w:val="20"/>
                <w:szCs w:val="20"/>
                <w:lang w:eastAsia="sk-SK"/>
              </w:rPr>
            </w:pPr>
            <w:r w:rsidRPr="00C22128">
              <w:rPr>
                <w:rFonts w:eastAsia="Times New Roman" w:cs="Times New Roman"/>
                <w:b/>
                <w:bCs/>
                <w:sz w:val="20"/>
                <w:szCs w:val="20"/>
                <w:lang w:eastAsia="sk-SK"/>
              </w:rPr>
              <w:t>-742 811</w:t>
            </w:r>
          </w:p>
        </w:tc>
        <w:tc>
          <w:tcPr>
            <w:tcW w:w="1196" w:type="dxa"/>
            <w:tcBorders>
              <w:top w:val="nil"/>
              <w:left w:val="nil"/>
              <w:bottom w:val="nil"/>
              <w:right w:val="nil"/>
            </w:tcBorders>
            <w:shd w:val="clear" w:color="000000" w:fill="BFBFBF"/>
            <w:noWrap/>
            <w:vAlign w:val="center"/>
            <w:hideMark/>
          </w:tcPr>
          <w:p w14:paraId="017F61FC" w14:textId="77777777" w:rsidR="00C22128" w:rsidRPr="00A265D6" w:rsidRDefault="00C22128" w:rsidP="00C22128">
            <w:pPr>
              <w:spacing w:after="0" w:line="240" w:lineRule="auto"/>
              <w:jc w:val="right"/>
              <w:rPr>
                <w:rFonts w:eastAsia="Times New Roman" w:cs="Times New Roman"/>
                <w:b/>
                <w:bCs/>
                <w:sz w:val="20"/>
                <w:szCs w:val="20"/>
                <w:lang w:eastAsia="sk-SK"/>
              </w:rPr>
            </w:pPr>
            <w:r w:rsidRPr="00A265D6">
              <w:rPr>
                <w:rFonts w:eastAsia="Times New Roman" w:cs="Times New Roman"/>
                <w:b/>
                <w:bCs/>
                <w:sz w:val="20"/>
                <w:szCs w:val="20"/>
                <w:lang w:eastAsia="sk-SK"/>
              </w:rPr>
              <w:t>-629 457</w:t>
            </w:r>
          </w:p>
        </w:tc>
        <w:tc>
          <w:tcPr>
            <w:tcW w:w="1056" w:type="dxa"/>
            <w:tcBorders>
              <w:top w:val="nil"/>
              <w:left w:val="nil"/>
              <w:bottom w:val="nil"/>
              <w:right w:val="nil"/>
            </w:tcBorders>
            <w:shd w:val="clear" w:color="000000" w:fill="FFFFFF"/>
            <w:noWrap/>
            <w:vAlign w:val="center"/>
            <w:hideMark/>
          </w:tcPr>
          <w:p w14:paraId="0EDEA484" w14:textId="77777777" w:rsidR="00C22128" w:rsidRPr="00A265D6" w:rsidRDefault="00C22128" w:rsidP="00C22128">
            <w:pPr>
              <w:spacing w:after="0" w:line="240" w:lineRule="auto"/>
              <w:jc w:val="right"/>
              <w:rPr>
                <w:rFonts w:eastAsia="Times New Roman" w:cs="Times New Roman"/>
                <w:b/>
                <w:bCs/>
                <w:sz w:val="20"/>
                <w:szCs w:val="20"/>
                <w:lang w:eastAsia="sk-SK"/>
              </w:rPr>
            </w:pPr>
            <w:r w:rsidRPr="00A265D6">
              <w:rPr>
                <w:rFonts w:eastAsia="Times New Roman" w:cs="Times New Roman"/>
                <w:b/>
                <w:bCs/>
                <w:sz w:val="20"/>
                <w:szCs w:val="20"/>
                <w:lang w:eastAsia="sk-SK"/>
              </w:rPr>
              <w:t>113 354</w:t>
            </w:r>
          </w:p>
        </w:tc>
      </w:tr>
      <w:tr w:rsidR="00C22128" w:rsidRPr="00C22128" w14:paraId="510BA8B3" w14:textId="77777777" w:rsidTr="00C22128">
        <w:trPr>
          <w:trHeight w:val="330"/>
        </w:trPr>
        <w:tc>
          <w:tcPr>
            <w:tcW w:w="2250" w:type="dxa"/>
            <w:tcBorders>
              <w:top w:val="nil"/>
              <w:left w:val="nil"/>
              <w:bottom w:val="single" w:sz="4" w:space="0" w:color="auto"/>
              <w:right w:val="nil"/>
            </w:tcBorders>
            <w:shd w:val="clear" w:color="000000" w:fill="FFFFFF"/>
            <w:noWrap/>
            <w:vAlign w:val="center"/>
            <w:hideMark/>
          </w:tcPr>
          <w:p w14:paraId="3122BFB8" w14:textId="77777777" w:rsidR="00C22128" w:rsidRPr="00C22128" w:rsidRDefault="00C22128" w:rsidP="00C22128">
            <w:pPr>
              <w:spacing w:after="0" w:line="240" w:lineRule="auto"/>
              <w:jc w:val="left"/>
              <w:rPr>
                <w:rFonts w:eastAsia="Times New Roman" w:cs="Times New Roman"/>
                <w:b/>
                <w:bCs/>
                <w:sz w:val="20"/>
                <w:szCs w:val="20"/>
                <w:lang w:eastAsia="sk-SK"/>
              </w:rPr>
            </w:pPr>
            <w:r w:rsidRPr="00C22128">
              <w:rPr>
                <w:rFonts w:eastAsia="Times New Roman" w:cs="Times New Roman"/>
                <w:b/>
                <w:bCs/>
                <w:sz w:val="20"/>
                <w:szCs w:val="20"/>
                <w:lang w:eastAsia="sk-SK"/>
              </w:rPr>
              <w:t xml:space="preserve">           % z HDP</w:t>
            </w:r>
          </w:p>
        </w:tc>
        <w:tc>
          <w:tcPr>
            <w:tcW w:w="1370" w:type="dxa"/>
            <w:tcBorders>
              <w:top w:val="nil"/>
              <w:left w:val="nil"/>
              <w:bottom w:val="single" w:sz="4" w:space="0" w:color="auto"/>
              <w:right w:val="nil"/>
            </w:tcBorders>
            <w:shd w:val="clear" w:color="000000" w:fill="FFFFFF"/>
            <w:noWrap/>
            <w:vAlign w:val="center"/>
            <w:hideMark/>
          </w:tcPr>
          <w:p w14:paraId="1D21D1E5" w14:textId="77777777" w:rsidR="00C22128" w:rsidRPr="00C22128" w:rsidRDefault="00C22128" w:rsidP="00C22128">
            <w:pPr>
              <w:spacing w:after="0" w:line="240" w:lineRule="auto"/>
              <w:jc w:val="right"/>
              <w:rPr>
                <w:rFonts w:eastAsia="Times New Roman" w:cs="Times New Roman"/>
                <w:b/>
                <w:bCs/>
                <w:sz w:val="20"/>
                <w:szCs w:val="20"/>
                <w:lang w:eastAsia="sk-SK"/>
              </w:rPr>
            </w:pPr>
            <w:r w:rsidRPr="00C22128">
              <w:rPr>
                <w:rFonts w:eastAsia="Times New Roman" w:cs="Times New Roman"/>
                <w:b/>
                <w:bCs/>
                <w:sz w:val="20"/>
                <w:szCs w:val="20"/>
                <w:lang w:eastAsia="sk-SK"/>
              </w:rPr>
              <w:t>-2,2</w:t>
            </w:r>
          </w:p>
        </w:tc>
        <w:tc>
          <w:tcPr>
            <w:tcW w:w="1176" w:type="dxa"/>
            <w:tcBorders>
              <w:top w:val="nil"/>
              <w:left w:val="nil"/>
              <w:bottom w:val="single" w:sz="4" w:space="0" w:color="auto"/>
              <w:right w:val="nil"/>
            </w:tcBorders>
            <w:shd w:val="clear" w:color="000000" w:fill="FFFFFF"/>
            <w:noWrap/>
            <w:vAlign w:val="center"/>
            <w:hideMark/>
          </w:tcPr>
          <w:p w14:paraId="357E0A6F" w14:textId="77777777" w:rsidR="00C22128" w:rsidRPr="00C22128" w:rsidRDefault="00C22128" w:rsidP="00C22128">
            <w:pPr>
              <w:spacing w:after="0" w:line="240" w:lineRule="auto"/>
              <w:jc w:val="right"/>
              <w:rPr>
                <w:rFonts w:eastAsia="Times New Roman" w:cs="Times New Roman"/>
                <w:b/>
                <w:bCs/>
                <w:sz w:val="20"/>
                <w:szCs w:val="20"/>
                <w:lang w:eastAsia="sk-SK"/>
              </w:rPr>
            </w:pPr>
            <w:r w:rsidRPr="00C22128">
              <w:rPr>
                <w:rFonts w:eastAsia="Times New Roman" w:cs="Times New Roman"/>
                <w:b/>
                <w:bCs/>
                <w:sz w:val="20"/>
                <w:szCs w:val="20"/>
                <w:lang w:eastAsia="sk-SK"/>
              </w:rPr>
              <w:t>-0,8</w:t>
            </w:r>
          </w:p>
        </w:tc>
        <w:tc>
          <w:tcPr>
            <w:tcW w:w="1220" w:type="dxa"/>
            <w:tcBorders>
              <w:top w:val="nil"/>
              <w:left w:val="nil"/>
              <w:bottom w:val="single" w:sz="4" w:space="0" w:color="auto"/>
              <w:right w:val="nil"/>
            </w:tcBorders>
            <w:shd w:val="clear" w:color="000000" w:fill="FFFFFF"/>
            <w:noWrap/>
            <w:vAlign w:val="center"/>
            <w:hideMark/>
          </w:tcPr>
          <w:p w14:paraId="3F63040D" w14:textId="77777777" w:rsidR="00C22128" w:rsidRPr="00A265D6" w:rsidRDefault="00C22128" w:rsidP="00C22128">
            <w:pPr>
              <w:spacing w:after="0" w:line="240" w:lineRule="auto"/>
              <w:jc w:val="right"/>
              <w:rPr>
                <w:rFonts w:eastAsia="Times New Roman" w:cs="Times New Roman"/>
                <w:b/>
                <w:bCs/>
                <w:sz w:val="20"/>
                <w:szCs w:val="20"/>
                <w:lang w:eastAsia="sk-SK"/>
              </w:rPr>
            </w:pPr>
            <w:r w:rsidRPr="00A265D6">
              <w:rPr>
                <w:rFonts w:eastAsia="Times New Roman" w:cs="Times New Roman"/>
                <w:b/>
                <w:bCs/>
                <w:sz w:val="20"/>
                <w:szCs w:val="20"/>
                <w:lang w:eastAsia="sk-SK"/>
              </w:rPr>
              <w:t>-0,83</w:t>
            </w:r>
          </w:p>
        </w:tc>
        <w:tc>
          <w:tcPr>
            <w:tcW w:w="1196" w:type="dxa"/>
            <w:tcBorders>
              <w:top w:val="nil"/>
              <w:left w:val="nil"/>
              <w:bottom w:val="single" w:sz="4" w:space="0" w:color="auto"/>
              <w:right w:val="nil"/>
            </w:tcBorders>
            <w:shd w:val="clear" w:color="000000" w:fill="BFBFBF"/>
            <w:noWrap/>
            <w:vAlign w:val="center"/>
            <w:hideMark/>
          </w:tcPr>
          <w:p w14:paraId="549F4009" w14:textId="77777777" w:rsidR="00C22128" w:rsidRPr="00A265D6" w:rsidRDefault="00C22128" w:rsidP="00C22128">
            <w:pPr>
              <w:spacing w:after="0" w:line="240" w:lineRule="auto"/>
              <w:jc w:val="right"/>
              <w:rPr>
                <w:rFonts w:eastAsia="Times New Roman" w:cs="Times New Roman"/>
                <w:b/>
                <w:bCs/>
                <w:sz w:val="20"/>
                <w:szCs w:val="20"/>
                <w:lang w:eastAsia="sk-SK"/>
              </w:rPr>
            </w:pPr>
            <w:r w:rsidRPr="00A265D6">
              <w:rPr>
                <w:rFonts w:eastAsia="Times New Roman" w:cs="Times New Roman"/>
                <w:b/>
                <w:bCs/>
                <w:sz w:val="20"/>
                <w:szCs w:val="20"/>
                <w:lang w:eastAsia="sk-SK"/>
              </w:rPr>
              <w:t>-0,70</w:t>
            </w:r>
          </w:p>
        </w:tc>
        <w:tc>
          <w:tcPr>
            <w:tcW w:w="1056" w:type="dxa"/>
            <w:tcBorders>
              <w:top w:val="nil"/>
              <w:left w:val="nil"/>
              <w:bottom w:val="single" w:sz="4" w:space="0" w:color="auto"/>
              <w:right w:val="nil"/>
            </w:tcBorders>
            <w:shd w:val="clear" w:color="000000" w:fill="FFFFFF"/>
            <w:noWrap/>
            <w:vAlign w:val="center"/>
            <w:hideMark/>
          </w:tcPr>
          <w:p w14:paraId="7C6886E3" w14:textId="77777777" w:rsidR="00C22128" w:rsidRPr="00A265D6" w:rsidRDefault="00C22128" w:rsidP="00C22128">
            <w:pPr>
              <w:spacing w:after="0" w:line="240" w:lineRule="auto"/>
              <w:jc w:val="right"/>
              <w:rPr>
                <w:rFonts w:eastAsia="Times New Roman" w:cs="Times New Roman"/>
                <w:b/>
                <w:bCs/>
                <w:sz w:val="20"/>
                <w:szCs w:val="20"/>
                <w:lang w:eastAsia="sk-SK"/>
              </w:rPr>
            </w:pPr>
            <w:r w:rsidRPr="00A265D6">
              <w:rPr>
                <w:rFonts w:eastAsia="Times New Roman" w:cs="Times New Roman"/>
                <w:b/>
                <w:bCs/>
                <w:sz w:val="20"/>
                <w:szCs w:val="20"/>
                <w:lang w:eastAsia="sk-SK"/>
              </w:rPr>
              <w:t>0,13</w:t>
            </w:r>
          </w:p>
        </w:tc>
      </w:tr>
      <w:tr w:rsidR="00C22128" w:rsidRPr="00C22128" w14:paraId="3D1FFE10" w14:textId="77777777" w:rsidTr="00C22128">
        <w:trPr>
          <w:trHeight w:val="330"/>
        </w:trPr>
        <w:tc>
          <w:tcPr>
            <w:tcW w:w="2250" w:type="dxa"/>
            <w:tcBorders>
              <w:top w:val="nil"/>
              <w:left w:val="nil"/>
              <w:bottom w:val="nil"/>
              <w:right w:val="nil"/>
            </w:tcBorders>
            <w:shd w:val="clear" w:color="auto" w:fill="auto"/>
            <w:noWrap/>
            <w:vAlign w:val="center"/>
            <w:hideMark/>
          </w:tcPr>
          <w:p w14:paraId="4753CD25" w14:textId="77777777" w:rsidR="00C22128" w:rsidRPr="00C22128" w:rsidRDefault="00C22128" w:rsidP="00C22128">
            <w:pPr>
              <w:spacing w:after="0" w:line="240" w:lineRule="auto"/>
              <w:jc w:val="right"/>
              <w:rPr>
                <w:rFonts w:eastAsia="Times New Roman" w:cs="Times New Roman"/>
                <w:b/>
                <w:bCs/>
                <w:sz w:val="20"/>
                <w:szCs w:val="20"/>
                <w:lang w:eastAsia="sk-SK"/>
              </w:rPr>
            </w:pPr>
          </w:p>
        </w:tc>
        <w:tc>
          <w:tcPr>
            <w:tcW w:w="1370" w:type="dxa"/>
            <w:tcBorders>
              <w:top w:val="nil"/>
              <w:left w:val="nil"/>
              <w:bottom w:val="nil"/>
              <w:right w:val="nil"/>
            </w:tcBorders>
            <w:shd w:val="clear" w:color="auto" w:fill="auto"/>
            <w:vAlign w:val="center"/>
            <w:hideMark/>
          </w:tcPr>
          <w:p w14:paraId="74F1D06A" w14:textId="77777777" w:rsidR="00C22128" w:rsidRPr="00C22128" w:rsidRDefault="00C22128" w:rsidP="00C22128">
            <w:pPr>
              <w:spacing w:after="0" w:line="240" w:lineRule="auto"/>
              <w:jc w:val="left"/>
              <w:rPr>
                <w:rFonts w:eastAsia="Times New Roman" w:cs="Times New Roman"/>
                <w:sz w:val="20"/>
                <w:szCs w:val="20"/>
                <w:lang w:eastAsia="sk-SK"/>
              </w:rPr>
            </w:pPr>
          </w:p>
        </w:tc>
        <w:tc>
          <w:tcPr>
            <w:tcW w:w="1176" w:type="dxa"/>
            <w:tcBorders>
              <w:top w:val="nil"/>
              <w:left w:val="nil"/>
              <w:bottom w:val="nil"/>
              <w:right w:val="nil"/>
            </w:tcBorders>
            <w:shd w:val="clear" w:color="auto" w:fill="auto"/>
            <w:vAlign w:val="center"/>
            <w:hideMark/>
          </w:tcPr>
          <w:p w14:paraId="7BD579C0" w14:textId="77777777" w:rsidR="00C22128" w:rsidRPr="00C22128" w:rsidRDefault="00C22128" w:rsidP="00C22128">
            <w:pPr>
              <w:spacing w:after="0" w:line="240" w:lineRule="auto"/>
              <w:jc w:val="left"/>
              <w:rPr>
                <w:rFonts w:eastAsia="Times New Roman" w:cs="Times New Roman"/>
                <w:sz w:val="20"/>
                <w:szCs w:val="20"/>
                <w:lang w:eastAsia="sk-SK"/>
              </w:rPr>
            </w:pPr>
          </w:p>
        </w:tc>
        <w:tc>
          <w:tcPr>
            <w:tcW w:w="1220" w:type="dxa"/>
            <w:tcBorders>
              <w:top w:val="nil"/>
              <w:left w:val="nil"/>
              <w:bottom w:val="nil"/>
              <w:right w:val="nil"/>
            </w:tcBorders>
            <w:shd w:val="clear" w:color="auto" w:fill="auto"/>
            <w:vAlign w:val="center"/>
            <w:hideMark/>
          </w:tcPr>
          <w:p w14:paraId="47ACB5B5" w14:textId="77777777" w:rsidR="00C22128" w:rsidRPr="00C22128" w:rsidRDefault="00C22128" w:rsidP="00C22128">
            <w:pPr>
              <w:spacing w:after="0" w:line="240" w:lineRule="auto"/>
              <w:jc w:val="left"/>
              <w:rPr>
                <w:rFonts w:eastAsia="Times New Roman" w:cs="Times New Roman"/>
                <w:sz w:val="20"/>
                <w:szCs w:val="20"/>
                <w:lang w:eastAsia="sk-SK"/>
              </w:rPr>
            </w:pPr>
          </w:p>
        </w:tc>
        <w:tc>
          <w:tcPr>
            <w:tcW w:w="1196" w:type="dxa"/>
            <w:tcBorders>
              <w:top w:val="nil"/>
              <w:left w:val="nil"/>
              <w:bottom w:val="nil"/>
              <w:right w:val="nil"/>
            </w:tcBorders>
            <w:shd w:val="clear" w:color="auto" w:fill="auto"/>
            <w:vAlign w:val="center"/>
            <w:hideMark/>
          </w:tcPr>
          <w:p w14:paraId="47C3BD71" w14:textId="77777777" w:rsidR="00C22128" w:rsidRPr="00C22128" w:rsidRDefault="00C22128" w:rsidP="00C22128">
            <w:pPr>
              <w:spacing w:after="0" w:line="240" w:lineRule="auto"/>
              <w:jc w:val="left"/>
              <w:rPr>
                <w:rFonts w:eastAsia="Times New Roman" w:cs="Times New Roman"/>
                <w:sz w:val="20"/>
                <w:szCs w:val="20"/>
                <w:lang w:eastAsia="sk-SK"/>
              </w:rPr>
            </w:pPr>
          </w:p>
        </w:tc>
        <w:tc>
          <w:tcPr>
            <w:tcW w:w="1056" w:type="dxa"/>
            <w:tcBorders>
              <w:top w:val="nil"/>
              <w:left w:val="nil"/>
              <w:bottom w:val="nil"/>
              <w:right w:val="nil"/>
            </w:tcBorders>
            <w:shd w:val="clear" w:color="auto" w:fill="auto"/>
            <w:noWrap/>
            <w:hideMark/>
          </w:tcPr>
          <w:p w14:paraId="3B4765FA" w14:textId="77777777" w:rsidR="00C22128" w:rsidRPr="00C22128" w:rsidRDefault="00C22128" w:rsidP="00C22128">
            <w:pPr>
              <w:spacing w:after="0" w:line="240" w:lineRule="auto"/>
              <w:jc w:val="right"/>
              <w:rPr>
                <w:rFonts w:eastAsia="Times New Roman" w:cs="Times New Roman"/>
                <w:sz w:val="16"/>
                <w:szCs w:val="16"/>
                <w:lang w:eastAsia="sk-SK"/>
              </w:rPr>
            </w:pPr>
            <w:r w:rsidRPr="00C22128">
              <w:rPr>
                <w:rFonts w:eastAsia="Times New Roman" w:cs="Times New Roman"/>
                <w:sz w:val="16"/>
                <w:szCs w:val="16"/>
                <w:lang w:eastAsia="sk-SK"/>
              </w:rPr>
              <w:t>Zdroj: MF SR</w:t>
            </w:r>
          </w:p>
        </w:tc>
      </w:tr>
    </w:tbl>
    <w:p w14:paraId="6F815BDA" w14:textId="77777777" w:rsidR="00C22128" w:rsidRDefault="00C22128" w:rsidP="00614751"/>
    <w:p w14:paraId="169F319A" w14:textId="4BF94B34" w:rsidR="00614751" w:rsidRDefault="00614751" w:rsidP="00614751">
      <w:r w:rsidRPr="00390337">
        <w:t>V roku 2018 dosiahlo celkové hospodárenie s verejnými financiami podľa metodiky ESA2010 schodok vo</w:t>
      </w:r>
      <w:r>
        <w:t> </w:t>
      </w:r>
      <w:r w:rsidRPr="00B874DC">
        <w:t>výške 629 457 tis. eur (0,7 % z HDP). Schodok verejnej správy bol nižší oproti rozpočtovanej hodnote na rok 2018</w:t>
      </w:r>
      <w:r w:rsidRPr="00B874DC">
        <w:rPr>
          <w:color w:val="FF0000"/>
        </w:rPr>
        <w:t xml:space="preserve"> </w:t>
      </w:r>
      <w:r w:rsidRPr="00B874DC">
        <w:t>o 113 354 tis. eur (0,1 % HDP), čo bolo spôsobené pozitívnym vývojom ekonomiky</w:t>
      </w:r>
      <w:r w:rsidR="002D0D67">
        <w:t>,</w:t>
      </w:r>
      <w:r w:rsidRPr="00B874DC">
        <w:t xml:space="preserve"> ako aj lepším hospodárením </w:t>
      </w:r>
      <w:r w:rsidR="00D56D11" w:rsidRPr="00B874DC">
        <w:t xml:space="preserve">viacerých </w:t>
      </w:r>
      <w:r w:rsidRPr="00B874DC">
        <w:t>subjektov</w:t>
      </w:r>
      <w:r w:rsidRPr="00390337">
        <w:t xml:space="preserve"> verejnej správy.</w:t>
      </w:r>
      <w:r w:rsidRPr="00223682">
        <w:t xml:space="preserve"> </w:t>
      </w:r>
    </w:p>
    <w:p w14:paraId="13D397EC" w14:textId="35C6DD36" w:rsidR="00381469" w:rsidRDefault="00381469" w:rsidP="00381469">
      <w:r w:rsidRPr="00A265D6">
        <w:rPr>
          <w:b/>
        </w:rPr>
        <w:t>Príjmy verejnej správy</w:t>
      </w:r>
      <w:r w:rsidRPr="00A265D6">
        <w:t xml:space="preserve"> boli oproti rozpočtovanej hodnote úhrnom </w:t>
      </w:r>
      <w:r w:rsidR="00A77F29" w:rsidRPr="00A265D6">
        <w:t xml:space="preserve">vyššie o </w:t>
      </w:r>
      <w:r w:rsidR="00A77F29" w:rsidRPr="00A265D6">
        <w:rPr>
          <w:rFonts w:eastAsia="Times New Roman" w:cs="Times New Roman"/>
          <w:bCs/>
          <w:lang w:eastAsia="sk-SK"/>
        </w:rPr>
        <w:t>1</w:t>
      </w:r>
      <w:r w:rsidR="00C22128" w:rsidRPr="00A265D6">
        <w:rPr>
          <w:rFonts w:eastAsia="Times New Roman" w:cs="Times New Roman"/>
          <w:bCs/>
          <w:lang w:eastAsia="sk-SK"/>
        </w:rPr>
        <w:t> </w:t>
      </w:r>
      <w:r w:rsidR="00A77F29" w:rsidRPr="00A265D6">
        <w:rPr>
          <w:rFonts w:eastAsia="Times New Roman" w:cs="Times New Roman"/>
          <w:bCs/>
          <w:lang w:eastAsia="sk-SK"/>
        </w:rPr>
        <w:t>80</w:t>
      </w:r>
      <w:r w:rsidR="00C22128" w:rsidRPr="00A265D6">
        <w:rPr>
          <w:rFonts w:eastAsia="Times New Roman" w:cs="Times New Roman"/>
          <w:bCs/>
          <w:lang w:eastAsia="sk-SK"/>
        </w:rPr>
        <w:t>4 </w:t>
      </w:r>
      <w:r w:rsidR="00A77F29" w:rsidRPr="00A265D6">
        <w:rPr>
          <w:rFonts w:eastAsia="Times New Roman" w:cs="Times New Roman"/>
          <w:bCs/>
          <w:lang w:eastAsia="sk-SK"/>
        </w:rPr>
        <w:t>3</w:t>
      </w:r>
      <w:r w:rsidR="00C22128" w:rsidRPr="00A265D6">
        <w:rPr>
          <w:rFonts w:eastAsia="Times New Roman" w:cs="Times New Roman"/>
          <w:bCs/>
          <w:lang w:eastAsia="sk-SK"/>
        </w:rPr>
        <w:t>02 </w:t>
      </w:r>
      <w:r w:rsidRPr="00A265D6">
        <w:t xml:space="preserve">tis. eur, z toho najvyšší </w:t>
      </w:r>
      <w:r w:rsidR="00A77F29" w:rsidRPr="00A265D6">
        <w:t>nárast</w:t>
      </w:r>
      <w:r w:rsidRPr="00A265D6">
        <w:t xml:space="preserve"> o </w:t>
      </w:r>
      <w:r w:rsidR="00A77F29" w:rsidRPr="00A265D6">
        <w:rPr>
          <w:rFonts w:eastAsia="Times New Roman" w:cs="Times New Roman"/>
          <w:lang w:eastAsia="sk-SK"/>
        </w:rPr>
        <w:t>1</w:t>
      </w:r>
      <w:r w:rsidR="00C22128" w:rsidRPr="00A265D6">
        <w:rPr>
          <w:rFonts w:eastAsia="Times New Roman" w:cs="Times New Roman"/>
          <w:lang w:eastAsia="sk-SK"/>
        </w:rPr>
        <w:t> </w:t>
      </w:r>
      <w:r w:rsidR="00A77F29" w:rsidRPr="00A265D6">
        <w:rPr>
          <w:rFonts w:eastAsia="Times New Roman" w:cs="Times New Roman"/>
          <w:lang w:eastAsia="sk-SK"/>
        </w:rPr>
        <w:t>01</w:t>
      </w:r>
      <w:r w:rsidR="00C22128" w:rsidRPr="00A265D6">
        <w:rPr>
          <w:rFonts w:eastAsia="Times New Roman" w:cs="Times New Roman"/>
          <w:lang w:eastAsia="sk-SK"/>
        </w:rPr>
        <w:t>3 </w:t>
      </w:r>
      <w:r w:rsidR="00A77F29" w:rsidRPr="00A265D6">
        <w:rPr>
          <w:rFonts w:eastAsia="Times New Roman" w:cs="Times New Roman"/>
          <w:lang w:eastAsia="sk-SK"/>
        </w:rPr>
        <w:t>3</w:t>
      </w:r>
      <w:r w:rsidR="00C22128" w:rsidRPr="00A265D6">
        <w:rPr>
          <w:rFonts w:eastAsia="Times New Roman" w:cs="Times New Roman"/>
          <w:lang w:eastAsia="sk-SK"/>
        </w:rPr>
        <w:t>32 </w:t>
      </w:r>
      <w:r w:rsidRPr="00A265D6">
        <w:t xml:space="preserve">tis. eur oproti rozpočtovaným príjmom mali granty a transfery. Daňové a odvodové príjmy verejnej správy boli oproti schválenému rozpočtu vyššie o 820 917 tis. eur. V roku 2018 boli </w:t>
      </w:r>
      <w:r w:rsidRPr="00A265D6">
        <w:rPr>
          <w:b/>
        </w:rPr>
        <w:t>výdavky verejnej správy</w:t>
      </w:r>
      <w:r w:rsidRPr="00A265D6">
        <w:t xml:space="preserve"> </w:t>
      </w:r>
      <w:r w:rsidR="00A77F29" w:rsidRPr="00A265D6">
        <w:t>vyššie</w:t>
      </w:r>
      <w:r w:rsidRPr="00A265D6">
        <w:t xml:space="preserve"> oproti rozpočtovanej hodnote o </w:t>
      </w:r>
      <w:r w:rsidR="00A77F29" w:rsidRPr="00A265D6">
        <w:rPr>
          <w:rFonts w:eastAsia="Times New Roman" w:cs="Times New Roman"/>
          <w:bCs/>
          <w:lang w:eastAsia="sk-SK"/>
        </w:rPr>
        <w:t>1</w:t>
      </w:r>
      <w:r w:rsidR="00C22128" w:rsidRPr="00A265D6">
        <w:rPr>
          <w:rFonts w:eastAsia="Times New Roman" w:cs="Times New Roman"/>
          <w:bCs/>
          <w:lang w:eastAsia="sk-SK"/>
        </w:rPr>
        <w:t> </w:t>
      </w:r>
      <w:r w:rsidR="00A77F29" w:rsidRPr="00A265D6">
        <w:rPr>
          <w:rFonts w:eastAsia="Times New Roman" w:cs="Times New Roman"/>
          <w:bCs/>
          <w:lang w:eastAsia="sk-SK"/>
        </w:rPr>
        <w:t>69</w:t>
      </w:r>
      <w:r w:rsidR="00C22128" w:rsidRPr="00A265D6">
        <w:rPr>
          <w:rFonts w:eastAsia="Times New Roman" w:cs="Times New Roman"/>
          <w:bCs/>
          <w:lang w:eastAsia="sk-SK"/>
        </w:rPr>
        <w:t>0 948</w:t>
      </w:r>
      <w:r w:rsidR="00A77F29" w:rsidRPr="00A265D6">
        <w:rPr>
          <w:rFonts w:eastAsia="Times New Roman" w:cs="Times New Roman"/>
          <w:bCs/>
          <w:lang w:eastAsia="sk-SK"/>
        </w:rPr>
        <w:t xml:space="preserve"> </w:t>
      </w:r>
      <w:r w:rsidRPr="00A265D6">
        <w:t>tis</w:t>
      </w:r>
      <w:r w:rsidR="00A77F29" w:rsidRPr="00A265D6">
        <w:t xml:space="preserve">. eur, nárast bol </w:t>
      </w:r>
      <w:r w:rsidR="002D0D67" w:rsidRPr="00A265D6">
        <w:t xml:space="preserve">približne rovnaký </w:t>
      </w:r>
      <w:r w:rsidR="003E428F" w:rsidRPr="00A265D6">
        <w:t>v</w:t>
      </w:r>
      <w:r w:rsidR="00A77F29" w:rsidRPr="00A265D6">
        <w:t xml:space="preserve"> bežných aj kapitálových výdavko</w:t>
      </w:r>
      <w:r w:rsidR="00C22128" w:rsidRPr="00A265D6">
        <w:t>ch</w:t>
      </w:r>
      <w:r w:rsidR="00A77F29" w:rsidRPr="00A265D6">
        <w:t>.</w:t>
      </w:r>
    </w:p>
    <w:tbl>
      <w:tblPr>
        <w:tblW w:w="4751" w:type="pct"/>
        <w:tblLayout w:type="fixed"/>
        <w:tblCellMar>
          <w:left w:w="70" w:type="dxa"/>
          <w:right w:w="70" w:type="dxa"/>
        </w:tblCellMar>
        <w:tblLook w:val="04A0" w:firstRow="1" w:lastRow="0" w:firstColumn="1" w:lastColumn="0" w:noHBand="0" w:noVBand="1"/>
      </w:tblPr>
      <w:tblGrid>
        <w:gridCol w:w="4536"/>
        <w:gridCol w:w="1134"/>
        <w:gridCol w:w="1015"/>
        <w:gridCol w:w="260"/>
        <w:gridCol w:w="821"/>
        <w:gridCol w:w="314"/>
      </w:tblGrid>
      <w:tr w:rsidR="00614751" w:rsidRPr="00610A3A" w14:paraId="5137B845" w14:textId="77777777" w:rsidTr="004A5585">
        <w:trPr>
          <w:trHeight w:hRule="exact" w:val="284"/>
        </w:trPr>
        <w:tc>
          <w:tcPr>
            <w:tcW w:w="5000" w:type="pct"/>
            <w:gridSpan w:val="6"/>
            <w:tcBorders>
              <w:top w:val="nil"/>
              <w:left w:val="nil"/>
              <w:right w:val="nil"/>
            </w:tcBorders>
            <w:shd w:val="clear" w:color="auto" w:fill="000000"/>
            <w:noWrap/>
            <w:vAlign w:val="center"/>
          </w:tcPr>
          <w:p w14:paraId="5E327823" w14:textId="7B999CD2" w:rsidR="00614751" w:rsidRPr="00313B94" w:rsidRDefault="00614751" w:rsidP="00FF0031">
            <w:pPr>
              <w:rPr>
                <w:b/>
                <w:bCs/>
                <w:color w:val="FFFFFF"/>
                <w:sz w:val="20"/>
                <w:szCs w:val="20"/>
              </w:rPr>
            </w:pPr>
            <w:r w:rsidRPr="00313B94">
              <w:rPr>
                <w:b/>
                <w:bCs/>
                <w:color w:val="FFFFFF"/>
                <w:sz w:val="20"/>
                <w:szCs w:val="20"/>
              </w:rPr>
              <w:t>Daňové a odvodové príjmy VS 2018 (ESA2010</w:t>
            </w:r>
            <w:r w:rsidR="00FF0031">
              <w:rPr>
                <w:b/>
                <w:bCs/>
                <w:color w:val="FFFFFF"/>
                <w:sz w:val="20"/>
                <w:szCs w:val="20"/>
              </w:rPr>
              <w:t>)</w:t>
            </w:r>
            <w:r w:rsidRPr="00313B94">
              <w:rPr>
                <w:b/>
                <w:bCs/>
                <w:color w:val="FFFFFF"/>
                <w:sz w:val="20"/>
                <w:szCs w:val="20"/>
              </w:rPr>
              <w:t xml:space="preserve"> </w:t>
            </w:r>
            <w:r w:rsidR="00FF0031">
              <w:rPr>
                <w:b/>
                <w:bCs/>
                <w:color w:val="FFFFFF"/>
                <w:sz w:val="20"/>
                <w:szCs w:val="20"/>
              </w:rPr>
              <w:t xml:space="preserve">                                                            </w:t>
            </w:r>
            <w:r w:rsidRPr="00313B94">
              <w:rPr>
                <w:b/>
                <w:bCs/>
                <w:color w:val="FFFFFF"/>
                <w:sz w:val="20"/>
                <w:szCs w:val="20"/>
              </w:rPr>
              <w:t>v tis. eur</w:t>
            </w:r>
          </w:p>
        </w:tc>
      </w:tr>
      <w:tr w:rsidR="00614751" w:rsidRPr="00610A3A" w14:paraId="233B9BFB" w14:textId="77777777" w:rsidTr="004A5585">
        <w:trPr>
          <w:trHeight w:val="330"/>
        </w:trPr>
        <w:tc>
          <w:tcPr>
            <w:tcW w:w="2807" w:type="pct"/>
            <w:tcBorders>
              <w:top w:val="nil"/>
              <w:left w:val="nil"/>
              <w:bottom w:val="single" w:sz="4" w:space="0" w:color="auto"/>
              <w:right w:val="nil"/>
            </w:tcBorders>
            <w:shd w:val="clear" w:color="auto" w:fill="BFBFBF" w:themeFill="background1" w:themeFillShade="BF"/>
            <w:noWrap/>
            <w:vAlign w:val="bottom"/>
            <w:hideMark/>
          </w:tcPr>
          <w:p w14:paraId="61A51BEF" w14:textId="77777777" w:rsidR="00614751" w:rsidRPr="00610A3A" w:rsidRDefault="00614751" w:rsidP="004A5585">
            <w:pPr>
              <w:spacing w:after="0" w:line="240" w:lineRule="auto"/>
              <w:rPr>
                <w:rFonts w:eastAsia="Times New Roman" w:cs="Times New Roman"/>
                <w:b/>
                <w:bCs/>
                <w:sz w:val="20"/>
                <w:szCs w:val="20"/>
                <w:lang w:eastAsia="sk-SK"/>
              </w:rPr>
            </w:pPr>
          </w:p>
        </w:tc>
        <w:tc>
          <w:tcPr>
            <w:tcW w:w="702" w:type="pct"/>
            <w:tcBorders>
              <w:top w:val="nil"/>
              <w:left w:val="nil"/>
              <w:bottom w:val="single" w:sz="4" w:space="0" w:color="auto"/>
              <w:right w:val="nil"/>
            </w:tcBorders>
            <w:shd w:val="clear" w:color="auto" w:fill="BFBFBF" w:themeFill="background1" w:themeFillShade="BF"/>
            <w:noWrap/>
            <w:vAlign w:val="bottom"/>
            <w:hideMark/>
          </w:tcPr>
          <w:p w14:paraId="162D9D1B" w14:textId="77777777" w:rsidR="00614751" w:rsidRPr="00FB0A51" w:rsidRDefault="00614751" w:rsidP="004A5585">
            <w:pPr>
              <w:spacing w:after="0" w:line="240" w:lineRule="auto"/>
              <w:jc w:val="center"/>
              <w:rPr>
                <w:rFonts w:eastAsia="Times New Roman" w:cs="Times New Roman"/>
                <w:b/>
                <w:bCs/>
                <w:sz w:val="20"/>
                <w:szCs w:val="20"/>
                <w:lang w:eastAsia="sk-SK"/>
              </w:rPr>
            </w:pPr>
            <w:r w:rsidRPr="00FB0A51">
              <w:rPr>
                <w:rFonts w:eastAsia="Times New Roman" w:cs="Times New Roman"/>
                <w:b/>
                <w:bCs/>
                <w:sz w:val="20"/>
                <w:szCs w:val="20"/>
                <w:lang w:eastAsia="sk-SK"/>
              </w:rPr>
              <w:t>Rozpočet 2018</w:t>
            </w:r>
          </w:p>
        </w:tc>
        <w:tc>
          <w:tcPr>
            <w:tcW w:w="789" w:type="pct"/>
            <w:gridSpan w:val="2"/>
            <w:tcBorders>
              <w:top w:val="nil"/>
              <w:left w:val="nil"/>
              <w:bottom w:val="single" w:sz="4" w:space="0" w:color="auto"/>
              <w:right w:val="nil"/>
            </w:tcBorders>
            <w:shd w:val="clear" w:color="auto" w:fill="BFBFBF" w:themeFill="background1" w:themeFillShade="BF"/>
            <w:noWrap/>
            <w:vAlign w:val="bottom"/>
            <w:hideMark/>
          </w:tcPr>
          <w:p w14:paraId="6EF0E342" w14:textId="77777777" w:rsidR="00614751" w:rsidRPr="00FB0A51" w:rsidRDefault="00614751" w:rsidP="004A5585">
            <w:pPr>
              <w:spacing w:after="0" w:line="240" w:lineRule="auto"/>
              <w:jc w:val="center"/>
              <w:rPr>
                <w:rFonts w:eastAsia="Times New Roman" w:cs="Times New Roman"/>
                <w:b/>
                <w:bCs/>
                <w:sz w:val="20"/>
                <w:szCs w:val="20"/>
                <w:lang w:eastAsia="sk-SK"/>
              </w:rPr>
            </w:pPr>
            <w:r w:rsidRPr="00FB0A51">
              <w:rPr>
                <w:rFonts w:eastAsia="Times New Roman" w:cs="Times New Roman"/>
                <w:b/>
                <w:bCs/>
                <w:sz w:val="20"/>
                <w:szCs w:val="20"/>
                <w:lang w:eastAsia="sk-SK"/>
              </w:rPr>
              <w:t>Skutočnosť 2018</w:t>
            </w:r>
          </w:p>
        </w:tc>
        <w:tc>
          <w:tcPr>
            <w:tcW w:w="702" w:type="pct"/>
            <w:gridSpan w:val="2"/>
            <w:tcBorders>
              <w:top w:val="nil"/>
              <w:left w:val="nil"/>
              <w:bottom w:val="single" w:sz="4" w:space="0" w:color="auto"/>
              <w:right w:val="nil"/>
            </w:tcBorders>
            <w:shd w:val="clear" w:color="auto" w:fill="BFBFBF" w:themeFill="background1" w:themeFillShade="BF"/>
            <w:noWrap/>
            <w:vAlign w:val="bottom"/>
            <w:hideMark/>
          </w:tcPr>
          <w:p w14:paraId="2A4B3BA3" w14:textId="11E447A9" w:rsidR="00614751" w:rsidRPr="00FB0A51" w:rsidRDefault="00614751" w:rsidP="00331568">
            <w:pPr>
              <w:spacing w:after="0" w:line="240" w:lineRule="auto"/>
              <w:jc w:val="right"/>
              <w:rPr>
                <w:rFonts w:eastAsia="Times New Roman" w:cs="Times New Roman"/>
                <w:b/>
                <w:bCs/>
                <w:sz w:val="20"/>
                <w:szCs w:val="20"/>
                <w:lang w:eastAsia="sk-SK"/>
              </w:rPr>
            </w:pPr>
            <w:r w:rsidRPr="00FB0A51">
              <w:rPr>
                <w:rFonts w:eastAsia="Times New Roman" w:cs="Times New Roman"/>
                <w:b/>
                <w:bCs/>
                <w:sz w:val="20"/>
                <w:szCs w:val="20"/>
                <w:lang w:eastAsia="sk-SK"/>
              </w:rPr>
              <w:t>Rozdiel</w:t>
            </w:r>
          </w:p>
        </w:tc>
      </w:tr>
      <w:tr w:rsidR="00614751" w:rsidRPr="00610A3A" w14:paraId="35D6D486" w14:textId="77777777" w:rsidTr="007E5EA0">
        <w:trPr>
          <w:trHeight w:val="330"/>
        </w:trPr>
        <w:tc>
          <w:tcPr>
            <w:tcW w:w="2807" w:type="pct"/>
            <w:tcBorders>
              <w:top w:val="nil"/>
              <w:left w:val="nil"/>
              <w:bottom w:val="nil"/>
              <w:right w:val="nil"/>
            </w:tcBorders>
            <w:shd w:val="clear" w:color="auto" w:fill="auto"/>
            <w:noWrap/>
            <w:vAlign w:val="center"/>
            <w:hideMark/>
          </w:tcPr>
          <w:p w14:paraId="40DBB5C3" w14:textId="77777777" w:rsidR="00614751" w:rsidRPr="00FB0A51" w:rsidRDefault="00614751" w:rsidP="004A5585">
            <w:pPr>
              <w:spacing w:after="0" w:line="240" w:lineRule="auto"/>
              <w:jc w:val="left"/>
              <w:rPr>
                <w:rFonts w:eastAsia="Times New Roman" w:cs="Times New Roman"/>
                <w:color w:val="000000"/>
                <w:sz w:val="20"/>
                <w:szCs w:val="20"/>
                <w:lang w:eastAsia="sk-SK"/>
              </w:rPr>
            </w:pPr>
            <w:r w:rsidRPr="00FB0A51">
              <w:rPr>
                <w:rFonts w:eastAsia="Times New Roman" w:cs="Times New Roman"/>
                <w:color w:val="000000"/>
                <w:sz w:val="20"/>
                <w:szCs w:val="20"/>
                <w:lang w:eastAsia="sk-SK"/>
              </w:rPr>
              <w:t>Daň z príjmov fyzických osôb</w:t>
            </w:r>
          </w:p>
        </w:tc>
        <w:tc>
          <w:tcPr>
            <w:tcW w:w="702" w:type="pct"/>
            <w:tcBorders>
              <w:top w:val="nil"/>
              <w:left w:val="nil"/>
              <w:bottom w:val="nil"/>
              <w:right w:val="nil"/>
            </w:tcBorders>
            <w:shd w:val="clear" w:color="auto" w:fill="auto"/>
            <w:noWrap/>
            <w:vAlign w:val="center"/>
            <w:hideMark/>
          </w:tcPr>
          <w:p w14:paraId="47D8E1EA"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3 077 092</w:t>
            </w:r>
          </w:p>
        </w:tc>
        <w:tc>
          <w:tcPr>
            <w:tcW w:w="789" w:type="pct"/>
            <w:gridSpan w:val="2"/>
            <w:tcBorders>
              <w:top w:val="nil"/>
              <w:left w:val="nil"/>
              <w:bottom w:val="nil"/>
              <w:right w:val="nil"/>
            </w:tcBorders>
            <w:shd w:val="clear" w:color="auto" w:fill="auto"/>
            <w:noWrap/>
            <w:vAlign w:val="center"/>
            <w:hideMark/>
          </w:tcPr>
          <w:p w14:paraId="665FB34F"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3 207 553</w:t>
            </w:r>
          </w:p>
        </w:tc>
        <w:tc>
          <w:tcPr>
            <w:tcW w:w="702" w:type="pct"/>
            <w:gridSpan w:val="2"/>
            <w:tcBorders>
              <w:top w:val="nil"/>
              <w:left w:val="nil"/>
              <w:bottom w:val="nil"/>
              <w:right w:val="nil"/>
            </w:tcBorders>
            <w:shd w:val="clear" w:color="auto" w:fill="auto"/>
            <w:noWrap/>
            <w:vAlign w:val="center"/>
            <w:hideMark/>
          </w:tcPr>
          <w:p w14:paraId="006ECDB9"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130 461</w:t>
            </w:r>
          </w:p>
        </w:tc>
      </w:tr>
      <w:tr w:rsidR="00614751" w:rsidRPr="00610A3A" w14:paraId="470F3177" w14:textId="77777777" w:rsidTr="007E5EA0">
        <w:trPr>
          <w:trHeight w:val="330"/>
        </w:trPr>
        <w:tc>
          <w:tcPr>
            <w:tcW w:w="2807" w:type="pct"/>
            <w:tcBorders>
              <w:top w:val="nil"/>
              <w:left w:val="nil"/>
              <w:bottom w:val="nil"/>
              <w:right w:val="nil"/>
            </w:tcBorders>
            <w:shd w:val="clear" w:color="auto" w:fill="auto"/>
            <w:noWrap/>
            <w:vAlign w:val="center"/>
            <w:hideMark/>
          </w:tcPr>
          <w:p w14:paraId="0DA3F9DE" w14:textId="77777777" w:rsidR="00614751" w:rsidRPr="00FB0A51" w:rsidRDefault="00614751" w:rsidP="004A5585">
            <w:pPr>
              <w:spacing w:after="0" w:line="240" w:lineRule="auto"/>
              <w:jc w:val="left"/>
              <w:rPr>
                <w:rFonts w:eastAsia="Times New Roman" w:cs="Times New Roman"/>
                <w:color w:val="000000"/>
                <w:sz w:val="20"/>
                <w:szCs w:val="20"/>
                <w:lang w:eastAsia="sk-SK"/>
              </w:rPr>
            </w:pPr>
            <w:r w:rsidRPr="00FB0A51">
              <w:rPr>
                <w:rFonts w:eastAsia="Times New Roman" w:cs="Times New Roman"/>
                <w:color w:val="000000"/>
                <w:sz w:val="20"/>
                <w:szCs w:val="20"/>
                <w:lang w:eastAsia="sk-SK"/>
              </w:rPr>
              <w:t xml:space="preserve"> - závislá činnosť</w:t>
            </w:r>
          </w:p>
        </w:tc>
        <w:tc>
          <w:tcPr>
            <w:tcW w:w="702" w:type="pct"/>
            <w:tcBorders>
              <w:top w:val="nil"/>
              <w:left w:val="nil"/>
              <w:bottom w:val="nil"/>
              <w:right w:val="nil"/>
            </w:tcBorders>
            <w:shd w:val="clear" w:color="auto" w:fill="auto"/>
            <w:noWrap/>
            <w:vAlign w:val="center"/>
            <w:hideMark/>
          </w:tcPr>
          <w:p w14:paraId="66B568C7"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2 938 936</w:t>
            </w:r>
          </w:p>
        </w:tc>
        <w:tc>
          <w:tcPr>
            <w:tcW w:w="789" w:type="pct"/>
            <w:gridSpan w:val="2"/>
            <w:tcBorders>
              <w:top w:val="nil"/>
              <w:left w:val="nil"/>
              <w:bottom w:val="nil"/>
              <w:right w:val="nil"/>
            </w:tcBorders>
            <w:shd w:val="clear" w:color="auto" w:fill="auto"/>
            <w:noWrap/>
            <w:vAlign w:val="center"/>
            <w:hideMark/>
          </w:tcPr>
          <w:p w14:paraId="58817DCC"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3 093 913</w:t>
            </w:r>
          </w:p>
        </w:tc>
        <w:tc>
          <w:tcPr>
            <w:tcW w:w="702" w:type="pct"/>
            <w:gridSpan w:val="2"/>
            <w:tcBorders>
              <w:top w:val="nil"/>
              <w:left w:val="nil"/>
              <w:bottom w:val="nil"/>
              <w:right w:val="nil"/>
            </w:tcBorders>
            <w:shd w:val="clear" w:color="auto" w:fill="auto"/>
            <w:noWrap/>
            <w:vAlign w:val="center"/>
            <w:hideMark/>
          </w:tcPr>
          <w:p w14:paraId="7AC3DD56"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154 977</w:t>
            </w:r>
          </w:p>
        </w:tc>
      </w:tr>
      <w:tr w:rsidR="00614751" w:rsidRPr="00610A3A" w14:paraId="728D0403" w14:textId="77777777" w:rsidTr="007E5EA0">
        <w:trPr>
          <w:trHeight w:val="330"/>
        </w:trPr>
        <w:tc>
          <w:tcPr>
            <w:tcW w:w="2807" w:type="pct"/>
            <w:tcBorders>
              <w:top w:val="nil"/>
              <w:left w:val="nil"/>
              <w:bottom w:val="nil"/>
              <w:right w:val="nil"/>
            </w:tcBorders>
            <w:shd w:val="clear" w:color="auto" w:fill="auto"/>
            <w:noWrap/>
            <w:vAlign w:val="center"/>
            <w:hideMark/>
          </w:tcPr>
          <w:p w14:paraId="2CE97A93" w14:textId="77777777" w:rsidR="00614751" w:rsidRPr="00FB0A51" w:rsidRDefault="00614751" w:rsidP="004A5585">
            <w:pPr>
              <w:spacing w:after="0" w:line="240" w:lineRule="auto"/>
              <w:jc w:val="left"/>
              <w:rPr>
                <w:rFonts w:eastAsia="Times New Roman" w:cs="Times New Roman"/>
                <w:color w:val="000000"/>
                <w:sz w:val="20"/>
                <w:szCs w:val="20"/>
                <w:lang w:eastAsia="sk-SK"/>
              </w:rPr>
            </w:pPr>
            <w:r w:rsidRPr="00FB0A51">
              <w:rPr>
                <w:rFonts w:eastAsia="Times New Roman" w:cs="Times New Roman"/>
                <w:color w:val="000000"/>
                <w:sz w:val="20"/>
                <w:szCs w:val="20"/>
                <w:lang w:eastAsia="sk-SK"/>
              </w:rPr>
              <w:t xml:space="preserve"> - podnikanie</w:t>
            </w:r>
          </w:p>
        </w:tc>
        <w:tc>
          <w:tcPr>
            <w:tcW w:w="702" w:type="pct"/>
            <w:tcBorders>
              <w:top w:val="nil"/>
              <w:left w:val="nil"/>
              <w:bottom w:val="nil"/>
              <w:right w:val="nil"/>
            </w:tcBorders>
            <w:shd w:val="clear" w:color="auto" w:fill="auto"/>
            <w:noWrap/>
            <w:vAlign w:val="center"/>
            <w:hideMark/>
          </w:tcPr>
          <w:p w14:paraId="141012CD"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138 156</w:t>
            </w:r>
          </w:p>
        </w:tc>
        <w:tc>
          <w:tcPr>
            <w:tcW w:w="789" w:type="pct"/>
            <w:gridSpan w:val="2"/>
            <w:tcBorders>
              <w:top w:val="nil"/>
              <w:left w:val="nil"/>
              <w:bottom w:val="nil"/>
              <w:right w:val="nil"/>
            </w:tcBorders>
            <w:shd w:val="clear" w:color="auto" w:fill="auto"/>
            <w:noWrap/>
            <w:vAlign w:val="center"/>
            <w:hideMark/>
          </w:tcPr>
          <w:p w14:paraId="47ADFB31"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113 640</w:t>
            </w:r>
          </w:p>
        </w:tc>
        <w:tc>
          <w:tcPr>
            <w:tcW w:w="702" w:type="pct"/>
            <w:gridSpan w:val="2"/>
            <w:tcBorders>
              <w:top w:val="nil"/>
              <w:left w:val="nil"/>
              <w:bottom w:val="nil"/>
              <w:right w:val="nil"/>
            </w:tcBorders>
            <w:shd w:val="clear" w:color="auto" w:fill="auto"/>
            <w:noWrap/>
            <w:vAlign w:val="center"/>
            <w:hideMark/>
          </w:tcPr>
          <w:p w14:paraId="788A73E5"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-24 516</w:t>
            </w:r>
          </w:p>
        </w:tc>
      </w:tr>
      <w:tr w:rsidR="00614751" w:rsidRPr="00610A3A" w14:paraId="5ED78745" w14:textId="77777777" w:rsidTr="007E5EA0">
        <w:trPr>
          <w:trHeight w:val="330"/>
        </w:trPr>
        <w:tc>
          <w:tcPr>
            <w:tcW w:w="2807" w:type="pct"/>
            <w:tcBorders>
              <w:top w:val="nil"/>
              <w:left w:val="nil"/>
              <w:bottom w:val="nil"/>
              <w:right w:val="nil"/>
            </w:tcBorders>
            <w:shd w:val="clear" w:color="auto" w:fill="auto"/>
            <w:noWrap/>
            <w:vAlign w:val="center"/>
            <w:hideMark/>
          </w:tcPr>
          <w:p w14:paraId="26DFCF9E" w14:textId="77777777" w:rsidR="00614751" w:rsidRPr="00FB0A51" w:rsidRDefault="00614751" w:rsidP="004A5585">
            <w:pPr>
              <w:spacing w:after="0" w:line="240" w:lineRule="auto"/>
              <w:jc w:val="left"/>
              <w:rPr>
                <w:rFonts w:eastAsia="Times New Roman" w:cs="Times New Roman"/>
                <w:color w:val="000000"/>
                <w:sz w:val="20"/>
                <w:szCs w:val="20"/>
                <w:lang w:eastAsia="sk-SK"/>
              </w:rPr>
            </w:pPr>
            <w:r w:rsidRPr="00FB0A51">
              <w:rPr>
                <w:rFonts w:eastAsia="Times New Roman" w:cs="Times New Roman"/>
                <w:color w:val="000000"/>
                <w:sz w:val="20"/>
                <w:szCs w:val="20"/>
                <w:lang w:eastAsia="sk-SK"/>
              </w:rPr>
              <w:t>Daň z príjmov právnických osôb</w:t>
            </w:r>
          </w:p>
        </w:tc>
        <w:tc>
          <w:tcPr>
            <w:tcW w:w="702" w:type="pct"/>
            <w:tcBorders>
              <w:top w:val="nil"/>
              <w:left w:val="nil"/>
              <w:bottom w:val="nil"/>
              <w:right w:val="nil"/>
            </w:tcBorders>
            <w:shd w:val="clear" w:color="auto" w:fill="auto"/>
            <w:noWrap/>
            <w:vAlign w:val="center"/>
            <w:hideMark/>
          </w:tcPr>
          <w:p w14:paraId="732CA2DB"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2 618 472</w:t>
            </w:r>
          </w:p>
        </w:tc>
        <w:tc>
          <w:tcPr>
            <w:tcW w:w="789" w:type="pct"/>
            <w:gridSpan w:val="2"/>
            <w:tcBorders>
              <w:top w:val="nil"/>
              <w:left w:val="nil"/>
              <w:bottom w:val="nil"/>
              <w:right w:val="nil"/>
            </w:tcBorders>
            <w:shd w:val="clear" w:color="auto" w:fill="auto"/>
            <w:noWrap/>
            <w:vAlign w:val="center"/>
            <w:hideMark/>
          </w:tcPr>
          <w:p w14:paraId="1270B02F"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2 739 551</w:t>
            </w:r>
          </w:p>
        </w:tc>
        <w:tc>
          <w:tcPr>
            <w:tcW w:w="702" w:type="pct"/>
            <w:gridSpan w:val="2"/>
            <w:tcBorders>
              <w:top w:val="nil"/>
              <w:left w:val="nil"/>
              <w:bottom w:val="nil"/>
              <w:right w:val="nil"/>
            </w:tcBorders>
            <w:shd w:val="clear" w:color="auto" w:fill="auto"/>
            <w:noWrap/>
            <w:vAlign w:val="center"/>
            <w:hideMark/>
          </w:tcPr>
          <w:p w14:paraId="0823C209"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121 079</w:t>
            </w:r>
          </w:p>
        </w:tc>
      </w:tr>
      <w:tr w:rsidR="00614751" w:rsidRPr="00610A3A" w14:paraId="0175CC2E" w14:textId="77777777" w:rsidTr="007E5EA0">
        <w:trPr>
          <w:trHeight w:val="330"/>
        </w:trPr>
        <w:tc>
          <w:tcPr>
            <w:tcW w:w="2807" w:type="pct"/>
            <w:tcBorders>
              <w:top w:val="nil"/>
              <w:left w:val="nil"/>
              <w:bottom w:val="nil"/>
              <w:right w:val="nil"/>
            </w:tcBorders>
            <w:shd w:val="clear" w:color="auto" w:fill="auto"/>
            <w:noWrap/>
            <w:vAlign w:val="center"/>
            <w:hideMark/>
          </w:tcPr>
          <w:p w14:paraId="0D6D3E28" w14:textId="77777777" w:rsidR="00614751" w:rsidRPr="00FB0A51" w:rsidRDefault="00614751" w:rsidP="004A5585">
            <w:pPr>
              <w:spacing w:after="0" w:line="240" w:lineRule="auto"/>
              <w:jc w:val="left"/>
              <w:rPr>
                <w:rFonts w:eastAsia="Times New Roman" w:cs="Times New Roman"/>
                <w:color w:val="000000"/>
                <w:sz w:val="20"/>
                <w:szCs w:val="20"/>
                <w:lang w:eastAsia="sk-SK"/>
              </w:rPr>
            </w:pPr>
            <w:r w:rsidRPr="00FB0A51">
              <w:rPr>
                <w:rFonts w:eastAsia="Times New Roman" w:cs="Times New Roman"/>
                <w:color w:val="000000"/>
                <w:sz w:val="20"/>
                <w:szCs w:val="20"/>
                <w:lang w:eastAsia="sk-SK"/>
              </w:rPr>
              <w:t>Daň z príjmov vyberaná zrážkou</w:t>
            </w:r>
          </w:p>
        </w:tc>
        <w:tc>
          <w:tcPr>
            <w:tcW w:w="702" w:type="pct"/>
            <w:tcBorders>
              <w:top w:val="nil"/>
              <w:left w:val="nil"/>
              <w:bottom w:val="nil"/>
              <w:right w:val="nil"/>
            </w:tcBorders>
            <w:shd w:val="clear" w:color="auto" w:fill="auto"/>
            <w:noWrap/>
            <w:vAlign w:val="center"/>
            <w:hideMark/>
          </w:tcPr>
          <w:p w14:paraId="32F64113"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242 638</w:t>
            </w:r>
          </w:p>
        </w:tc>
        <w:tc>
          <w:tcPr>
            <w:tcW w:w="789" w:type="pct"/>
            <w:gridSpan w:val="2"/>
            <w:tcBorders>
              <w:top w:val="nil"/>
              <w:left w:val="nil"/>
              <w:bottom w:val="nil"/>
              <w:right w:val="nil"/>
            </w:tcBorders>
            <w:shd w:val="clear" w:color="auto" w:fill="auto"/>
            <w:noWrap/>
            <w:vAlign w:val="center"/>
            <w:hideMark/>
          </w:tcPr>
          <w:p w14:paraId="2C2B46C0"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209 170</w:t>
            </w:r>
          </w:p>
        </w:tc>
        <w:tc>
          <w:tcPr>
            <w:tcW w:w="702" w:type="pct"/>
            <w:gridSpan w:val="2"/>
            <w:tcBorders>
              <w:top w:val="nil"/>
              <w:left w:val="nil"/>
              <w:bottom w:val="nil"/>
              <w:right w:val="nil"/>
            </w:tcBorders>
            <w:shd w:val="clear" w:color="auto" w:fill="auto"/>
            <w:noWrap/>
            <w:vAlign w:val="center"/>
            <w:hideMark/>
          </w:tcPr>
          <w:p w14:paraId="13460D38"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-33 468</w:t>
            </w:r>
          </w:p>
        </w:tc>
      </w:tr>
      <w:tr w:rsidR="00614751" w:rsidRPr="00610A3A" w14:paraId="13F8C970" w14:textId="77777777" w:rsidTr="007E5EA0">
        <w:trPr>
          <w:trHeight w:val="330"/>
        </w:trPr>
        <w:tc>
          <w:tcPr>
            <w:tcW w:w="2807" w:type="pct"/>
            <w:tcBorders>
              <w:top w:val="nil"/>
              <w:left w:val="nil"/>
              <w:bottom w:val="nil"/>
              <w:right w:val="nil"/>
            </w:tcBorders>
            <w:shd w:val="clear" w:color="auto" w:fill="auto"/>
            <w:noWrap/>
            <w:vAlign w:val="center"/>
            <w:hideMark/>
          </w:tcPr>
          <w:p w14:paraId="1F26A1FB" w14:textId="77777777" w:rsidR="00614751" w:rsidRPr="00FB0A51" w:rsidRDefault="00614751" w:rsidP="004A5585">
            <w:pPr>
              <w:spacing w:after="0" w:line="240" w:lineRule="auto"/>
              <w:jc w:val="left"/>
              <w:rPr>
                <w:rFonts w:eastAsia="Times New Roman" w:cs="Times New Roman"/>
                <w:color w:val="000000"/>
                <w:sz w:val="20"/>
                <w:szCs w:val="20"/>
                <w:lang w:eastAsia="sk-SK"/>
              </w:rPr>
            </w:pPr>
            <w:r w:rsidRPr="00FB0A51">
              <w:rPr>
                <w:rFonts w:eastAsia="Times New Roman" w:cs="Times New Roman"/>
                <w:color w:val="000000"/>
                <w:sz w:val="20"/>
                <w:szCs w:val="20"/>
                <w:lang w:eastAsia="sk-SK"/>
              </w:rPr>
              <w:t>Daň z pridanej hodnoty</w:t>
            </w:r>
          </w:p>
        </w:tc>
        <w:tc>
          <w:tcPr>
            <w:tcW w:w="702" w:type="pct"/>
            <w:tcBorders>
              <w:top w:val="nil"/>
              <w:left w:val="nil"/>
              <w:bottom w:val="nil"/>
              <w:right w:val="nil"/>
            </w:tcBorders>
            <w:shd w:val="clear" w:color="auto" w:fill="auto"/>
            <w:noWrap/>
            <w:vAlign w:val="center"/>
            <w:hideMark/>
          </w:tcPr>
          <w:p w14:paraId="2820E68A"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6 104 417</w:t>
            </w:r>
          </w:p>
        </w:tc>
        <w:tc>
          <w:tcPr>
            <w:tcW w:w="789" w:type="pct"/>
            <w:gridSpan w:val="2"/>
            <w:tcBorders>
              <w:top w:val="nil"/>
              <w:left w:val="nil"/>
              <w:bottom w:val="nil"/>
              <w:right w:val="nil"/>
            </w:tcBorders>
            <w:shd w:val="clear" w:color="auto" w:fill="auto"/>
            <w:noWrap/>
            <w:vAlign w:val="center"/>
            <w:hideMark/>
          </w:tcPr>
          <w:p w14:paraId="1138FEA3"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6 325 513</w:t>
            </w:r>
          </w:p>
        </w:tc>
        <w:tc>
          <w:tcPr>
            <w:tcW w:w="702" w:type="pct"/>
            <w:gridSpan w:val="2"/>
            <w:tcBorders>
              <w:top w:val="nil"/>
              <w:left w:val="nil"/>
              <w:bottom w:val="nil"/>
              <w:right w:val="nil"/>
            </w:tcBorders>
            <w:shd w:val="clear" w:color="auto" w:fill="auto"/>
            <w:noWrap/>
            <w:vAlign w:val="center"/>
            <w:hideMark/>
          </w:tcPr>
          <w:p w14:paraId="528D5B6A"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221 096</w:t>
            </w:r>
          </w:p>
        </w:tc>
      </w:tr>
      <w:tr w:rsidR="00614751" w:rsidRPr="00610A3A" w14:paraId="26037C9A" w14:textId="77777777" w:rsidTr="007E5EA0">
        <w:trPr>
          <w:trHeight w:val="330"/>
        </w:trPr>
        <w:tc>
          <w:tcPr>
            <w:tcW w:w="2807" w:type="pct"/>
            <w:tcBorders>
              <w:top w:val="nil"/>
              <w:left w:val="nil"/>
              <w:bottom w:val="nil"/>
              <w:right w:val="nil"/>
            </w:tcBorders>
            <w:shd w:val="clear" w:color="auto" w:fill="auto"/>
            <w:noWrap/>
            <w:vAlign w:val="center"/>
            <w:hideMark/>
          </w:tcPr>
          <w:p w14:paraId="4A549A44" w14:textId="77777777" w:rsidR="00614751" w:rsidRPr="00FB0A51" w:rsidRDefault="00614751" w:rsidP="004A5585">
            <w:pPr>
              <w:spacing w:after="0" w:line="240" w:lineRule="auto"/>
              <w:jc w:val="left"/>
              <w:rPr>
                <w:rFonts w:eastAsia="Times New Roman" w:cs="Times New Roman"/>
                <w:color w:val="000000"/>
                <w:sz w:val="20"/>
                <w:szCs w:val="20"/>
                <w:lang w:eastAsia="sk-SK"/>
              </w:rPr>
            </w:pPr>
            <w:r w:rsidRPr="00FB0A51">
              <w:rPr>
                <w:rFonts w:eastAsia="Times New Roman" w:cs="Times New Roman"/>
                <w:color w:val="000000"/>
                <w:sz w:val="20"/>
                <w:szCs w:val="20"/>
                <w:lang w:eastAsia="sk-SK"/>
              </w:rPr>
              <w:t>Spotrebné dane</w:t>
            </w:r>
          </w:p>
        </w:tc>
        <w:tc>
          <w:tcPr>
            <w:tcW w:w="702" w:type="pct"/>
            <w:tcBorders>
              <w:top w:val="nil"/>
              <w:left w:val="nil"/>
              <w:bottom w:val="nil"/>
              <w:right w:val="nil"/>
            </w:tcBorders>
            <w:shd w:val="clear" w:color="auto" w:fill="auto"/>
            <w:noWrap/>
            <w:vAlign w:val="center"/>
            <w:hideMark/>
          </w:tcPr>
          <w:p w14:paraId="2AAEEE9B"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2 341 129</w:t>
            </w:r>
          </w:p>
        </w:tc>
        <w:tc>
          <w:tcPr>
            <w:tcW w:w="789" w:type="pct"/>
            <w:gridSpan w:val="2"/>
            <w:tcBorders>
              <w:top w:val="nil"/>
              <w:left w:val="nil"/>
              <w:bottom w:val="nil"/>
              <w:right w:val="nil"/>
            </w:tcBorders>
            <w:shd w:val="clear" w:color="auto" w:fill="auto"/>
            <w:noWrap/>
            <w:vAlign w:val="center"/>
            <w:hideMark/>
          </w:tcPr>
          <w:p w14:paraId="14048A3A"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2 315 349</w:t>
            </w:r>
          </w:p>
        </w:tc>
        <w:tc>
          <w:tcPr>
            <w:tcW w:w="702" w:type="pct"/>
            <w:gridSpan w:val="2"/>
            <w:tcBorders>
              <w:top w:val="nil"/>
              <w:left w:val="nil"/>
              <w:bottom w:val="nil"/>
              <w:right w:val="nil"/>
            </w:tcBorders>
            <w:shd w:val="clear" w:color="auto" w:fill="auto"/>
            <w:noWrap/>
            <w:vAlign w:val="center"/>
            <w:hideMark/>
          </w:tcPr>
          <w:p w14:paraId="0D37855A"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-25 780</w:t>
            </w:r>
          </w:p>
        </w:tc>
      </w:tr>
      <w:tr w:rsidR="00614751" w:rsidRPr="00610A3A" w14:paraId="5900E972" w14:textId="77777777" w:rsidTr="007E5EA0">
        <w:trPr>
          <w:trHeight w:val="330"/>
        </w:trPr>
        <w:tc>
          <w:tcPr>
            <w:tcW w:w="2807" w:type="pct"/>
            <w:tcBorders>
              <w:top w:val="nil"/>
              <w:left w:val="nil"/>
              <w:bottom w:val="nil"/>
              <w:right w:val="nil"/>
            </w:tcBorders>
            <w:shd w:val="clear" w:color="auto" w:fill="auto"/>
            <w:noWrap/>
            <w:vAlign w:val="center"/>
            <w:hideMark/>
          </w:tcPr>
          <w:p w14:paraId="6ECFEE8B" w14:textId="77777777" w:rsidR="00614751" w:rsidRPr="00FB0A51" w:rsidRDefault="00614751" w:rsidP="00614751">
            <w:pPr>
              <w:pStyle w:val="Odsekzoznamu"/>
              <w:numPr>
                <w:ilvl w:val="0"/>
                <w:numId w:val="23"/>
              </w:numPr>
              <w:rPr>
                <w:rFonts w:ascii="Times New Roman" w:hAnsi="Times New Roman"/>
                <w:color w:val="000000"/>
                <w:sz w:val="20"/>
                <w:szCs w:val="20"/>
                <w:lang w:eastAsia="sk-SK"/>
              </w:rPr>
            </w:pPr>
            <w:r w:rsidRPr="00FB0A51">
              <w:rPr>
                <w:rFonts w:ascii="Times New Roman" w:hAnsi="Times New Roman"/>
                <w:color w:val="000000"/>
                <w:sz w:val="20"/>
                <w:szCs w:val="20"/>
                <w:lang w:eastAsia="sk-SK"/>
              </w:rPr>
              <w:t>Minerálny olej</w:t>
            </w:r>
          </w:p>
        </w:tc>
        <w:tc>
          <w:tcPr>
            <w:tcW w:w="702" w:type="pct"/>
            <w:tcBorders>
              <w:top w:val="nil"/>
              <w:left w:val="nil"/>
              <w:bottom w:val="nil"/>
              <w:right w:val="nil"/>
            </w:tcBorders>
            <w:shd w:val="clear" w:color="auto" w:fill="auto"/>
            <w:noWrap/>
            <w:vAlign w:val="center"/>
            <w:hideMark/>
          </w:tcPr>
          <w:p w14:paraId="39FF3917"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1 292 946</w:t>
            </w:r>
          </w:p>
        </w:tc>
        <w:tc>
          <w:tcPr>
            <w:tcW w:w="789" w:type="pct"/>
            <w:gridSpan w:val="2"/>
            <w:tcBorders>
              <w:top w:val="nil"/>
              <w:left w:val="nil"/>
              <w:bottom w:val="nil"/>
              <w:right w:val="nil"/>
            </w:tcBorders>
            <w:shd w:val="clear" w:color="auto" w:fill="auto"/>
            <w:noWrap/>
            <w:vAlign w:val="center"/>
            <w:hideMark/>
          </w:tcPr>
          <w:p w14:paraId="0F3E0518"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1 266 853</w:t>
            </w:r>
          </w:p>
        </w:tc>
        <w:tc>
          <w:tcPr>
            <w:tcW w:w="702" w:type="pct"/>
            <w:gridSpan w:val="2"/>
            <w:tcBorders>
              <w:top w:val="nil"/>
              <w:left w:val="nil"/>
              <w:bottom w:val="nil"/>
              <w:right w:val="nil"/>
            </w:tcBorders>
            <w:shd w:val="clear" w:color="auto" w:fill="auto"/>
            <w:noWrap/>
            <w:vAlign w:val="center"/>
            <w:hideMark/>
          </w:tcPr>
          <w:p w14:paraId="5956261C"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-26 093</w:t>
            </w:r>
          </w:p>
        </w:tc>
      </w:tr>
      <w:tr w:rsidR="00614751" w:rsidRPr="00610A3A" w14:paraId="1693D483" w14:textId="77777777" w:rsidTr="007E5EA0">
        <w:trPr>
          <w:trHeight w:val="330"/>
        </w:trPr>
        <w:tc>
          <w:tcPr>
            <w:tcW w:w="2807" w:type="pct"/>
            <w:tcBorders>
              <w:top w:val="nil"/>
              <w:left w:val="nil"/>
              <w:bottom w:val="nil"/>
              <w:right w:val="nil"/>
            </w:tcBorders>
            <w:shd w:val="clear" w:color="auto" w:fill="auto"/>
            <w:noWrap/>
            <w:vAlign w:val="center"/>
            <w:hideMark/>
          </w:tcPr>
          <w:p w14:paraId="13089C20" w14:textId="77777777" w:rsidR="00614751" w:rsidRPr="00FB0A51" w:rsidRDefault="00614751" w:rsidP="00614751">
            <w:pPr>
              <w:pStyle w:val="Odsekzoznamu"/>
              <w:numPr>
                <w:ilvl w:val="0"/>
                <w:numId w:val="23"/>
              </w:numPr>
              <w:rPr>
                <w:rFonts w:ascii="Times New Roman" w:hAnsi="Times New Roman"/>
                <w:color w:val="000000"/>
                <w:sz w:val="20"/>
                <w:szCs w:val="20"/>
                <w:lang w:eastAsia="sk-SK"/>
              </w:rPr>
            </w:pPr>
            <w:r w:rsidRPr="00FB0A51">
              <w:rPr>
                <w:rFonts w:ascii="Times New Roman" w:hAnsi="Times New Roman"/>
                <w:color w:val="000000"/>
                <w:sz w:val="20"/>
                <w:szCs w:val="20"/>
                <w:lang w:eastAsia="sk-SK"/>
              </w:rPr>
              <w:t>Tabak a tabakové výrobky</w:t>
            </w:r>
          </w:p>
        </w:tc>
        <w:tc>
          <w:tcPr>
            <w:tcW w:w="702" w:type="pct"/>
            <w:tcBorders>
              <w:top w:val="nil"/>
              <w:left w:val="nil"/>
              <w:bottom w:val="nil"/>
              <w:right w:val="nil"/>
            </w:tcBorders>
            <w:shd w:val="clear" w:color="auto" w:fill="auto"/>
            <w:noWrap/>
            <w:vAlign w:val="center"/>
            <w:hideMark/>
          </w:tcPr>
          <w:p w14:paraId="4C5A25B5"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727 576</w:t>
            </w:r>
          </w:p>
        </w:tc>
        <w:tc>
          <w:tcPr>
            <w:tcW w:w="789" w:type="pct"/>
            <w:gridSpan w:val="2"/>
            <w:tcBorders>
              <w:top w:val="nil"/>
              <w:left w:val="nil"/>
              <w:bottom w:val="nil"/>
              <w:right w:val="nil"/>
            </w:tcBorders>
            <w:shd w:val="clear" w:color="auto" w:fill="auto"/>
            <w:noWrap/>
            <w:vAlign w:val="center"/>
            <w:hideMark/>
          </w:tcPr>
          <w:p w14:paraId="39655F6E"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727 645</w:t>
            </w:r>
          </w:p>
        </w:tc>
        <w:tc>
          <w:tcPr>
            <w:tcW w:w="702" w:type="pct"/>
            <w:gridSpan w:val="2"/>
            <w:tcBorders>
              <w:top w:val="nil"/>
              <w:left w:val="nil"/>
              <w:bottom w:val="nil"/>
              <w:right w:val="nil"/>
            </w:tcBorders>
            <w:shd w:val="clear" w:color="auto" w:fill="auto"/>
            <w:noWrap/>
            <w:vAlign w:val="center"/>
            <w:hideMark/>
          </w:tcPr>
          <w:p w14:paraId="010ACE2A"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69</w:t>
            </w:r>
          </w:p>
        </w:tc>
      </w:tr>
      <w:tr w:rsidR="00614751" w:rsidRPr="00610A3A" w14:paraId="52261083" w14:textId="77777777" w:rsidTr="007E5EA0">
        <w:trPr>
          <w:trHeight w:val="330"/>
        </w:trPr>
        <w:tc>
          <w:tcPr>
            <w:tcW w:w="2807" w:type="pct"/>
            <w:tcBorders>
              <w:top w:val="nil"/>
              <w:left w:val="nil"/>
              <w:bottom w:val="nil"/>
              <w:right w:val="nil"/>
            </w:tcBorders>
            <w:shd w:val="clear" w:color="auto" w:fill="auto"/>
            <w:noWrap/>
            <w:vAlign w:val="center"/>
            <w:hideMark/>
          </w:tcPr>
          <w:p w14:paraId="404C625C" w14:textId="77777777" w:rsidR="00614751" w:rsidRPr="00FB0A51" w:rsidRDefault="00614751" w:rsidP="00614751">
            <w:pPr>
              <w:pStyle w:val="Odsekzoznamu"/>
              <w:numPr>
                <w:ilvl w:val="0"/>
                <w:numId w:val="23"/>
              </w:numPr>
              <w:rPr>
                <w:rFonts w:ascii="Times New Roman" w:hAnsi="Times New Roman"/>
                <w:color w:val="000000"/>
                <w:sz w:val="20"/>
                <w:szCs w:val="20"/>
                <w:lang w:eastAsia="sk-SK"/>
              </w:rPr>
            </w:pPr>
            <w:r w:rsidRPr="00FB0A51">
              <w:rPr>
                <w:rFonts w:ascii="Times New Roman" w:hAnsi="Times New Roman"/>
                <w:color w:val="000000"/>
                <w:sz w:val="20"/>
                <w:szCs w:val="20"/>
                <w:lang w:eastAsia="sk-SK"/>
              </w:rPr>
              <w:t>Ostatné spotrebné dane</w:t>
            </w:r>
          </w:p>
        </w:tc>
        <w:tc>
          <w:tcPr>
            <w:tcW w:w="702" w:type="pct"/>
            <w:tcBorders>
              <w:top w:val="nil"/>
              <w:left w:val="nil"/>
              <w:bottom w:val="nil"/>
              <w:right w:val="nil"/>
            </w:tcBorders>
            <w:shd w:val="clear" w:color="auto" w:fill="auto"/>
            <w:noWrap/>
            <w:vAlign w:val="center"/>
            <w:hideMark/>
          </w:tcPr>
          <w:p w14:paraId="4D662E50"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320 607</w:t>
            </w:r>
          </w:p>
        </w:tc>
        <w:tc>
          <w:tcPr>
            <w:tcW w:w="789" w:type="pct"/>
            <w:gridSpan w:val="2"/>
            <w:tcBorders>
              <w:top w:val="nil"/>
              <w:left w:val="nil"/>
              <w:bottom w:val="nil"/>
              <w:right w:val="nil"/>
            </w:tcBorders>
            <w:shd w:val="clear" w:color="auto" w:fill="auto"/>
            <w:noWrap/>
            <w:vAlign w:val="center"/>
            <w:hideMark/>
          </w:tcPr>
          <w:p w14:paraId="640B8EC6" w14:textId="77777777" w:rsidR="00614751" w:rsidRPr="00FB0A51" w:rsidRDefault="00614751" w:rsidP="004A5585">
            <w:pPr>
              <w:spacing w:after="0" w:line="240" w:lineRule="auto"/>
              <w:jc w:val="right"/>
              <w:rPr>
                <w:rFonts w:eastAsia="Times New Roman" w:cs="Times New Roman"/>
                <w:color w:val="000000"/>
                <w:sz w:val="20"/>
                <w:szCs w:val="20"/>
                <w:lang w:eastAsia="sk-SK"/>
              </w:rPr>
            </w:pPr>
            <w:r w:rsidRPr="00FB0A51">
              <w:rPr>
                <w:rFonts w:eastAsia="Times New Roman" w:cs="Times New Roman"/>
                <w:color w:val="000000"/>
                <w:sz w:val="20"/>
                <w:szCs w:val="20"/>
                <w:lang w:eastAsia="sk-SK"/>
              </w:rPr>
              <w:t>320 851</w:t>
            </w:r>
          </w:p>
        </w:tc>
        <w:tc>
          <w:tcPr>
            <w:tcW w:w="702" w:type="pct"/>
            <w:gridSpan w:val="2"/>
            <w:tcBorders>
              <w:top w:val="nil"/>
              <w:left w:val="nil"/>
              <w:bottom w:val="nil"/>
              <w:right w:val="nil"/>
            </w:tcBorders>
            <w:shd w:val="clear" w:color="auto" w:fill="auto"/>
            <w:noWrap/>
            <w:vAlign w:val="center"/>
            <w:hideMark/>
          </w:tcPr>
          <w:p w14:paraId="2A71285C"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244</w:t>
            </w:r>
          </w:p>
        </w:tc>
      </w:tr>
      <w:tr w:rsidR="00614751" w:rsidRPr="00610A3A" w14:paraId="6665E895" w14:textId="77777777" w:rsidTr="007E5EA0">
        <w:trPr>
          <w:trHeight w:val="330"/>
        </w:trPr>
        <w:tc>
          <w:tcPr>
            <w:tcW w:w="2807" w:type="pct"/>
            <w:tcBorders>
              <w:top w:val="nil"/>
              <w:left w:val="nil"/>
              <w:bottom w:val="nil"/>
              <w:right w:val="nil"/>
            </w:tcBorders>
            <w:shd w:val="clear" w:color="auto" w:fill="auto"/>
            <w:noWrap/>
            <w:vAlign w:val="center"/>
            <w:hideMark/>
          </w:tcPr>
          <w:p w14:paraId="1954492F" w14:textId="77777777" w:rsidR="00614751" w:rsidRPr="00FB0A51" w:rsidRDefault="00614751" w:rsidP="004A5585">
            <w:pPr>
              <w:spacing w:after="0" w:line="240" w:lineRule="auto"/>
              <w:jc w:val="left"/>
              <w:rPr>
                <w:rFonts w:eastAsia="Times New Roman" w:cs="Times New Roman"/>
                <w:color w:val="000000"/>
                <w:sz w:val="20"/>
                <w:szCs w:val="20"/>
                <w:lang w:eastAsia="sk-SK"/>
              </w:rPr>
            </w:pPr>
            <w:r w:rsidRPr="00FB0A51">
              <w:rPr>
                <w:rFonts w:eastAsia="Times New Roman" w:cs="Times New Roman"/>
                <w:color w:val="000000"/>
                <w:sz w:val="20"/>
                <w:szCs w:val="20"/>
                <w:lang w:eastAsia="sk-SK"/>
              </w:rPr>
              <w:t>Dane z majetku (nehnuteľnosti)</w:t>
            </w:r>
          </w:p>
        </w:tc>
        <w:tc>
          <w:tcPr>
            <w:tcW w:w="702" w:type="pct"/>
            <w:tcBorders>
              <w:top w:val="nil"/>
              <w:left w:val="nil"/>
              <w:bottom w:val="nil"/>
              <w:right w:val="nil"/>
            </w:tcBorders>
            <w:shd w:val="clear" w:color="auto" w:fill="auto"/>
            <w:noWrap/>
            <w:vAlign w:val="center"/>
            <w:hideMark/>
          </w:tcPr>
          <w:p w14:paraId="51885083"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365 169</w:t>
            </w:r>
          </w:p>
        </w:tc>
        <w:tc>
          <w:tcPr>
            <w:tcW w:w="789" w:type="pct"/>
            <w:gridSpan w:val="2"/>
            <w:tcBorders>
              <w:top w:val="nil"/>
              <w:left w:val="nil"/>
              <w:bottom w:val="nil"/>
              <w:right w:val="nil"/>
            </w:tcBorders>
            <w:shd w:val="clear" w:color="auto" w:fill="auto"/>
            <w:noWrap/>
            <w:vAlign w:val="center"/>
            <w:hideMark/>
          </w:tcPr>
          <w:p w14:paraId="75859385"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354 944</w:t>
            </w:r>
          </w:p>
        </w:tc>
        <w:tc>
          <w:tcPr>
            <w:tcW w:w="702" w:type="pct"/>
            <w:gridSpan w:val="2"/>
            <w:tcBorders>
              <w:top w:val="nil"/>
              <w:left w:val="nil"/>
              <w:bottom w:val="nil"/>
              <w:right w:val="nil"/>
            </w:tcBorders>
            <w:shd w:val="clear" w:color="auto" w:fill="auto"/>
            <w:noWrap/>
            <w:vAlign w:val="center"/>
            <w:hideMark/>
          </w:tcPr>
          <w:p w14:paraId="20793EAB"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-10 225</w:t>
            </w:r>
          </w:p>
        </w:tc>
      </w:tr>
      <w:tr w:rsidR="00614751" w:rsidRPr="00610A3A" w14:paraId="329B72D5" w14:textId="77777777" w:rsidTr="007E5EA0">
        <w:trPr>
          <w:trHeight w:val="330"/>
        </w:trPr>
        <w:tc>
          <w:tcPr>
            <w:tcW w:w="2807" w:type="pct"/>
            <w:tcBorders>
              <w:top w:val="nil"/>
              <w:left w:val="nil"/>
              <w:bottom w:val="nil"/>
              <w:right w:val="nil"/>
            </w:tcBorders>
            <w:shd w:val="clear" w:color="auto" w:fill="auto"/>
            <w:noWrap/>
            <w:vAlign w:val="center"/>
            <w:hideMark/>
          </w:tcPr>
          <w:p w14:paraId="6E987A63" w14:textId="77777777" w:rsidR="00614751" w:rsidRPr="00FB0A51" w:rsidRDefault="00614751" w:rsidP="004A5585">
            <w:pPr>
              <w:spacing w:after="0" w:line="240" w:lineRule="auto"/>
              <w:jc w:val="left"/>
              <w:rPr>
                <w:rFonts w:eastAsia="Times New Roman" w:cs="Times New Roman"/>
                <w:color w:val="000000"/>
                <w:sz w:val="20"/>
                <w:szCs w:val="20"/>
                <w:lang w:eastAsia="sk-SK"/>
              </w:rPr>
            </w:pPr>
            <w:r w:rsidRPr="00FB0A51">
              <w:rPr>
                <w:rFonts w:eastAsia="Times New Roman" w:cs="Times New Roman"/>
                <w:color w:val="000000"/>
                <w:sz w:val="20"/>
                <w:szCs w:val="20"/>
                <w:lang w:eastAsia="sk-SK"/>
              </w:rPr>
              <w:t>Dane z medzinárodného obchodu</w:t>
            </w:r>
          </w:p>
        </w:tc>
        <w:tc>
          <w:tcPr>
            <w:tcW w:w="702" w:type="pct"/>
            <w:tcBorders>
              <w:top w:val="nil"/>
              <w:left w:val="nil"/>
              <w:bottom w:val="nil"/>
              <w:right w:val="nil"/>
            </w:tcBorders>
            <w:shd w:val="clear" w:color="auto" w:fill="auto"/>
            <w:noWrap/>
            <w:vAlign w:val="center"/>
            <w:hideMark/>
          </w:tcPr>
          <w:p w14:paraId="6A9C1522"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25 259</w:t>
            </w:r>
          </w:p>
        </w:tc>
        <w:tc>
          <w:tcPr>
            <w:tcW w:w="789" w:type="pct"/>
            <w:gridSpan w:val="2"/>
            <w:tcBorders>
              <w:top w:val="nil"/>
              <w:left w:val="nil"/>
              <w:bottom w:val="nil"/>
              <w:right w:val="nil"/>
            </w:tcBorders>
            <w:shd w:val="clear" w:color="auto" w:fill="auto"/>
            <w:noWrap/>
            <w:vAlign w:val="center"/>
            <w:hideMark/>
          </w:tcPr>
          <w:p w14:paraId="00E3AC39"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23 365</w:t>
            </w:r>
          </w:p>
        </w:tc>
        <w:tc>
          <w:tcPr>
            <w:tcW w:w="702" w:type="pct"/>
            <w:gridSpan w:val="2"/>
            <w:tcBorders>
              <w:top w:val="nil"/>
              <w:left w:val="nil"/>
              <w:bottom w:val="nil"/>
              <w:right w:val="nil"/>
            </w:tcBorders>
            <w:shd w:val="clear" w:color="auto" w:fill="auto"/>
            <w:noWrap/>
            <w:vAlign w:val="center"/>
            <w:hideMark/>
          </w:tcPr>
          <w:p w14:paraId="3952A547"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-1 894</w:t>
            </w:r>
          </w:p>
        </w:tc>
      </w:tr>
      <w:tr w:rsidR="00614751" w:rsidRPr="00610A3A" w14:paraId="7D1BB332" w14:textId="77777777" w:rsidTr="007E5EA0">
        <w:trPr>
          <w:trHeight w:val="330"/>
        </w:trPr>
        <w:tc>
          <w:tcPr>
            <w:tcW w:w="2807" w:type="pct"/>
            <w:tcBorders>
              <w:top w:val="nil"/>
              <w:left w:val="nil"/>
              <w:bottom w:val="nil"/>
              <w:right w:val="nil"/>
            </w:tcBorders>
            <w:shd w:val="clear" w:color="auto" w:fill="auto"/>
            <w:noWrap/>
            <w:vAlign w:val="center"/>
            <w:hideMark/>
          </w:tcPr>
          <w:p w14:paraId="109112C0" w14:textId="77777777" w:rsidR="00614751" w:rsidRPr="00FB0A51" w:rsidRDefault="00614751" w:rsidP="004A5585">
            <w:pPr>
              <w:spacing w:after="0" w:line="240" w:lineRule="auto"/>
              <w:jc w:val="left"/>
              <w:rPr>
                <w:rFonts w:eastAsia="Times New Roman" w:cs="Times New Roman"/>
                <w:color w:val="000000"/>
                <w:sz w:val="20"/>
                <w:szCs w:val="20"/>
                <w:lang w:eastAsia="sk-SK"/>
              </w:rPr>
            </w:pPr>
            <w:r w:rsidRPr="00FB0A51">
              <w:rPr>
                <w:rFonts w:eastAsia="Times New Roman" w:cs="Times New Roman"/>
                <w:color w:val="000000"/>
                <w:sz w:val="20"/>
                <w:szCs w:val="20"/>
                <w:lang w:eastAsia="sk-SK"/>
              </w:rPr>
              <w:t>Ostatné dane</w:t>
            </w:r>
          </w:p>
        </w:tc>
        <w:tc>
          <w:tcPr>
            <w:tcW w:w="702" w:type="pct"/>
            <w:tcBorders>
              <w:top w:val="nil"/>
              <w:left w:val="nil"/>
              <w:bottom w:val="nil"/>
              <w:right w:val="nil"/>
            </w:tcBorders>
            <w:shd w:val="clear" w:color="auto" w:fill="auto"/>
            <w:noWrap/>
            <w:vAlign w:val="center"/>
            <w:hideMark/>
          </w:tcPr>
          <w:p w14:paraId="2888FA29"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796 688</w:t>
            </w:r>
          </w:p>
        </w:tc>
        <w:tc>
          <w:tcPr>
            <w:tcW w:w="789" w:type="pct"/>
            <w:gridSpan w:val="2"/>
            <w:tcBorders>
              <w:top w:val="nil"/>
              <w:left w:val="nil"/>
              <w:bottom w:val="nil"/>
              <w:right w:val="nil"/>
            </w:tcBorders>
            <w:shd w:val="clear" w:color="auto" w:fill="auto"/>
            <w:noWrap/>
            <w:vAlign w:val="center"/>
            <w:hideMark/>
          </w:tcPr>
          <w:p w14:paraId="29F1C964"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791 041</w:t>
            </w:r>
          </w:p>
        </w:tc>
        <w:tc>
          <w:tcPr>
            <w:tcW w:w="702" w:type="pct"/>
            <w:gridSpan w:val="2"/>
            <w:tcBorders>
              <w:top w:val="nil"/>
              <w:left w:val="nil"/>
              <w:bottom w:val="nil"/>
              <w:right w:val="nil"/>
            </w:tcBorders>
            <w:shd w:val="clear" w:color="auto" w:fill="auto"/>
            <w:noWrap/>
            <w:vAlign w:val="center"/>
            <w:hideMark/>
          </w:tcPr>
          <w:p w14:paraId="3BC7DAA5"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-5 647</w:t>
            </w:r>
          </w:p>
        </w:tc>
      </w:tr>
      <w:tr w:rsidR="00614751" w:rsidRPr="00610A3A" w14:paraId="2EC8BEC5" w14:textId="77777777" w:rsidTr="007E5EA0">
        <w:trPr>
          <w:trHeight w:val="330"/>
        </w:trPr>
        <w:tc>
          <w:tcPr>
            <w:tcW w:w="2807" w:type="pct"/>
            <w:tcBorders>
              <w:top w:val="nil"/>
              <w:left w:val="nil"/>
              <w:bottom w:val="nil"/>
              <w:right w:val="nil"/>
            </w:tcBorders>
            <w:shd w:val="clear" w:color="auto" w:fill="auto"/>
            <w:noWrap/>
            <w:vAlign w:val="center"/>
            <w:hideMark/>
          </w:tcPr>
          <w:p w14:paraId="2AB67B67" w14:textId="77777777" w:rsidR="00614751" w:rsidRPr="00FB0A51" w:rsidRDefault="00614751" w:rsidP="00614751">
            <w:pPr>
              <w:pStyle w:val="Odsekzoznamu"/>
              <w:numPr>
                <w:ilvl w:val="0"/>
                <w:numId w:val="23"/>
              </w:numPr>
              <w:rPr>
                <w:rFonts w:ascii="Times New Roman" w:hAnsi="Times New Roman"/>
                <w:color w:val="000000"/>
                <w:sz w:val="20"/>
                <w:szCs w:val="20"/>
                <w:lang w:eastAsia="sk-SK"/>
              </w:rPr>
            </w:pPr>
            <w:r w:rsidRPr="00FB0A51">
              <w:rPr>
                <w:rFonts w:ascii="Times New Roman" w:hAnsi="Times New Roman"/>
                <w:color w:val="000000"/>
                <w:sz w:val="20"/>
                <w:szCs w:val="20"/>
                <w:lang w:eastAsia="sk-SK"/>
              </w:rPr>
              <w:t>Daň z motorových vozidiel</w:t>
            </w:r>
          </w:p>
        </w:tc>
        <w:tc>
          <w:tcPr>
            <w:tcW w:w="702" w:type="pct"/>
            <w:tcBorders>
              <w:top w:val="nil"/>
              <w:left w:val="nil"/>
              <w:bottom w:val="nil"/>
              <w:right w:val="nil"/>
            </w:tcBorders>
            <w:shd w:val="clear" w:color="auto" w:fill="auto"/>
            <w:noWrap/>
            <w:vAlign w:val="center"/>
            <w:hideMark/>
          </w:tcPr>
          <w:p w14:paraId="35A8EA2C"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160 573</w:t>
            </w:r>
          </w:p>
        </w:tc>
        <w:tc>
          <w:tcPr>
            <w:tcW w:w="789" w:type="pct"/>
            <w:gridSpan w:val="2"/>
            <w:tcBorders>
              <w:top w:val="nil"/>
              <w:left w:val="nil"/>
              <w:bottom w:val="nil"/>
              <w:right w:val="nil"/>
            </w:tcBorders>
            <w:shd w:val="clear" w:color="auto" w:fill="auto"/>
            <w:noWrap/>
            <w:vAlign w:val="center"/>
            <w:hideMark/>
          </w:tcPr>
          <w:p w14:paraId="2C2C65F7"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154 745</w:t>
            </w:r>
          </w:p>
        </w:tc>
        <w:tc>
          <w:tcPr>
            <w:tcW w:w="702" w:type="pct"/>
            <w:gridSpan w:val="2"/>
            <w:tcBorders>
              <w:top w:val="nil"/>
              <w:left w:val="nil"/>
              <w:bottom w:val="nil"/>
              <w:right w:val="nil"/>
            </w:tcBorders>
            <w:shd w:val="clear" w:color="auto" w:fill="auto"/>
            <w:noWrap/>
            <w:vAlign w:val="center"/>
            <w:hideMark/>
          </w:tcPr>
          <w:p w14:paraId="3E506F40"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-5 828</w:t>
            </w:r>
          </w:p>
        </w:tc>
      </w:tr>
      <w:tr w:rsidR="00614751" w:rsidRPr="00610A3A" w14:paraId="2782B3D0" w14:textId="77777777" w:rsidTr="007E5EA0">
        <w:trPr>
          <w:trHeight w:val="330"/>
        </w:trPr>
        <w:tc>
          <w:tcPr>
            <w:tcW w:w="2807" w:type="pct"/>
            <w:tcBorders>
              <w:top w:val="nil"/>
              <w:left w:val="nil"/>
              <w:bottom w:val="nil"/>
              <w:right w:val="nil"/>
            </w:tcBorders>
            <w:shd w:val="clear" w:color="auto" w:fill="auto"/>
            <w:noWrap/>
            <w:vAlign w:val="center"/>
            <w:hideMark/>
          </w:tcPr>
          <w:p w14:paraId="664B6135" w14:textId="77777777" w:rsidR="00614751" w:rsidRPr="00FB0A51" w:rsidRDefault="00614751" w:rsidP="00614751">
            <w:pPr>
              <w:pStyle w:val="Odsekzoznamu"/>
              <w:numPr>
                <w:ilvl w:val="0"/>
                <w:numId w:val="23"/>
              </w:numPr>
              <w:rPr>
                <w:rFonts w:ascii="Times New Roman" w:hAnsi="Times New Roman"/>
                <w:color w:val="000000"/>
                <w:sz w:val="20"/>
                <w:szCs w:val="20"/>
                <w:lang w:eastAsia="sk-SK"/>
              </w:rPr>
            </w:pPr>
            <w:r w:rsidRPr="00FB0A51">
              <w:rPr>
                <w:rFonts w:ascii="Times New Roman" w:hAnsi="Times New Roman"/>
                <w:color w:val="000000"/>
                <w:sz w:val="20"/>
                <w:szCs w:val="20"/>
                <w:lang w:eastAsia="sk-SK"/>
              </w:rPr>
              <w:t xml:space="preserve">Osobitný odvod z podnikania v regulovaných odvetviach </w:t>
            </w:r>
          </w:p>
        </w:tc>
        <w:tc>
          <w:tcPr>
            <w:tcW w:w="702" w:type="pct"/>
            <w:tcBorders>
              <w:top w:val="nil"/>
              <w:left w:val="nil"/>
              <w:bottom w:val="nil"/>
              <w:right w:val="nil"/>
            </w:tcBorders>
            <w:shd w:val="clear" w:color="auto" w:fill="auto"/>
            <w:noWrap/>
            <w:vAlign w:val="center"/>
            <w:hideMark/>
          </w:tcPr>
          <w:p w14:paraId="74DD1FB1"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175 653</w:t>
            </w:r>
          </w:p>
        </w:tc>
        <w:tc>
          <w:tcPr>
            <w:tcW w:w="789" w:type="pct"/>
            <w:gridSpan w:val="2"/>
            <w:tcBorders>
              <w:top w:val="nil"/>
              <w:left w:val="nil"/>
              <w:bottom w:val="nil"/>
              <w:right w:val="nil"/>
            </w:tcBorders>
            <w:shd w:val="clear" w:color="auto" w:fill="auto"/>
            <w:noWrap/>
            <w:vAlign w:val="center"/>
            <w:hideMark/>
          </w:tcPr>
          <w:p w14:paraId="6215C9A7"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160 222</w:t>
            </w:r>
          </w:p>
        </w:tc>
        <w:tc>
          <w:tcPr>
            <w:tcW w:w="702" w:type="pct"/>
            <w:gridSpan w:val="2"/>
            <w:tcBorders>
              <w:top w:val="nil"/>
              <w:left w:val="nil"/>
              <w:bottom w:val="nil"/>
              <w:right w:val="nil"/>
            </w:tcBorders>
            <w:shd w:val="clear" w:color="auto" w:fill="auto"/>
            <w:noWrap/>
            <w:vAlign w:val="center"/>
            <w:hideMark/>
          </w:tcPr>
          <w:p w14:paraId="78E5EB59"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-15 431</w:t>
            </w:r>
          </w:p>
        </w:tc>
      </w:tr>
      <w:tr w:rsidR="00614751" w:rsidRPr="00610A3A" w14:paraId="199C9DFE" w14:textId="77777777" w:rsidTr="007E5EA0">
        <w:trPr>
          <w:trHeight w:val="330"/>
        </w:trPr>
        <w:tc>
          <w:tcPr>
            <w:tcW w:w="2807" w:type="pct"/>
            <w:tcBorders>
              <w:top w:val="nil"/>
              <w:left w:val="nil"/>
              <w:bottom w:val="nil"/>
              <w:right w:val="nil"/>
            </w:tcBorders>
            <w:shd w:val="clear" w:color="auto" w:fill="auto"/>
            <w:noWrap/>
            <w:vAlign w:val="center"/>
            <w:hideMark/>
          </w:tcPr>
          <w:p w14:paraId="5C38FD6A" w14:textId="1319D92C" w:rsidR="00614751" w:rsidRPr="00FB0A51" w:rsidRDefault="00614751" w:rsidP="00614751">
            <w:pPr>
              <w:pStyle w:val="Odsekzoznamu"/>
              <w:numPr>
                <w:ilvl w:val="0"/>
                <w:numId w:val="23"/>
              </w:numPr>
              <w:rPr>
                <w:rFonts w:ascii="Times New Roman" w:hAnsi="Times New Roman"/>
                <w:color w:val="000000"/>
                <w:sz w:val="20"/>
                <w:szCs w:val="20"/>
                <w:lang w:eastAsia="sk-SK"/>
              </w:rPr>
            </w:pPr>
            <w:r w:rsidRPr="00FB0A51">
              <w:rPr>
                <w:rFonts w:ascii="Times New Roman" w:hAnsi="Times New Roman"/>
                <w:color w:val="000000"/>
                <w:sz w:val="20"/>
                <w:szCs w:val="20"/>
                <w:lang w:eastAsia="sk-SK"/>
              </w:rPr>
              <w:t>Osobitný odvod vybraných finančných inštitúcií</w:t>
            </w:r>
          </w:p>
        </w:tc>
        <w:tc>
          <w:tcPr>
            <w:tcW w:w="702" w:type="pct"/>
            <w:tcBorders>
              <w:top w:val="nil"/>
              <w:left w:val="nil"/>
              <w:bottom w:val="nil"/>
              <w:right w:val="nil"/>
            </w:tcBorders>
            <w:shd w:val="clear" w:color="auto" w:fill="auto"/>
            <w:noWrap/>
            <w:vAlign w:val="center"/>
            <w:hideMark/>
          </w:tcPr>
          <w:p w14:paraId="115EB6F5"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133 646</w:t>
            </w:r>
          </w:p>
        </w:tc>
        <w:tc>
          <w:tcPr>
            <w:tcW w:w="789" w:type="pct"/>
            <w:gridSpan w:val="2"/>
            <w:tcBorders>
              <w:top w:val="nil"/>
              <w:left w:val="nil"/>
              <w:bottom w:val="nil"/>
              <w:right w:val="nil"/>
            </w:tcBorders>
            <w:shd w:val="clear" w:color="auto" w:fill="auto"/>
            <w:noWrap/>
            <w:vAlign w:val="center"/>
            <w:hideMark/>
          </w:tcPr>
          <w:p w14:paraId="799D9A9C"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134 177</w:t>
            </w:r>
          </w:p>
        </w:tc>
        <w:tc>
          <w:tcPr>
            <w:tcW w:w="702" w:type="pct"/>
            <w:gridSpan w:val="2"/>
            <w:tcBorders>
              <w:top w:val="nil"/>
              <w:left w:val="nil"/>
              <w:bottom w:val="nil"/>
              <w:right w:val="nil"/>
            </w:tcBorders>
            <w:shd w:val="clear" w:color="auto" w:fill="auto"/>
            <w:noWrap/>
            <w:vAlign w:val="center"/>
            <w:hideMark/>
          </w:tcPr>
          <w:p w14:paraId="2E41490F"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531</w:t>
            </w:r>
          </w:p>
        </w:tc>
      </w:tr>
      <w:tr w:rsidR="00614751" w:rsidRPr="00610A3A" w14:paraId="564BCBE3" w14:textId="77777777" w:rsidTr="007E5EA0">
        <w:trPr>
          <w:trHeight w:val="330"/>
        </w:trPr>
        <w:tc>
          <w:tcPr>
            <w:tcW w:w="2807" w:type="pct"/>
            <w:tcBorders>
              <w:top w:val="nil"/>
              <w:left w:val="nil"/>
              <w:bottom w:val="single" w:sz="4" w:space="0" w:color="auto"/>
              <w:right w:val="nil"/>
            </w:tcBorders>
            <w:shd w:val="clear" w:color="auto" w:fill="auto"/>
            <w:noWrap/>
            <w:vAlign w:val="center"/>
            <w:hideMark/>
          </w:tcPr>
          <w:p w14:paraId="2865CF13" w14:textId="77777777" w:rsidR="00614751" w:rsidRPr="00FB0A51" w:rsidRDefault="00614751" w:rsidP="00614751">
            <w:pPr>
              <w:pStyle w:val="Odsekzoznamu"/>
              <w:numPr>
                <w:ilvl w:val="0"/>
                <w:numId w:val="23"/>
              </w:numPr>
              <w:rPr>
                <w:rFonts w:ascii="Times New Roman" w:hAnsi="Times New Roman"/>
                <w:color w:val="000000"/>
                <w:sz w:val="20"/>
                <w:szCs w:val="20"/>
                <w:lang w:eastAsia="sk-SK"/>
              </w:rPr>
            </w:pPr>
            <w:r w:rsidRPr="00FB0A51">
              <w:rPr>
                <w:rFonts w:ascii="Times New Roman" w:hAnsi="Times New Roman"/>
                <w:color w:val="000000"/>
                <w:sz w:val="20"/>
                <w:szCs w:val="20"/>
                <w:lang w:eastAsia="sk-SK"/>
              </w:rPr>
              <w:t>Ostatné</w:t>
            </w:r>
          </w:p>
        </w:tc>
        <w:tc>
          <w:tcPr>
            <w:tcW w:w="702" w:type="pct"/>
            <w:tcBorders>
              <w:top w:val="nil"/>
              <w:left w:val="nil"/>
              <w:bottom w:val="single" w:sz="4" w:space="0" w:color="auto"/>
              <w:right w:val="nil"/>
            </w:tcBorders>
            <w:shd w:val="clear" w:color="auto" w:fill="auto"/>
            <w:noWrap/>
            <w:vAlign w:val="center"/>
            <w:hideMark/>
          </w:tcPr>
          <w:p w14:paraId="64C5CF69"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326 816</w:t>
            </w:r>
          </w:p>
        </w:tc>
        <w:tc>
          <w:tcPr>
            <w:tcW w:w="789" w:type="pct"/>
            <w:gridSpan w:val="2"/>
            <w:tcBorders>
              <w:top w:val="nil"/>
              <w:left w:val="nil"/>
              <w:bottom w:val="single" w:sz="4" w:space="0" w:color="auto"/>
              <w:right w:val="nil"/>
            </w:tcBorders>
            <w:shd w:val="clear" w:color="auto" w:fill="auto"/>
            <w:noWrap/>
            <w:vAlign w:val="center"/>
            <w:hideMark/>
          </w:tcPr>
          <w:p w14:paraId="13B2E23D"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341 897</w:t>
            </w:r>
          </w:p>
        </w:tc>
        <w:tc>
          <w:tcPr>
            <w:tcW w:w="702" w:type="pct"/>
            <w:gridSpan w:val="2"/>
            <w:tcBorders>
              <w:top w:val="nil"/>
              <w:left w:val="nil"/>
              <w:bottom w:val="single" w:sz="4" w:space="0" w:color="auto"/>
              <w:right w:val="nil"/>
            </w:tcBorders>
            <w:shd w:val="clear" w:color="auto" w:fill="auto"/>
            <w:noWrap/>
            <w:vAlign w:val="center"/>
            <w:hideMark/>
          </w:tcPr>
          <w:p w14:paraId="509DF1A3"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15 081</w:t>
            </w:r>
          </w:p>
        </w:tc>
      </w:tr>
      <w:tr w:rsidR="00614751" w:rsidRPr="00610A3A" w14:paraId="4D43112A" w14:textId="77777777" w:rsidTr="007E5EA0">
        <w:trPr>
          <w:trHeight w:val="330"/>
        </w:trPr>
        <w:tc>
          <w:tcPr>
            <w:tcW w:w="2807" w:type="pct"/>
            <w:tcBorders>
              <w:top w:val="nil"/>
              <w:left w:val="nil"/>
              <w:bottom w:val="single" w:sz="4" w:space="0" w:color="auto"/>
              <w:right w:val="nil"/>
            </w:tcBorders>
            <w:shd w:val="clear" w:color="auto" w:fill="auto"/>
            <w:noWrap/>
            <w:vAlign w:val="center"/>
            <w:hideMark/>
          </w:tcPr>
          <w:p w14:paraId="34D99CDB" w14:textId="77777777" w:rsidR="00614751" w:rsidRPr="00FB0A51" w:rsidRDefault="00614751" w:rsidP="004A5585">
            <w:pPr>
              <w:spacing w:after="0" w:line="240" w:lineRule="auto"/>
              <w:jc w:val="left"/>
              <w:rPr>
                <w:rFonts w:eastAsia="Times New Roman" w:cs="Times New Roman"/>
                <w:b/>
                <w:bCs/>
                <w:color w:val="000000"/>
                <w:sz w:val="20"/>
                <w:szCs w:val="20"/>
                <w:lang w:eastAsia="sk-SK"/>
              </w:rPr>
            </w:pPr>
            <w:r w:rsidRPr="00FB0A51">
              <w:rPr>
                <w:rFonts w:eastAsia="Times New Roman" w:cs="Times New Roman"/>
                <w:b/>
                <w:bCs/>
                <w:color w:val="000000"/>
                <w:sz w:val="20"/>
                <w:szCs w:val="20"/>
                <w:lang w:eastAsia="sk-SK"/>
              </w:rPr>
              <w:t>Daňové príjmy vrátane sankcií</w:t>
            </w:r>
          </w:p>
        </w:tc>
        <w:tc>
          <w:tcPr>
            <w:tcW w:w="702" w:type="pct"/>
            <w:tcBorders>
              <w:top w:val="nil"/>
              <w:left w:val="nil"/>
              <w:bottom w:val="single" w:sz="4" w:space="0" w:color="auto"/>
              <w:right w:val="nil"/>
            </w:tcBorders>
            <w:shd w:val="clear" w:color="auto" w:fill="auto"/>
            <w:noWrap/>
            <w:vAlign w:val="center"/>
            <w:hideMark/>
          </w:tcPr>
          <w:p w14:paraId="1B634BC9" w14:textId="77777777" w:rsidR="00614751" w:rsidRPr="00FB0A51" w:rsidRDefault="00614751" w:rsidP="004A5585">
            <w:pPr>
              <w:spacing w:after="0" w:line="240" w:lineRule="auto"/>
              <w:jc w:val="right"/>
              <w:rPr>
                <w:rFonts w:eastAsia="Times New Roman" w:cs="Times New Roman"/>
                <w:b/>
                <w:bCs/>
                <w:sz w:val="20"/>
                <w:szCs w:val="20"/>
                <w:lang w:eastAsia="sk-SK"/>
              </w:rPr>
            </w:pPr>
            <w:r w:rsidRPr="00FB0A51">
              <w:rPr>
                <w:rFonts w:eastAsia="Times New Roman" w:cs="Times New Roman"/>
                <w:b/>
                <w:bCs/>
                <w:sz w:val="20"/>
                <w:szCs w:val="20"/>
                <w:lang w:eastAsia="sk-SK"/>
              </w:rPr>
              <w:t>15 570 864</w:t>
            </w:r>
          </w:p>
        </w:tc>
        <w:tc>
          <w:tcPr>
            <w:tcW w:w="789" w:type="pct"/>
            <w:gridSpan w:val="2"/>
            <w:tcBorders>
              <w:top w:val="nil"/>
              <w:left w:val="nil"/>
              <w:bottom w:val="single" w:sz="4" w:space="0" w:color="auto"/>
              <w:right w:val="nil"/>
            </w:tcBorders>
            <w:shd w:val="clear" w:color="auto" w:fill="auto"/>
            <w:noWrap/>
            <w:vAlign w:val="center"/>
            <w:hideMark/>
          </w:tcPr>
          <w:p w14:paraId="4B5F29C6" w14:textId="77777777" w:rsidR="00614751" w:rsidRPr="00FB0A51" w:rsidRDefault="00614751" w:rsidP="004A5585">
            <w:pPr>
              <w:spacing w:after="0" w:line="240" w:lineRule="auto"/>
              <w:jc w:val="right"/>
              <w:rPr>
                <w:rFonts w:eastAsia="Times New Roman" w:cs="Times New Roman"/>
                <w:b/>
                <w:bCs/>
                <w:sz w:val="20"/>
                <w:szCs w:val="20"/>
                <w:lang w:eastAsia="sk-SK"/>
              </w:rPr>
            </w:pPr>
            <w:r w:rsidRPr="00FB0A51">
              <w:rPr>
                <w:rFonts w:eastAsia="Times New Roman" w:cs="Times New Roman"/>
                <w:b/>
                <w:bCs/>
                <w:sz w:val="20"/>
                <w:szCs w:val="20"/>
                <w:lang w:eastAsia="sk-SK"/>
              </w:rPr>
              <w:t>15 966 485</w:t>
            </w:r>
          </w:p>
        </w:tc>
        <w:tc>
          <w:tcPr>
            <w:tcW w:w="702" w:type="pct"/>
            <w:gridSpan w:val="2"/>
            <w:tcBorders>
              <w:top w:val="nil"/>
              <w:left w:val="nil"/>
              <w:bottom w:val="single" w:sz="4" w:space="0" w:color="auto"/>
              <w:right w:val="nil"/>
            </w:tcBorders>
            <w:shd w:val="clear" w:color="auto" w:fill="auto"/>
            <w:noWrap/>
            <w:vAlign w:val="center"/>
            <w:hideMark/>
          </w:tcPr>
          <w:p w14:paraId="1CD25CE9" w14:textId="77777777" w:rsidR="00614751" w:rsidRPr="00FB0A51" w:rsidRDefault="00614751" w:rsidP="004A5585">
            <w:pPr>
              <w:spacing w:after="0" w:line="240" w:lineRule="auto"/>
              <w:jc w:val="right"/>
              <w:rPr>
                <w:rFonts w:eastAsia="Times New Roman" w:cs="Times New Roman"/>
                <w:b/>
                <w:bCs/>
                <w:sz w:val="20"/>
                <w:szCs w:val="20"/>
                <w:lang w:eastAsia="sk-SK"/>
              </w:rPr>
            </w:pPr>
            <w:r w:rsidRPr="00FB0A51">
              <w:rPr>
                <w:rFonts w:eastAsia="Times New Roman" w:cs="Times New Roman"/>
                <w:b/>
                <w:bCs/>
                <w:sz w:val="20"/>
                <w:szCs w:val="20"/>
                <w:lang w:eastAsia="sk-SK"/>
              </w:rPr>
              <w:t>395 621</w:t>
            </w:r>
          </w:p>
        </w:tc>
      </w:tr>
      <w:tr w:rsidR="00614751" w:rsidRPr="00610A3A" w14:paraId="7579A8E8" w14:textId="77777777" w:rsidTr="007E5EA0">
        <w:trPr>
          <w:trHeight w:val="330"/>
        </w:trPr>
        <w:tc>
          <w:tcPr>
            <w:tcW w:w="2807" w:type="pct"/>
            <w:tcBorders>
              <w:top w:val="nil"/>
              <w:left w:val="nil"/>
              <w:right w:val="nil"/>
            </w:tcBorders>
            <w:shd w:val="clear" w:color="auto" w:fill="auto"/>
            <w:noWrap/>
            <w:vAlign w:val="center"/>
            <w:hideMark/>
          </w:tcPr>
          <w:p w14:paraId="20F64CC7" w14:textId="77777777" w:rsidR="00614751" w:rsidRPr="00FB0A51" w:rsidRDefault="00614751" w:rsidP="004A5585">
            <w:pPr>
              <w:spacing w:after="0" w:line="240" w:lineRule="auto"/>
              <w:ind w:firstLineChars="200" w:firstLine="400"/>
              <w:jc w:val="left"/>
              <w:rPr>
                <w:rFonts w:eastAsia="Times New Roman" w:cs="Times New Roman"/>
                <w:color w:val="000000"/>
                <w:sz w:val="20"/>
                <w:szCs w:val="20"/>
                <w:lang w:eastAsia="sk-SK"/>
              </w:rPr>
            </w:pPr>
            <w:r w:rsidRPr="00FB0A51">
              <w:rPr>
                <w:rFonts w:eastAsia="Times New Roman" w:cs="Times New Roman"/>
                <w:color w:val="000000"/>
                <w:sz w:val="20"/>
                <w:szCs w:val="20"/>
                <w:lang w:eastAsia="sk-SK"/>
              </w:rPr>
              <w:t xml:space="preserve">Sociálne odvody (EAO </w:t>
            </w:r>
            <w:r w:rsidRPr="00FB0A51">
              <w:rPr>
                <w:rFonts w:eastAsia="Times New Roman" w:cs="Times New Roman"/>
                <w:color w:val="000000"/>
                <w:sz w:val="20"/>
                <w:szCs w:val="20"/>
                <w:lang w:val="en-US" w:eastAsia="sk-SK"/>
              </w:rPr>
              <w:t>+</w:t>
            </w:r>
            <w:r w:rsidRPr="00FB0A51">
              <w:rPr>
                <w:rFonts w:eastAsia="Times New Roman" w:cs="Times New Roman"/>
                <w:color w:val="000000"/>
                <w:sz w:val="20"/>
                <w:szCs w:val="20"/>
                <w:lang w:eastAsia="sk-SK"/>
              </w:rPr>
              <w:t xml:space="preserve"> dlžné)</w:t>
            </w:r>
          </w:p>
        </w:tc>
        <w:tc>
          <w:tcPr>
            <w:tcW w:w="702" w:type="pct"/>
            <w:tcBorders>
              <w:top w:val="nil"/>
              <w:left w:val="nil"/>
              <w:right w:val="nil"/>
            </w:tcBorders>
            <w:shd w:val="clear" w:color="auto" w:fill="auto"/>
            <w:noWrap/>
            <w:vAlign w:val="center"/>
            <w:hideMark/>
          </w:tcPr>
          <w:p w14:paraId="23EC43F0"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7 458 232</w:t>
            </w:r>
          </w:p>
        </w:tc>
        <w:tc>
          <w:tcPr>
            <w:tcW w:w="789" w:type="pct"/>
            <w:gridSpan w:val="2"/>
            <w:tcBorders>
              <w:top w:val="nil"/>
              <w:left w:val="nil"/>
              <w:right w:val="nil"/>
            </w:tcBorders>
            <w:shd w:val="clear" w:color="auto" w:fill="auto"/>
            <w:noWrap/>
            <w:vAlign w:val="center"/>
            <w:hideMark/>
          </w:tcPr>
          <w:p w14:paraId="39F71944"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7 848 939</w:t>
            </w:r>
          </w:p>
        </w:tc>
        <w:tc>
          <w:tcPr>
            <w:tcW w:w="702" w:type="pct"/>
            <w:gridSpan w:val="2"/>
            <w:tcBorders>
              <w:top w:val="nil"/>
              <w:left w:val="nil"/>
              <w:right w:val="nil"/>
            </w:tcBorders>
            <w:shd w:val="clear" w:color="auto" w:fill="auto"/>
            <w:noWrap/>
            <w:vAlign w:val="center"/>
            <w:hideMark/>
          </w:tcPr>
          <w:p w14:paraId="57911FB1"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390 707</w:t>
            </w:r>
          </w:p>
        </w:tc>
      </w:tr>
      <w:tr w:rsidR="00614751" w:rsidRPr="00610A3A" w14:paraId="43529D13" w14:textId="77777777" w:rsidTr="007E5EA0">
        <w:trPr>
          <w:trHeight w:val="330"/>
        </w:trPr>
        <w:tc>
          <w:tcPr>
            <w:tcW w:w="2807" w:type="pct"/>
            <w:tcBorders>
              <w:top w:val="nil"/>
              <w:left w:val="nil"/>
              <w:bottom w:val="single" w:sz="4" w:space="0" w:color="auto"/>
              <w:right w:val="nil"/>
            </w:tcBorders>
            <w:shd w:val="clear" w:color="auto" w:fill="auto"/>
            <w:noWrap/>
            <w:vAlign w:val="center"/>
            <w:hideMark/>
          </w:tcPr>
          <w:p w14:paraId="5751C3CA" w14:textId="77777777" w:rsidR="00614751" w:rsidRPr="00FB0A51" w:rsidRDefault="00614751" w:rsidP="004A5585">
            <w:pPr>
              <w:spacing w:after="0" w:line="240" w:lineRule="auto"/>
              <w:ind w:firstLineChars="200" w:firstLine="400"/>
              <w:jc w:val="left"/>
              <w:rPr>
                <w:rFonts w:eastAsia="Times New Roman" w:cs="Times New Roman"/>
                <w:color w:val="000000"/>
                <w:sz w:val="20"/>
                <w:szCs w:val="20"/>
                <w:lang w:eastAsia="sk-SK"/>
              </w:rPr>
            </w:pPr>
            <w:r w:rsidRPr="00FB0A51">
              <w:rPr>
                <w:rFonts w:eastAsia="Times New Roman" w:cs="Times New Roman"/>
                <w:color w:val="000000"/>
                <w:sz w:val="20"/>
                <w:szCs w:val="20"/>
                <w:lang w:eastAsia="sk-SK"/>
              </w:rPr>
              <w:t xml:space="preserve">Zdravotné odvody (EAO </w:t>
            </w:r>
            <w:r w:rsidRPr="00FB0A51">
              <w:rPr>
                <w:rFonts w:eastAsia="Times New Roman" w:cs="Times New Roman"/>
                <w:color w:val="000000"/>
                <w:sz w:val="20"/>
                <w:szCs w:val="20"/>
                <w:lang w:val="en-US" w:eastAsia="sk-SK"/>
              </w:rPr>
              <w:t>+</w:t>
            </w:r>
            <w:r w:rsidRPr="00FB0A51">
              <w:rPr>
                <w:rFonts w:eastAsia="Times New Roman" w:cs="Times New Roman"/>
                <w:color w:val="000000"/>
                <w:sz w:val="20"/>
                <w:szCs w:val="20"/>
                <w:lang w:eastAsia="sk-SK"/>
              </w:rPr>
              <w:t xml:space="preserve"> dlžné)</w:t>
            </w:r>
          </w:p>
        </w:tc>
        <w:tc>
          <w:tcPr>
            <w:tcW w:w="702" w:type="pct"/>
            <w:tcBorders>
              <w:top w:val="nil"/>
              <w:left w:val="nil"/>
              <w:bottom w:val="single" w:sz="4" w:space="0" w:color="auto"/>
              <w:right w:val="nil"/>
            </w:tcBorders>
            <w:shd w:val="clear" w:color="auto" w:fill="auto"/>
            <w:noWrap/>
            <w:vAlign w:val="center"/>
            <w:hideMark/>
          </w:tcPr>
          <w:p w14:paraId="76D111CB"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3 553 004</w:t>
            </w:r>
          </w:p>
        </w:tc>
        <w:tc>
          <w:tcPr>
            <w:tcW w:w="789" w:type="pct"/>
            <w:gridSpan w:val="2"/>
            <w:tcBorders>
              <w:top w:val="nil"/>
              <w:left w:val="nil"/>
              <w:bottom w:val="single" w:sz="4" w:space="0" w:color="auto"/>
              <w:right w:val="nil"/>
            </w:tcBorders>
            <w:shd w:val="clear" w:color="auto" w:fill="auto"/>
            <w:noWrap/>
            <w:vAlign w:val="center"/>
            <w:hideMark/>
          </w:tcPr>
          <w:p w14:paraId="4DA48AC9"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3 650 635</w:t>
            </w:r>
          </w:p>
        </w:tc>
        <w:tc>
          <w:tcPr>
            <w:tcW w:w="702" w:type="pct"/>
            <w:gridSpan w:val="2"/>
            <w:tcBorders>
              <w:top w:val="nil"/>
              <w:left w:val="nil"/>
              <w:bottom w:val="single" w:sz="4" w:space="0" w:color="auto"/>
              <w:right w:val="nil"/>
            </w:tcBorders>
            <w:shd w:val="clear" w:color="auto" w:fill="auto"/>
            <w:noWrap/>
            <w:vAlign w:val="center"/>
            <w:hideMark/>
          </w:tcPr>
          <w:p w14:paraId="3C6D2C8B" w14:textId="77777777" w:rsidR="00614751" w:rsidRPr="00FB0A51" w:rsidRDefault="00614751" w:rsidP="004A5585">
            <w:pPr>
              <w:spacing w:after="0" w:line="240" w:lineRule="auto"/>
              <w:jc w:val="right"/>
              <w:rPr>
                <w:rFonts w:eastAsia="Times New Roman" w:cs="Times New Roman"/>
                <w:sz w:val="20"/>
                <w:szCs w:val="20"/>
                <w:lang w:eastAsia="sk-SK"/>
              </w:rPr>
            </w:pPr>
            <w:r w:rsidRPr="00FB0A51">
              <w:rPr>
                <w:rFonts w:eastAsia="Times New Roman" w:cs="Times New Roman"/>
                <w:sz w:val="20"/>
                <w:szCs w:val="20"/>
                <w:lang w:eastAsia="sk-SK"/>
              </w:rPr>
              <w:t>97 631</w:t>
            </w:r>
          </w:p>
        </w:tc>
      </w:tr>
      <w:tr w:rsidR="00614751" w:rsidRPr="00610A3A" w14:paraId="73BA8C2E" w14:textId="77777777" w:rsidTr="007E5EA0">
        <w:trPr>
          <w:trHeight w:val="330"/>
        </w:trPr>
        <w:tc>
          <w:tcPr>
            <w:tcW w:w="2807" w:type="pct"/>
            <w:tcBorders>
              <w:top w:val="single" w:sz="4" w:space="0" w:color="auto"/>
              <w:left w:val="nil"/>
              <w:bottom w:val="single" w:sz="4" w:space="0" w:color="auto"/>
              <w:right w:val="nil"/>
            </w:tcBorders>
            <w:shd w:val="clear" w:color="auto" w:fill="auto"/>
            <w:noWrap/>
            <w:vAlign w:val="center"/>
            <w:hideMark/>
          </w:tcPr>
          <w:p w14:paraId="5360ADCE" w14:textId="77777777" w:rsidR="00614751" w:rsidRPr="00FB0A51" w:rsidRDefault="00614751" w:rsidP="004A5585">
            <w:pPr>
              <w:spacing w:after="0" w:line="240" w:lineRule="auto"/>
              <w:jc w:val="left"/>
              <w:rPr>
                <w:rFonts w:eastAsia="Times New Roman" w:cs="Times New Roman"/>
                <w:b/>
                <w:bCs/>
                <w:color w:val="000000"/>
                <w:sz w:val="20"/>
                <w:szCs w:val="20"/>
                <w:lang w:eastAsia="sk-SK"/>
              </w:rPr>
            </w:pPr>
            <w:r w:rsidRPr="00FB0A51">
              <w:rPr>
                <w:rFonts w:eastAsia="Times New Roman" w:cs="Times New Roman"/>
                <w:b/>
                <w:bCs/>
                <w:color w:val="000000"/>
                <w:sz w:val="20"/>
                <w:szCs w:val="20"/>
                <w:lang w:eastAsia="sk-SK"/>
              </w:rPr>
              <w:t>FSZ</w:t>
            </w:r>
          </w:p>
        </w:tc>
        <w:tc>
          <w:tcPr>
            <w:tcW w:w="702" w:type="pct"/>
            <w:tcBorders>
              <w:top w:val="single" w:sz="4" w:space="0" w:color="auto"/>
              <w:left w:val="nil"/>
              <w:bottom w:val="single" w:sz="4" w:space="0" w:color="auto"/>
              <w:right w:val="nil"/>
            </w:tcBorders>
            <w:shd w:val="clear" w:color="auto" w:fill="auto"/>
            <w:noWrap/>
            <w:vAlign w:val="center"/>
            <w:hideMark/>
          </w:tcPr>
          <w:p w14:paraId="3EF891C0" w14:textId="77777777" w:rsidR="00614751" w:rsidRPr="00FB0A51" w:rsidRDefault="00614751" w:rsidP="004A5585">
            <w:pPr>
              <w:spacing w:after="0" w:line="240" w:lineRule="auto"/>
              <w:jc w:val="right"/>
              <w:rPr>
                <w:rFonts w:eastAsia="Times New Roman" w:cs="Times New Roman"/>
                <w:b/>
                <w:bCs/>
                <w:sz w:val="20"/>
                <w:szCs w:val="20"/>
                <w:lang w:eastAsia="sk-SK"/>
              </w:rPr>
            </w:pPr>
            <w:r w:rsidRPr="00FB0A51">
              <w:rPr>
                <w:rFonts w:eastAsia="Times New Roman" w:cs="Times New Roman"/>
                <w:b/>
                <w:bCs/>
                <w:sz w:val="20"/>
                <w:szCs w:val="20"/>
                <w:lang w:eastAsia="sk-SK"/>
              </w:rPr>
              <w:t>11 011 236</w:t>
            </w:r>
          </w:p>
        </w:tc>
        <w:tc>
          <w:tcPr>
            <w:tcW w:w="789" w:type="pct"/>
            <w:gridSpan w:val="2"/>
            <w:tcBorders>
              <w:top w:val="single" w:sz="4" w:space="0" w:color="auto"/>
              <w:left w:val="nil"/>
              <w:bottom w:val="single" w:sz="4" w:space="0" w:color="auto"/>
              <w:right w:val="nil"/>
            </w:tcBorders>
            <w:shd w:val="clear" w:color="auto" w:fill="auto"/>
            <w:noWrap/>
            <w:vAlign w:val="center"/>
            <w:hideMark/>
          </w:tcPr>
          <w:p w14:paraId="60FC4B63" w14:textId="77777777" w:rsidR="00614751" w:rsidRPr="00FB0A51" w:rsidRDefault="00614751" w:rsidP="004A5585">
            <w:pPr>
              <w:spacing w:after="0" w:line="240" w:lineRule="auto"/>
              <w:jc w:val="right"/>
              <w:rPr>
                <w:rFonts w:eastAsia="Times New Roman" w:cs="Times New Roman"/>
                <w:b/>
                <w:bCs/>
                <w:sz w:val="20"/>
                <w:szCs w:val="20"/>
                <w:lang w:eastAsia="sk-SK"/>
              </w:rPr>
            </w:pPr>
            <w:r w:rsidRPr="00FB0A51">
              <w:rPr>
                <w:rFonts w:eastAsia="Times New Roman" w:cs="Times New Roman"/>
                <w:b/>
                <w:bCs/>
                <w:sz w:val="20"/>
                <w:szCs w:val="20"/>
                <w:lang w:eastAsia="sk-SK"/>
              </w:rPr>
              <w:t>11 499 575</w:t>
            </w:r>
          </w:p>
        </w:tc>
        <w:tc>
          <w:tcPr>
            <w:tcW w:w="702" w:type="pct"/>
            <w:gridSpan w:val="2"/>
            <w:tcBorders>
              <w:top w:val="single" w:sz="4" w:space="0" w:color="auto"/>
              <w:left w:val="nil"/>
              <w:bottom w:val="single" w:sz="4" w:space="0" w:color="auto"/>
              <w:right w:val="nil"/>
            </w:tcBorders>
            <w:shd w:val="clear" w:color="auto" w:fill="auto"/>
            <w:noWrap/>
            <w:vAlign w:val="center"/>
            <w:hideMark/>
          </w:tcPr>
          <w:p w14:paraId="49E51099" w14:textId="77777777" w:rsidR="00614751" w:rsidRPr="00FB0A51" w:rsidRDefault="00614751" w:rsidP="004A5585">
            <w:pPr>
              <w:spacing w:after="0" w:line="240" w:lineRule="auto"/>
              <w:jc w:val="right"/>
              <w:rPr>
                <w:rFonts w:eastAsia="Times New Roman" w:cs="Times New Roman"/>
                <w:b/>
                <w:bCs/>
                <w:sz w:val="20"/>
                <w:szCs w:val="20"/>
                <w:lang w:eastAsia="sk-SK"/>
              </w:rPr>
            </w:pPr>
            <w:r w:rsidRPr="00FB0A51">
              <w:rPr>
                <w:rFonts w:eastAsia="Times New Roman" w:cs="Times New Roman"/>
                <w:b/>
                <w:bCs/>
                <w:sz w:val="20"/>
                <w:szCs w:val="20"/>
                <w:lang w:eastAsia="sk-SK"/>
              </w:rPr>
              <w:t>488 339</w:t>
            </w:r>
          </w:p>
        </w:tc>
      </w:tr>
      <w:tr w:rsidR="00614751" w:rsidRPr="00610A3A" w14:paraId="73CFFFC3" w14:textId="77777777" w:rsidTr="007E5EA0">
        <w:trPr>
          <w:trHeight w:val="330"/>
        </w:trPr>
        <w:tc>
          <w:tcPr>
            <w:tcW w:w="2807" w:type="pct"/>
            <w:tcBorders>
              <w:top w:val="nil"/>
              <w:left w:val="nil"/>
              <w:bottom w:val="single" w:sz="4" w:space="0" w:color="auto"/>
              <w:right w:val="nil"/>
            </w:tcBorders>
            <w:shd w:val="clear" w:color="auto" w:fill="auto"/>
            <w:noWrap/>
            <w:vAlign w:val="center"/>
            <w:hideMark/>
          </w:tcPr>
          <w:p w14:paraId="56A0AF4E" w14:textId="77777777" w:rsidR="00614751" w:rsidRPr="00FB0A51" w:rsidRDefault="00614751" w:rsidP="004A5585">
            <w:pPr>
              <w:spacing w:after="0" w:line="240" w:lineRule="auto"/>
              <w:jc w:val="left"/>
              <w:rPr>
                <w:rFonts w:eastAsia="Times New Roman" w:cs="Times New Roman"/>
                <w:b/>
                <w:bCs/>
                <w:color w:val="000000"/>
                <w:sz w:val="20"/>
                <w:szCs w:val="20"/>
                <w:lang w:eastAsia="sk-SK"/>
              </w:rPr>
            </w:pPr>
            <w:r w:rsidRPr="00FB0A51">
              <w:rPr>
                <w:rFonts w:eastAsia="Times New Roman" w:cs="Times New Roman"/>
                <w:b/>
                <w:bCs/>
                <w:color w:val="000000"/>
                <w:sz w:val="20"/>
                <w:szCs w:val="20"/>
                <w:lang w:eastAsia="sk-SK"/>
              </w:rPr>
              <w:t>Daňové a odvodové príjmy spolu</w:t>
            </w:r>
          </w:p>
        </w:tc>
        <w:tc>
          <w:tcPr>
            <w:tcW w:w="702" w:type="pct"/>
            <w:tcBorders>
              <w:top w:val="nil"/>
              <w:left w:val="nil"/>
              <w:bottom w:val="single" w:sz="4" w:space="0" w:color="auto"/>
              <w:right w:val="nil"/>
            </w:tcBorders>
            <w:shd w:val="clear" w:color="auto" w:fill="auto"/>
            <w:noWrap/>
            <w:vAlign w:val="center"/>
            <w:hideMark/>
          </w:tcPr>
          <w:p w14:paraId="6D722112" w14:textId="77777777" w:rsidR="00614751" w:rsidRPr="00FB0A51" w:rsidRDefault="00614751" w:rsidP="004A5585">
            <w:pPr>
              <w:spacing w:after="0" w:line="240" w:lineRule="auto"/>
              <w:jc w:val="right"/>
              <w:rPr>
                <w:rFonts w:eastAsia="Times New Roman" w:cs="Times New Roman"/>
                <w:b/>
                <w:bCs/>
                <w:sz w:val="20"/>
                <w:szCs w:val="20"/>
                <w:lang w:eastAsia="sk-SK"/>
              </w:rPr>
            </w:pPr>
            <w:r w:rsidRPr="00FB0A51">
              <w:rPr>
                <w:rFonts w:eastAsia="Times New Roman" w:cs="Times New Roman"/>
                <w:b/>
                <w:bCs/>
                <w:sz w:val="20"/>
                <w:szCs w:val="20"/>
                <w:lang w:eastAsia="sk-SK"/>
              </w:rPr>
              <w:t>26 582 100</w:t>
            </w:r>
          </w:p>
        </w:tc>
        <w:tc>
          <w:tcPr>
            <w:tcW w:w="789" w:type="pct"/>
            <w:gridSpan w:val="2"/>
            <w:tcBorders>
              <w:top w:val="nil"/>
              <w:left w:val="nil"/>
              <w:bottom w:val="single" w:sz="4" w:space="0" w:color="auto"/>
              <w:right w:val="nil"/>
            </w:tcBorders>
            <w:shd w:val="clear" w:color="auto" w:fill="auto"/>
            <w:noWrap/>
            <w:vAlign w:val="center"/>
            <w:hideMark/>
          </w:tcPr>
          <w:p w14:paraId="4E6B924B" w14:textId="77777777" w:rsidR="00614751" w:rsidRPr="00FB0A51" w:rsidRDefault="00614751" w:rsidP="004A5585">
            <w:pPr>
              <w:spacing w:after="0" w:line="240" w:lineRule="auto"/>
              <w:jc w:val="right"/>
              <w:rPr>
                <w:rFonts w:eastAsia="Times New Roman" w:cs="Times New Roman"/>
                <w:b/>
                <w:bCs/>
                <w:sz w:val="20"/>
                <w:szCs w:val="20"/>
                <w:lang w:eastAsia="sk-SK"/>
              </w:rPr>
            </w:pPr>
            <w:r w:rsidRPr="00FB0A51">
              <w:rPr>
                <w:rFonts w:eastAsia="Times New Roman" w:cs="Times New Roman"/>
                <w:b/>
                <w:bCs/>
                <w:sz w:val="20"/>
                <w:szCs w:val="20"/>
                <w:lang w:eastAsia="sk-SK"/>
              </w:rPr>
              <w:t>27 466 060</w:t>
            </w:r>
          </w:p>
        </w:tc>
        <w:tc>
          <w:tcPr>
            <w:tcW w:w="702" w:type="pct"/>
            <w:gridSpan w:val="2"/>
            <w:tcBorders>
              <w:top w:val="nil"/>
              <w:left w:val="nil"/>
              <w:bottom w:val="single" w:sz="4" w:space="0" w:color="auto"/>
              <w:right w:val="nil"/>
            </w:tcBorders>
            <w:shd w:val="clear" w:color="auto" w:fill="auto"/>
            <w:noWrap/>
            <w:vAlign w:val="center"/>
            <w:hideMark/>
          </w:tcPr>
          <w:p w14:paraId="0FD830AC" w14:textId="77777777" w:rsidR="00614751" w:rsidRPr="00FB0A51" w:rsidRDefault="00614751" w:rsidP="004A5585">
            <w:pPr>
              <w:spacing w:after="0" w:line="240" w:lineRule="auto"/>
              <w:jc w:val="right"/>
              <w:rPr>
                <w:rFonts w:eastAsia="Times New Roman" w:cs="Times New Roman"/>
                <w:b/>
                <w:bCs/>
                <w:sz w:val="20"/>
                <w:szCs w:val="20"/>
                <w:lang w:eastAsia="sk-SK"/>
              </w:rPr>
            </w:pPr>
            <w:r w:rsidRPr="00FB0A51">
              <w:rPr>
                <w:rFonts w:eastAsia="Times New Roman" w:cs="Times New Roman"/>
                <w:b/>
                <w:bCs/>
                <w:sz w:val="20"/>
                <w:szCs w:val="20"/>
                <w:lang w:eastAsia="sk-SK"/>
              </w:rPr>
              <w:t>883 960</w:t>
            </w:r>
          </w:p>
        </w:tc>
      </w:tr>
      <w:tr w:rsidR="00614751" w:rsidRPr="00223682" w14:paraId="25890848" w14:textId="77777777" w:rsidTr="004A5585">
        <w:trPr>
          <w:trHeight w:val="330"/>
        </w:trPr>
        <w:tc>
          <w:tcPr>
            <w:tcW w:w="4137" w:type="pct"/>
            <w:gridSpan w:val="3"/>
            <w:tcBorders>
              <w:top w:val="single" w:sz="4" w:space="0" w:color="auto"/>
              <w:left w:val="nil"/>
              <w:right w:val="nil"/>
            </w:tcBorders>
            <w:noWrap/>
            <w:vAlign w:val="center"/>
          </w:tcPr>
          <w:p w14:paraId="0D93CE69" w14:textId="77777777" w:rsidR="00614751" w:rsidRPr="006F54A7" w:rsidRDefault="00614751" w:rsidP="004A5585">
            <w:pPr>
              <w:spacing w:after="0" w:line="240" w:lineRule="auto"/>
              <w:rPr>
                <w:bCs/>
                <w:color w:val="000000"/>
                <w:sz w:val="16"/>
                <w:szCs w:val="16"/>
              </w:rPr>
            </w:pPr>
            <w:r w:rsidRPr="006F54A7">
              <w:rPr>
                <w:bCs/>
                <w:color w:val="000000"/>
                <w:sz w:val="16"/>
                <w:szCs w:val="16"/>
              </w:rPr>
              <w:t>1) Príspevky na sociálne zabezpečenie, neobsahujú okrem štátom plateného poistného aj príjmy z odvodov za ozbrojené zložky, penále a imputované poistné.</w:t>
            </w:r>
          </w:p>
        </w:tc>
        <w:tc>
          <w:tcPr>
            <w:tcW w:w="863" w:type="pct"/>
            <w:gridSpan w:val="3"/>
            <w:tcBorders>
              <w:top w:val="single" w:sz="4" w:space="0" w:color="auto"/>
              <w:left w:val="nil"/>
              <w:right w:val="nil"/>
            </w:tcBorders>
            <w:noWrap/>
            <w:vAlign w:val="center"/>
          </w:tcPr>
          <w:p w14:paraId="7A623B47" w14:textId="77777777" w:rsidR="00614751" w:rsidRPr="00223682" w:rsidRDefault="00614751" w:rsidP="004A5585">
            <w:pPr>
              <w:jc w:val="right"/>
              <w:rPr>
                <w:bCs/>
                <w:color w:val="FF0000"/>
                <w:sz w:val="16"/>
                <w:szCs w:val="16"/>
              </w:rPr>
            </w:pPr>
            <w:r w:rsidRPr="00223682">
              <w:rPr>
                <w:bCs/>
                <w:sz w:val="16"/>
                <w:szCs w:val="16"/>
              </w:rPr>
              <w:t>Zdroj: IFP, MF SR</w:t>
            </w:r>
          </w:p>
        </w:tc>
      </w:tr>
      <w:tr w:rsidR="00614751" w:rsidRPr="00223682" w14:paraId="7F691C1D" w14:textId="77777777" w:rsidTr="004A5585">
        <w:trPr>
          <w:trHeight w:val="330"/>
        </w:trPr>
        <w:tc>
          <w:tcPr>
            <w:tcW w:w="4137" w:type="pct"/>
            <w:gridSpan w:val="3"/>
            <w:tcBorders>
              <w:left w:val="nil"/>
              <w:right w:val="nil"/>
            </w:tcBorders>
            <w:noWrap/>
            <w:vAlign w:val="center"/>
          </w:tcPr>
          <w:p w14:paraId="150F84CE" w14:textId="77777777" w:rsidR="00614751" w:rsidRPr="006F54A7" w:rsidRDefault="00614751" w:rsidP="004A5585">
            <w:pPr>
              <w:spacing w:after="0" w:line="240" w:lineRule="auto"/>
              <w:ind w:left="45"/>
              <w:rPr>
                <w:b/>
                <w:bCs/>
                <w:sz w:val="16"/>
                <w:szCs w:val="16"/>
              </w:rPr>
            </w:pPr>
            <w:r w:rsidRPr="006F54A7">
              <w:rPr>
                <w:bCs/>
                <w:color w:val="000000"/>
                <w:sz w:val="16"/>
                <w:szCs w:val="16"/>
              </w:rPr>
              <w:t>2) Zdravotné odvody neobsahujú štátom platené poistné</w:t>
            </w:r>
          </w:p>
        </w:tc>
        <w:tc>
          <w:tcPr>
            <w:tcW w:w="669" w:type="pct"/>
            <w:gridSpan w:val="2"/>
            <w:tcBorders>
              <w:left w:val="nil"/>
              <w:right w:val="nil"/>
            </w:tcBorders>
            <w:noWrap/>
            <w:vAlign w:val="center"/>
          </w:tcPr>
          <w:p w14:paraId="0F6693BA" w14:textId="77777777" w:rsidR="00614751" w:rsidRPr="00223682" w:rsidRDefault="00614751" w:rsidP="004A5585">
            <w:pPr>
              <w:ind w:firstLineChars="200" w:firstLine="361"/>
              <w:jc w:val="right"/>
              <w:rPr>
                <w:b/>
                <w:bCs/>
                <w:sz w:val="18"/>
                <w:szCs w:val="18"/>
              </w:rPr>
            </w:pPr>
          </w:p>
        </w:tc>
        <w:tc>
          <w:tcPr>
            <w:tcW w:w="194" w:type="pct"/>
            <w:tcBorders>
              <w:left w:val="nil"/>
              <w:right w:val="nil"/>
            </w:tcBorders>
            <w:noWrap/>
            <w:vAlign w:val="center"/>
          </w:tcPr>
          <w:p w14:paraId="6D3E0595" w14:textId="77777777" w:rsidR="00614751" w:rsidRPr="00223682" w:rsidRDefault="00614751" w:rsidP="004A5585">
            <w:pPr>
              <w:jc w:val="right"/>
              <w:rPr>
                <w:b/>
                <w:bCs/>
                <w:color w:val="FF0000"/>
                <w:sz w:val="18"/>
                <w:szCs w:val="18"/>
              </w:rPr>
            </w:pPr>
          </w:p>
        </w:tc>
      </w:tr>
    </w:tbl>
    <w:p w14:paraId="3BCEC4C3" w14:textId="77777777" w:rsidR="000D5D8D" w:rsidRDefault="000D5D8D">
      <w:pPr>
        <w:spacing w:after="160" w:line="259" w:lineRule="auto"/>
        <w:jc w:val="left"/>
      </w:pPr>
      <w:r>
        <w:br w:type="page"/>
      </w:r>
    </w:p>
    <w:p w14:paraId="7E686F74" w14:textId="23DEF7A2" w:rsidR="00614751" w:rsidRPr="006E02A2" w:rsidRDefault="00614751" w:rsidP="004A5585">
      <w:r w:rsidRPr="006E02A2">
        <w:t xml:space="preserve">V prípade </w:t>
      </w:r>
      <w:r w:rsidRPr="006E02A2">
        <w:rPr>
          <w:b/>
        </w:rPr>
        <w:t>dane z príjmov fyzických osôb</w:t>
      </w:r>
      <w:r w:rsidRPr="006E02A2">
        <w:t xml:space="preserve"> (DPFO) sa na celkovom rozdiele oproti rozpočtu vo výške 130</w:t>
      </w:r>
      <w:r>
        <w:t> </w:t>
      </w:r>
      <w:r w:rsidRPr="006E02A2">
        <w:t>461</w:t>
      </w:r>
      <w:r>
        <w:t> </w:t>
      </w:r>
      <w:r w:rsidRPr="006E02A2">
        <w:t>tis.</w:t>
      </w:r>
      <w:r>
        <w:t> </w:t>
      </w:r>
      <w:r w:rsidRPr="006E02A2">
        <w:t>eur podieľal najmä výber DPFO zo</w:t>
      </w:r>
      <w:r>
        <w:t> </w:t>
      </w:r>
      <w:r w:rsidRPr="006E02A2">
        <w:t>závislej činnosti v sume 154 977 tis. eur. K vyššiemu výnosu prispel pozitívny vývoj na</w:t>
      </w:r>
      <w:r>
        <w:t> </w:t>
      </w:r>
      <w:r w:rsidRPr="006E02A2">
        <w:t xml:space="preserve">trhu práce aj vyššia úspešnosť výberu dane. Výnos </w:t>
      </w:r>
      <w:r w:rsidRPr="006E02A2">
        <w:rPr>
          <w:b/>
        </w:rPr>
        <w:t>DPFO z podnikania</w:t>
      </w:r>
      <w:r w:rsidRPr="006E02A2">
        <w:rPr>
          <w:rStyle w:val="Odkaznapoznmkupodiarou"/>
          <w:b/>
        </w:rPr>
        <w:footnoteReference w:id="7"/>
      </w:r>
      <w:r w:rsidRPr="006E02A2">
        <w:t xml:space="preserve"> bol oproti rozpočtu nižší o 24</w:t>
      </w:r>
      <w:r>
        <w:t> </w:t>
      </w:r>
      <w:r w:rsidRPr="006E02A2">
        <w:t>516</w:t>
      </w:r>
      <w:r>
        <w:t> </w:t>
      </w:r>
      <w:r w:rsidRPr="006E02A2">
        <w:t>tis.</w:t>
      </w:r>
      <w:r>
        <w:t> </w:t>
      </w:r>
      <w:r w:rsidRPr="006E02A2">
        <w:t>eur. Dôvodom výrazného poklesu je predovšetkým vyšší vplyv paušálnych výdavkov oproti rozpočtu (20</w:t>
      </w:r>
      <w:r>
        <w:t> </w:t>
      </w:r>
      <w:r w:rsidRPr="006E02A2">
        <w:t>860</w:t>
      </w:r>
      <w:r>
        <w:t> </w:t>
      </w:r>
      <w:r w:rsidRPr="006E02A2">
        <w:t>tis.</w:t>
      </w:r>
      <w:r>
        <w:t> </w:t>
      </w:r>
      <w:r w:rsidRPr="006E02A2">
        <w:t>eur), keďže s nárastom paušálnych výdavkov nedošlo k</w:t>
      </w:r>
      <w:r w:rsidR="00C87100">
        <w:t xml:space="preserve"> očakávanému </w:t>
      </w:r>
      <w:r w:rsidRPr="006E02A2">
        <w:t>zvýšeniu priznávaných príjmov. Pôvodný predpoklad (13</w:t>
      </w:r>
      <w:r>
        <w:t> </w:t>
      </w:r>
      <w:r w:rsidRPr="006E02A2">
        <w:t>400</w:t>
      </w:r>
      <w:r>
        <w:t> </w:t>
      </w:r>
      <w:r w:rsidRPr="006E02A2">
        <w:t>tis.</w:t>
      </w:r>
      <w:r>
        <w:t> </w:t>
      </w:r>
      <w:r w:rsidRPr="006E02A2">
        <w:t>eur) bol po</w:t>
      </w:r>
      <w:r>
        <w:t> </w:t>
      </w:r>
      <w:r w:rsidRPr="006E02A2">
        <w:t>zohľadnení skutočného plnenia navýšený na</w:t>
      </w:r>
      <w:r>
        <w:t> </w:t>
      </w:r>
      <w:r w:rsidRPr="006E02A2">
        <w:t>aktualizovaný vplyv (34 260 tis. eur).</w:t>
      </w:r>
    </w:p>
    <w:p w14:paraId="0788BD24" w14:textId="30A2DDD8" w:rsidR="00614751" w:rsidRPr="006E02A2" w:rsidRDefault="00614751" w:rsidP="004A5585">
      <w:r w:rsidRPr="00AA32B4">
        <w:rPr>
          <w:b/>
        </w:rPr>
        <w:t xml:space="preserve">Výnos </w:t>
      </w:r>
      <w:r w:rsidR="00AA32B4">
        <w:rPr>
          <w:b/>
        </w:rPr>
        <w:t>dane z príjmov právnických osôb (</w:t>
      </w:r>
      <w:r w:rsidRPr="00AA32B4">
        <w:rPr>
          <w:b/>
        </w:rPr>
        <w:t>DPPO</w:t>
      </w:r>
      <w:r w:rsidR="00AA32B4">
        <w:rPr>
          <w:b/>
        </w:rPr>
        <w:t>)</w:t>
      </w:r>
      <w:r w:rsidRPr="006E02A2">
        <w:rPr>
          <w:vertAlign w:val="superscript"/>
        </w:rPr>
        <w:footnoteReference w:id="8"/>
      </w:r>
      <w:r w:rsidRPr="006E02A2">
        <w:t xml:space="preserve"> za</w:t>
      </w:r>
      <w:r>
        <w:t> </w:t>
      </w:r>
      <w:r w:rsidRPr="006E02A2">
        <w:t>rok 2018 je oproti rozpočtu vyšší o 121</w:t>
      </w:r>
      <w:r>
        <w:t> </w:t>
      </w:r>
      <w:r w:rsidRPr="006E02A2">
        <w:t>079</w:t>
      </w:r>
      <w:r>
        <w:t> </w:t>
      </w:r>
      <w:r w:rsidRPr="006E02A2">
        <w:t>tis.</w:t>
      </w:r>
      <w:r>
        <w:t> </w:t>
      </w:r>
      <w:r w:rsidRPr="006E02A2">
        <w:t>eur. Dôvodom je najmä lepšie vyrovnanie za</w:t>
      </w:r>
      <w:r>
        <w:t> </w:t>
      </w:r>
      <w:r w:rsidRPr="006E02A2">
        <w:t xml:space="preserve">rok 2017, ktoré </w:t>
      </w:r>
      <w:r w:rsidR="00423379">
        <w:t>sa prenieslo</w:t>
      </w:r>
      <w:r w:rsidRPr="006E02A2">
        <w:t xml:space="preserve"> </w:t>
      </w:r>
      <w:r w:rsidR="00423379">
        <w:t>do</w:t>
      </w:r>
      <w:r w:rsidRPr="006E02A2">
        <w:t xml:space="preserve"> odhadu na</w:t>
      </w:r>
      <w:r>
        <w:t> </w:t>
      </w:r>
      <w:r w:rsidRPr="006E02A2">
        <w:t>rok 2018. Pri</w:t>
      </w:r>
      <w:r>
        <w:t> </w:t>
      </w:r>
      <w:r w:rsidRPr="006E02A2">
        <w:t>tvorbe rozpočtu na</w:t>
      </w:r>
      <w:r>
        <w:t> </w:t>
      </w:r>
      <w:r w:rsidRPr="006E02A2">
        <w:t>rok</w:t>
      </w:r>
      <w:r>
        <w:t> </w:t>
      </w:r>
      <w:r w:rsidRPr="006E02A2">
        <w:t>2018 nebola ešte známa skutočnosť o</w:t>
      </w:r>
      <w:r>
        <w:t> </w:t>
      </w:r>
      <w:r w:rsidRPr="006E02A2">
        <w:t>vyrovnaní za</w:t>
      </w:r>
      <w:r>
        <w:t> </w:t>
      </w:r>
      <w:r w:rsidRPr="006E02A2">
        <w:t xml:space="preserve">rok 2017. </w:t>
      </w:r>
    </w:p>
    <w:p w14:paraId="23CCB545" w14:textId="1090D5F9" w:rsidR="00614751" w:rsidRPr="007E5EA0" w:rsidRDefault="00614751" w:rsidP="004A5585">
      <w:r w:rsidRPr="006E02A2">
        <w:t xml:space="preserve">Výnos </w:t>
      </w:r>
      <w:r w:rsidRPr="006E02A2">
        <w:rPr>
          <w:b/>
        </w:rPr>
        <w:t>dane z pridanej hodnoty</w:t>
      </w:r>
      <w:r w:rsidR="00706A90">
        <w:rPr>
          <w:b/>
        </w:rPr>
        <w:t xml:space="preserve"> (DPH)</w:t>
      </w:r>
      <w:r w:rsidRPr="006E02A2">
        <w:rPr>
          <w:rStyle w:val="Odkaznapoznmkupodiarou"/>
        </w:rPr>
        <w:footnoteReference w:id="9"/>
      </w:r>
      <w:r w:rsidRPr="006E02A2">
        <w:t xml:space="preserve"> je oproti rozpočtu vyšší o 221</w:t>
      </w:r>
      <w:r>
        <w:t> </w:t>
      </w:r>
      <w:r w:rsidRPr="006E02A2">
        <w:t>096</w:t>
      </w:r>
      <w:r>
        <w:t> </w:t>
      </w:r>
      <w:r w:rsidRPr="006E02A2">
        <w:t>tis.</w:t>
      </w:r>
      <w:r>
        <w:t> </w:t>
      </w:r>
      <w:r w:rsidRPr="006E02A2">
        <w:t>eur. K vyššiemu výnosu prispela vyššia úspešnosť výberu dane a najmä priaznivý vývoj makroekonomického prostredia, ťahaný spotrebou domácností. Medziročne stúpli aj investície a medzispotreba vlády, ktor</w:t>
      </w:r>
      <w:r>
        <w:t>é</w:t>
      </w:r>
      <w:r w:rsidRPr="006E02A2">
        <w:t xml:space="preserve"> pozitívne vplývajú na</w:t>
      </w:r>
      <w:r>
        <w:t> </w:t>
      </w:r>
      <w:r w:rsidRPr="006E02A2">
        <w:t>výnos DPH</w:t>
      </w:r>
      <w:r w:rsidRPr="007E5EA0">
        <w:t xml:space="preserve">. </w:t>
      </w:r>
    </w:p>
    <w:p w14:paraId="7F52CB77" w14:textId="77777777" w:rsidR="00614751" w:rsidRPr="006E02A2" w:rsidRDefault="00614751" w:rsidP="004A5585">
      <w:r w:rsidRPr="006E02A2">
        <w:t xml:space="preserve">Výnos </w:t>
      </w:r>
      <w:r w:rsidRPr="006E02A2">
        <w:rPr>
          <w:b/>
        </w:rPr>
        <w:t>spotrebných daní</w:t>
      </w:r>
      <w:r w:rsidRPr="006E02A2">
        <w:t xml:space="preserve"> je tvorený najmä príjmom zo</w:t>
      </w:r>
      <w:r>
        <w:t> </w:t>
      </w:r>
      <w:r w:rsidRPr="006E02A2">
        <w:t>spotrebnej dane z minerálneho oleja a</w:t>
      </w:r>
      <w:r>
        <w:t> </w:t>
      </w:r>
      <w:r w:rsidRPr="006E02A2">
        <w:t>spotrebnej dane z tabakových výrobkov. Výnos spotrebnej dane z minerálneho oleja bol oproti rozpočtu nižší o 26</w:t>
      </w:r>
      <w:r>
        <w:t> </w:t>
      </w:r>
      <w:r w:rsidRPr="006E02A2">
        <w:t>093</w:t>
      </w:r>
      <w:r>
        <w:t> </w:t>
      </w:r>
      <w:r w:rsidRPr="006E02A2">
        <w:t>tis.</w:t>
      </w:r>
      <w:r>
        <w:t> </w:t>
      </w:r>
      <w:r w:rsidRPr="006E02A2">
        <w:t>eur. Nenaplnenie rozpočtovanej sumy je výsledkom nižšej úspešnosti výberu spolu s</w:t>
      </w:r>
      <w:r>
        <w:t> </w:t>
      </w:r>
      <w:r w:rsidRPr="006E02A2">
        <w:t>nepriaznivým vývojom reálnej ekonomiky. Ostatné spotrebné dane sa celkovo vyvíjali v súlade s rozpočtom.</w:t>
      </w:r>
    </w:p>
    <w:p w14:paraId="2654854D" w14:textId="33725653" w:rsidR="00614751" w:rsidRPr="006E02A2" w:rsidRDefault="00614751" w:rsidP="004A5585">
      <w:r w:rsidRPr="006E02A2">
        <w:rPr>
          <w:b/>
        </w:rPr>
        <w:t>Osobitný odvod z regulovaných odvetví</w:t>
      </w:r>
      <w:r w:rsidRPr="006E02A2">
        <w:rPr>
          <w:rStyle w:val="Odkaznapoznmkupodiarou"/>
        </w:rPr>
        <w:footnoteReference w:id="10"/>
      </w:r>
      <w:r w:rsidRPr="006E02A2">
        <w:t xml:space="preserve"> je oproti rozpočtu nižší o 15</w:t>
      </w:r>
      <w:r>
        <w:t> </w:t>
      </w:r>
      <w:r w:rsidRPr="006E02A2">
        <w:t>431</w:t>
      </w:r>
      <w:r>
        <w:t> </w:t>
      </w:r>
      <w:r w:rsidRPr="006E02A2">
        <w:t>tis.</w:t>
      </w:r>
      <w:r>
        <w:t> </w:t>
      </w:r>
      <w:r w:rsidRPr="006E02A2">
        <w:t>eur. Dôvodom je najmä nižšie vyrovnanie za</w:t>
      </w:r>
      <w:r>
        <w:t> </w:t>
      </w:r>
      <w:r w:rsidRPr="006E02A2">
        <w:t xml:space="preserve">rok 2017, ktoré </w:t>
      </w:r>
      <w:r w:rsidR="00622F2E">
        <w:t>sa prenieslo</w:t>
      </w:r>
      <w:r w:rsidRPr="006E02A2">
        <w:t xml:space="preserve"> aj do</w:t>
      </w:r>
      <w:r>
        <w:t> </w:t>
      </w:r>
      <w:r w:rsidRPr="006E02A2">
        <w:t>odhadu za</w:t>
      </w:r>
      <w:r>
        <w:t> </w:t>
      </w:r>
      <w:r w:rsidRPr="006E02A2">
        <w:t>rok</w:t>
      </w:r>
      <w:r>
        <w:t xml:space="preserve"> </w:t>
      </w:r>
      <w:r w:rsidRPr="006E02A2">
        <w:t>2018. Pri</w:t>
      </w:r>
      <w:r>
        <w:t> </w:t>
      </w:r>
      <w:r w:rsidRPr="006E02A2">
        <w:t>tvorbe rozpočtu na</w:t>
      </w:r>
      <w:r>
        <w:t> </w:t>
      </w:r>
      <w:r w:rsidRPr="006E02A2">
        <w:t>rok 2018 nebola ešte známa skutočnosť o</w:t>
      </w:r>
      <w:r>
        <w:t> </w:t>
      </w:r>
      <w:r w:rsidRPr="006E02A2">
        <w:t>vyrovnaní za</w:t>
      </w:r>
      <w:r>
        <w:t> </w:t>
      </w:r>
      <w:r w:rsidRPr="006E02A2">
        <w:t>rok</w:t>
      </w:r>
      <w:r>
        <w:t xml:space="preserve"> </w:t>
      </w:r>
      <w:r w:rsidRPr="006E02A2">
        <w:t>2017.</w:t>
      </w:r>
    </w:p>
    <w:p w14:paraId="138A9233" w14:textId="3A1F2C2E" w:rsidR="00614751" w:rsidRDefault="00614751" w:rsidP="004A5585">
      <w:r w:rsidRPr="001A336B">
        <w:t xml:space="preserve">Vyšší výnos </w:t>
      </w:r>
      <w:r w:rsidRPr="001A336B">
        <w:rPr>
          <w:b/>
        </w:rPr>
        <w:t>sociálnych aj zdravotných odvodov</w:t>
      </w:r>
      <w:r w:rsidRPr="001A336B">
        <w:t xml:space="preserve"> je spôsobený najmä </w:t>
      </w:r>
      <w:r w:rsidR="00301993">
        <w:t xml:space="preserve">pokračujúcim </w:t>
      </w:r>
      <w:r w:rsidRPr="001A336B">
        <w:t>zlepš</w:t>
      </w:r>
      <w:r w:rsidR="00301993">
        <w:t>ovaním sa</w:t>
      </w:r>
      <w:r w:rsidRPr="001A336B">
        <w:t xml:space="preserve"> </w:t>
      </w:r>
      <w:r w:rsidR="00301993">
        <w:t>situácie na</w:t>
      </w:r>
      <w:r>
        <w:t xml:space="preserve"> </w:t>
      </w:r>
      <w:r w:rsidR="000D0C1A">
        <w:t xml:space="preserve">trhu </w:t>
      </w:r>
      <w:r w:rsidRPr="001A336B">
        <w:t>práce. Vyšší rast miezd aj zamestnanosti sa premietol do</w:t>
      </w:r>
      <w:r>
        <w:t> vyššieho </w:t>
      </w:r>
      <w:r w:rsidRPr="001A336B">
        <w:t>výnosu zdravotných odvodov o 97</w:t>
      </w:r>
      <w:r>
        <w:t> </w:t>
      </w:r>
      <w:r w:rsidRPr="001A336B">
        <w:t>631</w:t>
      </w:r>
      <w:r>
        <w:t> </w:t>
      </w:r>
      <w:r w:rsidRPr="001A336B">
        <w:t>tis.</w:t>
      </w:r>
      <w:r>
        <w:t> </w:t>
      </w:r>
      <w:r w:rsidRPr="001A336B">
        <w:t>eur oproti rozpočtovým predpokladom. Pri</w:t>
      </w:r>
      <w:r>
        <w:t> </w:t>
      </w:r>
      <w:r w:rsidRPr="001A336B">
        <w:t>sociálnych odvodoch bolo skutočné plnenie vyššie o 390</w:t>
      </w:r>
      <w:r>
        <w:t> </w:t>
      </w:r>
      <w:r w:rsidRPr="001A336B">
        <w:t>707</w:t>
      </w:r>
      <w:r>
        <w:t> </w:t>
      </w:r>
      <w:r w:rsidRPr="001A336B">
        <w:t>tis.</w:t>
      </w:r>
      <w:r>
        <w:t> </w:t>
      </w:r>
      <w:r w:rsidRPr="001A336B">
        <w:t>eur, pričom 187</w:t>
      </w:r>
      <w:r>
        <w:t> </w:t>
      </w:r>
      <w:r w:rsidRPr="001A336B">
        <w:t>219</w:t>
      </w:r>
      <w:r>
        <w:t> </w:t>
      </w:r>
      <w:r w:rsidRPr="001A336B">
        <w:t>tis.</w:t>
      </w:r>
      <w:r>
        <w:t> </w:t>
      </w:r>
      <w:r w:rsidRPr="001A336B">
        <w:t>eur predstavoval</w:t>
      </w:r>
      <w:r w:rsidR="00D13A4A">
        <w:t>o</w:t>
      </w:r>
      <w:r w:rsidRPr="001A336B">
        <w:t xml:space="preserve"> jednorazovú odplatu za</w:t>
      </w:r>
      <w:r>
        <w:t> </w:t>
      </w:r>
      <w:r w:rsidRPr="001A336B">
        <w:t>postúpené pohľadávky</w:t>
      </w:r>
      <w:r w:rsidR="00D13A4A">
        <w:t xml:space="preserve"> Sociálnej poisťovne</w:t>
      </w:r>
      <w:r w:rsidRPr="001A336B">
        <w:t xml:space="preserve"> pri</w:t>
      </w:r>
      <w:r>
        <w:t> </w:t>
      </w:r>
      <w:r w:rsidRPr="001A336B">
        <w:t xml:space="preserve">oddlžovaní </w:t>
      </w:r>
      <w:r w:rsidR="007B1D9C" w:rsidRPr="00A265D6">
        <w:t>zdravotníckych zariadení</w:t>
      </w:r>
      <w:r w:rsidRPr="00A265D6">
        <w:t xml:space="preserve"> v júli 2018</w:t>
      </w:r>
      <w:r w:rsidR="008978E7" w:rsidRPr="00A265D6">
        <w:rPr>
          <w:rStyle w:val="Odkaznapoznmkupodiarou"/>
        </w:rPr>
        <w:footnoteReference w:id="11"/>
      </w:r>
      <w:r w:rsidRPr="00A265D6">
        <w:t>.</w:t>
      </w:r>
    </w:p>
    <w:p w14:paraId="505A29B0" w14:textId="77777777" w:rsidR="00381469" w:rsidRDefault="00381469" w:rsidP="004A5585"/>
    <w:tbl>
      <w:tblPr>
        <w:tblW w:w="8955" w:type="dxa"/>
        <w:tblLayout w:type="fixed"/>
        <w:tblCellMar>
          <w:left w:w="70" w:type="dxa"/>
          <w:right w:w="70" w:type="dxa"/>
        </w:tblCellMar>
        <w:tblLook w:val="04A0" w:firstRow="1" w:lastRow="0" w:firstColumn="1" w:lastColumn="0" w:noHBand="0" w:noVBand="1"/>
      </w:tblPr>
      <w:tblGrid>
        <w:gridCol w:w="6946"/>
        <w:gridCol w:w="992"/>
        <w:gridCol w:w="1017"/>
      </w:tblGrid>
      <w:tr w:rsidR="00614751" w:rsidRPr="00944CEF" w14:paraId="0E791A9A" w14:textId="77777777" w:rsidTr="00381469">
        <w:trPr>
          <w:trHeight w:val="384"/>
        </w:trPr>
        <w:tc>
          <w:tcPr>
            <w:tcW w:w="6946" w:type="dxa"/>
            <w:tcBorders>
              <w:top w:val="nil"/>
              <w:left w:val="nil"/>
              <w:bottom w:val="nil"/>
              <w:right w:val="nil"/>
            </w:tcBorders>
            <w:shd w:val="clear" w:color="000000" w:fill="000000"/>
            <w:noWrap/>
            <w:vAlign w:val="center"/>
            <w:hideMark/>
          </w:tcPr>
          <w:p w14:paraId="5E615ACA" w14:textId="77777777" w:rsidR="00614751" w:rsidRPr="00944CEF" w:rsidRDefault="00614751" w:rsidP="004A5585">
            <w:pPr>
              <w:spacing w:after="0" w:line="240" w:lineRule="auto"/>
              <w:jc w:val="left"/>
              <w:rPr>
                <w:rFonts w:eastAsia="Times New Roman" w:cs="Times New Roman"/>
                <w:b/>
                <w:bCs/>
                <w:color w:val="FFFFFF"/>
                <w:sz w:val="20"/>
                <w:szCs w:val="20"/>
                <w:lang w:eastAsia="sk-SK"/>
              </w:rPr>
            </w:pPr>
            <w:r w:rsidRPr="00944CEF">
              <w:rPr>
                <w:rFonts w:eastAsia="Times New Roman" w:cs="Times New Roman"/>
                <w:b/>
                <w:bCs/>
                <w:color w:val="FFFFFF"/>
                <w:sz w:val="20"/>
                <w:szCs w:val="20"/>
                <w:lang w:eastAsia="sk-SK"/>
              </w:rPr>
              <w:t xml:space="preserve">Saldo verejnej správy v roku 2018 podľa ESA2010     </w:t>
            </w:r>
            <w:r>
              <w:rPr>
                <w:rFonts w:eastAsia="Times New Roman" w:cs="Times New Roman"/>
                <w:b/>
                <w:bCs/>
                <w:color w:val="FFFFFF"/>
                <w:sz w:val="20"/>
                <w:szCs w:val="20"/>
                <w:lang w:eastAsia="sk-SK"/>
              </w:rPr>
              <w:t xml:space="preserve">                                      </w:t>
            </w:r>
            <w:r w:rsidRPr="00944CEF">
              <w:rPr>
                <w:rFonts w:eastAsia="Times New Roman" w:cs="Times New Roman"/>
                <w:b/>
                <w:bCs/>
                <w:color w:val="FFFFFF"/>
                <w:sz w:val="20"/>
                <w:szCs w:val="20"/>
                <w:lang w:eastAsia="sk-SK"/>
              </w:rPr>
              <w:t xml:space="preserve">                                                                      </w:t>
            </w:r>
          </w:p>
        </w:tc>
        <w:tc>
          <w:tcPr>
            <w:tcW w:w="992" w:type="dxa"/>
            <w:tcBorders>
              <w:top w:val="nil"/>
              <w:left w:val="nil"/>
              <w:bottom w:val="nil"/>
              <w:right w:val="nil"/>
            </w:tcBorders>
            <w:shd w:val="clear" w:color="000000" w:fill="000000"/>
            <w:noWrap/>
            <w:vAlign w:val="center"/>
            <w:hideMark/>
          </w:tcPr>
          <w:p w14:paraId="57E4E933" w14:textId="77777777" w:rsidR="00614751" w:rsidRPr="00944CEF" w:rsidRDefault="00614751" w:rsidP="004A5585">
            <w:pPr>
              <w:spacing w:after="0" w:line="240" w:lineRule="auto"/>
              <w:jc w:val="left"/>
              <w:rPr>
                <w:rFonts w:eastAsia="Times New Roman" w:cs="Times New Roman"/>
                <w:b/>
                <w:bCs/>
                <w:color w:val="FFFFFF"/>
                <w:sz w:val="20"/>
                <w:szCs w:val="20"/>
                <w:lang w:eastAsia="sk-SK"/>
              </w:rPr>
            </w:pPr>
            <w:r w:rsidRPr="00944CEF">
              <w:rPr>
                <w:rFonts w:eastAsia="Times New Roman" w:cs="Times New Roman"/>
                <w:b/>
                <w:bCs/>
                <w:color w:val="FFFFFF"/>
                <w:sz w:val="20"/>
                <w:szCs w:val="20"/>
                <w:lang w:eastAsia="sk-SK"/>
              </w:rPr>
              <w:t> </w:t>
            </w:r>
          </w:p>
        </w:tc>
        <w:tc>
          <w:tcPr>
            <w:tcW w:w="1017" w:type="dxa"/>
            <w:tcBorders>
              <w:top w:val="nil"/>
              <w:left w:val="nil"/>
              <w:bottom w:val="nil"/>
              <w:right w:val="nil"/>
            </w:tcBorders>
            <w:shd w:val="clear" w:color="000000" w:fill="000000"/>
            <w:noWrap/>
            <w:vAlign w:val="center"/>
            <w:hideMark/>
          </w:tcPr>
          <w:p w14:paraId="557F44A4" w14:textId="77777777" w:rsidR="00614751" w:rsidRPr="00944CEF" w:rsidRDefault="00614751" w:rsidP="004A5585">
            <w:pPr>
              <w:spacing w:after="0" w:line="240" w:lineRule="auto"/>
              <w:jc w:val="right"/>
              <w:rPr>
                <w:rFonts w:eastAsia="Times New Roman" w:cs="Times New Roman"/>
                <w:b/>
                <w:bCs/>
                <w:color w:val="FFFFFF"/>
                <w:sz w:val="20"/>
                <w:szCs w:val="20"/>
                <w:lang w:eastAsia="sk-SK"/>
              </w:rPr>
            </w:pPr>
            <w:r w:rsidRPr="00944CEF">
              <w:rPr>
                <w:rFonts w:eastAsia="Times New Roman" w:cs="Times New Roman"/>
                <w:b/>
                <w:bCs/>
                <w:color w:val="FFFFFF"/>
                <w:sz w:val="20"/>
                <w:szCs w:val="20"/>
                <w:lang w:eastAsia="sk-SK"/>
              </w:rPr>
              <w:t>v tis. eur</w:t>
            </w:r>
          </w:p>
        </w:tc>
      </w:tr>
      <w:tr w:rsidR="00614751" w:rsidRPr="00944CEF" w14:paraId="5D6D9072" w14:textId="77777777" w:rsidTr="00381469">
        <w:trPr>
          <w:trHeight w:val="317"/>
        </w:trPr>
        <w:tc>
          <w:tcPr>
            <w:tcW w:w="6946" w:type="dxa"/>
            <w:tcBorders>
              <w:top w:val="nil"/>
              <w:left w:val="nil"/>
              <w:bottom w:val="nil"/>
              <w:right w:val="nil"/>
            </w:tcBorders>
            <w:shd w:val="clear" w:color="000000" w:fill="BFBFBF"/>
            <w:noWrap/>
            <w:vAlign w:val="center"/>
            <w:hideMark/>
          </w:tcPr>
          <w:p w14:paraId="56FE434F" w14:textId="77777777" w:rsidR="00614751" w:rsidRPr="00944CEF" w:rsidRDefault="00614751" w:rsidP="004A5585">
            <w:pPr>
              <w:spacing w:after="0" w:line="240" w:lineRule="auto"/>
              <w:jc w:val="left"/>
              <w:rPr>
                <w:rFonts w:eastAsia="Times New Roman" w:cs="Times New Roman"/>
                <w:b/>
                <w:bCs/>
                <w:color w:val="000000"/>
                <w:sz w:val="20"/>
                <w:szCs w:val="20"/>
                <w:lang w:eastAsia="sk-SK"/>
              </w:rPr>
            </w:pPr>
            <w:r w:rsidRPr="00944CEF">
              <w:rPr>
                <w:rFonts w:eastAsia="Times New Roman" w:cs="Times New Roman"/>
                <w:b/>
                <w:bCs/>
                <w:color w:val="000000"/>
                <w:sz w:val="20"/>
                <w:szCs w:val="20"/>
                <w:lang w:eastAsia="sk-SK"/>
              </w:rPr>
              <w:t> </w:t>
            </w:r>
          </w:p>
        </w:tc>
        <w:tc>
          <w:tcPr>
            <w:tcW w:w="992" w:type="dxa"/>
            <w:tcBorders>
              <w:top w:val="nil"/>
              <w:left w:val="nil"/>
              <w:bottom w:val="nil"/>
              <w:right w:val="nil"/>
            </w:tcBorders>
            <w:shd w:val="clear" w:color="000000" w:fill="BFBFBF"/>
            <w:noWrap/>
            <w:vAlign w:val="center"/>
            <w:hideMark/>
          </w:tcPr>
          <w:p w14:paraId="736924D5" w14:textId="77777777" w:rsidR="00614751" w:rsidRPr="00944CEF" w:rsidRDefault="00614751" w:rsidP="004A5585">
            <w:pPr>
              <w:spacing w:after="0" w:line="240" w:lineRule="auto"/>
              <w:jc w:val="center"/>
              <w:rPr>
                <w:rFonts w:eastAsia="Times New Roman" w:cs="Times New Roman"/>
                <w:b/>
                <w:bCs/>
                <w:color w:val="000000"/>
                <w:sz w:val="20"/>
                <w:szCs w:val="20"/>
                <w:lang w:eastAsia="sk-SK"/>
              </w:rPr>
            </w:pPr>
            <w:r w:rsidRPr="00944CEF">
              <w:rPr>
                <w:rFonts w:eastAsia="Times New Roman" w:cs="Times New Roman"/>
                <w:b/>
                <w:bCs/>
                <w:color w:val="000000"/>
                <w:sz w:val="20"/>
                <w:szCs w:val="20"/>
                <w:lang w:eastAsia="sk-SK"/>
              </w:rPr>
              <w:t>2018</w:t>
            </w:r>
          </w:p>
        </w:tc>
        <w:tc>
          <w:tcPr>
            <w:tcW w:w="1017" w:type="dxa"/>
            <w:vMerge w:val="restart"/>
            <w:tcBorders>
              <w:top w:val="nil"/>
              <w:left w:val="nil"/>
              <w:bottom w:val="nil"/>
              <w:right w:val="nil"/>
            </w:tcBorders>
            <w:shd w:val="clear" w:color="000000" w:fill="BFBFBF"/>
            <w:vAlign w:val="center"/>
            <w:hideMark/>
          </w:tcPr>
          <w:p w14:paraId="23B6F83E" w14:textId="77777777" w:rsidR="00614751" w:rsidRDefault="00614751" w:rsidP="004A5585">
            <w:pPr>
              <w:spacing w:after="0" w:line="240" w:lineRule="auto"/>
              <w:jc w:val="center"/>
              <w:rPr>
                <w:rFonts w:eastAsia="Times New Roman" w:cs="Times New Roman"/>
                <w:b/>
                <w:bCs/>
                <w:color w:val="000000"/>
                <w:sz w:val="20"/>
                <w:szCs w:val="20"/>
                <w:lang w:eastAsia="sk-SK"/>
              </w:rPr>
            </w:pPr>
            <w:r w:rsidRPr="00944CEF">
              <w:rPr>
                <w:rFonts w:eastAsia="Times New Roman" w:cs="Times New Roman"/>
                <w:b/>
                <w:bCs/>
                <w:color w:val="000000"/>
                <w:sz w:val="20"/>
                <w:szCs w:val="20"/>
                <w:lang w:eastAsia="sk-SK"/>
              </w:rPr>
              <w:t>Rozdiel</w:t>
            </w:r>
          </w:p>
          <w:p w14:paraId="3D5E158D" w14:textId="77777777" w:rsidR="00614751" w:rsidRPr="00944CEF" w:rsidRDefault="00614751" w:rsidP="004A5585">
            <w:pPr>
              <w:spacing w:after="0" w:line="240" w:lineRule="auto"/>
              <w:jc w:val="center"/>
              <w:rPr>
                <w:rFonts w:eastAsia="Times New Roman" w:cs="Times New Roman"/>
                <w:b/>
                <w:bCs/>
                <w:color w:val="000000"/>
                <w:sz w:val="20"/>
                <w:szCs w:val="20"/>
                <w:lang w:eastAsia="sk-SK"/>
              </w:rPr>
            </w:pPr>
            <w:r w:rsidRPr="00944CEF">
              <w:rPr>
                <w:rFonts w:eastAsia="Times New Roman" w:cs="Times New Roman"/>
                <w:b/>
                <w:bCs/>
                <w:color w:val="000000"/>
                <w:sz w:val="20"/>
                <w:szCs w:val="20"/>
                <w:lang w:eastAsia="sk-SK"/>
              </w:rPr>
              <w:t>(%</w:t>
            </w:r>
            <w:r>
              <w:rPr>
                <w:rFonts w:eastAsia="Times New Roman" w:cs="Times New Roman"/>
                <w:b/>
                <w:bCs/>
                <w:color w:val="000000"/>
                <w:sz w:val="20"/>
                <w:szCs w:val="20"/>
                <w:lang w:eastAsia="sk-SK"/>
              </w:rPr>
              <w:t> </w:t>
            </w:r>
            <w:r w:rsidRPr="00944CEF">
              <w:rPr>
                <w:rFonts w:eastAsia="Times New Roman" w:cs="Times New Roman"/>
                <w:b/>
                <w:bCs/>
                <w:color w:val="000000"/>
                <w:sz w:val="20"/>
                <w:szCs w:val="20"/>
                <w:lang w:eastAsia="sk-SK"/>
              </w:rPr>
              <w:t>HDP)</w:t>
            </w:r>
          </w:p>
        </w:tc>
      </w:tr>
      <w:tr w:rsidR="00614751" w:rsidRPr="00944CEF" w14:paraId="0738C192" w14:textId="77777777" w:rsidTr="00381469">
        <w:trPr>
          <w:trHeight w:val="317"/>
        </w:trPr>
        <w:tc>
          <w:tcPr>
            <w:tcW w:w="6946" w:type="dxa"/>
            <w:tcBorders>
              <w:top w:val="nil"/>
              <w:left w:val="nil"/>
              <w:bottom w:val="nil"/>
              <w:right w:val="nil"/>
            </w:tcBorders>
            <w:shd w:val="clear" w:color="000000" w:fill="BFBFBF"/>
            <w:noWrap/>
            <w:vAlign w:val="center"/>
            <w:hideMark/>
          </w:tcPr>
          <w:p w14:paraId="4F4B5787" w14:textId="77777777" w:rsidR="00614751" w:rsidRPr="00944CEF" w:rsidRDefault="00614751" w:rsidP="004A5585">
            <w:pPr>
              <w:spacing w:after="0" w:line="240" w:lineRule="auto"/>
              <w:jc w:val="left"/>
              <w:rPr>
                <w:rFonts w:eastAsia="Times New Roman" w:cs="Times New Roman"/>
                <w:b/>
                <w:bCs/>
                <w:color w:val="000000"/>
                <w:sz w:val="20"/>
                <w:szCs w:val="20"/>
                <w:lang w:eastAsia="sk-SK"/>
              </w:rPr>
            </w:pPr>
            <w:r w:rsidRPr="00944CEF">
              <w:rPr>
                <w:rFonts w:eastAsia="Times New Roman" w:cs="Times New Roman"/>
                <w:b/>
                <w:bCs/>
                <w:color w:val="000000"/>
                <w:sz w:val="20"/>
                <w:szCs w:val="20"/>
                <w:lang w:eastAsia="sk-SK"/>
              </w:rPr>
              <w:t> </w:t>
            </w:r>
          </w:p>
        </w:tc>
        <w:tc>
          <w:tcPr>
            <w:tcW w:w="992" w:type="dxa"/>
            <w:tcBorders>
              <w:top w:val="nil"/>
              <w:left w:val="nil"/>
              <w:bottom w:val="nil"/>
              <w:right w:val="nil"/>
            </w:tcBorders>
            <w:shd w:val="clear" w:color="000000" w:fill="BFBFBF"/>
            <w:noWrap/>
            <w:vAlign w:val="center"/>
            <w:hideMark/>
          </w:tcPr>
          <w:p w14:paraId="1869C863" w14:textId="77777777" w:rsidR="00614751" w:rsidRPr="00944CEF" w:rsidRDefault="00614751" w:rsidP="004A5585">
            <w:pPr>
              <w:spacing w:after="0" w:line="240" w:lineRule="auto"/>
              <w:jc w:val="center"/>
              <w:rPr>
                <w:rFonts w:eastAsia="Times New Roman" w:cs="Times New Roman"/>
                <w:b/>
                <w:bCs/>
                <w:color w:val="000000"/>
                <w:sz w:val="20"/>
                <w:szCs w:val="20"/>
                <w:lang w:eastAsia="sk-SK"/>
              </w:rPr>
            </w:pPr>
            <w:r w:rsidRPr="00944CEF">
              <w:rPr>
                <w:rFonts w:eastAsia="Times New Roman" w:cs="Times New Roman"/>
                <w:b/>
                <w:bCs/>
                <w:color w:val="000000"/>
                <w:sz w:val="20"/>
                <w:szCs w:val="20"/>
                <w:lang w:eastAsia="sk-SK"/>
              </w:rPr>
              <w:t>(S - R)</w:t>
            </w:r>
          </w:p>
        </w:tc>
        <w:tc>
          <w:tcPr>
            <w:tcW w:w="1017" w:type="dxa"/>
            <w:vMerge/>
            <w:tcBorders>
              <w:top w:val="nil"/>
              <w:left w:val="nil"/>
              <w:bottom w:val="nil"/>
              <w:right w:val="nil"/>
            </w:tcBorders>
            <w:vAlign w:val="center"/>
            <w:hideMark/>
          </w:tcPr>
          <w:p w14:paraId="2D39387C" w14:textId="77777777" w:rsidR="00614751" w:rsidRPr="00944CEF" w:rsidRDefault="00614751" w:rsidP="004A5585">
            <w:pPr>
              <w:spacing w:after="0" w:line="240" w:lineRule="auto"/>
              <w:jc w:val="left"/>
              <w:rPr>
                <w:rFonts w:eastAsia="Times New Roman" w:cs="Times New Roman"/>
                <w:b/>
                <w:bCs/>
                <w:color w:val="000000"/>
                <w:sz w:val="20"/>
                <w:szCs w:val="20"/>
                <w:lang w:eastAsia="sk-SK"/>
              </w:rPr>
            </w:pPr>
          </w:p>
        </w:tc>
      </w:tr>
      <w:tr w:rsidR="00614751" w:rsidRPr="00944CEF" w14:paraId="1CF847D3" w14:textId="77777777" w:rsidTr="00381469">
        <w:trPr>
          <w:trHeight w:val="317"/>
        </w:trPr>
        <w:tc>
          <w:tcPr>
            <w:tcW w:w="6946" w:type="dxa"/>
            <w:tcBorders>
              <w:top w:val="nil"/>
              <w:left w:val="nil"/>
              <w:bottom w:val="nil"/>
              <w:right w:val="nil"/>
            </w:tcBorders>
            <w:shd w:val="clear" w:color="auto" w:fill="auto"/>
            <w:noWrap/>
            <w:vAlign w:val="center"/>
            <w:hideMark/>
          </w:tcPr>
          <w:p w14:paraId="2766AD52" w14:textId="77777777" w:rsidR="00614751" w:rsidRPr="00944CEF" w:rsidRDefault="00614751" w:rsidP="004A5585">
            <w:pPr>
              <w:spacing w:after="0" w:line="240" w:lineRule="auto"/>
              <w:jc w:val="left"/>
              <w:rPr>
                <w:rFonts w:eastAsia="Times New Roman" w:cs="Times New Roman"/>
                <w:b/>
                <w:bCs/>
                <w:color w:val="000000"/>
                <w:sz w:val="20"/>
                <w:szCs w:val="20"/>
                <w:lang w:eastAsia="sk-SK"/>
              </w:rPr>
            </w:pPr>
            <w:r w:rsidRPr="00944CEF">
              <w:rPr>
                <w:rFonts w:eastAsia="Times New Roman" w:cs="Times New Roman"/>
                <w:b/>
                <w:bCs/>
                <w:color w:val="000000"/>
                <w:sz w:val="20"/>
                <w:szCs w:val="20"/>
                <w:lang w:eastAsia="sk-SK"/>
              </w:rPr>
              <w:t xml:space="preserve">1. Saldo verejnej správy - rozpočet </w:t>
            </w:r>
          </w:p>
        </w:tc>
        <w:tc>
          <w:tcPr>
            <w:tcW w:w="992" w:type="dxa"/>
            <w:tcBorders>
              <w:top w:val="nil"/>
              <w:left w:val="nil"/>
              <w:bottom w:val="nil"/>
              <w:right w:val="nil"/>
            </w:tcBorders>
            <w:shd w:val="clear" w:color="auto" w:fill="auto"/>
            <w:noWrap/>
            <w:vAlign w:val="center"/>
            <w:hideMark/>
          </w:tcPr>
          <w:p w14:paraId="2913EDDE" w14:textId="77777777" w:rsidR="00614751" w:rsidRPr="00944CEF" w:rsidRDefault="00614751" w:rsidP="004A5585">
            <w:pPr>
              <w:spacing w:after="0" w:line="240" w:lineRule="auto"/>
              <w:jc w:val="right"/>
              <w:rPr>
                <w:rFonts w:eastAsia="Times New Roman" w:cs="Times New Roman"/>
                <w:b/>
                <w:bCs/>
                <w:color w:val="000000"/>
                <w:sz w:val="20"/>
                <w:szCs w:val="20"/>
                <w:lang w:eastAsia="sk-SK"/>
              </w:rPr>
            </w:pPr>
            <w:r w:rsidRPr="00944CEF">
              <w:rPr>
                <w:rFonts w:eastAsia="Times New Roman" w:cs="Times New Roman"/>
                <w:b/>
                <w:bCs/>
                <w:color w:val="000000"/>
                <w:sz w:val="20"/>
                <w:szCs w:val="20"/>
                <w:lang w:eastAsia="sk-SK"/>
              </w:rPr>
              <w:t>-742 811</w:t>
            </w:r>
          </w:p>
        </w:tc>
        <w:tc>
          <w:tcPr>
            <w:tcW w:w="1017" w:type="dxa"/>
            <w:tcBorders>
              <w:top w:val="nil"/>
              <w:left w:val="nil"/>
              <w:bottom w:val="nil"/>
              <w:right w:val="nil"/>
            </w:tcBorders>
            <w:shd w:val="clear" w:color="auto" w:fill="auto"/>
            <w:noWrap/>
            <w:vAlign w:val="center"/>
            <w:hideMark/>
          </w:tcPr>
          <w:p w14:paraId="7C9937A2" w14:textId="77777777" w:rsidR="00614751" w:rsidRPr="00944CEF" w:rsidRDefault="00614751" w:rsidP="004A5585">
            <w:pPr>
              <w:spacing w:after="0" w:line="240" w:lineRule="auto"/>
              <w:jc w:val="right"/>
              <w:rPr>
                <w:rFonts w:eastAsia="Times New Roman" w:cs="Times New Roman"/>
                <w:b/>
                <w:bCs/>
                <w:color w:val="000000"/>
                <w:sz w:val="20"/>
                <w:szCs w:val="20"/>
                <w:lang w:eastAsia="sk-SK"/>
              </w:rPr>
            </w:pPr>
            <w:r w:rsidRPr="00944CEF">
              <w:rPr>
                <w:rFonts w:eastAsia="Times New Roman" w:cs="Times New Roman"/>
                <w:b/>
                <w:bCs/>
                <w:color w:val="000000"/>
                <w:sz w:val="20"/>
                <w:szCs w:val="20"/>
                <w:lang w:eastAsia="sk-SK"/>
              </w:rPr>
              <w:t>-0,83</w:t>
            </w:r>
          </w:p>
        </w:tc>
      </w:tr>
      <w:tr w:rsidR="00614751" w:rsidRPr="00944CEF" w14:paraId="40BC6548" w14:textId="77777777" w:rsidTr="00381469">
        <w:trPr>
          <w:trHeight w:val="317"/>
        </w:trPr>
        <w:tc>
          <w:tcPr>
            <w:tcW w:w="6946" w:type="dxa"/>
            <w:tcBorders>
              <w:top w:val="nil"/>
              <w:left w:val="nil"/>
              <w:bottom w:val="nil"/>
              <w:right w:val="nil"/>
            </w:tcBorders>
            <w:shd w:val="clear" w:color="auto" w:fill="auto"/>
            <w:noWrap/>
            <w:vAlign w:val="center"/>
            <w:hideMark/>
          </w:tcPr>
          <w:p w14:paraId="7BE83ACC" w14:textId="77777777" w:rsidR="00614751" w:rsidRPr="00944CEF" w:rsidRDefault="00614751" w:rsidP="004A5585">
            <w:pPr>
              <w:spacing w:after="0" w:line="240" w:lineRule="auto"/>
              <w:ind w:firstLineChars="200" w:firstLine="400"/>
              <w:jc w:val="left"/>
              <w:rPr>
                <w:rFonts w:eastAsia="Times New Roman" w:cs="Times New Roman"/>
                <w:color w:val="000000"/>
                <w:sz w:val="20"/>
                <w:szCs w:val="20"/>
                <w:lang w:eastAsia="sk-SK"/>
              </w:rPr>
            </w:pPr>
            <w:r w:rsidRPr="00944CEF">
              <w:rPr>
                <w:rFonts w:eastAsia="Times New Roman" w:cs="Times New Roman"/>
                <w:color w:val="000000"/>
                <w:sz w:val="20"/>
                <w:szCs w:val="20"/>
                <w:lang w:eastAsia="sk-SK"/>
              </w:rPr>
              <w:t>1. Daňové a odvodové príjmy verejnej správy</w:t>
            </w:r>
          </w:p>
        </w:tc>
        <w:tc>
          <w:tcPr>
            <w:tcW w:w="992" w:type="dxa"/>
            <w:tcBorders>
              <w:top w:val="nil"/>
              <w:left w:val="nil"/>
              <w:bottom w:val="nil"/>
              <w:right w:val="nil"/>
            </w:tcBorders>
            <w:shd w:val="clear" w:color="auto" w:fill="auto"/>
            <w:noWrap/>
            <w:vAlign w:val="center"/>
            <w:hideMark/>
          </w:tcPr>
          <w:p w14:paraId="17249973"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820 917</w:t>
            </w:r>
          </w:p>
        </w:tc>
        <w:tc>
          <w:tcPr>
            <w:tcW w:w="1017" w:type="dxa"/>
            <w:tcBorders>
              <w:top w:val="nil"/>
              <w:left w:val="nil"/>
              <w:bottom w:val="nil"/>
              <w:right w:val="nil"/>
            </w:tcBorders>
            <w:shd w:val="clear" w:color="auto" w:fill="auto"/>
            <w:noWrap/>
            <w:vAlign w:val="center"/>
            <w:hideMark/>
          </w:tcPr>
          <w:p w14:paraId="721F95A2"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0,91</w:t>
            </w:r>
          </w:p>
        </w:tc>
      </w:tr>
      <w:tr w:rsidR="00614751" w:rsidRPr="00944CEF" w14:paraId="321C63E2" w14:textId="77777777" w:rsidTr="00381469">
        <w:trPr>
          <w:trHeight w:val="317"/>
        </w:trPr>
        <w:tc>
          <w:tcPr>
            <w:tcW w:w="6946" w:type="dxa"/>
            <w:tcBorders>
              <w:top w:val="nil"/>
              <w:left w:val="nil"/>
              <w:bottom w:val="nil"/>
              <w:right w:val="nil"/>
            </w:tcBorders>
            <w:shd w:val="clear" w:color="auto" w:fill="auto"/>
            <w:noWrap/>
            <w:vAlign w:val="center"/>
            <w:hideMark/>
          </w:tcPr>
          <w:p w14:paraId="168657B2" w14:textId="77777777" w:rsidR="00614751" w:rsidRPr="00944CEF" w:rsidRDefault="00614751" w:rsidP="004A5585">
            <w:pPr>
              <w:spacing w:after="0" w:line="240" w:lineRule="auto"/>
              <w:ind w:firstLineChars="200" w:firstLine="400"/>
              <w:jc w:val="left"/>
              <w:rPr>
                <w:rFonts w:eastAsia="Times New Roman" w:cs="Times New Roman"/>
                <w:color w:val="000000"/>
                <w:sz w:val="20"/>
                <w:szCs w:val="20"/>
                <w:lang w:eastAsia="sk-SK"/>
              </w:rPr>
            </w:pPr>
            <w:r w:rsidRPr="00944CEF">
              <w:rPr>
                <w:rFonts w:eastAsia="Times New Roman" w:cs="Times New Roman"/>
                <w:color w:val="000000"/>
                <w:sz w:val="20"/>
                <w:szCs w:val="20"/>
                <w:lang w:eastAsia="sk-SK"/>
              </w:rPr>
              <w:t xml:space="preserve"> z toho: daňové príjmy</w:t>
            </w:r>
          </w:p>
        </w:tc>
        <w:tc>
          <w:tcPr>
            <w:tcW w:w="992" w:type="dxa"/>
            <w:tcBorders>
              <w:top w:val="nil"/>
              <w:left w:val="nil"/>
              <w:bottom w:val="nil"/>
              <w:right w:val="nil"/>
            </w:tcBorders>
            <w:shd w:val="clear" w:color="auto" w:fill="auto"/>
            <w:noWrap/>
            <w:vAlign w:val="center"/>
            <w:hideMark/>
          </w:tcPr>
          <w:p w14:paraId="3ADF07A7"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408 779</w:t>
            </w:r>
          </w:p>
        </w:tc>
        <w:tc>
          <w:tcPr>
            <w:tcW w:w="1017" w:type="dxa"/>
            <w:tcBorders>
              <w:top w:val="nil"/>
              <w:left w:val="nil"/>
              <w:bottom w:val="nil"/>
              <w:right w:val="nil"/>
            </w:tcBorders>
            <w:shd w:val="clear" w:color="auto" w:fill="auto"/>
            <w:noWrap/>
            <w:vAlign w:val="center"/>
            <w:hideMark/>
          </w:tcPr>
          <w:p w14:paraId="19357028"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0,45</w:t>
            </w:r>
          </w:p>
        </w:tc>
      </w:tr>
      <w:tr w:rsidR="00614751" w:rsidRPr="00944CEF" w14:paraId="0BE4288F" w14:textId="77777777" w:rsidTr="00381469">
        <w:trPr>
          <w:trHeight w:val="317"/>
        </w:trPr>
        <w:tc>
          <w:tcPr>
            <w:tcW w:w="6946" w:type="dxa"/>
            <w:tcBorders>
              <w:top w:val="nil"/>
              <w:left w:val="nil"/>
              <w:bottom w:val="nil"/>
              <w:right w:val="nil"/>
            </w:tcBorders>
            <w:shd w:val="clear" w:color="auto" w:fill="auto"/>
            <w:noWrap/>
            <w:vAlign w:val="center"/>
            <w:hideMark/>
          </w:tcPr>
          <w:p w14:paraId="0630952B" w14:textId="77777777" w:rsidR="00614751" w:rsidRPr="00944CEF" w:rsidRDefault="00614751" w:rsidP="004A5585">
            <w:pPr>
              <w:spacing w:after="0" w:line="240" w:lineRule="auto"/>
              <w:ind w:firstLineChars="200" w:firstLine="400"/>
              <w:jc w:val="left"/>
              <w:rPr>
                <w:rFonts w:eastAsia="Times New Roman" w:cs="Times New Roman"/>
                <w:color w:val="000000"/>
                <w:sz w:val="20"/>
                <w:szCs w:val="20"/>
                <w:lang w:eastAsia="sk-SK"/>
              </w:rPr>
            </w:pPr>
            <w:r w:rsidRPr="00944CEF">
              <w:rPr>
                <w:rFonts w:eastAsia="Times New Roman" w:cs="Times New Roman"/>
                <w:color w:val="000000"/>
                <w:sz w:val="20"/>
                <w:szCs w:val="20"/>
                <w:lang w:eastAsia="sk-SK"/>
              </w:rPr>
              <w:t xml:space="preserve">             odvodové príjmy</w:t>
            </w:r>
          </w:p>
        </w:tc>
        <w:tc>
          <w:tcPr>
            <w:tcW w:w="992" w:type="dxa"/>
            <w:tcBorders>
              <w:top w:val="nil"/>
              <w:left w:val="nil"/>
              <w:bottom w:val="nil"/>
              <w:right w:val="nil"/>
            </w:tcBorders>
            <w:shd w:val="clear" w:color="auto" w:fill="auto"/>
            <w:noWrap/>
            <w:vAlign w:val="center"/>
            <w:hideMark/>
          </w:tcPr>
          <w:p w14:paraId="10D751B7"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412 138</w:t>
            </w:r>
          </w:p>
        </w:tc>
        <w:tc>
          <w:tcPr>
            <w:tcW w:w="1017" w:type="dxa"/>
            <w:tcBorders>
              <w:top w:val="nil"/>
              <w:left w:val="nil"/>
              <w:bottom w:val="nil"/>
              <w:right w:val="nil"/>
            </w:tcBorders>
            <w:shd w:val="clear" w:color="auto" w:fill="auto"/>
            <w:noWrap/>
            <w:vAlign w:val="center"/>
            <w:hideMark/>
          </w:tcPr>
          <w:p w14:paraId="2F668AB6"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0,46</w:t>
            </w:r>
          </w:p>
        </w:tc>
      </w:tr>
      <w:tr w:rsidR="00614751" w:rsidRPr="00944CEF" w14:paraId="165A88A1" w14:textId="77777777" w:rsidTr="00381469">
        <w:trPr>
          <w:trHeight w:val="317"/>
        </w:trPr>
        <w:tc>
          <w:tcPr>
            <w:tcW w:w="6946" w:type="dxa"/>
            <w:tcBorders>
              <w:top w:val="nil"/>
              <w:left w:val="nil"/>
              <w:bottom w:val="nil"/>
              <w:right w:val="nil"/>
            </w:tcBorders>
            <w:shd w:val="clear" w:color="auto" w:fill="auto"/>
            <w:noWrap/>
            <w:vAlign w:val="center"/>
            <w:hideMark/>
          </w:tcPr>
          <w:p w14:paraId="4AF4B184" w14:textId="77777777" w:rsidR="00614751" w:rsidRPr="00944CEF" w:rsidRDefault="00614751" w:rsidP="004A5585">
            <w:pPr>
              <w:spacing w:after="0" w:line="240" w:lineRule="auto"/>
              <w:ind w:firstLineChars="200" w:firstLine="400"/>
              <w:jc w:val="left"/>
              <w:rPr>
                <w:rFonts w:eastAsia="Times New Roman" w:cs="Times New Roman"/>
                <w:color w:val="000000"/>
                <w:sz w:val="20"/>
                <w:szCs w:val="20"/>
                <w:lang w:eastAsia="sk-SK"/>
              </w:rPr>
            </w:pPr>
            <w:r w:rsidRPr="00944CEF">
              <w:rPr>
                <w:rFonts w:eastAsia="Times New Roman" w:cs="Times New Roman"/>
                <w:color w:val="000000"/>
                <w:sz w:val="20"/>
                <w:szCs w:val="20"/>
                <w:lang w:eastAsia="sk-SK"/>
              </w:rPr>
              <w:t>2. Vplyv iných ako daňových príjmov štátneho rozpočtu</w:t>
            </w:r>
          </w:p>
        </w:tc>
        <w:tc>
          <w:tcPr>
            <w:tcW w:w="992" w:type="dxa"/>
            <w:tcBorders>
              <w:top w:val="nil"/>
              <w:left w:val="nil"/>
              <w:bottom w:val="nil"/>
              <w:right w:val="nil"/>
            </w:tcBorders>
            <w:shd w:val="clear" w:color="auto" w:fill="auto"/>
            <w:noWrap/>
            <w:vAlign w:val="center"/>
            <w:hideMark/>
          </w:tcPr>
          <w:p w14:paraId="284AFE4E"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618 943</w:t>
            </w:r>
          </w:p>
        </w:tc>
        <w:tc>
          <w:tcPr>
            <w:tcW w:w="1017" w:type="dxa"/>
            <w:tcBorders>
              <w:top w:val="nil"/>
              <w:left w:val="nil"/>
              <w:bottom w:val="nil"/>
              <w:right w:val="nil"/>
            </w:tcBorders>
            <w:shd w:val="clear" w:color="auto" w:fill="auto"/>
            <w:noWrap/>
            <w:vAlign w:val="center"/>
            <w:hideMark/>
          </w:tcPr>
          <w:p w14:paraId="600AB8A5"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0,69</w:t>
            </w:r>
          </w:p>
        </w:tc>
      </w:tr>
      <w:tr w:rsidR="00614751" w:rsidRPr="00944CEF" w14:paraId="5667AA0B" w14:textId="77777777" w:rsidTr="00381469">
        <w:trPr>
          <w:trHeight w:val="317"/>
        </w:trPr>
        <w:tc>
          <w:tcPr>
            <w:tcW w:w="6946" w:type="dxa"/>
            <w:tcBorders>
              <w:top w:val="nil"/>
              <w:left w:val="nil"/>
              <w:bottom w:val="nil"/>
              <w:right w:val="nil"/>
            </w:tcBorders>
            <w:shd w:val="clear" w:color="auto" w:fill="auto"/>
            <w:vAlign w:val="center"/>
            <w:hideMark/>
          </w:tcPr>
          <w:p w14:paraId="2A38578A" w14:textId="77777777" w:rsidR="00614751" w:rsidRPr="00944CEF" w:rsidRDefault="00614751" w:rsidP="004A5585">
            <w:pPr>
              <w:spacing w:after="0" w:line="240" w:lineRule="auto"/>
              <w:ind w:firstLineChars="300" w:firstLine="600"/>
              <w:jc w:val="left"/>
              <w:rPr>
                <w:rFonts w:eastAsia="Times New Roman" w:cs="Times New Roman"/>
                <w:color w:val="000000"/>
                <w:sz w:val="20"/>
                <w:szCs w:val="20"/>
                <w:lang w:eastAsia="sk-SK"/>
              </w:rPr>
            </w:pPr>
            <w:r w:rsidRPr="00944CEF">
              <w:rPr>
                <w:rFonts w:eastAsia="Times New Roman" w:cs="Times New Roman"/>
                <w:color w:val="000000"/>
                <w:sz w:val="20"/>
                <w:szCs w:val="20"/>
                <w:lang w:eastAsia="sk-SK"/>
              </w:rPr>
              <w:t xml:space="preserve"> - Príjmy z dividend a z odvodov zo zisku (vrátane časového rozlíšenia)</w:t>
            </w:r>
          </w:p>
        </w:tc>
        <w:tc>
          <w:tcPr>
            <w:tcW w:w="992" w:type="dxa"/>
            <w:tcBorders>
              <w:top w:val="nil"/>
              <w:left w:val="nil"/>
              <w:bottom w:val="nil"/>
              <w:right w:val="nil"/>
            </w:tcBorders>
            <w:shd w:val="clear" w:color="auto" w:fill="auto"/>
            <w:noWrap/>
            <w:vAlign w:val="center"/>
            <w:hideMark/>
          </w:tcPr>
          <w:p w14:paraId="4E8314CF"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-44 179</w:t>
            </w:r>
          </w:p>
        </w:tc>
        <w:tc>
          <w:tcPr>
            <w:tcW w:w="1017" w:type="dxa"/>
            <w:tcBorders>
              <w:top w:val="nil"/>
              <w:left w:val="nil"/>
              <w:bottom w:val="nil"/>
              <w:right w:val="nil"/>
            </w:tcBorders>
            <w:shd w:val="clear" w:color="auto" w:fill="auto"/>
            <w:noWrap/>
            <w:vAlign w:val="center"/>
            <w:hideMark/>
          </w:tcPr>
          <w:p w14:paraId="15C23493"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-0,05</w:t>
            </w:r>
          </w:p>
        </w:tc>
      </w:tr>
      <w:tr w:rsidR="00614751" w:rsidRPr="00944CEF" w14:paraId="1C16E55F" w14:textId="77777777" w:rsidTr="00381469">
        <w:trPr>
          <w:trHeight w:val="317"/>
        </w:trPr>
        <w:tc>
          <w:tcPr>
            <w:tcW w:w="6946" w:type="dxa"/>
            <w:tcBorders>
              <w:top w:val="nil"/>
              <w:left w:val="nil"/>
              <w:bottom w:val="nil"/>
              <w:right w:val="nil"/>
            </w:tcBorders>
            <w:shd w:val="clear" w:color="auto" w:fill="auto"/>
            <w:noWrap/>
            <w:vAlign w:val="center"/>
            <w:hideMark/>
          </w:tcPr>
          <w:p w14:paraId="61F33C24" w14:textId="77777777" w:rsidR="00614751" w:rsidRPr="00944CEF" w:rsidRDefault="00614751" w:rsidP="004A5585">
            <w:pPr>
              <w:spacing w:after="0" w:line="240" w:lineRule="auto"/>
              <w:ind w:firstLineChars="300" w:firstLine="600"/>
              <w:jc w:val="left"/>
              <w:rPr>
                <w:rFonts w:eastAsia="Times New Roman" w:cs="Times New Roman"/>
                <w:color w:val="000000"/>
                <w:sz w:val="20"/>
                <w:szCs w:val="20"/>
                <w:lang w:eastAsia="sk-SK"/>
              </w:rPr>
            </w:pPr>
            <w:r w:rsidRPr="00944CEF">
              <w:rPr>
                <w:rFonts w:eastAsia="Times New Roman" w:cs="Times New Roman"/>
                <w:color w:val="000000"/>
                <w:sz w:val="20"/>
                <w:szCs w:val="20"/>
                <w:lang w:eastAsia="sk-SK"/>
              </w:rPr>
              <w:t xml:space="preserve"> - zmena stavu pohľadávok</w:t>
            </w:r>
          </w:p>
        </w:tc>
        <w:tc>
          <w:tcPr>
            <w:tcW w:w="992" w:type="dxa"/>
            <w:tcBorders>
              <w:top w:val="nil"/>
              <w:left w:val="nil"/>
              <w:bottom w:val="nil"/>
              <w:right w:val="nil"/>
            </w:tcBorders>
            <w:shd w:val="clear" w:color="auto" w:fill="auto"/>
            <w:noWrap/>
            <w:vAlign w:val="center"/>
            <w:hideMark/>
          </w:tcPr>
          <w:p w14:paraId="4B570A3E"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-16 353</w:t>
            </w:r>
          </w:p>
        </w:tc>
        <w:tc>
          <w:tcPr>
            <w:tcW w:w="1017" w:type="dxa"/>
            <w:tcBorders>
              <w:top w:val="nil"/>
              <w:left w:val="nil"/>
              <w:bottom w:val="nil"/>
              <w:right w:val="nil"/>
            </w:tcBorders>
            <w:shd w:val="clear" w:color="auto" w:fill="auto"/>
            <w:noWrap/>
            <w:vAlign w:val="center"/>
            <w:hideMark/>
          </w:tcPr>
          <w:p w14:paraId="6530CC34"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-0,02</w:t>
            </w:r>
          </w:p>
        </w:tc>
      </w:tr>
      <w:tr w:rsidR="00614751" w:rsidRPr="00944CEF" w14:paraId="5C8E47CE" w14:textId="77777777" w:rsidTr="00381469">
        <w:trPr>
          <w:trHeight w:val="317"/>
        </w:trPr>
        <w:tc>
          <w:tcPr>
            <w:tcW w:w="6946" w:type="dxa"/>
            <w:tcBorders>
              <w:top w:val="nil"/>
              <w:left w:val="nil"/>
              <w:bottom w:val="nil"/>
              <w:right w:val="nil"/>
            </w:tcBorders>
            <w:shd w:val="clear" w:color="auto" w:fill="auto"/>
            <w:noWrap/>
            <w:vAlign w:val="center"/>
            <w:hideMark/>
          </w:tcPr>
          <w:p w14:paraId="356A385E" w14:textId="77777777" w:rsidR="00614751" w:rsidRPr="00944CEF" w:rsidRDefault="00614751" w:rsidP="004A5585">
            <w:pPr>
              <w:spacing w:after="0" w:line="240" w:lineRule="auto"/>
              <w:ind w:firstLineChars="300" w:firstLine="600"/>
              <w:jc w:val="left"/>
              <w:rPr>
                <w:rFonts w:eastAsia="Times New Roman" w:cs="Times New Roman"/>
                <w:color w:val="000000"/>
                <w:sz w:val="20"/>
                <w:szCs w:val="20"/>
                <w:lang w:eastAsia="sk-SK"/>
              </w:rPr>
            </w:pPr>
            <w:r w:rsidRPr="00944CEF">
              <w:rPr>
                <w:rFonts w:eastAsia="Times New Roman" w:cs="Times New Roman"/>
                <w:color w:val="000000"/>
                <w:sz w:val="20"/>
                <w:szCs w:val="20"/>
                <w:lang w:eastAsia="sk-SK"/>
              </w:rPr>
              <w:t xml:space="preserve"> - Ostatné</w:t>
            </w:r>
          </w:p>
        </w:tc>
        <w:tc>
          <w:tcPr>
            <w:tcW w:w="992" w:type="dxa"/>
            <w:tcBorders>
              <w:top w:val="nil"/>
              <w:left w:val="nil"/>
              <w:bottom w:val="nil"/>
              <w:right w:val="nil"/>
            </w:tcBorders>
            <w:shd w:val="clear" w:color="auto" w:fill="auto"/>
            <w:noWrap/>
            <w:vAlign w:val="center"/>
            <w:hideMark/>
          </w:tcPr>
          <w:p w14:paraId="4701333B"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14 981</w:t>
            </w:r>
          </w:p>
        </w:tc>
        <w:tc>
          <w:tcPr>
            <w:tcW w:w="1017" w:type="dxa"/>
            <w:tcBorders>
              <w:top w:val="nil"/>
              <w:left w:val="nil"/>
              <w:bottom w:val="nil"/>
              <w:right w:val="nil"/>
            </w:tcBorders>
            <w:shd w:val="clear" w:color="auto" w:fill="auto"/>
            <w:noWrap/>
            <w:vAlign w:val="center"/>
            <w:hideMark/>
          </w:tcPr>
          <w:p w14:paraId="14174A69"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0,02</w:t>
            </w:r>
          </w:p>
        </w:tc>
      </w:tr>
      <w:tr w:rsidR="00614751" w:rsidRPr="00944CEF" w14:paraId="7A6DB52A" w14:textId="77777777" w:rsidTr="00381469">
        <w:trPr>
          <w:trHeight w:val="317"/>
        </w:trPr>
        <w:tc>
          <w:tcPr>
            <w:tcW w:w="6946" w:type="dxa"/>
            <w:tcBorders>
              <w:top w:val="nil"/>
              <w:left w:val="nil"/>
              <w:bottom w:val="nil"/>
              <w:right w:val="nil"/>
            </w:tcBorders>
            <w:shd w:val="clear" w:color="auto" w:fill="auto"/>
            <w:noWrap/>
            <w:vAlign w:val="center"/>
            <w:hideMark/>
          </w:tcPr>
          <w:p w14:paraId="59658360" w14:textId="77777777" w:rsidR="00614751" w:rsidRPr="00944CEF" w:rsidRDefault="00614751" w:rsidP="004A5585">
            <w:pPr>
              <w:spacing w:after="0" w:line="240" w:lineRule="auto"/>
              <w:ind w:firstLineChars="300" w:firstLine="600"/>
              <w:jc w:val="left"/>
              <w:rPr>
                <w:rFonts w:eastAsia="Times New Roman" w:cs="Times New Roman"/>
                <w:color w:val="000000"/>
                <w:sz w:val="20"/>
                <w:szCs w:val="20"/>
                <w:lang w:eastAsia="sk-SK"/>
              </w:rPr>
            </w:pPr>
            <w:r w:rsidRPr="00944CEF">
              <w:rPr>
                <w:rFonts w:eastAsia="Times New Roman" w:cs="Times New Roman"/>
                <w:color w:val="000000"/>
                <w:sz w:val="20"/>
                <w:szCs w:val="20"/>
                <w:lang w:eastAsia="sk-SK"/>
              </w:rPr>
              <w:t xml:space="preserve"> - EÚ príjmy</w:t>
            </w:r>
          </w:p>
        </w:tc>
        <w:tc>
          <w:tcPr>
            <w:tcW w:w="992" w:type="dxa"/>
            <w:tcBorders>
              <w:top w:val="nil"/>
              <w:left w:val="nil"/>
              <w:bottom w:val="nil"/>
              <w:right w:val="nil"/>
            </w:tcBorders>
            <w:shd w:val="clear" w:color="auto" w:fill="auto"/>
            <w:noWrap/>
            <w:vAlign w:val="center"/>
            <w:hideMark/>
          </w:tcPr>
          <w:p w14:paraId="266DD60A"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664 494</w:t>
            </w:r>
          </w:p>
        </w:tc>
        <w:tc>
          <w:tcPr>
            <w:tcW w:w="1017" w:type="dxa"/>
            <w:tcBorders>
              <w:top w:val="nil"/>
              <w:left w:val="nil"/>
              <w:bottom w:val="nil"/>
              <w:right w:val="nil"/>
            </w:tcBorders>
            <w:shd w:val="clear" w:color="auto" w:fill="auto"/>
            <w:noWrap/>
            <w:vAlign w:val="center"/>
            <w:hideMark/>
          </w:tcPr>
          <w:p w14:paraId="5EB90124"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0,74</w:t>
            </w:r>
          </w:p>
        </w:tc>
      </w:tr>
      <w:tr w:rsidR="00614751" w:rsidRPr="00944CEF" w14:paraId="506E13F2" w14:textId="77777777" w:rsidTr="00381469">
        <w:trPr>
          <w:trHeight w:val="317"/>
        </w:trPr>
        <w:tc>
          <w:tcPr>
            <w:tcW w:w="6946" w:type="dxa"/>
            <w:tcBorders>
              <w:top w:val="nil"/>
              <w:left w:val="nil"/>
              <w:bottom w:val="nil"/>
              <w:right w:val="nil"/>
            </w:tcBorders>
            <w:shd w:val="clear" w:color="auto" w:fill="auto"/>
            <w:noWrap/>
            <w:vAlign w:val="center"/>
            <w:hideMark/>
          </w:tcPr>
          <w:p w14:paraId="5DCC0C75" w14:textId="77777777" w:rsidR="00614751" w:rsidRPr="00944CEF" w:rsidRDefault="00614751" w:rsidP="004A5585">
            <w:pPr>
              <w:spacing w:after="0" w:line="240" w:lineRule="auto"/>
              <w:ind w:firstLineChars="200" w:firstLine="400"/>
              <w:jc w:val="left"/>
              <w:rPr>
                <w:rFonts w:eastAsia="Times New Roman" w:cs="Times New Roman"/>
                <w:color w:val="000000"/>
                <w:sz w:val="20"/>
                <w:szCs w:val="20"/>
                <w:lang w:eastAsia="sk-SK"/>
              </w:rPr>
            </w:pPr>
            <w:r w:rsidRPr="00944CEF">
              <w:rPr>
                <w:rFonts w:eastAsia="Times New Roman" w:cs="Times New Roman"/>
                <w:color w:val="000000"/>
                <w:sz w:val="20"/>
                <w:szCs w:val="20"/>
                <w:lang w:eastAsia="sk-SK"/>
              </w:rPr>
              <w:t>3. Vplyv vybraných výdavkov štátneho rozpočtu, z toho</w:t>
            </w:r>
          </w:p>
        </w:tc>
        <w:tc>
          <w:tcPr>
            <w:tcW w:w="992" w:type="dxa"/>
            <w:tcBorders>
              <w:top w:val="nil"/>
              <w:left w:val="nil"/>
              <w:bottom w:val="nil"/>
              <w:right w:val="nil"/>
            </w:tcBorders>
            <w:shd w:val="clear" w:color="auto" w:fill="auto"/>
            <w:noWrap/>
            <w:vAlign w:val="center"/>
            <w:hideMark/>
          </w:tcPr>
          <w:p w14:paraId="7806DC9C" w14:textId="77777777" w:rsidR="00614751" w:rsidRPr="00FF11CB" w:rsidRDefault="00614751" w:rsidP="004A5585">
            <w:pPr>
              <w:spacing w:after="0" w:line="240" w:lineRule="auto"/>
              <w:jc w:val="right"/>
              <w:rPr>
                <w:rFonts w:eastAsia="Times New Roman" w:cs="Times New Roman"/>
                <w:bCs/>
                <w:color w:val="000000"/>
                <w:sz w:val="20"/>
                <w:szCs w:val="20"/>
                <w:lang w:eastAsia="sk-SK"/>
              </w:rPr>
            </w:pPr>
            <w:r w:rsidRPr="00FF11CB">
              <w:rPr>
                <w:rFonts w:eastAsia="Times New Roman" w:cs="Times New Roman"/>
                <w:bCs/>
                <w:color w:val="000000"/>
                <w:sz w:val="20"/>
                <w:szCs w:val="20"/>
                <w:lang w:eastAsia="sk-SK"/>
              </w:rPr>
              <w:t>-826 668</w:t>
            </w:r>
          </w:p>
        </w:tc>
        <w:tc>
          <w:tcPr>
            <w:tcW w:w="1017" w:type="dxa"/>
            <w:tcBorders>
              <w:top w:val="nil"/>
              <w:left w:val="nil"/>
              <w:bottom w:val="nil"/>
              <w:right w:val="nil"/>
            </w:tcBorders>
            <w:shd w:val="clear" w:color="auto" w:fill="auto"/>
            <w:noWrap/>
            <w:vAlign w:val="center"/>
            <w:hideMark/>
          </w:tcPr>
          <w:p w14:paraId="3A4A5365"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-0,92</w:t>
            </w:r>
          </w:p>
        </w:tc>
      </w:tr>
      <w:tr w:rsidR="00614751" w:rsidRPr="00944CEF" w14:paraId="2CDC0BFB" w14:textId="77777777" w:rsidTr="00381469">
        <w:trPr>
          <w:trHeight w:val="317"/>
        </w:trPr>
        <w:tc>
          <w:tcPr>
            <w:tcW w:w="6946" w:type="dxa"/>
            <w:tcBorders>
              <w:top w:val="nil"/>
              <w:left w:val="nil"/>
              <w:bottom w:val="nil"/>
              <w:right w:val="nil"/>
            </w:tcBorders>
            <w:shd w:val="clear" w:color="auto" w:fill="auto"/>
            <w:noWrap/>
            <w:vAlign w:val="center"/>
            <w:hideMark/>
          </w:tcPr>
          <w:p w14:paraId="2A0004FB" w14:textId="77777777" w:rsidR="00614751" w:rsidRPr="00944CEF" w:rsidRDefault="00614751" w:rsidP="004A5585">
            <w:pPr>
              <w:spacing w:after="0" w:line="240" w:lineRule="auto"/>
              <w:ind w:firstLineChars="300" w:firstLine="600"/>
              <w:jc w:val="left"/>
              <w:rPr>
                <w:rFonts w:eastAsia="Times New Roman" w:cs="Times New Roman"/>
                <w:color w:val="000000"/>
                <w:sz w:val="20"/>
                <w:szCs w:val="20"/>
                <w:lang w:eastAsia="sk-SK"/>
              </w:rPr>
            </w:pPr>
            <w:r w:rsidRPr="00944CEF">
              <w:rPr>
                <w:rFonts w:eastAsia="Times New Roman" w:cs="Times New Roman"/>
                <w:color w:val="000000"/>
                <w:sz w:val="20"/>
                <w:szCs w:val="20"/>
                <w:lang w:eastAsia="sk-SK"/>
              </w:rPr>
              <w:t xml:space="preserve"> - Spolufinancovanie</w:t>
            </w:r>
          </w:p>
        </w:tc>
        <w:tc>
          <w:tcPr>
            <w:tcW w:w="992" w:type="dxa"/>
            <w:tcBorders>
              <w:top w:val="nil"/>
              <w:left w:val="nil"/>
              <w:bottom w:val="nil"/>
              <w:right w:val="nil"/>
            </w:tcBorders>
            <w:shd w:val="clear" w:color="auto" w:fill="auto"/>
            <w:noWrap/>
            <w:vAlign w:val="center"/>
            <w:hideMark/>
          </w:tcPr>
          <w:p w14:paraId="5DCBD165"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-105 302</w:t>
            </w:r>
          </w:p>
        </w:tc>
        <w:tc>
          <w:tcPr>
            <w:tcW w:w="1017" w:type="dxa"/>
            <w:tcBorders>
              <w:top w:val="nil"/>
              <w:left w:val="nil"/>
              <w:bottom w:val="nil"/>
              <w:right w:val="nil"/>
            </w:tcBorders>
            <w:shd w:val="clear" w:color="auto" w:fill="auto"/>
            <w:noWrap/>
            <w:vAlign w:val="center"/>
            <w:hideMark/>
          </w:tcPr>
          <w:p w14:paraId="6F2D0314"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-0,12</w:t>
            </w:r>
          </w:p>
        </w:tc>
      </w:tr>
      <w:tr w:rsidR="00614751" w:rsidRPr="00944CEF" w14:paraId="7B637735" w14:textId="77777777" w:rsidTr="00381469">
        <w:trPr>
          <w:trHeight w:val="317"/>
        </w:trPr>
        <w:tc>
          <w:tcPr>
            <w:tcW w:w="6946" w:type="dxa"/>
            <w:tcBorders>
              <w:top w:val="nil"/>
              <w:left w:val="nil"/>
              <w:bottom w:val="nil"/>
              <w:right w:val="nil"/>
            </w:tcBorders>
            <w:shd w:val="clear" w:color="auto" w:fill="auto"/>
            <w:noWrap/>
            <w:vAlign w:val="center"/>
            <w:hideMark/>
          </w:tcPr>
          <w:p w14:paraId="10C45D73" w14:textId="77777777" w:rsidR="00614751" w:rsidRPr="00944CEF" w:rsidRDefault="00614751" w:rsidP="004A5585">
            <w:pPr>
              <w:spacing w:after="0" w:line="240" w:lineRule="auto"/>
              <w:ind w:firstLineChars="300" w:firstLine="600"/>
              <w:jc w:val="left"/>
              <w:rPr>
                <w:rFonts w:eastAsia="Times New Roman" w:cs="Times New Roman"/>
                <w:color w:val="000000"/>
                <w:sz w:val="20"/>
                <w:szCs w:val="20"/>
                <w:lang w:eastAsia="sk-SK"/>
              </w:rPr>
            </w:pPr>
            <w:r w:rsidRPr="00944CEF">
              <w:rPr>
                <w:rFonts w:eastAsia="Times New Roman" w:cs="Times New Roman"/>
                <w:color w:val="000000"/>
                <w:sz w:val="20"/>
                <w:szCs w:val="20"/>
                <w:lang w:eastAsia="sk-SK"/>
              </w:rPr>
              <w:t xml:space="preserve"> - Odvod  do rozpočtu EÚ</w:t>
            </w:r>
          </w:p>
        </w:tc>
        <w:tc>
          <w:tcPr>
            <w:tcW w:w="992" w:type="dxa"/>
            <w:tcBorders>
              <w:top w:val="nil"/>
              <w:left w:val="nil"/>
              <w:bottom w:val="nil"/>
              <w:right w:val="nil"/>
            </w:tcBorders>
            <w:shd w:val="clear" w:color="auto" w:fill="auto"/>
            <w:noWrap/>
            <w:vAlign w:val="center"/>
            <w:hideMark/>
          </w:tcPr>
          <w:p w14:paraId="5841C045"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4 485</w:t>
            </w:r>
          </w:p>
        </w:tc>
        <w:tc>
          <w:tcPr>
            <w:tcW w:w="1017" w:type="dxa"/>
            <w:tcBorders>
              <w:top w:val="nil"/>
              <w:left w:val="nil"/>
              <w:bottom w:val="nil"/>
              <w:right w:val="nil"/>
            </w:tcBorders>
            <w:shd w:val="clear" w:color="auto" w:fill="auto"/>
            <w:noWrap/>
            <w:vAlign w:val="center"/>
            <w:hideMark/>
          </w:tcPr>
          <w:p w14:paraId="6D79F972"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0,00</w:t>
            </w:r>
          </w:p>
        </w:tc>
      </w:tr>
      <w:tr w:rsidR="00614751" w:rsidRPr="00944CEF" w14:paraId="15AA9104" w14:textId="77777777" w:rsidTr="00381469">
        <w:trPr>
          <w:trHeight w:val="317"/>
        </w:trPr>
        <w:tc>
          <w:tcPr>
            <w:tcW w:w="6946" w:type="dxa"/>
            <w:tcBorders>
              <w:top w:val="nil"/>
              <w:left w:val="nil"/>
              <w:bottom w:val="nil"/>
              <w:right w:val="nil"/>
            </w:tcBorders>
            <w:shd w:val="clear" w:color="auto" w:fill="auto"/>
            <w:noWrap/>
            <w:vAlign w:val="center"/>
            <w:hideMark/>
          </w:tcPr>
          <w:p w14:paraId="31E12291" w14:textId="77777777" w:rsidR="00614751" w:rsidRPr="00944CEF" w:rsidRDefault="00614751" w:rsidP="004A5585">
            <w:pPr>
              <w:spacing w:after="0" w:line="240" w:lineRule="auto"/>
              <w:ind w:firstLineChars="300" w:firstLine="600"/>
              <w:jc w:val="left"/>
              <w:rPr>
                <w:rFonts w:eastAsia="Times New Roman" w:cs="Times New Roman"/>
                <w:color w:val="000000"/>
                <w:sz w:val="20"/>
                <w:szCs w:val="20"/>
                <w:lang w:eastAsia="sk-SK"/>
              </w:rPr>
            </w:pPr>
            <w:r w:rsidRPr="00944CEF">
              <w:rPr>
                <w:rFonts w:eastAsia="Times New Roman" w:cs="Times New Roman"/>
                <w:color w:val="000000"/>
                <w:sz w:val="20"/>
                <w:szCs w:val="20"/>
                <w:lang w:eastAsia="sk-SK"/>
              </w:rPr>
              <w:t xml:space="preserve"> - Transfer Sociálnej poisťovni</w:t>
            </w:r>
          </w:p>
        </w:tc>
        <w:tc>
          <w:tcPr>
            <w:tcW w:w="992" w:type="dxa"/>
            <w:tcBorders>
              <w:top w:val="nil"/>
              <w:left w:val="nil"/>
              <w:bottom w:val="nil"/>
              <w:right w:val="nil"/>
            </w:tcBorders>
            <w:shd w:val="clear" w:color="auto" w:fill="auto"/>
            <w:noWrap/>
            <w:vAlign w:val="center"/>
            <w:hideMark/>
          </w:tcPr>
          <w:p w14:paraId="24F7E753"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148 979</w:t>
            </w:r>
          </w:p>
        </w:tc>
        <w:tc>
          <w:tcPr>
            <w:tcW w:w="1017" w:type="dxa"/>
            <w:tcBorders>
              <w:top w:val="nil"/>
              <w:left w:val="nil"/>
              <w:bottom w:val="nil"/>
              <w:right w:val="nil"/>
            </w:tcBorders>
            <w:shd w:val="clear" w:color="auto" w:fill="auto"/>
            <w:noWrap/>
            <w:vAlign w:val="center"/>
            <w:hideMark/>
          </w:tcPr>
          <w:p w14:paraId="55721C0A"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0,17</w:t>
            </w:r>
          </w:p>
        </w:tc>
      </w:tr>
      <w:tr w:rsidR="00614751" w:rsidRPr="00944CEF" w14:paraId="2CA0844F" w14:textId="77777777" w:rsidTr="00381469">
        <w:trPr>
          <w:trHeight w:val="317"/>
        </w:trPr>
        <w:tc>
          <w:tcPr>
            <w:tcW w:w="6946" w:type="dxa"/>
            <w:tcBorders>
              <w:top w:val="nil"/>
              <w:left w:val="nil"/>
              <w:bottom w:val="nil"/>
              <w:right w:val="nil"/>
            </w:tcBorders>
            <w:shd w:val="clear" w:color="auto" w:fill="auto"/>
            <w:noWrap/>
            <w:vAlign w:val="center"/>
            <w:hideMark/>
          </w:tcPr>
          <w:p w14:paraId="4B89F0B6" w14:textId="77777777" w:rsidR="00614751" w:rsidRPr="00944CEF" w:rsidRDefault="00614751" w:rsidP="004A5585">
            <w:pPr>
              <w:spacing w:after="0" w:line="240" w:lineRule="auto"/>
              <w:ind w:firstLineChars="300" w:firstLine="600"/>
              <w:jc w:val="left"/>
              <w:rPr>
                <w:rFonts w:eastAsia="Times New Roman" w:cs="Times New Roman"/>
                <w:color w:val="000000"/>
                <w:sz w:val="20"/>
                <w:szCs w:val="20"/>
                <w:lang w:eastAsia="sk-SK"/>
              </w:rPr>
            </w:pPr>
            <w:r w:rsidRPr="00944CEF">
              <w:rPr>
                <w:rFonts w:eastAsia="Times New Roman" w:cs="Times New Roman"/>
                <w:color w:val="000000"/>
                <w:sz w:val="20"/>
                <w:szCs w:val="20"/>
                <w:lang w:eastAsia="sk-SK"/>
              </w:rPr>
              <w:t xml:space="preserve"> - Korekcie k fondom EÚ </w:t>
            </w:r>
          </w:p>
        </w:tc>
        <w:tc>
          <w:tcPr>
            <w:tcW w:w="992" w:type="dxa"/>
            <w:tcBorders>
              <w:top w:val="nil"/>
              <w:left w:val="nil"/>
              <w:bottom w:val="nil"/>
              <w:right w:val="nil"/>
            </w:tcBorders>
            <w:shd w:val="clear" w:color="auto" w:fill="auto"/>
            <w:noWrap/>
            <w:vAlign w:val="center"/>
            <w:hideMark/>
          </w:tcPr>
          <w:p w14:paraId="05E4610B"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-19 046</w:t>
            </w:r>
          </w:p>
        </w:tc>
        <w:tc>
          <w:tcPr>
            <w:tcW w:w="1017" w:type="dxa"/>
            <w:tcBorders>
              <w:top w:val="nil"/>
              <w:left w:val="nil"/>
              <w:bottom w:val="nil"/>
              <w:right w:val="nil"/>
            </w:tcBorders>
            <w:shd w:val="clear" w:color="auto" w:fill="auto"/>
            <w:noWrap/>
            <w:vAlign w:val="center"/>
            <w:hideMark/>
          </w:tcPr>
          <w:p w14:paraId="256B9E31"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-0,02</w:t>
            </w:r>
          </w:p>
        </w:tc>
      </w:tr>
      <w:tr w:rsidR="00614751" w:rsidRPr="00944CEF" w14:paraId="5BCD59F8" w14:textId="77777777" w:rsidTr="00381469">
        <w:trPr>
          <w:trHeight w:val="317"/>
        </w:trPr>
        <w:tc>
          <w:tcPr>
            <w:tcW w:w="6946" w:type="dxa"/>
            <w:tcBorders>
              <w:top w:val="nil"/>
              <w:left w:val="nil"/>
              <w:bottom w:val="nil"/>
              <w:right w:val="nil"/>
            </w:tcBorders>
            <w:shd w:val="clear" w:color="auto" w:fill="auto"/>
            <w:vAlign w:val="center"/>
            <w:hideMark/>
          </w:tcPr>
          <w:p w14:paraId="2500A19E" w14:textId="284380E6" w:rsidR="00614751" w:rsidRDefault="00614751" w:rsidP="004A5585">
            <w:pPr>
              <w:spacing w:after="0" w:line="240" w:lineRule="auto"/>
              <w:ind w:firstLineChars="300" w:firstLine="600"/>
              <w:jc w:val="left"/>
              <w:rPr>
                <w:rFonts w:eastAsia="Times New Roman" w:cs="Times New Roman"/>
                <w:color w:val="000000"/>
                <w:sz w:val="20"/>
                <w:szCs w:val="20"/>
                <w:lang w:eastAsia="sk-SK"/>
              </w:rPr>
            </w:pPr>
            <w:r w:rsidRPr="00944CEF">
              <w:rPr>
                <w:rFonts w:eastAsia="Times New Roman" w:cs="Times New Roman"/>
                <w:color w:val="000000"/>
                <w:sz w:val="20"/>
                <w:szCs w:val="20"/>
                <w:lang w:eastAsia="sk-SK"/>
              </w:rPr>
              <w:t xml:space="preserve"> - Upravujúca položka-očistenie vplyvu príjmov PJ za prostriedky E</w:t>
            </w:r>
            <w:r w:rsidR="00BB09F8">
              <w:rPr>
                <w:rFonts w:eastAsia="Times New Roman" w:cs="Times New Roman"/>
                <w:color w:val="000000"/>
                <w:sz w:val="20"/>
                <w:szCs w:val="20"/>
                <w:lang w:eastAsia="sk-SK"/>
              </w:rPr>
              <w:t>Ú</w:t>
            </w:r>
            <w:r w:rsidRPr="00944CEF">
              <w:rPr>
                <w:rFonts w:eastAsia="Times New Roman" w:cs="Times New Roman"/>
                <w:color w:val="000000"/>
                <w:sz w:val="20"/>
                <w:szCs w:val="20"/>
                <w:lang w:eastAsia="sk-SK"/>
              </w:rPr>
              <w:t xml:space="preserve"> z</w:t>
            </w:r>
          </w:p>
          <w:p w14:paraId="2444F8DA" w14:textId="77777777" w:rsidR="00614751" w:rsidRPr="00944CEF" w:rsidRDefault="00614751" w:rsidP="004A5585">
            <w:pPr>
              <w:spacing w:after="0" w:line="240" w:lineRule="auto"/>
              <w:ind w:firstLineChars="300" w:firstLine="600"/>
              <w:jc w:val="left"/>
              <w:rPr>
                <w:rFonts w:eastAsia="Times New Roman" w:cs="Times New Roman"/>
                <w:color w:val="000000"/>
                <w:sz w:val="20"/>
                <w:szCs w:val="20"/>
                <w:lang w:eastAsia="sk-SK"/>
              </w:rPr>
            </w:pPr>
            <w:r>
              <w:rPr>
                <w:rFonts w:eastAsia="Times New Roman" w:cs="Times New Roman"/>
                <w:color w:val="000000"/>
                <w:sz w:val="20"/>
                <w:szCs w:val="20"/>
                <w:lang w:eastAsia="sk-SK"/>
              </w:rPr>
              <w:t xml:space="preserve">    </w:t>
            </w:r>
            <w:r w:rsidRPr="00944CEF">
              <w:rPr>
                <w:rFonts w:eastAsia="Times New Roman" w:cs="Times New Roman"/>
                <w:color w:val="000000"/>
                <w:sz w:val="20"/>
                <w:szCs w:val="20"/>
                <w:lang w:eastAsia="sk-SK"/>
              </w:rPr>
              <w:t xml:space="preserve">uhradených korekcií nahlásených v roku rozhodnutia </w:t>
            </w:r>
          </w:p>
        </w:tc>
        <w:tc>
          <w:tcPr>
            <w:tcW w:w="992" w:type="dxa"/>
            <w:tcBorders>
              <w:top w:val="nil"/>
              <w:left w:val="nil"/>
              <w:bottom w:val="nil"/>
              <w:right w:val="nil"/>
            </w:tcBorders>
            <w:shd w:val="clear" w:color="auto" w:fill="auto"/>
            <w:noWrap/>
            <w:vAlign w:val="center"/>
            <w:hideMark/>
          </w:tcPr>
          <w:p w14:paraId="050B7D7E"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108 113</w:t>
            </w:r>
          </w:p>
        </w:tc>
        <w:tc>
          <w:tcPr>
            <w:tcW w:w="1017" w:type="dxa"/>
            <w:tcBorders>
              <w:top w:val="nil"/>
              <w:left w:val="nil"/>
              <w:bottom w:val="nil"/>
              <w:right w:val="nil"/>
            </w:tcBorders>
            <w:shd w:val="clear" w:color="auto" w:fill="auto"/>
            <w:noWrap/>
            <w:vAlign w:val="center"/>
            <w:hideMark/>
          </w:tcPr>
          <w:p w14:paraId="24DA0A64"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0,12</w:t>
            </w:r>
          </w:p>
        </w:tc>
      </w:tr>
      <w:tr w:rsidR="00614751" w:rsidRPr="00944CEF" w14:paraId="721F6CD7" w14:textId="77777777" w:rsidTr="00381469">
        <w:trPr>
          <w:trHeight w:val="317"/>
        </w:trPr>
        <w:tc>
          <w:tcPr>
            <w:tcW w:w="6946" w:type="dxa"/>
            <w:tcBorders>
              <w:top w:val="nil"/>
              <w:left w:val="nil"/>
              <w:bottom w:val="nil"/>
              <w:right w:val="nil"/>
            </w:tcBorders>
            <w:shd w:val="clear" w:color="auto" w:fill="auto"/>
            <w:noWrap/>
            <w:vAlign w:val="center"/>
            <w:hideMark/>
          </w:tcPr>
          <w:p w14:paraId="70016F69" w14:textId="77777777" w:rsidR="00614751" w:rsidRPr="00944CEF" w:rsidRDefault="00614751" w:rsidP="004A5585">
            <w:pPr>
              <w:spacing w:after="0" w:line="240" w:lineRule="auto"/>
              <w:ind w:firstLineChars="300" w:firstLine="600"/>
              <w:jc w:val="left"/>
              <w:rPr>
                <w:rFonts w:eastAsia="Times New Roman" w:cs="Times New Roman"/>
                <w:color w:val="000000"/>
                <w:sz w:val="20"/>
                <w:szCs w:val="20"/>
                <w:lang w:eastAsia="sk-SK"/>
              </w:rPr>
            </w:pPr>
            <w:r w:rsidRPr="00944CEF">
              <w:rPr>
                <w:rFonts w:eastAsia="Times New Roman" w:cs="Times New Roman"/>
                <w:color w:val="000000"/>
                <w:sz w:val="20"/>
                <w:szCs w:val="20"/>
                <w:lang w:eastAsia="sk-SK"/>
              </w:rPr>
              <w:t xml:space="preserve"> - Odpustenie pohľadávok voči zahraničiu</w:t>
            </w:r>
          </w:p>
        </w:tc>
        <w:tc>
          <w:tcPr>
            <w:tcW w:w="992" w:type="dxa"/>
            <w:tcBorders>
              <w:top w:val="nil"/>
              <w:left w:val="nil"/>
              <w:bottom w:val="nil"/>
              <w:right w:val="nil"/>
            </w:tcBorders>
            <w:shd w:val="clear" w:color="auto" w:fill="auto"/>
            <w:noWrap/>
            <w:vAlign w:val="center"/>
            <w:hideMark/>
          </w:tcPr>
          <w:p w14:paraId="021BF3B4"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-15 340</w:t>
            </w:r>
          </w:p>
        </w:tc>
        <w:tc>
          <w:tcPr>
            <w:tcW w:w="1017" w:type="dxa"/>
            <w:tcBorders>
              <w:top w:val="nil"/>
              <w:left w:val="nil"/>
              <w:bottom w:val="nil"/>
              <w:right w:val="nil"/>
            </w:tcBorders>
            <w:shd w:val="clear" w:color="auto" w:fill="auto"/>
            <w:noWrap/>
            <w:vAlign w:val="center"/>
            <w:hideMark/>
          </w:tcPr>
          <w:p w14:paraId="0560EAE1"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-0,02</w:t>
            </w:r>
          </w:p>
        </w:tc>
      </w:tr>
      <w:tr w:rsidR="00614751" w:rsidRPr="00944CEF" w14:paraId="1176750E" w14:textId="77777777" w:rsidTr="00381469">
        <w:trPr>
          <w:trHeight w:val="317"/>
        </w:trPr>
        <w:tc>
          <w:tcPr>
            <w:tcW w:w="6946" w:type="dxa"/>
            <w:tcBorders>
              <w:top w:val="nil"/>
              <w:left w:val="nil"/>
              <w:bottom w:val="nil"/>
              <w:right w:val="nil"/>
            </w:tcBorders>
            <w:shd w:val="clear" w:color="auto" w:fill="auto"/>
            <w:noWrap/>
            <w:vAlign w:val="center"/>
            <w:hideMark/>
          </w:tcPr>
          <w:p w14:paraId="3A9F604B" w14:textId="77777777" w:rsidR="00614751" w:rsidRPr="00944CEF" w:rsidRDefault="00614751" w:rsidP="004A5585">
            <w:pPr>
              <w:spacing w:after="0" w:line="240" w:lineRule="auto"/>
              <w:ind w:firstLineChars="300" w:firstLine="600"/>
              <w:jc w:val="left"/>
              <w:rPr>
                <w:rFonts w:eastAsia="Times New Roman" w:cs="Times New Roman"/>
                <w:color w:val="000000"/>
                <w:sz w:val="20"/>
                <w:szCs w:val="20"/>
                <w:lang w:eastAsia="sk-SK"/>
              </w:rPr>
            </w:pPr>
            <w:r w:rsidRPr="00944CEF">
              <w:rPr>
                <w:rFonts w:eastAsia="Times New Roman" w:cs="Times New Roman"/>
                <w:color w:val="000000"/>
                <w:sz w:val="20"/>
                <w:szCs w:val="20"/>
                <w:lang w:eastAsia="sk-SK"/>
              </w:rPr>
              <w:t xml:space="preserve"> - zmena stavu záväzkov</w:t>
            </w:r>
          </w:p>
        </w:tc>
        <w:tc>
          <w:tcPr>
            <w:tcW w:w="992" w:type="dxa"/>
            <w:tcBorders>
              <w:top w:val="nil"/>
              <w:left w:val="nil"/>
              <w:bottom w:val="nil"/>
              <w:right w:val="nil"/>
            </w:tcBorders>
            <w:shd w:val="clear" w:color="auto" w:fill="auto"/>
            <w:noWrap/>
            <w:vAlign w:val="center"/>
            <w:hideMark/>
          </w:tcPr>
          <w:p w14:paraId="0F3DF30B"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-159 188</w:t>
            </w:r>
          </w:p>
        </w:tc>
        <w:tc>
          <w:tcPr>
            <w:tcW w:w="1017" w:type="dxa"/>
            <w:tcBorders>
              <w:top w:val="nil"/>
              <w:left w:val="nil"/>
              <w:bottom w:val="nil"/>
              <w:right w:val="nil"/>
            </w:tcBorders>
            <w:shd w:val="clear" w:color="auto" w:fill="auto"/>
            <w:noWrap/>
            <w:vAlign w:val="center"/>
            <w:hideMark/>
          </w:tcPr>
          <w:p w14:paraId="56A19FA6"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-0,18</w:t>
            </w:r>
          </w:p>
        </w:tc>
      </w:tr>
      <w:tr w:rsidR="00614751" w:rsidRPr="00944CEF" w14:paraId="71AF810D" w14:textId="77777777" w:rsidTr="00381469">
        <w:trPr>
          <w:trHeight w:val="317"/>
        </w:trPr>
        <w:tc>
          <w:tcPr>
            <w:tcW w:w="6946" w:type="dxa"/>
            <w:tcBorders>
              <w:top w:val="nil"/>
              <w:left w:val="nil"/>
              <w:bottom w:val="nil"/>
              <w:right w:val="nil"/>
            </w:tcBorders>
            <w:shd w:val="clear" w:color="auto" w:fill="auto"/>
            <w:noWrap/>
            <w:vAlign w:val="center"/>
            <w:hideMark/>
          </w:tcPr>
          <w:p w14:paraId="08755416" w14:textId="77777777" w:rsidR="00614751" w:rsidRPr="00944CEF" w:rsidRDefault="00614751" w:rsidP="004A5585">
            <w:pPr>
              <w:spacing w:after="0" w:line="240" w:lineRule="auto"/>
              <w:ind w:firstLineChars="300" w:firstLine="600"/>
              <w:jc w:val="left"/>
              <w:rPr>
                <w:rFonts w:eastAsia="Times New Roman" w:cs="Times New Roman"/>
                <w:color w:val="000000"/>
                <w:sz w:val="20"/>
                <w:szCs w:val="20"/>
                <w:lang w:eastAsia="sk-SK"/>
              </w:rPr>
            </w:pPr>
            <w:r w:rsidRPr="00944CEF">
              <w:rPr>
                <w:rFonts w:eastAsia="Times New Roman" w:cs="Times New Roman"/>
                <w:color w:val="000000"/>
                <w:sz w:val="20"/>
                <w:szCs w:val="20"/>
                <w:lang w:eastAsia="sk-SK"/>
              </w:rPr>
              <w:t xml:space="preserve"> - Ostatné</w:t>
            </w:r>
          </w:p>
        </w:tc>
        <w:tc>
          <w:tcPr>
            <w:tcW w:w="992" w:type="dxa"/>
            <w:tcBorders>
              <w:top w:val="nil"/>
              <w:left w:val="nil"/>
              <w:bottom w:val="nil"/>
              <w:right w:val="nil"/>
            </w:tcBorders>
            <w:shd w:val="clear" w:color="auto" w:fill="auto"/>
            <w:noWrap/>
            <w:vAlign w:val="center"/>
            <w:hideMark/>
          </w:tcPr>
          <w:p w14:paraId="182773BC"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-124 875</w:t>
            </w:r>
          </w:p>
        </w:tc>
        <w:tc>
          <w:tcPr>
            <w:tcW w:w="1017" w:type="dxa"/>
            <w:tcBorders>
              <w:top w:val="nil"/>
              <w:left w:val="nil"/>
              <w:bottom w:val="nil"/>
              <w:right w:val="nil"/>
            </w:tcBorders>
            <w:shd w:val="clear" w:color="auto" w:fill="auto"/>
            <w:noWrap/>
            <w:vAlign w:val="center"/>
            <w:hideMark/>
          </w:tcPr>
          <w:p w14:paraId="3C8FBF6D"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-0,14</w:t>
            </w:r>
          </w:p>
        </w:tc>
      </w:tr>
      <w:tr w:rsidR="00614751" w:rsidRPr="00944CEF" w14:paraId="7562722D" w14:textId="77777777" w:rsidTr="00381469">
        <w:trPr>
          <w:trHeight w:val="317"/>
        </w:trPr>
        <w:tc>
          <w:tcPr>
            <w:tcW w:w="6946" w:type="dxa"/>
            <w:tcBorders>
              <w:top w:val="nil"/>
              <w:left w:val="nil"/>
              <w:bottom w:val="nil"/>
              <w:right w:val="nil"/>
            </w:tcBorders>
            <w:shd w:val="clear" w:color="auto" w:fill="auto"/>
            <w:noWrap/>
            <w:vAlign w:val="center"/>
            <w:hideMark/>
          </w:tcPr>
          <w:p w14:paraId="74F6C25C" w14:textId="77777777" w:rsidR="00614751" w:rsidRPr="00944CEF" w:rsidRDefault="00614751" w:rsidP="004A5585">
            <w:pPr>
              <w:spacing w:after="0" w:line="240" w:lineRule="auto"/>
              <w:ind w:firstLineChars="300" w:firstLine="600"/>
              <w:jc w:val="left"/>
              <w:rPr>
                <w:rFonts w:eastAsia="Times New Roman" w:cs="Times New Roman"/>
                <w:color w:val="000000"/>
                <w:sz w:val="20"/>
                <w:szCs w:val="20"/>
                <w:lang w:eastAsia="sk-SK"/>
              </w:rPr>
            </w:pPr>
            <w:r w:rsidRPr="00944CEF">
              <w:rPr>
                <w:rFonts w:eastAsia="Times New Roman" w:cs="Times New Roman"/>
                <w:color w:val="000000"/>
                <w:sz w:val="20"/>
                <w:szCs w:val="20"/>
                <w:lang w:eastAsia="sk-SK"/>
              </w:rPr>
              <w:t xml:space="preserve"> - EÚ výdavky</w:t>
            </w:r>
          </w:p>
        </w:tc>
        <w:tc>
          <w:tcPr>
            <w:tcW w:w="992" w:type="dxa"/>
            <w:tcBorders>
              <w:top w:val="nil"/>
              <w:left w:val="nil"/>
              <w:bottom w:val="nil"/>
              <w:right w:val="nil"/>
            </w:tcBorders>
            <w:shd w:val="clear" w:color="auto" w:fill="auto"/>
            <w:noWrap/>
            <w:vAlign w:val="center"/>
            <w:hideMark/>
          </w:tcPr>
          <w:p w14:paraId="398B4054" w14:textId="77777777" w:rsidR="00614751" w:rsidRPr="00B874DC" w:rsidRDefault="00614751" w:rsidP="004A5585">
            <w:pPr>
              <w:spacing w:after="0" w:line="240" w:lineRule="auto"/>
              <w:jc w:val="right"/>
              <w:rPr>
                <w:rFonts w:eastAsia="Times New Roman" w:cs="Times New Roman"/>
                <w:color w:val="000000"/>
                <w:sz w:val="20"/>
                <w:szCs w:val="20"/>
                <w:lang w:eastAsia="sk-SK"/>
              </w:rPr>
            </w:pPr>
            <w:r w:rsidRPr="00B874DC">
              <w:rPr>
                <w:rFonts w:eastAsia="Times New Roman" w:cs="Times New Roman"/>
                <w:color w:val="000000"/>
                <w:sz w:val="20"/>
                <w:szCs w:val="20"/>
                <w:lang w:eastAsia="sk-SK"/>
              </w:rPr>
              <w:t>-664 494</w:t>
            </w:r>
          </w:p>
        </w:tc>
        <w:tc>
          <w:tcPr>
            <w:tcW w:w="1017" w:type="dxa"/>
            <w:tcBorders>
              <w:top w:val="nil"/>
              <w:left w:val="nil"/>
              <w:bottom w:val="nil"/>
              <w:right w:val="nil"/>
            </w:tcBorders>
            <w:shd w:val="clear" w:color="auto" w:fill="auto"/>
            <w:noWrap/>
            <w:vAlign w:val="center"/>
            <w:hideMark/>
          </w:tcPr>
          <w:p w14:paraId="2E2FA890" w14:textId="77777777" w:rsidR="00614751" w:rsidRPr="00B874DC" w:rsidRDefault="00614751" w:rsidP="004A5585">
            <w:pPr>
              <w:spacing w:after="0" w:line="240" w:lineRule="auto"/>
              <w:jc w:val="right"/>
              <w:rPr>
                <w:rFonts w:eastAsia="Times New Roman" w:cs="Times New Roman"/>
                <w:color w:val="000000"/>
                <w:sz w:val="20"/>
                <w:szCs w:val="20"/>
                <w:lang w:eastAsia="sk-SK"/>
              </w:rPr>
            </w:pPr>
            <w:r w:rsidRPr="00B874DC">
              <w:rPr>
                <w:rFonts w:eastAsia="Times New Roman" w:cs="Times New Roman"/>
                <w:color w:val="000000"/>
                <w:sz w:val="20"/>
                <w:szCs w:val="20"/>
                <w:lang w:eastAsia="sk-SK"/>
              </w:rPr>
              <w:t>-0,74</w:t>
            </w:r>
          </w:p>
        </w:tc>
      </w:tr>
      <w:tr w:rsidR="00614751" w:rsidRPr="00944CEF" w14:paraId="229A48E0" w14:textId="77777777" w:rsidTr="00381469">
        <w:trPr>
          <w:trHeight w:val="317"/>
        </w:trPr>
        <w:tc>
          <w:tcPr>
            <w:tcW w:w="6946" w:type="dxa"/>
            <w:tcBorders>
              <w:top w:val="nil"/>
              <w:left w:val="nil"/>
              <w:bottom w:val="nil"/>
              <w:right w:val="nil"/>
            </w:tcBorders>
            <w:shd w:val="clear" w:color="auto" w:fill="auto"/>
            <w:noWrap/>
            <w:vAlign w:val="center"/>
            <w:hideMark/>
          </w:tcPr>
          <w:p w14:paraId="5CC32EB1" w14:textId="77777777" w:rsidR="00614751" w:rsidRPr="00944CEF" w:rsidRDefault="00614751" w:rsidP="004A5585">
            <w:pPr>
              <w:spacing w:after="0" w:line="240" w:lineRule="auto"/>
              <w:ind w:firstLineChars="200" w:firstLine="400"/>
              <w:jc w:val="left"/>
              <w:rPr>
                <w:rFonts w:eastAsia="Times New Roman" w:cs="Times New Roman"/>
                <w:color w:val="000000"/>
                <w:sz w:val="20"/>
                <w:szCs w:val="20"/>
                <w:lang w:eastAsia="sk-SK"/>
              </w:rPr>
            </w:pPr>
            <w:r w:rsidRPr="00944CEF">
              <w:rPr>
                <w:rFonts w:eastAsia="Times New Roman" w:cs="Times New Roman"/>
                <w:color w:val="000000"/>
                <w:sz w:val="20"/>
                <w:szCs w:val="20"/>
                <w:lang w:eastAsia="sk-SK"/>
              </w:rPr>
              <w:t>4. Vplyv hospodárenia samostatných účtov (vrátane ŠFA)</w:t>
            </w:r>
          </w:p>
        </w:tc>
        <w:tc>
          <w:tcPr>
            <w:tcW w:w="992" w:type="dxa"/>
            <w:tcBorders>
              <w:top w:val="nil"/>
              <w:left w:val="nil"/>
              <w:bottom w:val="nil"/>
              <w:right w:val="nil"/>
            </w:tcBorders>
            <w:shd w:val="clear" w:color="auto" w:fill="auto"/>
            <w:noWrap/>
            <w:vAlign w:val="center"/>
            <w:hideMark/>
          </w:tcPr>
          <w:p w14:paraId="46E3305D" w14:textId="77777777" w:rsidR="00614751" w:rsidRPr="00B874DC" w:rsidRDefault="00614751" w:rsidP="004A5585">
            <w:pPr>
              <w:spacing w:after="0" w:line="240" w:lineRule="auto"/>
              <w:jc w:val="right"/>
              <w:rPr>
                <w:rFonts w:eastAsia="Times New Roman" w:cs="Times New Roman"/>
                <w:color w:val="000000"/>
                <w:sz w:val="20"/>
                <w:szCs w:val="20"/>
                <w:lang w:eastAsia="sk-SK"/>
              </w:rPr>
            </w:pPr>
            <w:r w:rsidRPr="00B874DC">
              <w:rPr>
                <w:rFonts w:eastAsia="Times New Roman" w:cs="Times New Roman"/>
                <w:color w:val="000000"/>
                <w:sz w:val="20"/>
                <w:szCs w:val="20"/>
                <w:lang w:eastAsia="sk-SK"/>
              </w:rPr>
              <w:t>12 337</w:t>
            </w:r>
          </w:p>
        </w:tc>
        <w:tc>
          <w:tcPr>
            <w:tcW w:w="1017" w:type="dxa"/>
            <w:tcBorders>
              <w:top w:val="nil"/>
              <w:left w:val="nil"/>
              <w:bottom w:val="nil"/>
              <w:right w:val="nil"/>
            </w:tcBorders>
            <w:shd w:val="clear" w:color="auto" w:fill="auto"/>
            <w:noWrap/>
            <w:vAlign w:val="center"/>
            <w:hideMark/>
          </w:tcPr>
          <w:p w14:paraId="14C3477D" w14:textId="77777777" w:rsidR="00614751" w:rsidRPr="00B874DC" w:rsidRDefault="00614751" w:rsidP="004A5585">
            <w:pPr>
              <w:spacing w:after="0" w:line="240" w:lineRule="auto"/>
              <w:jc w:val="right"/>
              <w:rPr>
                <w:rFonts w:eastAsia="Times New Roman" w:cs="Times New Roman"/>
                <w:color w:val="000000"/>
                <w:sz w:val="20"/>
                <w:szCs w:val="20"/>
                <w:lang w:eastAsia="sk-SK"/>
              </w:rPr>
            </w:pPr>
            <w:r w:rsidRPr="00B874DC">
              <w:rPr>
                <w:rFonts w:eastAsia="Times New Roman" w:cs="Times New Roman"/>
                <w:color w:val="000000"/>
                <w:sz w:val="20"/>
                <w:szCs w:val="20"/>
                <w:lang w:eastAsia="sk-SK"/>
              </w:rPr>
              <w:t>0,01</w:t>
            </w:r>
          </w:p>
        </w:tc>
      </w:tr>
      <w:tr w:rsidR="00614751" w:rsidRPr="00944CEF" w14:paraId="111027D3" w14:textId="77777777" w:rsidTr="00381469">
        <w:trPr>
          <w:trHeight w:val="317"/>
        </w:trPr>
        <w:tc>
          <w:tcPr>
            <w:tcW w:w="6946" w:type="dxa"/>
            <w:tcBorders>
              <w:top w:val="nil"/>
              <w:left w:val="nil"/>
              <w:bottom w:val="nil"/>
              <w:right w:val="nil"/>
            </w:tcBorders>
            <w:shd w:val="clear" w:color="auto" w:fill="auto"/>
            <w:noWrap/>
            <w:vAlign w:val="center"/>
            <w:hideMark/>
          </w:tcPr>
          <w:p w14:paraId="13EA7146" w14:textId="77777777" w:rsidR="00614751" w:rsidRPr="00944CEF" w:rsidRDefault="00614751" w:rsidP="004A5585">
            <w:pPr>
              <w:spacing w:after="0" w:line="240" w:lineRule="auto"/>
              <w:ind w:firstLineChars="200" w:firstLine="400"/>
              <w:jc w:val="left"/>
              <w:rPr>
                <w:rFonts w:eastAsia="Times New Roman" w:cs="Times New Roman"/>
                <w:color w:val="000000"/>
                <w:sz w:val="20"/>
                <w:szCs w:val="20"/>
                <w:lang w:eastAsia="sk-SK"/>
              </w:rPr>
            </w:pPr>
            <w:r w:rsidRPr="00944CEF">
              <w:rPr>
                <w:rFonts w:eastAsia="Times New Roman" w:cs="Times New Roman"/>
                <w:color w:val="000000"/>
                <w:sz w:val="20"/>
                <w:szCs w:val="20"/>
                <w:lang w:eastAsia="sk-SK"/>
              </w:rPr>
              <w:t>5. Vplyv akruálnych príjm</w:t>
            </w:r>
            <w:r>
              <w:rPr>
                <w:rFonts w:eastAsia="Times New Roman" w:cs="Times New Roman"/>
                <w:color w:val="000000"/>
                <w:sz w:val="20"/>
                <w:szCs w:val="20"/>
                <w:lang w:eastAsia="sk-SK"/>
              </w:rPr>
              <w:t>ov a výdavkov súvisiacich s obslu</w:t>
            </w:r>
            <w:r w:rsidRPr="00944CEF">
              <w:rPr>
                <w:rFonts w:eastAsia="Times New Roman" w:cs="Times New Roman"/>
                <w:color w:val="000000"/>
                <w:sz w:val="20"/>
                <w:szCs w:val="20"/>
                <w:lang w:eastAsia="sk-SK"/>
              </w:rPr>
              <w:t>hou štátneho dlhu</w:t>
            </w:r>
          </w:p>
        </w:tc>
        <w:tc>
          <w:tcPr>
            <w:tcW w:w="992" w:type="dxa"/>
            <w:tcBorders>
              <w:top w:val="nil"/>
              <w:left w:val="nil"/>
              <w:bottom w:val="nil"/>
              <w:right w:val="nil"/>
            </w:tcBorders>
            <w:shd w:val="clear" w:color="auto" w:fill="auto"/>
            <w:noWrap/>
            <w:vAlign w:val="center"/>
            <w:hideMark/>
          </w:tcPr>
          <w:p w14:paraId="2408513D" w14:textId="77777777" w:rsidR="00614751" w:rsidRPr="00B874DC" w:rsidRDefault="00614751" w:rsidP="004A5585">
            <w:pPr>
              <w:spacing w:after="0" w:line="240" w:lineRule="auto"/>
              <w:jc w:val="right"/>
              <w:rPr>
                <w:rFonts w:eastAsia="Times New Roman" w:cs="Times New Roman"/>
                <w:color w:val="000000"/>
                <w:sz w:val="20"/>
                <w:szCs w:val="20"/>
                <w:lang w:eastAsia="sk-SK"/>
              </w:rPr>
            </w:pPr>
            <w:r w:rsidRPr="00B874DC">
              <w:rPr>
                <w:rFonts w:eastAsia="Times New Roman" w:cs="Times New Roman"/>
                <w:color w:val="000000"/>
                <w:sz w:val="20"/>
                <w:szCs w:val="20"/>
                <w:lang w:eastAsia="sk-SK"/>
              </w:rPr>
              <w:t>-14 698</w:t>
            </w:r>
          </w:p>
        </w:tc>
        <w:tc>
          <w:tcPr>
            <w:tcW w:w="1017" w:type="dxa"/>
            <w:tcBorders>
              <w:top w:val="nil"/>
              <w:left w:val="nil"/>
              <w:bottom w:val="nil"/>
              <w:right w:val="nil"/>
            </w:tcBorders>
            <w:shd w:val="clear" w:color="auto" w:fill="auto"/>
            <w:noWrap/>
            <w:vAlign w:val="center"/>
            <w:hideMark/>
          </w:tcPr>
          <w:p w14:paraId="6E215D96" w14:textId="77777777" w:rsidR="00614751" w:rsidRPr="00B874DC" w:rsidRDefault="00614751" w:rsidP="004A5585">
            <w:pPr>
              <w:spacing w:after="0" w:line="240" w:lineRule="auto"/>
              <w:jc w:val="right"/>
              <w:rPr>
                <w:rFonts w:eastAsia="Times New Roman" w:cs="Times New Roman"/>
                <w:color w:val="000000"/>
                <w:sz w:val="20"/>
                <w:szCs w:val="20"/>
                <w:lang w:eastAsia="sk-SK"/>
              </w:rPr>
            </w:pPr>
            <w:r w:rsidRPr="00B874DC">
              <w:rPr>
                <w:rFonts w:eastAsia="Times New Roman" w:cs="Times New Roman"/>
                <w:color w:val="000000"/>
                <w:sz w:val="20"/>
                <w:szCs w:val="20"/>
                <w:lang w:eastAsia="sk-SK"/>
              </w:rPr>
              <w:t>-0,02</w:t>
            </w:r>
          </w:p>
        </w:tc>
      </w:tr>
      <w:tr w:rsidR="00614751" w:rsidRPr="00944CEF" w14:paraId="7AAB8C07" w14:textId="77777777" w:rsidTr="00381469">
        <w:trPr>
          <w:trHeight w:val="317"/>
        </w:trPr>
        <w:tc>
          <w:tcPr>
            <w:tcW w:w="6946" w:type="dxa"/>
            <w:tcBorders>
              <w:top w:val="nil"/>
              <w:left w:val="nil"/>
              <w:bottom w:val="nil"/>
              <w:right w:val="nil"/>
            </w:tcBorders>
            <w:shd w:val="clear" w:color="auto" w:fill="auto"/>
            <w:noWrap/>
            <w:vAlign w:val="center"/>
            <w:hideMark/>
          </w:tcPr>
          <w:p w14:paraId="33D48585" w14:textId="66CD2A69" w:rsidR="00614751" w:rsidRPr="00A265D6" w:rsidRDefault="00614751" w:rsidP="004A5585">
            <w:pPr>
              <w:spacing w:after="0" w:line="240" w:lineRule="auto"/>
              <w:ind w:firstLineChars="200" w:firstLine="400"/>
              <w:jc w:val="left"/>
              <w:rPr>
                <w:rFonts w:eastAsia="Times New Roman" w:cs="Times New Roman"/>
                <w:color w:val="000000"/>
                <w:sz w:val="20"/>
                <w:szCs w:val="20"/>
                <w:lang w:eastAsia="sk-SK"/>
              </w:rPr>
            </w:pPr>
            <w:r w:rsidRPr="00A265D6">
              <w:rPr>
                <w:rFonts w:eastAsia="Times New Roman" w:cs="Times New Roman"/>
                <w:color w:val="000000"/>
                <w:sz w:val="20"/>
                <w:szCs w:val="20"/>
                <w:lang w:eastAsia="sk-SK"/>
              </w:rPr>
              <w:t xml:space="preserve">6. Výdavky </w:t>
            </w:r>
            <w:r w:rsidR="002C758A" w:rsidRPr="00A265D6">
              <w:rPr>
                <w:rFonts w:eastAsia="Times New Roman" w:cs="Times New Roman"/>
                <w:color w:val="000000"/>
                <w:sz w:val="20"/>
                <w:szCs w:val="20"/>
                <w:lang w:eastAsia="sk-SK"/>
              </w:rPr>
              <w:t xml:space="preserve">zo </w:t>
            </w:r>
            <w:r w:rsidRPr="00A265D6">
              <w:rPr>
                <w:rFonts w:eastAsia="Times New Roman" w:cs="Times New Roman"/>
                <w:color w:val="000000"/>
                <w:sz w:val="20"/>
                <w:szCs w:val="20"/>
                <w:lang w:eastAsia="sk-SK"/>
              </w:rPr>
              <w:t>sociálneho a zdravotného poistenia</w:t>
            </w:r>
          </w:p>
        </w:tc>
        <w:tc>
          <w:tcPr>
            <w:tcW w:w="992" w:type="dxa"/>
            <w:tcBorders>
              <w:top w:val="nil"/>
              <w:left w:val="nil"/>
              <w:bottom w:val="nil"/>
              <w:right w:val="nil"/>
            </w:tcBorders>
            <w:shd w:val="clear" w:color="auto" w:fill="auto"/>
            <w:noWrap/>
            <w:vAlign w:val="center"/>
            <w:hideMark/>
          </w:tcPr>
          <w:p w14:paraId="7B131E2C" w14:textId="7566940F" w:rsidR="00614751" w:rsidRPr="00A265D6" w:rsidRDefault="00614751" w:rsidP="005641E0">
            <w:pPr>
              <w:spacing w:after="0" w:line="240" w:lineRule="auto"/>
              <w:jc w:val="right"/>
              <w:rPr>
                <w:rFonts w:eastAsia="Times New Roman" w:cs="Times New Roman"/>
                <w:color w:val="000000"/>
                <w:sz w:val="20"/>
                <w:szCs w:val="20"/>
                <w:lang w:eastAsia="sk-SK"/>
              </w:rPr>
            </w:pPr>
            <w:r w:rsidRPr="00A265D6">
              <w:rPr>
                <w:rFonts w:eastAsia="Times New Roman" w:cs="Times New Roman"/>
                <w:color w:val="000000"/>
                <w:sz w:val="20"/>
                <w:szCs w:val="20"/>
                <w:lang w:eastAsia="sk-SK"/>
              </w:rPr>
              <w:t>-</w:t>
            </w:r>
            <w:r w:rsidR="005641E0" w:rsidRPr="00A265D6">
              <w:rPr>
                <w:rFonts w:eastAsia="Times New Roman" w:cs="Times New Roman"/>
                <w:color w:val="000000"/>
                <w:sz w:val="20"/>
                <w:szCs w:val="20"/>
                <w:lang w:eastAsia="sk-SK"/>
              </w:rPr>
              <w:t>97 156</w:t>
            </w:r>
          </w:p>
        </w:tc>
        <w:tc>
          <w:tcPr>
            <w:tcW w:w="1017" w:type="dxa"/>
            <w:tcBorders>
              <w:top w:val="nil"/>
              <w:left w:val="nil"/>
              <w:bottom w:val="nil"/>
              <w:right w:val="nil"/>
            </w:tcBorders>
            <w:shd w:val="clear" w:color="auto" w:fill="auto"/>
            <w:noWrap/>
            <w:vAlign w:val="center"/>
            <w:hideMark/>
          </w:tcPr>
          <w:p w14:paraId="27797C8A" w14:textId="77777777" w:rsidR="00614751" w:rsidRPr="00A265D6" w:rsidRDefault="00614751" w:rsidP="004A5585">
            <w:pPr>
              <w:spacing w:after="0" w:line="240" w:lineRule="auto"/>
              <w:jc w:val="right"/>
              <w:rPr>
                <w:rFonts w:eastAsia="Times New Roman" w:cs="Times New Roman"/>
                <w:color w:val="000000"/>
                <w:sz w:val="20"/>
                <w:szCs w:val="20"/>
                <w:lang w:eastAsia="sk-SK"/>
              </w:rPr>
            </w:pPr>
            <w:r w:rsidRPr="00A265D6">
              <w:rPr>
                <w:rFonts w:eastAsia="Times New Roman" w:cs="Times New Roman"/>
                <w:color w:val="000000"/>
                <w:sz w:val="20"/>
                <w:szCs w:val="20"/>
                <w:lang w:eastAsia="sk-SK"/>
              </w:rPr>
              <w:t>-0,11</w:t>
            </w:r>
          </w:p>
        </w:tc>
      </w:tr>
      <w:tr w:rsidR="00614751" w:rsidRPr="00944CEF" w14:paraId="63F81F04" w14:textId="77777777" w:rsidTr="00381469">
        <w:trPr>
          <w:trHeight w:val="317"/>
        </w:trPr>
        <w:tc>
          <w:tcPr>
            <w:tcW w:w="6946" w:type="dxa"/>
            <w:tcBorders>
              <w:top w:val="nil"/>
              <w:left w:val="nil"/>
              <w:bottom w:val="nil"/>
              <w:right w:val="nil"/>
            </w:tcBorders>
            <w:shd w:val="clear" w:color="auto" w:fill="auto"/>
            <w:noWrap/>
            <w:vAlign w:val="center"/>
            <w:hideMark/>
          </w:tcPr>
          <w:p w14:paraId="2227D6D7" w14:textId="77777777" w:rsidR="00614751" w:rsidRPr="00A265D6" w:rsidRDefault="00614751" w:rsidP="004A5585">
            <w:pPr>
              <w:spacing w:after="0" w:line="240" w:lineRule="auto"/>
              <w:ind w:firstLineChars="300" w:firstLine="600"/>
              <w:jc w:val="left"/>
              <w:rPr>
                <w:rFonts w:eastAsia="Times New Roman" w:cs="Times New Roman"/>
                <w:color w:val="000000"/>
                <w:sz w:val="20"/>
                <w:szCs w:val="20"/>
                <w:lang w:eastAsia="sk-SK"/>
              </w:rPr>
            </w:pPr>
            <w:r w:rsidRPr="00A265D6">
              <w:rPr>
                <w:rFonts w:eastAsia="Times New Roman" w:cs="Times New Roman"/>
                <w:color w:val="000000"/>
                <w:sz w:val="20"/>
                <w:szCs w:val="20"/>
                <w:lang w:eastAsia="sk-SK"/>
              </w:rPr>
              <w:t xml:space="preserve"> - Výdavky sociálneho poistenia</w:t>
            </w:r>
          </w:p>
        </w:tc>
        <w:tc>
          <w:tcPr>
            <w:tcW w:w="992" w:type="dxa"/>
            <w:tcBorders>
              <w:top w:val="nil"/>
              <w:left w:val="nil"/>
              <w:bottom w:val="nil"/>
              <w:right w:val="nil"/>
            </w:tcBorders>
            <w:shd w:val="clear" w:color="auto" w:fill="auto"/>
            <w:noWrap/>
            <w:vAlign w:val="center"/>
            <w:hideMark/>
          </w:tcPr>
          <w:p w14:paraId="6D69B7F7" w14:textId="77777777" w:rsidR="00614751" w:rsidRPr="00A265D6" w:rsidRDefault="00614751" w:rsidP="004A5585">
            <w:pPr>
              <w:spacing w:after="0" w:line="240" w:lineRule="auto"/>
              <w:jc w:val="right"/>
              <w:rPr>
                <w:rFonts w:eastAsia="Times New Roman" w:cs="Times New Roman"/>
                <w:color w:val="000000"/>
                <w:sz w:val="20"/>
                <w:szCs w:val="20"/>
                <w:lang w:eastAsia="sk-SK"/>
              </w:rPr>
            </w:pPr>
            <w:r w:rsidRPr="00A265D6">
              <w:rPr>
                <w:rFonts w:eastAsia="Times New Roman" w:cs="Times New Roman"/>
                <w:color w:val="000000"/>
                <w:sz w:val="20"/>
                <w:szCs w:val="20"/>
                <w:lang w:eastAsia="sk-SK"/>
              </w:rPr>
              <w:t>-75 996</w:t>
            </w:r>
          </w:p>
        </w:tc>
        <w:tc>
          <w:tcPr>
            <w:tcW w:w="1017" w:type="dxa"/>
            <w:tcBorders>
              <w:top w:val="nil"/>
              <w:left w:val="nil"/>
              <w:bottom w:val="nil"/>
              <w:right w:val="nil"/>
            </w:tcBorders>
            <w:shd w:val="clear" w:color="auto" w:fill="auto"/>
            <w:noWrap/>
            <w:vAlign w:val="center"/>
            <w:hideMark/>
          </w:tcPr>
          <w:p w14:paraId="0BC371F9" w14:textId="77777777" w:rsidR="00614751" w:rsidRPr="00A265D6" w:rsidRDefault="00614751" w:rsidP="004A5585">
            <w:pPr>
              <w:spacing w:after="0" w:line="240" w:lineRule="auto"/>
              <w:jc w:val="right"/>
              <w:rPr>
                <w:rFonts w:eastAsia="Times New Roman" w:cs="Times New Roman"/>
                <w:color w:val="000000"/>
                <w:sz w:val="20"/>
                <w:szCs w:val="20"/>
                <w:lang w:eastAsia="sk-SK"/>
              </w:rPr>
            </w:pPr>
            <w:r w:rsidRPr="00A265D6">
              <w:rPr>
                <w:rFonts w:eastAsia="Times New Roman" w:cs="Times New Roman"/>
                <w:color w:val="000000"/>
                <w:sz w:val="20"/>
                <w:szCs w:val="20"/>
                <w:lang w:eastAsia="sk-SK"/>
              </w:rPr>
              <w:t>-0,08</w:t>
            </w:r>
          </w:p>
        </w:tc>
      </w:tr>
      <w:tr w:rsidR="00614751" w:rsidRPr="00944CEF" w14:paraId="68287430" w14:textId="77777777" w:rsidTr="00381469">
        <w:trPr>
          <w:trHeight w:val="317"/>
        </w:trPr>
        <w:tc>
          <w:tcPr>
            <w:tcW w:w="6946" w:type="dxa"/>
            <w:tcBorders>
              <w:top w:val="nil"/>
              <w:left w:val="nil"/>
              <w:bottom w:val="nil"/>
              <w:right w:val="nil"/>
            </w:tcBorders>
            <w:shd w:val="clear" w:color="auto" w:fill="auto"/>
            <w:noWrap/>
            <w:vAlign w:val="center"/>
            <w:hideMark/>
          </w:tcPr>
          <w:p w14:paraId="40CADA2F" w14:textId="09C1737A" w:rsidR="00614751" w:rsidRPr="00A265D6" w:rsidRDefault="00614751" w:rsidP="00524DFB">
            <w:pPr>
              <w:spacing w:after="0" w:line="240" w:lineRule="auto"/>
              <w:ind w:firstLineChars="300" w:firstLine="600"/>
              <w:jc w:val="left"/>
              <w:rPr>
                <w:rFonts w:eastAsia="Times New Roman" w:cs="Times New Roman"/>
                <w:color w:val="000000"/>
                <w:sz w:val="20"/>
                <w:szCs w:val="20"/>
                <w:lang w:eastAsia="sk-SK"/>
              </w:rPr>
            </w:pPr>
            <w:r w:rsidRPr="00A265D6">
              <w:rPr>
                <w:rFonts w:eastAsia="Times New Roman" w:cs="Times New Roman"/>
                <w:color w:val="000000"/>
                <w:sz w:val="20"/>
                <w:szCs w:val="20"/>
                <w:lang w:eastAsia="sk-SK"/>
              </w:rPr>
              <w:t xml:space="preserve"> - </w:t>
            </w:r>
            <w:r w:rsidR="00524DFB" w:rsidRPr="00A265D6">
              <w:rPr>
                <w:rFonts w:eastAsia="Times New Roman" w:cs="Times New Roman"/>
                <w:color w:val="000000"/>
                <w:sz w:val="20"/>
                <w:szCs w:val="20"/>
                <w:lang w:eastAsia="sk-SK"/>
              </w:rPr>
              <w:t>výdavky verejného zdravotného poistenia (zdravotná starostlivosť</w:t>
            </w:r>
            <w:r w:rsidR="005259F5" w:rsidRPr="00A265D6">
              <w:rPr>
                <w:rFonts w:eastAsia="Times New Roman" w:cs="Times New Roman"/>
                <w:color w:val="000000"/>
                <w:sz w:val="20"/>
                <w:szCs w:val="20"/>
                <w:lang w:eastAsia="sk-SK"/>
              </w:rPr>
              <w:t>)</w:t>
            </w:r>
          </w:p>
        </w:tc>
        <w:tc>
          <w:tcPr>
            <w:tcW w:w="992" w:type="dxa"/>
            <w:tcBorders>
              <w:top w:val="nil"/>
              <w:left w:val="nil"/>
              <w:bottom w:val="nil"/>
              <w:right w:val="nil"/>
            </w:tcBorders>
            <w:shd w:val="clear" w:color="auto" w:fill="auto"/>
            <w:noWrap/>
            <w:vAlign w:val="center"/>
            <w:hideMark/>
          </w:tcPr>
          <w:p w14:paraId="41210EF9" w14:textId="2AA7B843" w:rsidR="00614751" w:rsidRPr="00A265D6" w:rsidRDefault="00614751" w:rsidP="005641E0">
            <w:pPr>
              <w:spacing w:after="0" w:line="240" w:lineRule="auto"/>
              <w:jc w:val="right"/>
              <w:rPr>
                <w:rFonts w:eastAsia="Times New Roman" w:cs="Times New Roman"/>
                <w:color w:val="000000"/>
                <w:sz w:val="20"/>
                <w:szCs w:val="20"/>
                <w:lang w:eastAsia="sk-SK"/>
              </w:rPr>
            </w:pPr>
            <w:r w:rsidRPr="00A265D6">
              <w:rPr>
                <w:rFonts w:eastAsia="Times New Roman" w:cs="Times New Roman"/>
                <w:color w:val="000000"/>
                <w:sz w:val="20"/>
                <w:szCs w:val="20"/>
                <w:lang w:eastAsia="sk-SK"/>
              </w:rPr>
              <w:t>-2</w:t>
            </w:r>
            <w:r w:rsidR="005641E0" w:rsidRPr="00A265D6">
              <w:rPr>
                <w:rFonts w:eastAsia="Times New Roman" w:cs="Times New Roman"/>
                <w:color w:val="000000"/>
                <w:sz w:val="20"/>
                <w:szCs w:val="20"/>
                <w:lang w:eastAsia="sk-SK"/>
              </w:rPr>
              <w:t>1</w:t>
            </w:r>
            <w:r w:rsidRPr="00A265D6">
              <w:rPr>
                <w:rFonts w:eastAsia="Times New Roman" w:cs="Times New Roman"/>
                <w:color w:val="000000"/>
                <w:sz w:val="20"/>
                <w:szCs w:val="20"/>
                <w:lang w:eastAsia="sk-SK"/>
              </w:rPr>
              <w:t xml:space="preserve"> 160</w:t>
            </w:r>
          </w:p>
        </w:tc>
        <w:tc>
          <w:tcPr>
            <w:tcW w:w="1017" w:type="dxa"/>
            <w:tcBorders>
              <w:top w:val="nil"/>
              <w:left w:val="nil"/>
              <w:bottom w:val="nil"/>
              <w:right w:val="nil"/>
            </w:tcBorders>
            <w:shd w:val="clear" w:color="auto" w:fill="auto"/>
            <w:noWrap/>
            <w:vAlign w:val="center"/>
            <w:hideMark/>
          </w:tcPr>
          <w:p w14:paraId="2C482E64" w14:textId="6C43563D" w:rsidR="00614751" w:rsidRPr="00A265D6" w:rsidRDefault="00614751" w:rsidP="004A5585">
            <w:pPr>
              <w:spacing w:after="0" w:line="240" w:lineRule="auto"/>
              <w:jc w:val="right"/>
              <w:rPr>
                <w:rFonts w:eastAsia="Times New Roman" w:cs="Times New Roman"/>
                <w:color w:val="000000"/>
                <w:sz w:val="20"/>
                <w:szCs w:val="20"/>
                <w:lang w:eastAsia="sk-SK"/>
              </w:rPr>
            </w:pPr>
            <w:r w:rsidRPr="00A265D6">
              <w:rPr>
                <w:rFonts w:eastAsia="Times New Roman" w:cs="Times New Roman"/>
                <w:color w:val="000000"/>
                <w:sz w:val="20"/>
                <w:szCs w:val="20"/>
                <w:lang w:eastAsia="sk-SK"/>
              </w:rPr>
              <w:t>-</w:t>
            </w:r>
            <w:r w:rsidR="005641E0" w:rsidRPr="00A265D6">
              <w:rPr>
                <w:rFonts w:eastAsia="Times New Roman" w:cs="Times New Roman"/>
                <w:color w:val="000000"/>
                <w:sz w:val="20"/>
                <w:szCs w:val="20"/>
                <w:lang w:eastAsia="sk-SK"/>
              </w:rPr>
              <w:t>0,02</w:t>
            </w:r>
          </w:p>
        </w:tc>
      </w:tr>
      <w:tr w:rsidR="00614751" w:rsidRPr="00944CEF" w14:paraId="095EC73A" w14:textId="77777777" w:rsidTr="00381469">
        <w:trPr>
          <w:trHeight w:val="490"/>
        </w:trPr>
        <w:tc>
          <w:tcPr>
            <w:tcW w:w="6946" w:type="dxa"/>
            <w:tcBorders>
              <w:top w:val="nil"/>
              <w:left w:val="nil"/>
              <w:bottom w:val="nil"/>
              <w:right w:val="nil"/>
            </w:tcBorders>
            <w:shd w:val="clear" w:color="auto" w:fill="auto"/>
            <w:vAlign w:val="center"/>
            <w:hideMark/>
          </w:tcPr>
          <w:p w14:paraId="72FE48AD" w14:textId="77777777" w:rsidR="00614751" w:rsidRPr="00A265D6" w:rsidRDefault="00614751" w:rsidP="004A5585">
            <w:pPr>
              <w:spacing w:after="0" w:line="240" w:lineRule="auto"/>
              <w:ind w:firstLineChars="200" w:firstLine="400"/>
              <w:jc w:val="left"/>
              <w:rPr>
                <w:rFonts w:eastAsia="Times New Roman" w:cs="Times New Roman"/>
                <w:color w:val="000000"/>
                <w:sz w:val="20"/>
                <w:szCs w:val="20"/>
                <w:lang w:eastAsia="sk-SK"/>
              </w:rPr>
            </w:pPr>
            <w:r w:rsidRPr="00A265D6">
              <w:rPr>
                <w:rFonts w:eastAsia="Times New Roman" w:cs="Times New Roman"/>
                <w:color w:val="000000"/>
                <w:sz w:val="20"/>
                <w:szCs w:val="20"/>
                <w:lang w:eastAsia="sk-SK"/>
              </w:rPr>
              <w:t>7. Rozdiel v hospodárení fondov sociálneho zabezpečenia (okrem odvodových</w:t>
            </w:r>
          </w:p>
          <w:p w14:paraId="78864FA0" w14:textId="6C630F98" w:rsidR="00614751" w:rsidRPr="00A265D6" w:rsidRDefault="00614751" w:rsidP="00B07C92">
            <w:pPr>
              <w:spacing w:after="0" w:line="240" w:lineRule="auto"/>
              <w:ind w:firstLineChars="200" w:firstLine="400"/>
              <w:jc w:val="left"/>
              <w:rPr>
                <w:rFonts w:eastAsia="Times New Roman" w:cs="Times New Roman"/>
                <w:color w:val="000000"/>
                <w:sz w:val="20"/>
                <w:szCs w:val="20"/>
                <w:lang w:eastAsia="sk-SK"/>
              </w:rPr>
            </w:pPr>
            <w:r w:rsidRPr="00A265D6">
              <w:rPr>
                <w:rFonts w:eastAsia="Times New Roman" w:cs="Times New Roman"/>
                <w:color w:val="000000"/>
                <w:sz w:val="20"/>
                <w:szCs w:val="20"/>
                <w:lang w:eastAsia="sk-SK"/>
              </w:rPr>
              <w:t xml:space="preserve">    príjmov </w:t>
            </w:r>
            <w:r w:rsidR="00B07C92" w:rsidRPr="00A265D6">
              <w:rPr>
                <w:rFonts w:eastAsia="Times New Roman" w:cs="Times New Roman"/>
                <w:color w:val="000000"/>
                <w:sz w:val="20"/>
                <w:szCs w:val="20"/>
                <w:lang w:eastAsia="sk-SK"/>
              </w:rPr>
              <w:t xml:space="preserve">(1) </w:t>
            </w:r>
            <w:r w:rsidRPr="00A265D6">
              <w:rPr>
                <w:rFonts w:eastAsia="Times New Roman" w:cs="Times New Roman"/>
                <w:color w:val="000000"/>
                <w:sz w:val="20"/>
                <w:szCs w:val="20"/>
                <w:lang w:eastAsia="sk-SK"/>
              </w:rPr>
              <w:t xml:space="preserve">a výdavkov </w:t>
            </w:r>
            <w:r w:rsidR="00A10B2A" w:rsidRPr="00A265D6">
              <w:rPr>
                <w:rFonts w:eastAsia="Times New Roman" w:cs="Times New Roman"/>
                <w:color w:val="000000"/>
                <w:sz w:val="20"/>
                <w:szCs w:val="20"/>
                <w:lang w:eastAsia="sk-SK"/>
              </w:rPr>
              <w:t>zo sociálneho a zdravotného poistenia</w:t>
            </w:r>
            <w:r w:rsidR="00B07C92" w:rsidRPr="00A265D6">
              <w:rPr>
                <w:rFonts w:eastAsia="Times New Roman" w:cs="Times New Roman"/>
                <w:color w:val="000000"/>
                <w:sz w:val="20"/>
                <w:szCs w:val="20"/>
                <w:lang w:eastAsia="sk-SK"/>
              </w:rPr>
              <w:t xml:space="preserve"> (6)</w:t>
            </w:r>
            <w:r w:rsidRPr="00A265D6">
              <w:rPr>
                <w:rFonts w:eastAsia="Times New Roman" w:cs="Times New Roman"/>
                <w:color w:val="000000"/>
                <w:sz w:val="20"/>
                <w:szCs w:val="20"/>
                <w:lang w:eastAsia="sk-SK"/>
              </w:rPr>
              <w:t>)</w:t>
            </w:r>
          </w:p>
        </w:tc>
        <w:tc>
          <w:tcPr>
            <w:tcW w:w="992" w:type="dxa"/>
            <w:tcBorders>
              <w:top w:val="nil"/>
              <w:left w:val="nil"/>
              <w:bottom w:val="nil"/>
              <w:right w:val="nil"/>
            </w:tcBorders>
            <w:shd w:val="clear" w:color="auto" w:fill="auto"/>
            <w:noWrap/>
            <w:vAlign w:val="center"/>
            <w:hideMark/>
          </w:tcPr>
          <w:p w14:paraId="53A9B498" w14:textId="77777777" w:rsidR="00614751" w:rsidRPr="00A265D6" w:rsidRDefault="00614751" w:rsidP="004A5585">
            <w:pPr>
              <w:spacing w:after="0" w:line="240" w:lineRule="auto"/>
              <w:jc w:val="right"/>
              <w:rPr>
                <w:rFonts w:eastAsia="Times New Roman" w:cs="Times New Roman"/>
                <w:color w:val="000000"/>
                <w:sz w:val="20"/>
                <w:szCs w:val="20"/>
                <w:lang w:eastAsia="sk-SK"/>
              </w:rPr>
            </w:pPr>
            <w:r w:rsidRPr="00A265D6">
              <w:rPr>
                <w:rFonts w:eastAsia="Times New Roman" w:cs="Times New Roman"/>
                <w:color w:val="000000"/>
                <w:sz w:val="20"/>
                <w:szCs w:val="20"/>
                <w:lang w:eastAsia="sk-SK"/>
              </w:rPr>
              <w:t>-316 219</w:t>
            </w:r>
          </w:p>
        </w:tc>
        <w:tc>
          <w:tcPr>
            <w:tcW w:w="1017" w:type="dxa"/>
            <w:tcBorders>
              <w:top w:val="nil"/>
              <w:left w:val="nil"/>
              <w:bottom w:val="nil"/>
              <w:right w:val="nil"/>
            </w:tcBorders>
            <w:shd w:val="clear" w:color="auto" w:fill="auto"/>
            <w:noWrap/>
            <w:vAlign w:val="center"/>
            <w:hideMark/>
          </w:tcPr>
          <w:p w14:paraId="308214A5" w14:textId="77777777" w:rsidR="00614751" w:rsidRPr="00A265D6" w:rsidRDefault="00614751" w:rsidP="004A5585">
            <w:pPr>
              <w:spacing w:after="0" w:line="240" w:lineRule="auto"/>
              <w:jc w:val="right"/>
              <w:rPr>
                <w:rFonts w:eastAsia="Times New Roman" w:cs="Times New Roman"/>
                <w:color w:val="000000"/>
                <w:sz w:val="20"/>
                <w:szCs w:val="20"/>
                <w:lang w:eastAsia="sk-SK"/>
              </w:rPr>
            </w:pPr>
            <w:r w:rsidRPr="00A265D6">
              <w:rPr>
                <w:rFonts w:eastAsia="Times New Roman" w:cs="Times New Roman"/>
                <w:color w:val="000000"/>
                <w:sz w:val="20"/>
                <w:szCs w:val="20"/>
                <w:lang w:eastAsia="sk-SK"/>
              </w:rPr>
              <w:t>-0,35</w:t>
            </w:r>
          </w:p>
        </w:tc>
      </w:tr>
      <w:tr w:rsidR="00614751" w:rsidRPr="00944CEF" w14:paraId="53BA046E" w14:textId="77777777" w:rsidTr="00381469">
        <w:trPr>
          <w:trHeight w:val="317"/>
        </w:trPr>
        <w:tc>
          <w:tcPr>
            <w:tcW w:w="6946" w:type="dxa"/>
            <w:tcBorders>
              <w:top w:val="nil"/>
              <w:left w:val="nil"/>
              <w:bottom w:val="nil"/>
              <w:right w:val="nil"/>
            </w:tcBorders>
            <w:shd w:val="clear" w:color="auto" w:fill="auto"/>
            <w:noWrap/>
            <w:vAlign w:val="center"/>
            <w:hideMark/>
          </w:tcPr>
          <w:p w14:paraId="140DA1EA" w14:textId="77777777" w:rsidR="00614751" w:rsidRPr="00A265D6" w:rsidRDefault="00614751" w:rsidP="004A5585">
            <w:pPr>
              <w:spacing w:after="0" w:line="240" w:lineRule="auto"/>
              <w:ind w:firstLineChars="300" w:firstLine="600"/>
              <w:jc w:val="left"/>
              <w:rPr>
                <w:rFonts w:eastAsia="Times New Roman" w:cs="Times New Roman"/>
                <w:color w:val="000000"/>
                <w:sz w:val="20"/>
                <w:szCs w:val="20"/>
                <w:lang w:eastAsia="sk-SK"/>
              </w:rPr>
            </w:pPr>
            <w:r w:rsidRPr="00A265D6">
              <w:rPr>
                <w:rFonts w:eastAsia="Times New Roman" w:cs="Times New Roman"/>
                <w:color w:val="000000"/>
                <w:sz w:val="20"/>
                <w:szCs w:val="20"/>
                <w:lang w:eastAsia="sk-SK"/>
              </w:rPr>
              <w:t>- Transfer Sociálnej poisťovni zo štátneho rozpočtu</w:t>
            </w:r>
          </w:p>
        </w:tc>
        <w:tc>
          <w:tcPr>
            <w:tcW w:w="992" w:type="dxa"/>
            <w:tcBorders>
              <w:top w:val="nil"/>
              <w:left w:val="nil"/>
              <w:bottom w:val="nil"/>
              <w:right w:val="nil"/>
            </w:tcBorders>
            <w:shd w:val="clear" w:color="auto" w:fill="auto"/>
            <w:noWrap/>
            <w:vAlign w:val="center"/>
            <w:hideMark/>
          </w:tcPr>
          <w:p w14:paraId="6A093711" w14:textId="77777777" w:rsidR="00614751" w:rsidRPr="00A265D6" w:rsidRDefault="00614751" w:rsidP="004A5585">
            <w:pPr>
              <w:spacing w:after="0" w:line="240" w:lineRule="auto"/>
              <w:jc w:val="right"/>
              <w:rPr>
                <w:rFonts w:eastAsia="Times New Roman" w:cs="Times New Roman"/>
                <w:color w:val="000000"/>
                <w:sz w:val="20"/>
                <w:szCs w:val="20"/>
                <w:lang w:eastAsia="sk-SK"/>
              </w:rPr>
            </w:pPr>
            <w:r w:rsidRPr="00A265D6">
              <w:rPr>
                <w:rFonts w:eastAsia="Times New Roman" w:cs="Times New Roman"/>
                <w:color w:val="000000"/>
                <w:sz w:val="20"/>
                <w:szCs w:val="20"/>
                <w:lang w:eastAsia="sk-SK"/>
              </w:rPr>
              <w:t>-148 979</w:t>
            </w:r>
          </w:p>
        </w:tc>
        <w:tc>
          <w:tcPr>
            <w:tcW w:w="1017" w:type="dxa"/>
            <w:tcBorders>
              <w:top w:val="nil"/>
              <w:left w:val="nil"/>
              <w:bottom w:val="nil"/>
              <w:right w:val="nil"/>
            </w:tcBorders>
            <w:shd w:val="clear" w:color="auto" w:fill="auto"/>
            <w:noWrap/>
            <w:vAlign w:val="center"/>
            <w:hideMark/>
          </w:tcPr>
          <w:p w14:paraId="7E9275B1" w14:textId="77777777" w:rsidR="00614751" w:rsidRPr="00A265D6" w:rsidRDefault="00614751" w:rsidP="004A5585">
            <w:pPr>
              <w:spacing w:after="0" w:line="240" w:lineRule="auto"/>
              <w:jc w:val="right"/>
              <w:rPr>
                <w:rFonts w:eastAsia="Times New Roman" w:cs="Times New Roman"/>
                <w:color w:val="000000"/>
                <w:sz w:val="20"/>
                <w:szCs w:val="20"/>
                <w:lang w:eastAsia="sk-SK"/>
              </w:rPr>
            </w:pPr>
            <w:r w:rsidRPr="00A265D6">
              <w:rPr>
                <w:rFonts w:eastAsia="Times New Roman" w:cs="Times New Roman"/>
                <w:color w:val="000000"/>
                <w:sz w:val="20"/>
                <w:szCs w:val="20"/>
                <w:lang w:eastAsia="sk-SK"/>
              </w:rPr>
              <w:t>-0,17</w:t>
            </w:r>
          </w:p>
        </w:tc>
      </w:tr>
      <w:tr w:rsidR="00614751" w:rsidRPr="00944CEF" w14:paraId="0B955354" w14:textId="77777777" w:rsidTr="00381469">
        <w:trPr>
          <w:trHeight w:val="317"/>
        </w:trPr>
        <w:tc>
          <w:tcPr>
            <w:tcW w:w="6946" w:type="dxa"/>
            <w:tcBorders>
              <w:top w:val="nil"/>
              <w:left w:val="nil"/>
              <w:bottom w:val="nil"/>
              <w:right w:val="nil"/>
            </w:tcBorders>
            <w:shd w:val="clear" w:color="auto" w:fill="auto"/>
            <w:noWrap/>
            <w:vAlign w:val="center"/>
            <w:hideMark/>
          </w:tcPr>
          <w:p w14:paraId="2248D6FD" w14:textId="77777777" w:rsidR="00614751" w:rsidRPr="00A265D6" w:rsidRDefault="00614751" w:rsidP="004A5585">
            <w:pPr>
              <w:spacing w:after="0" w:line="240" w:lineRule="auto"/>
              <w:ind w:left="639"/>
              <w:jc w:val="left"/>
              <w:rPr>
                <w:rFonts w:eastAsia="Times New Roman" w:cs="Times New Roman"/>
                <w:color w:val="000000"/>
                <w:sz w:val="20"/>
                <w:szCs w:val="20"/>
                <w:lang w:eastAsia="sk-SK"/>
              </w:rPr>
            </w:pPr>
            <w:r w:rsidRPr="00A265D6">
              <w:rPr>
                <w:rFonts w:eastAsia="Times New Roman" w:cs="Times New Roman"/>
                <w:color w:val="000000"/>
                <w:sz w:val="20"/>
                <w:szCs w:val="20"/>
                <w:lang w:eastAsia="sk-SK"/>
              </w:rPr>
              <w:t xml:space="preserve">   ·    výdavkový transfer z verejnej časti ZP do súkromnej časti ZP na</w:t>
            </w:r>
          </w:p>
          <w:p w14:paraId="5F6C7862" w14:textId="77777777" w:rsidR="00614751" w:rsidRPr="00A265D6" w:rsidRDefault="00614751" w:rsidP="004A5585">
            <w:pPr>
              <w:spacing w:after="0" w:line="240" w:lineRule="auto"/>
              <w:ind w:left="639"/>
              <w:jc w:val="left"/>
              <w:rPr>
                <w:rFonts w:eastAsia="Times New Roman" w:cs="Times New Roman"/>
                <w:color w:val="000000"/>
                <w:sz w:val="20"/>
                <w:szCs w:val="20"/>
                <w:lang w:eastAsia="sk-SK"/>
              </w:rPr>
            </w:pPr>
            <w:r w:rsidRPr="00A265D6">
              <w:rPr>
                <w:rFonts w:eastAsia="Times New Roman" w:cs="Times New Roman"/>
                <w:color w:val="000000"/>
                <w:sz w:val="20"/>
                <w:szCs w:val="20"/>
                <w:lang w:eastAsia="sk-SK"/>
              </w:rPr>
              <w:t xml:space="preserve">         splátku istiny úveru súkromnej časti ZP súkromným zdrav. </w:t>
            </w:r>
          </w:p>
          <w:p w14:paraId="5F532496" w14:textId="77777777" w:rsidR="00614751" w:rsidRPr="00A265D6" w:rsidRDefault="00614751" w:rsidP="004A5585">
            <w:pPr>
              <w:spacing w:after="0" w:line="240" w:lineRule="auto"/>
              <w:ind w:left="639"/>
              <w:jc w:val="left"/>
              <w:rPr>
                <w:rFonts w:eastAsia="Times New Roman" w:cs="Times New Roman"/>
                <w:color w:val="000000"/>
                <w:sz w:val="20"/>
                <w:szCs w:val="20"/>
                <w:lang w:eastAsia="sk-SK"/>
              </w:rPr>
            </w:pPr>
            <w:r w:rsidRPr="00A265D6">
              <w:rPr>
                <w:rFonts w:eastAsia="Times New Roman" w:cs="Times New Roman"/>
                <w:color w:val="000000"/>
                <w:sz w:val="20"/>
                <w:szCs w:val="20"/>
                <w:lang w:eastAsia="sk-SK"/>
              </w:rPr>
              <w:t xml:space="preserve">         poisťovniam</w:t>
            </w:r>
          </w:p>
        </w:tc>
        <w:tc>
          <w:tcPr>
            <w:tcW w:w="992" w:type="dxa"/>
            <w:tcBorders>
              <w:top w:val="nil"/>
              <w:left w:val="nil"/>
              <w:bottom w:val="nil"/>
              <w:right w:val="nil"/>
            </w:tcBorders>
            <w:shd w:val="clear" w:color="auto" w:fill="auto"/>
            <w:noWrap/>
            <w:vAlign w:val="center"/>
            <w:hideMark/>
          </w:tcPr>
          <w:p w14:paraId="13AF784B" w14:textId="77777777" w:rsidR="00614751" w:rsidRPr="00A265D6" w:rsidRDefault="00614751" w:rsidP="004A5585">
            <w:pPr>
              <w:spacing w:after="0" w:line="240" w:lineRule="auto"/>
              <w:jc w:val="right"/>
              <w:rPr>
                <w:rFonts w:eastAsia="Times New Roman" w:cs="Times New Roman"/>
                <w:color w:val="000000"/>
                <w:sz w:val="20"/>
                <w:szCs w:val="20"/>
                <w:lang w:eastAsia="sk-SK"/>
              </w:rPr>
            </w:pPr>
            <w:r w:rsidRPr="00A265D6">
              <w:rPr>
                <w:rFonts w:eastAsia="Times New Roman" w:cs="Times New Roman"/>
                <w:color w:val="000000"/>
                <w:sz w:val="20"/>
                <w:szCs w:val="20"/>
                <w:lang w:eastAsia="sk-SK"/>
              </w:rPr>
              <w:t>12 254</w:t>
            </w:r>
          </w:p>
        </w:tc>
        <w:tc>
          <w:tcPr>
            <w:tcW w:w="1017" w:type="dxa"/>
            <w:tcBorders>
              <w:top w:val="nil"/>
              <w:left w:val="nil"/>
              <w:bottom w:val="nil"/>
              <w:right w:val="nil"/>
            </w:tcBorders>
            <w:shd w:val="clear" w:color="auto" w:fill="auto"/>
            <w:noWrap/>
            <w:vAlign w:val="center"/>
            <w:hideMark/>
          </w:tcPr>
          <w:p w14:paraId="4DA69B01" w14:textId="77777777" w:rsidR="00614751" w:rsidRPr="00A265D6" w:rsidRDefault="00614751" w:rsidP="004A5585">
            <w:pPr>
              <w:spacing w:after="0" w:line="240" w:lineRule="auto"/>
              <w:jc w:val="right"/>
              <w:rPr>
                <w:rFonts w:eastAsia="Times New Roman" w:cs="Times New Roman"/>
                <w:color w:val="000000"/>
                <w:sz w:val="20"/>
                <w:szCs w:val="20"/>
                <w:lang w:eastAsia="sk-SK"/>
              </w:rPr>
            </w:pPr>
            <w:r w:rsidRPr="00A265D6">
              <w:rPr>
                <w:rFonts w:eastAsia="Times New Roman" w:cs="Times New Roman"/>
                <w:color w:val="000000"/>
                <w:sz w:val="20"/>
                <w:szCs w:val="20"/>
                <w:lang w:eastAsia="sk-SK"/>
              </w:rPr>
              <w:t>0,01</w:t>
            </w:r>
          </w:p>
        </w:tc>
      </w:tr>
      <w:tr w:rsidR="00614751" w:rsidRPr="00944CEF" w14:paraId="5413B7DF" w14:textId="77777777" w:rsidTr="00381469">
        <w:trPr>
          <w:trHeight w:val="317"/>
        </w:trPr>
        <w:tc>
          <w:tcPr>
            <w:tcW w:w="6946" w:type="dxa"/>
            <w:tcBorders>
              <w:top w:val="nil"/>
              <w:left w:val="nil"/>
              <w:bottom w:val="nil"/>
              <w:right w:val="nil"/>
            </w:tcBorders>
            <w:shd w:val="clear" w:color="auto" w:fill="auto"/>
            <w:noWrap/>
            <w:vAlign w:val="center"/>
            <w:hideMark/>
          </w:tcPr>
          <w:p w14:paraId="7AAA6872" w14:textId="77777777" w:rsidR="00614751" w:rsidRPr="00A265D6" w:rsidRDefault="00614751" w:rsidP="004A5585">
            <w:pPr>
              <w:spacing w:after="0" w:line="240" w:lineRule="auto"/>
              <w:ind w:firstLineChars="300" w:firstLine="600"/>
              <w:jc w:val="left"/>
              <w:rPr>
                <w:rFonts w:eastAsia="Times New Roman" w:cs="Times New Roman"/>
                <w:color w:val="000000"/>
                <w:sz w:val="20"/>
                <w:szCs w:val="20"/>
                <w:lang w:eastAsia="sk-SK"/>
              </w:rPr>
            </w:pPr>
            <w:r w:rsidRPr="00A265D6">
              <w:rPr>
                <w:rFonts w:eastAsia="Times New Roman" w:cs="Times New Roman"/>
                <w:color w:val="000000"/>
                <w:sz w:val="20"/>
                <w:szCs w:val="20"/>
                <w:lang w:eastAsia="sk-SK"/>
              </w:rPr>
              <w:t xml:space="preserve">    ·    výdavkový transfer z verejnej časti ZP do súkromnej časti ZP na </w:t>
            </w:r>
          </w:p>
          <w:p w14:paraId="7675E0AF" w14:textId="77777777" w:rsidR="00614751" w:rsidRPr="00A265D6" w:rsidRDefault="00614751" w:rsidP="004A5585">
            <w:pPr>
              <w:spacing w:after="0" w:line="240" w:lineRule="auto"/>
              <w:ind w:firstLineChars="300" w:firstLine="600"/>
              <w:jc w:val="left"/>
              <w:rPr>
                <w:rFonts w:eastAsia="Times New Roman" w:cs="Times New Roman"/>
                <w:color w:val="000000"/>
                <w:sz w:val="20"/>
                <w:szCs w:val="20"/>
                <w:lang w:eastAsia="sk-SK"/>
              </w:rPr>
            </w:pPr>
            <w:r w:rsidRPr="00A265D6">
              <w:rPr>
                <w:rFonts w:eastAsia="Times New Roman" w:cs="Times New Roman"/>
                <w:color w:val="000000"/>
                <w:sz w:val="20"/>
                <w:szCs w:val="20"/>
                <w:lang w:eastAsia="sk-SK"/>
              </w:rPr>
              <w:t xml:space="preserve">         výplatu akcionárovi</w:t>
            </w:r>
          </w:p>
        </w:tc>
        <w:tc>
          <w:tcPr>
            <w:tcW w:w="992" w:type="dxa"/>
            <w:tcBorders>
              <w:top w:val="nil"/>
              <w:left w:val="nil"/>
              <w:bottom w:val="nil"/>
              <w:right w:val="nil"/>
            </w:tcBorders>
            <w:shd w:val="clear" w:color="auto" w:fill="auto"/>
            <w:noWrap/>
            <w:vAlign w:val="center"/>
            <w:hideMark/>
          </w:tcPr>
          <w:p w14:paraId="2339A2C5" w14:textId="77777777" w:rsidR="00614751" w:rsidRPr="00A265D6" w:rsidRDefault="00614751" w:rsidP="004A5585">
            <w:pPr>
              <w:spacing w:after="0" w:line="240" w:lineRule="auto"/>
              <w:jc w:val="right"/>
              <w:rPr>
                <w:rFonts w:eastAsia="Times New Roman" w:cs="Times New Roman"/>
                <w:color w:val="000000"/>
                <w:sz w:val="20"/>
                <w:szCs w:val="20"/>
                <w:lang w:eastAsia="sk-SK"/>
              </w:rPr>
            </w:pPr>
            <w:r w:rsidRPr="00A265D6">
              <w:rPr>
                <w:rFonts w:eastAsia="Times New Roman" w:cs="Times New Roman"/>
                <w:color w:val="000000"/>
                <w:sz w:val="20"/>
                <w:szCs w:val="20"/>
                <w:lang w:eastAsia="sk-SK"/>
              </w:rPr>
              <w:t>-101 757</w:t>
            </w:r>
          </w:p>
        </w:tc>
        <w:tc>
          <w:tcPr>
            <w:tcW w:w="1017" w:type="dxa"/>
            <w:tcBorders>
              <w:top w:val="nil"/>
              <w:left w:val="nil"/>
              <w:bottom w:val="nil"/>
              <w:right w:val="nil"/>
            </w:tcBorders>
            <w:shd w:val="clear" w:color="auto" w:fill="auto"/>
            <w:noWrap/>
            <w:vAlign w:val="center"/>
            <w:hideMark/>
          </w:tcPr>
          <w:p w14:paraId="75262985" w14:textId="77777777" w:rsidR="00614751" w:rsidRPr="00A265D6" w:rsidRDefault="00614751" w:rsidP="004A5585">
            <w:pPr>
              <w:spacing w:after="0" w:line="240" w:lineRule="auto"/>
              <w:jc w:val="right"/>
              <w:rPr>
                <w:rFonts w:eastAsia="Times New Roman" w:cs="Times New Roman"/>
                <w:color w:val="000000"/>
                <w:sz w:val="20"/>
                <w:szCs w:val="20"/>
                <w:lang w:eastAsia="sk-SK"/>
              </w:rPr>
            </w:pPr>
            <w:r w:rsidRPr="00A265D6">
              <w:rPr>
                <w:rFonts w:eastAsia="Times New Roman" w:cs="Times New Roman"/>
                <w:color w:val="000000"/>
                <w:sz w:val="20"/>
                <w:szCs w:val="20"/>
                <w:lang w:eastAsia="sk-SK"/>
              </w:rPr>
              <w:t>-0,11</w:t>
            </w:r>
          </w:p>
        </w:tc>
      </w:tr>
      <w:tr w:rsidR="00614751" w:rsidRPr="00944CEF" w14:paraId="7E509143" w14:textId="77777777" w:rsidTr="00381469">
        <w:trPr>
          <w:trHeight w:val="317"/>
        </w:trPr>
        <w:tc>
          <w:tcPr>
            <w:tcW w:w="6946" w:type="dxa"/>
            <w:tcBorders>
              <w:top w:val="nil"/>
              <w:left w:val="nil"/>
              <w:bottom w:val="nil"/>
              <w:right w:val="nil"/>
            </w:tcBorders>
            <w:shd w:val="clear" w:color="auto" w:fill="auto"/>
            <w:noWrap/>
            <w:vAlign w:val="center"/>
            <w:hideMark/>
          </w:tcPr>
          <w:p w14:paraId="1381B6DD" w14:textId="77777777" w:rsidR="00614751" w:rsidRPr="00A265D6" w:rsidRDefault="00614751" w:rsidP="004A5585">
            <w:pPr>
              <w:spacing w:after="0" w:line="240" w:lineRule="auto"/>
              <w:ind w:firstLineChars="300" w:firstLine="600"/>
              <w:jc w:val="left"/>
              <w:rPr>
                <w:rFonts w:eastAsia="Times New Roman" w:cs="Times New Roman"/>
                <w:color w:val="000000"/>
                <w:sz w:val="20"/>
                <w:szCs w:val="20"/>
                <w:lang w:eastAsia="sk-SK"/>
              </w:rPr>
            </w:pPr>
            <w:r w:rsidRPr="00A265D6">
              <w:rPr>
                <w:rFonts w:eastAsia="Times New Roman" w:cs="Times New Roman"/>
                <w:color w:val="000000"/>
                <w:sz w:val="20"/>
                <w:szCs w:val="20"/>
                <w:lang w:eastAsia="sk-SK"/>
              </w:rPr>
              <w:t xml:space="preserve">    ·    platba za správu verejného zdravotného poistenia súkromným zdrav. </w:t>
            </w:r>
          </w:p>
          <w:p w14:paraId="7250EF62" w14:textId="77777777" w:rsidR="00614751" w:rsidRPr="00A265D6" w:rsidRDefault="00614751" w:rsidP="004A5585">
            <w:pPr>
              <w:spacing w:after="0" w:line="240" w:lineRule="auto"/>
              <w:ind w:firstLineChars="300" w:firstLine="600"/>
              <w:jc w:val="left"/>
              <w:rPr>
                <w:rFonts w:eastAsia="Times New Roman" w:cs="Times New Roman"/>
                <w:color w:val="000000"/>
                <w:sz w:val="20"/>
                <w:szCs w:val="20"/>
                <w:lang w:eastAsia="sk-SK"/>
              </w:rPr>
            </w:pPr>
            <w:r w:rsidRPr="00A265D6">
              <w:rPr>
                <w:rFonts w:eastAsia="Times New Roman" w:cs="Times New Roman"/>
                <w:color w:val="000000"/>
                <w:sz w:val="20"/>
                <w:szCs w:val="20"/>
                <w:lang w:eastAsia="sk-SK"/>
              </w:rPr>
              <w:t xml:space="preserve">         poisťovniam</w:t>
            </w:r>
          </w:p>
        </w:tc>
        <w:tc>
          <w:tcPr>
            <w:tcW w:w="992" w:type="dxa"/>
            <w:tcBorders>
              <w:top w:val="nil"/>
              <w:left w:val="nil"/>
              <w:bottom w:val="nil"/>
              <w:right w:val="nil"/>
            </w:tcBorders>
            <w:shd w:val="clear" w:color="auto" w:fill="auto"/>
            <w:noWrap/>
            <w:vAlign w:val="center"/>
            <w:hideMark/>
          </w:tcPr>
          <w:p w14:paraId="25FC7E29" w14:textId="77777777" w:rsidR="00614751" w:rsidRPr="00A265D6" w:rsidRDefault="00614751" w:rsidP="004A5585">
            <w:pPr>
              <w:spacing w:after="0" w:line="240" w:lineRule="auto"/>
              <w:jc w:val="right"/>
              <w:rPr>
                <w:rFonts w:eastAsia="Times New Roman" w:cs="Times New Roman"/>
                <w:color w:val="000000"/>
                <w:sz w:val="20"/>
                <w:szCs w:val="20"/>
                <w:lang w:eastAsia="sk-SK"/>
              </w:rPr>
            </w:pPr>
            <w:r w:rsidRPr="00A265D6">
              <w:rPr>
                <w:rFonts w:eastAsia="Times New Roman" w:cs="Times New Roman"/>
                <w:color w:val="000000"/>
                <w:sz w:val="20"/>
                <w:szCs w:val="20"/>
                <w:lang w:eastAsia="sk-SK"/>
              </w:rPr>
              <w:t>-78 350</w:t>
            </w:r>
          </w:p>
        </w:tc>
        <w:tc>
          <w:tcPr>
            <w:tcW w:w="1017" w:type="dxa"/>
            <w:tcBorders>
              <w:top w:val="nil"/>
              <w:left w:val="nil"/>
              <w:bottom w:val="nil"/>
              <w:right w:val="nil"/>
            </w:tcBorders>
            <w:shd w:val="clear" w:color="auto" w:fill="auto"/>
            <w:noWrap/>
            <w:vAlign w:val="center"/>
            <w:hideMark/>
          </w:tcPr>
          <w:p w14:paraId="6280B299" w14:textId="77777777" w:rsidR="00614751" w:rsidRPr="00A265D6" w:rsidRDefault="00614751" w:rsidP="004A5585">
            <w:pPr>
              <w:spacing w:after="0" w:line="240" w:lineRule="auto"/>
              <w:jc w:val="right"/>
              <w:rPr>
                <w:rFonts w:eastAsia="Times New Roman" w:cs="Times New Roman"/>
                <w:color w:val="000000"/>
                <w:sz w:val="20"/>
                <w:szCs w:val="20"/>
                <w:lang w:eastAsia="sk-SK"/>
              </w:rPr>
            </w:pPr>
            <w:r w:rsidRPr="00A265D6">
              <w:rPr>
                <w:rFonts w:eastAsia="Times New Roman" w:cs="Times New Roman"/>
                <w:color w:val="000000"/>
                <w:sz w:val="20"/>
                <w:szCs w:val="20"/>
                <w:lang w:eastAsia="sk-SK"/>
              </w:rPr>
              <w:t>-0,09</w:t>
            </w:r>
          </w:p>
        </w:tc>
      </w:tr>
      <w:tr w:rsidR="00614751" w:rsidRPr="00944CEF" w14:paraId="10723175" w14:textId="77777777" w:rsidTr="00381469">
        <w:trPr>
          <w:trHeight w:val="317"/>
        </w:trPr>
        <w:tc>
          <w:tcPr>
            <w:tcW w:w="6946" w:type="dxa"/>
            <w:tcBorders>
              <w:top w:val="nil"/>
              <w:left w:val="nil"/>
              <w:bottom w:val="nil"/>
              <w:right w:val="nil"/>
            </w:tcBorders>
            <w:shd w:val="clear" w:color="auto" w:fill="auto"/>
            <w:noWrap/>
            <w:vAlign w:val="center"/>
            <w:hideMark/>
          </w:tcPr>
          <w:p w14:paraId="73E1B6F1" w14:textId="77777777" w:rsidR="00614751" w:rsidRPr="00A265D6" w:rsidRDefault="00614751" w:rsidP="004A5585">
            <w:pPr>
              <w:spacing w:after="0" w:line="240" w:lineRule="auto"/>
              <w:ind w:firstLineChars="300" w:firstLine="600"/>
              <w:jc w:val="left"/>
              <w:rPr>
                <w:rFonts w:eastAsia="Times New Roman" w:cs="Times New Roman"/>
                <w:color w:val="000000"/>
                <w:sz w:val="20"/>
                <w:szCs w:val="20"/>
                <w:lang w:eastAsia="sk-SK"/>
              </w:rPr>
            </w:pPr>
            <w:r w:rsidRPr="00A265D6">
              <w:rPr>
                <w:rFonts w:eastAsia="Times New Roman" w:cs="Times New Roman"/>
                <w:color w:val="000000"/>
                <w:sz w:val="20"/>
                <w:szCs w:val="20"/>
                <w:lang w:eastAsia="sk-SK"/>
              </w:rPr>
              <w:t>- Ostatné</w:t>
            </w:r>
          </w:p>
        </w:tc>
        <w:tc>
          <w:tcPr>
            <w:tcW w:w="992" w:type="dxa"/>
            <w:tcBorders>
              <w:top w:val="nil"/>
              <w:left w:val="nil"/>
              <w:bottom w:val="nil"/>
              <w:right w:val="nil"/>
            </w:tcBorders>
            <w:shd w:val="clear" w:color="auto" w:fill="auto"/>
            <w:noWrap/>
            <w:vAlign w:val="center"/>
            <w:hideMark/>
          </w:tcPr>
          <w:p w14:paraId="35342247" w14:textId="1FB1D2DB" w:rsidR="00614751" w:rsidRPr="00A265D6" w:rsidRDefault="005641E0" w:rsidP="005641E0">
            <w:pPr>
              <w:spacing w:after="0" w:line="240" w:lineRule="auto"/>
              <w:jc w:val="right"/>
              <w:rPr>
                <w:rFonts w:eastAsia="Times New Roman" w:cs="Times New Roman"/>
                <w:color w:val="000000"/>
                <w:sz w:val="20"/>
                <w:szCs w:val="20"/>
                <w:lang w:eastAsia="sk-SK"/>
              </w:rPr>
            </w:pPr>
            <w:r w:rsidRPr="00A265D6">
              <w:rPr>
                <w:rFonts w:eastAsia="Times New Roman" w:cs="Times New Roman"/>
                <w:color w:val="000000"/>
                <w:sz w:val="20"/>
                <w:szCs w:val="20"/>
                <w:lang w:eastAsia="sk-SK"/>
              </w:rPr>
              <w:t>-5 387</w:t>
            </w:r>
          </w:p>
        </w:tc>
        <w:tc>
          <w:tcPr>
            <w:tcW w:w="1017" w:type="dxa"/>
            <w:tcBorders>
              <w:top w:val="nil"/>
              <w:left w:val="nil"/>
              <w:bottom w:val="nil"/>
              <w:right w:val="nil"/>
            </w:tcBorders>
            <w:shd w:val="clear" w:color="auto" w:fill="auto"/>
            <w:noWrap/>
            <w:vAlign w:val="center"/>
            <w:hideMark/>
          </w:tcPr>
          <w:p w14:paraId="2C13D8D5" w14:textId="21224EF9" w:rsidR="00614751" w:rsidRPr="00A265D6" w:rsidRDefault="005641E0" w:rsidP="004A5585">
            <w:pPr>
              <w:spacing w:after="0" w:line="240" w:lineRule="auto"/>
              <w:jc w:val="right"/>
              <w:rPr>
                <w:rFonts w:eastAsia="Times New Roman" w:cs="Times New Roman"/>
                <w:color w:val="000000"/>
                <w:sz w:val="20"/>
                <w:szCs w:val="20"/>
                <w:lang w:eastAsia="sk-SK"/>
              </w:rPr>
            </w:pPr>
            <w:r w:rsidRPr="00A265D6">
              <w:rPr>
                <w:rFonts w:eastAsia="Times New Roman" w:cs="Times New Roman"/>
                <w:color w:val="000000"/>
                <w:sz w:val="20"/>
                <w:szCs w:val="20"/>
                <w:lang w:eastAsia="sk-SK"/>
              </w:rPr>
              <w:t>-</w:t>
            </w:r>
            <w:r w:rsidR="00614751" w:rsidRPr="00A265D6">
              <w:rPr>
                <w:rFonts w:eastAsia="Times New Roman" w:cs="Times New Roman"/>
                <w:color w:val="000000"/>
                <w:sz w:val="20"/>
                <w:szCs w:val="20"/>
                <w:lang w:eastAsia="sk-SK"/>
              </w:rPr>
              <w:t>0</w:t>
            </w:r>
            <w:r w:rsidRPr="00A265D6">
              <w:rPr>
                <w:rFonts w:eastAsia="Times New Roman" w:cs="Times New Roman"/>
                <w:color w:val="000000"/>
                <w:sz w:val="20"/>
                <w:szCs w:val="20"/>
                <w:lang w:eastAsia="sk-SK"/>
              </w:rPr>
              <w:t>,01</w:t>
            </w:r>
          </w:p>
        </w:tc>
      </w:tr>
      <w:tr w:rsidR="00614751" w:rsidRPr="00944CEF" w14:paraId="696CB9AF" w14:textId="77777777" w:rsidTr="00381469">
        <w:trPr>
          <w:trHeight w:val="317"/>
        </w:trPr>
        <w:tc>
          <w:tcPr>
            <w:tcW w:w="6946" w:type="dxa"/>
            <w:tcBorders>
              <w:top w:val="nil"/>
              <w:left w:val="nil"/>
              <w:bottom w:val="nil"/>
              <w:right w:val="nil"/>
            </w:tcBorders>
            <w:shd w:val="clear" w:color="auto" w:fill="auto"/>
            <w:noWrap/>
            <w:vAlign w:val="center"/>
            <w:hideMark/>
          </w:tcPr>
          <w:p w14:paraId="07E01353" w14:textId="0F3A0775" w:rsidR="00614751" w:rsidRDefault="00614751" w:rsidP="004A5585">
            <w:pPr>
              <w:spacing w:after="0" w:line="240" w:lineRule="auto"/>
              <w:ind w:firstLineChars="200" w:firstLine="400"/>
              <w:jc w:val="left"/>
              <w:rPr>
                <w:rFonts w:eastAsia="Times New Roman" w:cs="Times New Roman"/>
                <w:color w:val="000000"/>
                <w:sz w:val="20"/>
                <w:szCs w:val="20"/>
                <w:lang w:eastAsia="sk-SK"/>
              </w:rPr>
            </w:pPr>
            <w:r>
              <w:rPr>
                <w:rFonts w:eastAsia="Times New Roman" w:cs="Times New Roman"/>
                <w:color w:val="000000"/>
                <w:sz w:val="20"/>
                <w:szCs w:val="20"/>
                <w:lang w:eastAsia="sk-SK"/>
              </w:rPr>
              <w:t>8</w:t>
            </w:r>
            <w:r w:rsidRPr="00944CEF">
              <w:rPr>
                <w:rFonts w:eastAsia="Times New Roman" w:cs="Times New Roman"/>
                <w:color w:val="000000"/>
                <w:sz w:val="20"/>
                <w:szCs w:val="20"/>
                <w:lang w:eastAsia="sk-SK"/>
              </w:rPr>
              <w:t xml:space="preserve">. Rozdiel v hospodárení subjektov </w:t>
            </w:r>
            <w:r w:rsidR="00664B74">
              <w:rPr>
                <w:rFonts w:eastAsia="Times New Roman" w:cs="Times New Roman"/>
                <w:color w:val="000000"/>
                <w:sz w:val="20"/>
                <w:szCs w:val="20"/>
                <w:lang w:eastAsia="sk-SK"/>
              </w:rPr>
              <w:t xml:space="preserve">ústrednej </w:t>
            </w:r>
            <w:r w:rsidRPr="00944CEF">
              <w:rPr>
                <w:rFonts w:eastAsia="Times New Roman" w:cs="Times New Roman"/>
                <w:color w:val="000000"/>
                <w:sz w:val="20"/>
                <w:szCs w:val="20"/>
                <w:lang w:eastAsia="sk-SK"/>
              </w:rPr>
              <w:t>správy bez daňových</w:t>
            </w:r>
          </w:p>
          <w:p w14:paraId="3A520502" w14:textId="159B5306" w:rsidR="00614751" w:rsidRPr="00944CEF" w:rsidRDefault="00614751" w:rsidP="004A5585">
            <w:pPr>
              <w:spacing w:after="0" w:line="240" w:lineRule="auto"/>
              <w:ind w:firstLineChars="200" w:firstLine="400"/>
              <w:jc w:val="left"/>
              <w:rPr>
                <w:rFonts w:eastAsia="Times New Roman" w:cs="Times New Roman"/>
                <w:color w:val="000000"/>
                <w:sz w:val="20"/>
                <w:szCs w:val="20"/>
                <w:lang w:eastAsia="sk-SK"/>
              </w:rPr>
            </w:pPr>
            <w:r>
              <w:rPr>
                <w:rFonts w:eastAsia="Times New Roman" w:cs="Times New Roman"/>
                <w:color w:val="000000"/>
                <w:sz w:val="20"/>
                <w:szCs w:val="20"/>
                <w:lang w:eastAsia="sk-SK"/>
              </w:rPr>
              <w:t xml:space="preserve">    </w:t>
            </w:r>
            <w:r w:rsidRPr="00944CEF">
              <w:rPr>
                <w:rFonts w:eastAsia="Times New Roman" w:cs="Times New Roman"/>
                <w:color w:val="000000"/>
                <w:sz w:val="20"/>
                <w:szCs w:val="20"/>
                <w:lang w:eastAsia="sk-SK"/>
              </w:rPr>
              <w:t xml:space="preserve"> </w:t>
            </w:r>
            <w:r w:rsidR="00664B74">
              <w:rPr>
                <w:rFonts w:eastAsia="Times New Roman" w:cs="Times New Roman"/>
                <w:color w:val="000000"/>
                <w:sz w:val="20"/>
                <w:szCs w:val="20"/>
                <w:lang w:eastAsia="sk-SK"/>
              </w:rPr>
              <w:t>p</w:t>
            </w:r>
            <w:r w:rsidRPr="00944CEF">
              <w:rPr>
                <w:rFonts w:eastAsia="Times New Roman" w:cs="Times New Roman"/>
                <w:color w:val="000000"/>
                <w:sz w:val="20"/>
                <w:szCs w:val="20"/>
                <w:lang w:eastAsia="sk-SK"/>
              </w:rPr>
              <w:t>ríjmov</w:t>
            </w:r>
            <w:r w:rsidR="00664B74">
              <w:rPr>
                <w:rFonts w:eastAsia="Times New Roman" w:cs="Times New Roman"/>
                <w:color w:val="000000"/>
                <w:sz w:val="20"/>
                <w:szCs w:val="20"/>
                <w:lang w:eastAsia="sk-SK"/>
              </w:rPr>
              <w:t>, z toho</w:t>
            </w:r>
          </w:p>
        </w:tc>
        <w:tc>
          <w:tcPr>
            <w:tcW w:w="992" w:type="dxa"/>
            <w:tcBorders>
              <w:top w:val="nil"/>
              <w:left w:val="nil"/>
              <w:bottom w:val="nil"/>
              <w:right w:val="nil"/>
            </w:tcBorders>
            <w:shd w:val="clear" w:color="auto" w:fill="auto"/>
            <w:noWrap/>
            <w:vAlign w:val="center"/>
            <w:hideMark/>
          </w:tcPr>
          <w:p w14:paraId="7796FDDB"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67 699</w:t>
            </w:r>
          </w:p>
        </w:tc>
        <w:tc>
          <w:tcPr>
            <w:tcW w:w="1017" w:type="dxa"/>
            <w:tcBorders>
              <w:top w:val="nil"/>
              <w:left w:val="nil"/>
              <w:bottom w:val="nil"/>
              <w:right w:val="nil"/>
            </w:tcBorders>
            <w:shd w:val="clear" w:color="auto" w:fill="auto"/>
            <w:noWrap/>
            <w:vAlign w:val="center"/>
            <w:hideMark/>
          </w:tcPr>
          <w:p w14:paraId="7695BC7B"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0,08</w:t>
            </w:r>
          </w:p>
        </w:tc>
      </w:tr>
      <w:tr w:rsidR="00614751" w:rsidRPr="00944CEF" w14:paraId="20691153" w14:textId="77777777" w:rsidTr="00381469">
        <w:trPr>
          <w:trHeight w:val="317"/>
        </w:trPr>
        <w:tc>
          <w:tcPr>
            <w:tcW w:w="6946" w:type="dxa"/>
            <w:tcBorders>
              <w:top w:val="nil"/>
              <w:left w:val="nil"/>
              <w:bottom w:val="nil"/>
              <w:right w:val="nil"/>
            </w:tcBorders>
            <w:shd w:val="clear" w:color="auto" w:fill="auto"/>
            <w:noWrap/>
            <w:vAlign w:val="center"/>
            <w:hideMark/>
          </w:tcPr>
          <w:p w14:paraId="0B1C6A49" w14:textId="23BB363A" w:rsidR="00614751" w:rsidRPr="00944CEF" w:rsidRDefault="00614751" w:rsidP="00664B74">
            <w:pPr>
              <w:spacing w:after="0" w:line="240" w:lineRule="auto"/>
              <w:ind w:firstLineChars="300" w:firstLine="600"/>
              <w:jc w:val="left"/>
              <w:rPr>
                <w:rFonts w:eastAsia="Times New Roman" w:cs="Times New Roman"/>
                <w:color w:val="000000"/>
                <w:sz w:val="20"/>
                <w:szCs w:val="20"/>
                <w:lang w:eastAsia="sk-SK"/>
              </w:rPr>
            </w:pPr>
            <w:r w:rsidRPr="00944CEF">
              <w:rPr>
                <w:rFonts w:eastAsia="Times New Roman" w:cs="Times New Roman"/>
                <w:color w:val="000000"/>
                <w:sz w:val="20"/>
                <w:szCs w:val="20"/>
                <w:lang w:eastAsia="sk-SK"/>
              </w:rPr>
              <w:t xml:space="preserve"> - obchodné spoločnosti štátu</w:t>
            </w:r>
          </w:p>
        </w:tc>
        <w:tc>
          <w:tcPr>
            <w:tcW w:w="992" w:type="dxa"/>
            <w:tcBorders>
              <w:top w:val="nil"/>
              <w:left w:val="nil"/>
              <w:bottom w:val="nil"/>
              <w:right w:val="nil"/>
            </w:tcBorders>
            <w:shd w:val="clear" w:color="auto" w:fill="auto"/>
            <w:noWrap/>
            <w:vAlign w:val="center"/>
            <w:hideMark/>
          </w:tcPr>
          <w:p w14:paraId="5C2621B9"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-14 020</w:t>
            </w:r>
          </w:p>
        </w:tc>
        <w:tc>
          <w:tcPr>
            <w:tcW w:w="1017" w:type="dxa"/>
            <w:tcBorders>
              <w:top w:val="nil"/>
              <w:left w:val="nil"/>
              <w:bottom w:val="nil"/>
              <w:right w:val="nil"/>
            </w:tcBorders>
            <w:shd w:val="clear" w:color="auto" w:fill="auto"/>
            <w:noWrap/>
            <w:vAlign w:val="center"/>
            <w:hideMark/>
          </w:tcPr>
          <w:p w14:paraId="3DE8A0AE"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-0,02</w:t>
            </w:r>
          </w:p>
        </w:tc>
      </w:tr>
      <w:tr w:rsidR="00614751" w:rsidRPr="00944CEF" w14:paraId="344DE516" w14:textId="77777777" w:rsidTr="00381469">
        <w:trPr>
          <w:trHeight w:val="317"/>
        </w:trPr>
        <w:tc>
          <w:tcPr>
            <w:tcW w:w="6946" w:type="dxa"/>
            <w:tcBorders>
              <w:top w:val="nil"/>
              <w:left w:val="nil"/>
              <w:bottom w:val="nil"/>
              <w:right w:val="nil"/>
            </w:tcBorders>
            <w:shd w:val="clear" w:color="auto" w:fill="auto"/>
            <w:noWrap/>
            <w:vAlign w:val="center"/>
            <w:hideMark/>
          </w:tcPr>
          <w:p w14:paraId="79CA5605" w14:textId="1109CD18" w:rsidR="00614751" w:rsidRPr="00944CEF" w:rsidRDefault="00614751" w:rsidP="00664B74">
            <w:pPr>
              <w:spacing w:after="0" w:line="240" w:lineRule="auto"/>
              <w:ind w:firstLineChars="300" w:firstLine="600"/>
              <w:jc w:val="left"/>
              <w:rPr>
                <w:rFonts w:eastAsia="Times New Roman" w:cs="Times New Roman"/>
                <w:color w:val="000000"/>
                <w:sz w:val="20"/>
                <w:szCs w:val="20"/>
                <w:lang w:eastAsia="sk-SK"/>
              </w:rPr>
            </w:pPr>
            <w:r w:rsidRPr="00944CEF">
              <w:rPr>
                <w:rFonts w:eastAsia="Times New Roman" w:cs="Times New Roman"/>
                <w:color w:val="000000"/>
                <w:sz w:val="20"/>
                <w:szCs w:val="20"/>
                <w:lang w:eastAsia="sk-SK"/>
              </w:rPr>
              <w:t xml:space="preserve"> - Eximbanka</w:t>
            </w:r>
          </w:p>
        </w:tc>
        <w:tc>
          <w:tcPr>
            <w:tcW w:w="992" w:type="dxa"/>
            <w:tcBorders>
              <w:top w:val="nil"/>
              <w:left w:val="nil"/>
              <w:bottom w:val="nil"/>
              <w:right w:val="nil"/>
            </w:tcBorders>
            <w:shd w:val="clear" w:color="auto" w:fill="auto"/>
            <w:noWrap/>
            <w:vAlign w:val="center"/>
            <w:hideMark/>
          </w:tcPr>
          <w:p w14:paraId="6252F8D9"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13 656</w:t>
            </w:r>
          </w:p>
        </w:tc>
        <w:tc>
          <w:tcPr>
            <w:tcW w:w="1017" w:type="dxa"/>
            <w:tcBorders>
              <w:top w:val="nil"/>
              <w:left w:val="nil"/>
              <w:bottom w:val="nil"/>
              <w:right w:val="nil"/>
            </w:tcBorders>
            <w:shd w:val="clear" w:color="auto" w:fill="auto"/>
            <w:noWrap/>
            <w:vAlign w:val="center"/>
            <w:hideMark/>
          </w:tcPr>
          <w:p w14:paraId="24218090"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0,02</w:t>
            </w:r>
          </w:p>
        </w:tc>
      </w:tr>
      <w:tr w:rsidR="00614751" w:rsidRPr="00944CEF" w14:paraId="0D1FA1E5" w14:textId="77777777" w:rsidTr="00381469">
        <w:trPr>
          <w:trHeight w:val="317"/>
        </w:trPr>
        <w:tc>
          <w:tcPr>
            <w:tcW w:w="6946" w:type="dxa"/>
            <w:tcBorders>
              <w:top w:val="nil"/>
              <w:left w:val="nil"/>
              <w:bottom w:val="nil"/>
              <w:right w:val="nil"/>
            </w:tcBorders>
            <w:shd w:val="clear" w:color="auto" w:fill="auto"/>
            <w:noWrap/>
            <w:vAlign w:val="center"/>
            <w:hideMark/>
          </w:tcPr>
          <w:p w14:paraId="2B5A4F7D" w14:textId="6D1221F1" w:rsidR="00614751" w:rsidRPr="00944CEF" w:rsidRDefault="00614751" w:rsidP="00664B74">
            <w:pPr>
              <w:spacing w:after="0" w:line="240" w:lineRule="auto"/>
              <w:ind w:firstLineChars="300" w:firstLine="600"/>
              <w:jc w:val="left"/>
              <w:rPr>
                <w:rFonts w:eastAsia="Times New Roman" w:cs="Times New Roman"/>
                <w:color w:val="000000"/>
                <w:sz w:val="20"/>
                <w:szCs w:val="20"/>
                <w:lang w:eastAsia="sk-SK"/>
              </w:rPr>
            </w:pPr>
            <w:r>
              <w:rPr>
                <w:rFonts w:eastAsia="Times New Roman" w:cs="Times New Roman"/>
                <w:color w:val="000000"/>
                <w:sz w:val="20"/>
                <w:szCs w:val="20"/>
                <w:lang w:eastAsia="sk-SK"/>
              </w:rPr>
              <w:t xml:space="preserve"> </w:t>
            </w:r>
            <w:r w:rsidRPr="00944CEF">
              <w:rPr>
                <w:rFonts w:eastAsia="Times New Roman" w:cs="Times New Roman"/>
                <w:color w:val="000000"/>
                <w:sz w:val="20"/>
                <w:szCs w:val="20"/>
                <w:lang w:eastAsia="sk-SK"/>
              </w:rPr>
              <w:t>- zdravotnícke zariadenia ústredné</w:t>
            </w:r>
          </w:p>
        </w:tc>
        <w:tc>
          <w:tcPr>
            <w:tcW w:w="992" w:type="dxa"/>
            <w:tcBorders>
              <w:top w:val="nil"/>
              <w:left w:val="nil"/>
              <w:bottom w:val="nil"/>
              <w:right w:val="nil"/>
            </w:tcBorders>
            <w:shd w:val="clear" w:color="auto" w:fill="auto"/>
            <w:noWrap/>
            <w:vAlign w:val="center"/>
            <w:hideMark/>
          </w:tcPr>
          <w:p w14:paraId="42A847BA"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146 653</w:t>
            </w:r>
          </w:p>
        </w:tc>
        <w:tc>
          <w:tcPr>
            <w:tcW w:w="1017" w:type="dxa"/>
            <w:tcBorders>
              <w:top w:val="nil"/>
              <w:left w:val="nil"/>
              <w:bottom w:val="nil"/>
              <w:right w:val="nil"/>
            </w:tcBorders>
            <w:shd w:val="clear" w:color="auto" w:fill="auto"/>
            <w:noWrap/>
            <w:vAlign w:val="center"/>
            <w:hideMark/>
          </w:tcPr>
          <w:p w14:paraId="4CD471D4"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0,16</w:t>
            </w:r>
          </w:p>
        </w:tc>
      </w:tr>
      <w:tr w:rsidR="00614751" w:rsidRPr="00944CEF" w14:paraId="14A4D56B" w14:textId="77777777" w:rsidTr="00381469">
        <w:trPr>
          <w:trHeight w:val="317"/>
        </w:trPr>
        <w:tc>
          <w:tcPr>
            <w:tcW w:w="6946" w:type="dxa"/>
            <w:tcBorders>
              <w:top w:val="nil"/>
              <w:left w:val="nil"/>
              <w:bottom w:val="nil"/>
              <w:right w:val="nil"/>
            </w:tcBorders>
            <w:shd w:val="clear" w:color="auto" w:fill="auto"/>
            <w:noWrap/>
            <w:vAlign w:val="center"/>
            <w:hideMark/>
          </w:tcPr>
          <w:p w14:paraId="1192736F" w14:textId="550B4F1D" w:rsidR="00614751" w:rsidRPr="00944CEF" w:rsidRDefault="00614751" w:rsidP="00664B74">
            <w:pPr>
              <w:spacing w:after="0" w:line="240" w:lineRule="auto"/>
              <w:ind w:firstLineChars="300" w:firstLine="600"/>
              <w:jc w:val="left"/>
              <w:rPr>
                <w:rFonts w:eastAsia="Times New Roman" w:cs="Times New Roman"/>
                <w:color w:val="000000"/>
                <w:sz w:val="20"/>
                <w:szCs w:val="20"/>
                <w:lang w:eastAsia="sk-SK"/>
              </w:rPr>
            </w:pPr>
            <w:r>
              <w:rPr>
                <w:rFonts w:eastAsia="Times New Roman" w:cs="Times New Roman"/>
                <w:color w:val="000000"/>
                <w:sz w:val="20"/>
                <w:szCs w:val="20"/>
                <w:lang w:eastAsia="sk-SK"/>
              </w:rPr>
              <w:t xml:space="preserve"> </w:t>
            </w:r>
            <w:r w:rsidRPr="00944CEF">
              <w:rPr>
                <w:rFonts w:eastAsia="Times New Roman" w:cs="Times New Roman"/>
                <w:color w:val="000000"/>
                <w:sz w:val="20"/>
                <w:szCs w:val="20"/>
                <w:lang w:eastAsia="sk-SK"/>
              </w:rPr>
              <w:t>- PO štátu</w:t>
            </w:r>
          </w:p>
        </w:tc>
        <w:tc>
          <w:tcPr>
            <w:tcW w:w="992" w:type="dxa"/>
            <w:tcBorders>
              <w:top w:val="nil"/>
              <w:left w:val="nil"/>
              <w:bottom w:val="nil"/>
              <w:right w:val="nil"/>
            </w:tcBorders>
            <w:shd w:val="clear" w:color="auto" w:fill="auto"/>
            <w:noWrap/>
            <w:vAlign w:val="center"/>
            <w:hideMark/>
          </w:tcPr>
          <w:p w14:paraId="3A63275E"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14 097</w:t>
            </w:r>
          </w:p>
        </w:tc>
        <w:tc>
          <w:tcPr>
            <w:tcW w:w="1017" w:type="dxa"/>
            <w:tcBorders>
              <w:top w:val="nil"/>
              <w:left w:val="nil"/>
              <w:bottom w:val="nil"/>
              <w:right w:val="nil"/>
            </w:tcBorders>
            <w:shd w:val="clear" w:color="auto" w:fill="auto"/>
            <w:noWrap/>
            <w:vAlign w:val="center"/>
            <w:hideMark/>
          </w:tcPr>
          <w:p w14:paraId="08EA03EA"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0,02</w:t>
            </w:r>
          </w:p>
        </w:tc>
      </w:tr>
      <w:tr w:rsidR="00614751" w:rsidRPr="00944CEF" w14:paraId="03D63E0C" w14:textId="77777777" w:rsidTr="00381469">
        <w:trPr>
          <w:trHeight w:val="317"/>
        </w:trPr>
        <w:tc>
          <w:tcPr>
            <w:tcW w:w="6946" w:type="dxa"/>
            <w:tcBorders>
              <w:top w:val="nil"/>
              <w:left w:val="nil"/>
              <w:bottom w:val="nil"/>
              <w:right w:val="nil"/>
            </w:tcBorders>
            <w:shd w:val="clear" w:color="auto" w:fill="auto"/>
            <w:noWrap/>
            <w:vAlign w:val="center"/>
            <w:hideMark/>
          </w:tcPr>
          <w:p w14:paraId="129C2032" w14:textId="5E80C741" w:rsidR="00614751" w:rsidRPr="00944CEF" w:rsidRDefault="00614751" w:rsidP="00664B74">
            <w:pPr>
              <w:spacing w:after="0" w:line="240" w:lineRule="auto"/>
              <w:ind w:firstLineChars="300" w:firstLine="600"/>
              <w:jc w:val="left"/>
              <w:rPr>
                <w:rFonts w:eastAsia="Times New Roman" w:cs="Times New Roman"/>
                <w:color w:val="000000"/>
                <w:sz w:val="20"/>
                <w:szCs w:val="20"/>
                <w:lang w:eastAsia="sk-SK"/>
              </w:rPr>
            </w:pPr>
            <w:r w:rsidRPr="00944CEF">
              <w:rPr>
                <w:rFonts w:eastAsia="Times New Roman" w:cs="Times New Roman"/>
                <w:color w:val="000000"/>
                <w:sz w:val="20"/>
                <w:szCs w:val="20"/>
                <w:lang w:eastAsia="sk-SK"/>
              </w:rPr>
              <w:t xml:space="preserve"> - VVŠ</w:t>
            </w:r>
          </w:p>
        </w:tc>
        <w:tc>
          <w:tcPr>
            <w:tcW w:w="992" w:type="dxa"/>
            <w:tcBorders>
              <w:top w:val="nil"/>
              <w:left w:val="nil"/>
              <w:bottom w:val="nil"/>
              <w:right w:val="nil"/>
            </w:tcBorders>
            <w:shd w:val="clear" w:color="auto" w:fill="auto"/>
            <w:noWrap/>
            <w:vAlign w:val="center"/>
            <w:hideMark/>
          </w:tcPr>
          <w:p w14:paraId="0A8BEC18" w14:textId="77777777" w:rsidR="00614751" w:rsidRPr="00944CEF" w:rsidRDefault="00614751" w:rsidP="004A5585">
            <w:pPr>
              <w:spacing w:after="0" w:line="240" w:lineRule="auto"/>
              <w:jc w:val="right"/>
              <w:rPr>
                <w:rFonts w:eastAsia="Times New Roman" w:cs="Times New Roman"/>
                <w:sz w:val="20"/>
                <w:szCs w:val="20"/>
                <w:lang w:eastAsia="sk-SK"/>
              </w:rPr>
            </w:pPr>
            <w:r w:rsidRPr="00944CEF">
              <w:rPr>
                <w:rFonts w:eastAsia="Times New Roman" w:cs="Times New Roman"/>
                <w:sz w:val="20"/>
                <w:szCs w:val="20"/>
                <w:lang w:eastAsia="sk-SK"/>
              </w:rPr>
              <w:t>31 622</w:t>
            </w:r>
          </w:p>
        </w:tc>
        <w:tc>
          <w:tcPr>
            <w:tcW w:w="1017" w:type="dxa"/>
            <w:tcBorders>
              <w:top w:val="nil"/>
              <w:left w:val="nil"/>
              <w:bottom w:val="nil"/>
              <w:right w:val="nil"/>
            </w:tcBorders>
            <w:shd w:val="clear" w:color="auto" w:fill="auto"/>
            <w:noWrap/>
            <w:vAlign w:val="center"/>
            <w:hideMark/>
          </w:tcPr>
          <w:p w14:paraId="34ED0499"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0,04</w:t>
            </w:r>
          </w:p>
        </w:tc>
      </w:tr>
    </w:tbl>
    <w:p w14:paraId="6684CB0A" w14:textId="77777777" w:rsidR="00DC2846" w:rsidRDefault="00DC2846">
      <w:r>
        <w:br w:type="page"/>
      </w:r>
    </w:p>
    <w:tbl>
      <w:tblPr>
        <w:tblW w:w="8530" w:type="dxa"/>
        <w:tblLayout w:type="fixed"/>
        <w:tblCellMar>
          <w:left w:w="70" w:type="dxa"/>
          <w:right w:w="70" w:type="dxa"/>
        </w:tblCellMar>
        <w:tblLook w:val="04A0" w:firstRow="1" w:lastRow="0" w:firstColumn="1" w:lastColumn="0" w:noHBand="0" w:noVBand="1"/>
      </w:tblPr>
      <w:tblGrid>
        <w:gridCol w:w="6521"/>
        <w:gridCol w:w="992"/>
        <w:gridCol w:w="1017"/>
      </w:tblGrid>
      <w:tr w:rsidR="000D5D8D" w:rsidRPr="00944CEF" w14:paraId="708847FA" w14:textId="77777777" w:rsidTr="00DC2846">
        <w:trPr>
          <w:trHeight w:val="384"/>
        </w:trPr>
        <w:tc>
          <w:tcPr>
            <w:tcW w:w="6521" w:type="dxa"/>
            <w:tcBorders>
              <w:top w:val="nil"/>
              <w:left w:val="nil"/>
              <w:bottom w:val="nil"/>
              <w:right w:val="nil"/>
            </w:tcBorders>
            <w:shd w:val="clear" w:color="000000" w:fill="000000"/>
            <w:noWrap/>
            <w:vAlign w:val="center"/>
            <w:hideMark/>
          </w:tcPr>
          <w:p w14:paraId="1D4563C9" w14:textId="476771C7" w:rsidR="000D5D8D" w:rsidRPr="00944CEF" w:rsidRDefault="000D5D8D" w:rsidP="007A5A77">
            <w:pPr>
              <w:spacing w:after="0" w:line="240" w:lineRule="auto"/>
              <w:jc w:val="left"/>
              <w:rPr>
                <w:rFonts w:eastAsia="Times New Roman" w:cs="Times New Roman"/>
                <w:b/>
                <w:bCs/>
                <w:color w:val="FFFFFF"/>
                <w:sz w:val="20"/>
                <w:szCs w:val="20"/>
                <w:lang w:eastAsia="sk-SK"/>
              </w:rPr>
            </w:pPr>
            <w:r w:rsidRPr="00944CEF">
              <w:rPr>
                <w:rFonts w:eastAsia="Times New Roman" w:cs="Times New Roman"/>
                <w:b/>
                <w:bCs/>
                <w:color w:val="FFFFFF"/>
                <w:sz w:val="20"/>
                <w:szCs w:val="20"/>
                <w:lang w:eastAsia="sk-SK"/>
              </w:rPr>
              <w:t xml:space="preserve">Saldo verejnej správy v roku 2018 podľa ESA2010    </w:t>
            </w:r>
            <w:r>
              <w:rPr>
                <w:rFonts w:eastAsia="Times New Roman" w:cs="Times New Roman"/>
                <w:b/>
                <w:bCs/>
                <w:color w:val="FFFFFF"/>
                <w:sz w:val="20"/>
                <w:szCs w:val="20"/>
                <w:lang w:eastAsia="sk-SK"/>
              </w:rPr>
              <w:t>(pokračovanie tab.)</w:t>
            </w:r>
            <w:r w:rsidRPr="00944CEF">
              <w:rPr>
                <w:rFonts w:eastAsia="Times New Roman" w:cs="Times New Roman"/>
                <w:b/>
                <w:bCs/>
                <w:color w:val="FFFFFF"/>
                <w:sz w:val="20"/>
                <w:szCs w:val="20"/>
                <w:lang w:eastAsia="sk-SK"/>
              </w:rPr>
              <w:t xml:space="preserve"> </w:t>
            </w:r>
            <w:r>
              <w:rPr>
                <w:rFonts w:eastAsia="Times New Roman" w:cs="Times New Roman"/>
                <w:b/>
                <w:bCs/>
                <w:color w:val="FFFFFF"/>
                <w:sz w:val="20"/>
                <w:szCs w:val="20"/>
                <w:lang w:eastAsia="sk-SK"/>
              </w:rPr>
              <w:t xml:space="preserve">                                      </w:t>
            </w:r>
            <w:r w:rsidRPr="00944CEF">
              <w:rPr>
                <w:rFonts w:eastAsia="Times New Roman" w:cs="Times New Roman"/>
                <w:b/>
                <w:bCs/>
                <w:color w:val="FFFFFF"/>
                <w:sz w:val="20"/>
                <w:szCs w:val="20"/>
                <w:lang w:eastAsia="sk-SK"/>
              </w:rPr>
              <w:t xml:space="preserve">                                                                      </w:t>
            </w:r>
          </w:p>
        </w:tc>
        <w:tc>
          <w:tcPr>
            <w:tcW w:w="992" w:type="dxa"/>
            <w:tcBorders>
              <w:top w:val="nil"/>
              <w:left w:val="nil"/>
              <w:bottom w:val="nil"/>
              <w:right w:val="nil"/>
            </w:tcBorders>
            <w:shd w:val="clear" w:color="000000" w:fill="000000"/>
            <w:noWrap/>
            <w:vAlign w:val="center"/>
            <w:hideMark/>
          </w:tcPr>
          <w:p w14:paraId="0A11E812" w14:textId="77777777" w:rsidR="000D5D8D" w:rsidRPr="00944CEF" w:rsidRDefault="000D5D8D" w:rsidP="007A5A77">
            <w:pPr>
              <w:spacing w:after="0" w:line="240" w:lineRule="auto"/>
              <w:jc w:val="left"/>
              <w:rPr>
                <w:rFonts w:eastAsia="Times New Roman" w:cs="Times New Roman"/>
                <w:b/>
                <w:bCs/>
                <w:color w:val="FFFFFF"/>
                <w:sz w:val="20"/>
                <w:szCs w:val="20"/>
                <w:lang w:eastAsia="sk-SK"/>
              </w:rPr>
            </w:pPr>
            <w:r w:rsidRPr="00944CEF">
              <w:rPr>
                <w:rFonts w:eastAsia="Times New Roman" w:cs="Times New Roman"/>
                <w:b/>
                <w:bCs/>
                <w:color w:val="FFFFFF"/>
                <w:sz w:val="20"/>
                <w:szCs w:val="20"/>
                <w:lang w:eastAsia="sk-SK"/>
              </w:rPr>
              <w:t> </w:t>
            </w:r>
          </w:p>
        </w:tc>
        <w:tc>
          <w:tcPr>
            <w:tcW w:w="1017" w:type="dxa"/>
            <w:tcBorders>
              <w:top w:val="nil"/>
              <w:left w:val="nil"/>
              <w:bottom w:val="nil"/>
              <w:right w:val="nil"/>
            </w:tcBorders>
            <w:shd w:val="clear" w:color="000000" w:fill="000000"/>
            <w:noWrap/>
            <w:vAlign w:val="center"/>
            <w:hideMark/>
          </w:tcPr>
          <w:p w14:paraId="6C00AA0B" w14:textId="77777777" w:rsidR="000D5D8D" w:rsidRPr="00944CEF" w:rsidRDefault="000D5D8D" w:rsidP="007A5A77">
            <w:pPr>
              <w:spacing w:after="0" w:line="240" w:lineRule="auto"/>
              <w:jc w:val="right"/>
              <w:rPr>
                <w:rFonts w:eastAsia="Times New Roman" w:cs="Times New Roman"/>
                <w:b/>
                <w:bCs/>
                <w:color w:val="FFFFFF"/>
                <w:sz w:val="20"/>
                <w:szCs w:val="20"/>
                <w:lang w:eastAsia="sk-SK"/>
              </w:rPr>
            </w:pPr>
            <w:r w:rsidRPr="00944CEF">
              <w:rPr>
                <w:rFonts w:eastAsia="Times New Roman" w:cs="Times New Roman"/>
                <w:b/>
                <w:bCs/>
                <w:color w:val="FFFFFF"/>
                <w:sz w:val="20"/>
                <w:szCs w:val="20"/>
                <w:lang w:eastAsia="sk-SK"/>
              </w:rPr>
              <w:t>v tis. eur</w:t>
            </w:r>
          </w:p>
        </w:tc>
      </w:tr>
      <w:tr w:rsidR="000D5D8D" w:rsidRPr="00944CEF" w14:paraId="6BFCA605" w14:textId="77777777" w:rsidTr="00DC2846">
        <w:trPr>
          <w:trHeight w:val="317"/>
        </w:trPr>
        <w:tc>
          <w:tcPr>
            <w:tcW w:w="6521" w:type="dxa"/>
            <w:tcBorders>
              <w:top w:val="nil"/>
              <w:left w:val="nil"/>
              <w:bottom w:val="nil"/>
              <w:right w:val="nil"/>
            </w:tcBorders>
            <w:shd w:val="clear" w:color="000000" w:fill="BFBFBF"/>
            <w:noWrap/>
            <w:vAlign w:val="center"/>
            <w:hideMark/>
          </w:tcPr>
          <w:p w14:paraId="373E35E3" w14:textId="77777777" w:rsidR="000D5D8D" w:rsidRPr="00944CEF" w:rsidRDefault="000D5D8D" w:rsidP="007A5A77">
            <w:pPr>
              <w:spacing w:after="0" w:line="240" w:lineRule="auto"/>
              <w:jc w:val="left"/>
              <w:rPr>
                <w:rFonts w:eastAsia="Times New Roman" w:cs="Times New Roman"/>
                <w:b/>
                <w:bCs/>
                <w:color w:val="000000"/>
                <w:sz w:val="20"/>
                <w:szCs w:val="20"/>
                <w:lang w:eastAsia="sk-SK"/>
              </w:rPr>
            </w:pPr>
            <w:r w:rsidRPr="00944CEF">
              <w:rPr>
                <w:rFonts w:eastAsia="Times New Roman" w:cs="Times New Roman"/>
                <w:b/>
                <w:bCs/>
                <w:color w:val="000000"/>
                <w:sz w:val="20"/>
                <w:szCs w:val="20"/>
                <w:lang w:eastAsia="sk-SK"/>
              </w:rPr>
              <w:t> </w:t>
            </w:r>
          </w:p>
        </w:tc>
        <w:tc>
          <w:tcPr>
            <w:tcW w:w="992" w:type="dxa"/>
            <w:tcBorders>
              <w:top w:val="nil"/>
              <w:left w:val="nil"/>
              <w:bottom w:val="nil"/>
              <w:right w:val="nil"/>
            </w:tcBorders>
            <w:shd w:val="clear" w:color="000000" w:fill="BFBFBF"/>
            <w:noWrap/>
            <w:vAlign w:val="center"/>
            <w:hideMark/>
          </w:tcPr>
          <w:p w14:paraId="68A606E0" w14:textId="77777777" w:rsidR="000D5D8D" w:rsidRPr="00944CEF" w:rsidRDefault="000D5D8D" w:rsidP="007A5A77">
            <w:pPr>
              <w:spacing w:after="0" w:line="240" w:lineRule="auto"/>
              <w:jc w:val="center"/>
              <w:rPr>
                <w:rFonts w:eastAsia="Times New Roman" w:cs="Times New Roman"/>
                <w:b/>
                <w:bCs/>
                <w:color w:val="000000"/>
                <w:sz w:val="20"/>
                <w:szCs w:val="20"/>
                <w:lang w:eastAsia="sk-SK"/>
              </w:rPr>
            </w:pPr>
            <w:r w:rsidRPr="00944CEF">
              <w:rPr>
                <w:rFonts w:eastAsia="Times New Roman" w:cs="Times New Roman"/>
                <w:b/>
                <w:bCs/>
                <w:color w:val="000000"/>
                <w:sz w:val="20"/>
                <w:szCs w:val="20"/>
                <w:lang w:eastAsia="sk-SK"/>
              </w:rPr>
              <w:t>2018</w:t>
            </w:r>
          </w:p>
        </w:tc>
        <w:tc>
          <w:tcPr>
            <w:tcW w:w="1017" w:type="dxa"/>
            <w:vMerge w:val="restart"/>
            <w:tcBorders>
              <w:top w:val="nil"/>
              <w:left w:val="nil"/>
              <w:bottom w:val="nil"/>
              <w:right w:val="nil"/>
            </w:tcBorders>
            <w:shd w:val="clear" w:color="000000" w:fill="BFBFBF"/>
            <w:vAlign w:val="center"/>
            <w:hideMark/>
          </w:tcPr>
          <w:p w14:paraId="4462AF2B" w14:textId="77777777" w:rsidR="000D5D8D" w:rsidRDefault="000D5D8D" w:rsidP="007A5A77">
            <w:pPr>
              <w:spacing w:after="0" w:line="240" w:lineRule="auto"/>
              <w:jc w:val="center"/>
              <w:rPr>
                <w:rFonts w:eastAsia="Times New Roman" w:cs="Times New Roman"/>
                <w:b/>
                <w:bCs/>
                <w:color w:val="000000"/>
                <w:sz w:val="20"/>
                <w:szCs w:val="20"/>
                <w:lang w:eastAsia="sk-SK"/>
              </w:rPr>
            </w:pPr>
            <w:r w:rsidRPr="00944CEF">
              <w:rPr>
                <w:rFonts w:eastAsia="Times New Roman" w:cs="Times New Roman"/>
                <w:b/>
                <w:bCs/>
                <w:color w:val="000000"/>
                <w:sz w:val="20"/>
                <w:szCs w:val="20"/>
                <w:lang w:eastAsia="sk-SK"/>
              </w:rPr>
              <w:t>Rozdiel</w:t>
            </w:r>
          </w:p>
          <w:p w14:paraId="18E6DEC3" w14:textId="77777777" w:rsidR="000D5D8D" w:rsidRPr="00944CEF" w:rsidRDefault="000D5D8D" w:rsidP="007A5A77">
            <w:pPr>
              <w:spacing w:after="0" w:line="240" w:lineRule="auto"/>
              <w:jc w:val="center"/>
              <w:rPr>
                <w:rFonts w:eastAsia="Times New Roman" w:cs="Times New Roman"/>
                <w:b/>
                <w:bCs/>
                <w:color w:val="000000"/>
                <w:sz w:val="20"/>
                <w:szCs w:val="20"/>
                <w:lang w:eastAsia="sk-SK"/>
              </w:rPr>
            </w:pPr>
            <w:r w:rsidRPr="00944CEF">
              <w:rPr>
                <w:rFonts w:eastAsia="Times New Roman" w:cs="Times New Roman"/>
                <w:b/>
                <w:bCs/>
                <w:color w:val="000000"/>
                <w:sz w:val="20"/>
                <w:szCs w:val="20"/>
                <w:lang w:eastAsia="sk-SK"/>
              </w:rPr>
              <w:t>(%</w:t>
            </w:r>
            <w:r>
              <w:rPr>
                <w:rFonts w:eastAsia="Times New Roman" w:cs="Times New Roman"/>
                <w:b/>
                <w:bCs/>
                <w:color w:val="000000"/>
                <w:sz w:val="20"/>
                <w:szCs w:val="20"/>
                <w:lang w:eastAsia="sk-SK"/>
              </w:rPr>
              <w:t> </w:t>
            </w:r>
            <w:r w:rsidRPr="00944CEF">
              <w:rPr>
                <w:rFonts w:eastAsia="Times New Roman" w:cs="Times New Roman"/>
                <w:b/>
                <w:bCs/>
                <w:color w:val="000000"/>
                <w:sz w:val="20"/>
                <w:szCs w:val="20"/>
                <w:lang w:eastAsia="sk-SK"/>
              </w:rPr>
              <w:t>HDP)</w:t>
            </w:r>
          </w:p>
        </w:tc>
      </w:tr>
      <w:tr w:rsidR="000D5D8D" w:rsidRPr="00944CEF" w14:paraId="308A05C4" w14:textId="77777777" w:rsidTr="00DC2846">
        <w:trPr>
          <w:trHeight w:val="317"/>
        </w:trPr>
        <w:tc>
          <w:tcPr>
            <w:tcW w:w="6521" w:type="dxa"/>
            <w:tcBorders>
              <w:top w:val="nil"/>
              <w:left w:val="nil"/>
              <w:bottom w:val="nil"/>
              <w:right w:val="nil"/>
            </w:tcBorders>
            <w:shd w:val="clear" w:color="000000" w:fill="BFBFBF"/>
            <w:noWrap/>
            <w:vAlign w:val="center"/>
            <w:hideMark/>
          </w:tcPr>
          <w:p w14:paraId="5679FD15" w14:textId="77777777" w:rsidR="000D5D8D" w:rsidRPr="00944CEF" w:rsidRDefault="000D5D8D" w:rsidP="007A5A77">
            <w:pPr>
              <w:spacing w:after="0" w:line="240" w:lineRule="auto"/>
              <w:jc w:val="left"/>
              <w:rPr>
                <w:rFonts w:eastAsia="Times New Roman" w:cs="Times New Roman"/>
                <w:b/>
                <w:bCs/>
                <w:color w:val="000000"/>
                <w:sz w:val="20"/>
                <w:szCs w:val="20"/>
                <w:lang w:eastAsia="sk-SK"/>
              </w:rPr>
            </w:pPr>
            <w:r w:rsidRPr="00944CEF">
              <w:rPr>
                <w:rFonts w:eastAsia="Times New Roman" w:cs="Times New Roman"/>
                <w:b/>
                <w:bCs/>
                <w:color w:val="000000"/>
                <w:sz w:val="20"/>
                <w:szCs w:val="20"/>
                <w:lang w:eastAsia="sk-SK"/>
              </w:rPr>
              <w:t> </w:t>
            </w:r>
          </w:p>
        </w:tc>
        <w:tc>
          <w:tcPr>
            <w:tcW w:w="992" w:type="dxa"/>
            <w:tcBorders>
              <w:top w:val="nil"/>
              <w:left w:val="nil"/>
              <w:bottom w:val="nil"/>
              <w:right w:val="nil"/>
            </w:tcBorders>
            <w:shd w:val="clear" w:color="000000" w:fill="BFBFBF"/>
            <w:noWrap/>
            <w:vAlign w:val="center"/>
            <w:hideMark/>
          </w:tcPr>
          <w:p w14:paraId="20EF04CB" w14:textId="77777777" w:rsidR="000D5D8D" w:rsidRPr="00944CEF" w:rsidRDefault="000D5D8D" w:rsidP="007A5A77">
            <w:pPr>
              <w:spacing w:after="0" w:line="240" w:lineRule="auto"/>
              <w:jc w:val="center"/>
              <w:rPr>
                <w:rFonts w:eastAsia="Times New Roman" w:cs="Times New Roman"/>
                <w:b/>
                <w:bCs/>
                <w:color w:val="000000"/>
                <w:sz w:val="20"/>
                <w:szCs w:val="20"/>
                <w:lang w:eastAsia="sk-SK"/>
              </w:rPr>
            </w:pPr>
            <w:r w:rsidRPr="00944CEF">
              <w:rPr>
                <w:rFonts w:eastAsia="Times New Roman" w:cs="Times New Roman"/>
                <w:b/>
                <w:bCs/>
                <w:color w:val="000000"/>
                <w:sz w:val="20"/>
                <w:szCs w:val="20"/>
                <w:lang w:eastAsia="sk-SK"/>
              </w:rPr>
              <w:t>(S - R)</w:t>
            </w:r>
          </w:p>
        </w:tc>
        <w:tc>
          <w:tcPr>
            <w:tcW w:w="1017" w:type="dxa"/>
            <w:vMerge/>
            <w:tcBorders>
              <w:top w:val="nil"/>
              <w:left w:val="nil"/>
              <w:bottom w:val="nil"/>
              <w:right w:val="nil"/>
            </w:tcBorders>
            <w:vAlign w:val="center"/>
            <w:hideMark/>
          </w:tcPr>
          <w:p w14:paraId="0C97A462" w14:textId="77777777" w:rsidR="000D5D8D" w:rsidRPr="00944CEF" w:rsidRDefault="000D5D8D" w:rsidP="007A5A77">
            <w:pPr>
              <w:spacing w:after="0" w:line="240" w:lineRule="auto"/>
              <w:jc w:val="left"/>
              <w:rPr>
                <w:rFonts w:eastAsia="Times New Roman" w:cs="Times New Roman"/>
                <w:b/>
                <w:bCs/>
                <w:color w:val="000000"/>
                <w:sz w:val="20"/>
                <w:szCs w:val="20"/>
                <w:lang w:eastAsia="sk-SK"/>
              </w:rPr>
            </w:pPr>
          </w:p>
        </w:tc>
      </w:tr>
      <w:tr w:rsidR="00614751" w:rsidRPr="00944CEF" w14:paraId="1FA0B7C9" w14:textId="77777777" w:rsidTr="00DC2846">
        <w:trPr>
          <w:trHeight w:val="317"/>
        </w:trPr>
        <w:tc>
          <w:tcPr>
            <w:tcW w:w="6521" w:type="dxa"/>
            <w:tcBorders>
              <w:top w:val="nil"/>
              <w:left w:val="nil"/>
              <w:bottom w:val="nil"/>
              <w:right w:val="nil"/>
            </w:tcBorders>
            <w:shd w:val="clear" w:color="auto" w:fill="auto"/>
            <w:noWrap/>
            <w:vAlign w:val="center"/>
            <w:hideMark/>
          </w:tcPr>
          <w:p w14:paraId="4D170B61" w14:textId="27002AAC" w:rsidR="00614751" w:rsidRPr="00944CEF" w:rsidRDefault="00614751" w:rsidP="00664B74">
            <w:pPr>
              <w:spacing w:after="0" w:line="240" w:lineRule="auto"/>
              <w:ind w:firstLineChars="300" w:firstLine="600"/>
              <w:jc w:val="left"/>
              <w:rPr>
                <w:rFonts w:eastAsia="Times New Roman" w:cs="Times New Roman"/>
                <w:color w:val="000000"/>
                <w:sz w:val="20"/>
                <w:szCs w:val="20"/>
                <w:lang w:eastAsia="sk-SK"/>
              </w:rPr>
            </w:pPr>
            <w:r w:rsidRPr="00944CEF">
              <w:rPr>
                <w:rFonts w:eastAsia="Times New Roman" w:cs="Times New Roman"/>
                <w:color w:val="000000"/>
                <w:sz w:val="20"/>
                <w:szCs w:val="20"/>
                <w:lang w:eastAsia="sk-SK"/>
              </w:rPr>
              <w:t xml:space="preserve"> - štátne fondy bez vplyvu príjmov z emisných kvót</w:t>
            </w:r>
          </w:p>
        </w:tc>
        <w:tc>
          <w:tcPr>
            <w:tcW w:w="992" w:type="dxa"/>
            <w:tcBorders>
              <w:top w:val="nil"/>
              <w:left w:val="nil"/>
              <w:bottom w:val="nil"/>
              <w:right w:val="nil"/>
            </w:tcBorders>
            <w:shd w:val="clear" w:color="auto" w:fill="auto"/>
            <w:noWrap/>
            <w:vAlign w:val="center"/>
            <w:hideMark/>
          </w:tcPr>
          <w:p w14:paraId="081C6AD9"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-164 797</w:t>
            </w:r>
          </w:p>
        </w:tc>
        <w:tc>
          <w:tcPr>
            <w:tcW w:w="1017" w:type="dxa"/>
            <w:tcBorders>
              <w:top w:val="nil"/>
              <w:left w:val="nil"/>
              <w:bottom w:val="nil"/>
              <w:right w:val="nil"/>
            </w:tcBorders>
            <w:shd w:val="clear" w:color="auto" w:fill="auto"/>
            <w:noWrap/>
            <w:vAlign w:val="center"/>
            <w:hideMark/>
          </w:tcPr>
          <w:p w14:paraId="453BBBCE"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-0,18</w:t>
            </w:r>
          </w:p>
        </w:tc>
      </w:tr>
      <w:tr w:rsidR="00614751" w:rsidRPr="00944CEF" w14:paraId="2B28AE46" w14:textId="77777777" w:rsidTr="00DC2846">
        <w:trPr>
          <w:trHeight w:val="317"/>
        </w:trPr>
        <w:tc>
          <w:tcPr>
            <w:tcW w:w="6521" w:type="dxa"/>
            <w:tcBorders>
              <w:top w:val="nil"/>
              <w:left w:val="nil"/>
              <w:bottom w:val="nil"/>
              <w:right w:val="nil"/>
            </w:tcBorders>
            <w:shd w:val="clear" w:color="auto" w:fill="auto"/>
            <w:noWrap/>
            <w:vAlign w:val="center"/>
            <w:hideMark/>
          </w:tcPr>
          <w:p w14:paraId="73B76DB6" w14:textId="04C13815" w:rsidR="00614751" w:rsidRPr="00944CEF" w:rsidRDefault="00614751" w:rsidP="00664B74">
            <w:pPr>
              <w:spacing w:after="0" w:line="240" w:lineRule="auto"/>
              <w:ind w:firstLineChars="300" w:firstLine="600"/>
              <w:jc w:val="left"/>
              <w:rPr>
                <w:rFonts w:eastAsia="Times New Roman" w:cs="Times New Roman"/>
                <w:color w:val="000000"/>
                <w:sz w:val="20"/>
                <w:szCs w:val="20"/>
                <w:lang w:eastAsia="sk-SK"/>
              </w:rPr>
            </w:pPr>
            <w:r>
              <w:rPr>
                <w:rFonts w:eastAsia="Times New Roman" w:cs="Times New Roman"/>
                <w:color w:val="000000"/>
                <w:sz w:val="20"/>
                <w:szCs w:val="20"/>
                <w:lang w:eastAsia="sk-SK"/>
              </w:rPr>
              <w:t xml:space="preserve"> </w:t>
            </w:r>
            <w:r w:rsidRPr="00944CEF">
              <w:rPr>
                <w:rFonts w:eastAsia="Times New Roman" w:cs="Times New Roman"/>
                <w:color w:val="000000"/>
                <w:sz w:val="20"/>
                <w:szCs w:val="20"/>
                <w:lang w:eastAsia="sk-SK"/>
              </w:rPr>
              <w:t>- Slovenský pozemkový fond</w:t>
            </w:r>
          </w:p>
        </w:tc>
        <w:tc>
          <w:tcPr>
            <w:tcW w:w="992" w:type="dxa"/>
            <w:tcBorders>
              <w:top w:val="nil"/>
              <w:left w:val="nil"/>
              <w:bottom w:val="nil"/>
              <w:right w:val="nil"/>
            </w:tcBorders>
            <w:shd w:val="clear" w:color="auto" w:fill="auto"/>
            <w:noWrap/>
            <w:vAlign w:val="center"/>
            <w:hideMark/>
          </w:tcPr>
          <w:p w14:paraId="5EF8DB32"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11 414</w:t>
            </w:r>
          </w:p>
        </w:tc>
        <w:tc>
          <w:tcPr>
            <w:tcW w:w="1017" w:type="dxa"/>
            <w:tcBorders>
              <w:top w:val="nil"/>
              <w:left w:val="nil"/>
              <w:bottom w:val="nil"/>
              <w:right w:val="nil"/>
            </w:tcBorders>
            <w:shd w:val="clear" w:color="auto" w:fill="auto"/>
            <w:noWrap/>
            <w:vAlign w:val="center"/>
            <w:hideMark/>
          </w:tcPr>
          <w:p w14:paraId="0BFE0594"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0,01</w:t>
            </w:r>
          </w:p>
        </w:tc>
      </w:tr>
      <w:tr w:rsidR="00614751" w:rsidRPr="00944CEF" w14:paraId="13B82EC3" w14:textId="77777777" w:rsidTr="00DC2846">
        <w:trPr>
          <w:trHeight w:val="317"/>
        </w:trPr>
        <w:tc>
          <w:tcPr>
            <w:tcW w:w="6521" w:type="dxa"/>
            <w:tcBorders>
              <w:top w:val="nil"/>
              <w:left w:val="nil"/>
              <w:bottom w:val="nil"/>
              <w:right w:val="nil"/>
            </w:tcBorders>
            <w:shd w:val="clear" w:color="auto" w:fill="auto"/>
            <w:noWrap/>
            <w:vAlign w:val="center"/>
            <w:hideMark/>
          </w:tcPr>
          <w:p w14:paraId="52B26D0C" w14:textId="5F8D8945" w:rsidR="00614751" w:rsidRPr="00944CEF" w:rsidRDefault="00614751" w:rsidP="00664B74">
            <w:pPr>
              <w:spacing w:after="0" w:line="240" w:lineRule="auto"/>
              <w:ind w:firstLineChars="300" w:firstLine="600"/>
              <w:jc w:val="left"/>
              <w:rPr>
                <w:rFonts w:eastAsia="Times New Roman" w:cs="Times New Roman"/>
                <w:color w:val="000000"/>
                <w:sz w:val="20"/>
                <w:szCs w:val="20"/>
                <w:lang w:eastAsia="sk-SK"/>
              </w:rPr>
            </w:pPr>
            <w:r w:rsidRPr="00944CEF">
              <w:rPr>
                <w:rFonts w:eastAsia="Times New Roman" w:cs="Times New Roman"/>
                <w:color w:val="000000"/>
                <w:sz w:val="20"/>
                <w:szCs w:val="20"/>
                <w:lang w:eastAsia="sk-SK"/>
              </w:rPr>
              <w:t xml:space="preserve"> - ostatné subjekty ústrednej správy</w:t>
            </w:r>
          </w:p>
        </w:tc>
        <w:tc>
          <w:tcPr>
            <w:tcW w:w="992" w:type="dxa"/>
            <w:tcBorders>
              <w:top w:val="nil"/>
              <w:left w:val="nil"/>
              <w:bottom w:val="nil"/>
              <w:right w:val="nil"/>
            </w:tcBorders>
            <w:shd w:val="clear" w:color="auto" w:fill="auto"/>
            <w:noWrap/>
            <w:vAlign w:val="center"/>
            <w:hideMark/>
          </w:tcPr>
          <w:p w14:paraId="220E595A"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29 074</w:t>
            </w:r>
          </w:p>
        </w:tc>
        <w:tc>
          <w:tcPr>
            <w:tcW w:w="1017" w:type="dxa"/>
            <w:tcBorders>
              <w:top w:val="nil"/>
              <w:left w:val="nil"/>
              <w:bottom w:val="nil"/>
              <w:right w:val="nil"/>
            </w:tcBorders>
            <w:shd w:val="clear" w:color="auto" w:fill="auto"/>
            <w:noWrap/>
            <w:vAlign w:val="center"/>
            <w:hideMark/>
          </w:tcPr>
          <w:p w14:paraId="1B868C11"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0,03</w:t>
            </w:r>
          </w:p>
        </w:tc>
      </w:tr>
      <w:tr w:rsidR="00614751" w:rsidRPr="00944CEF" w14:paraId="57599A35" w14:textId="77777777" w:rsidTr="00DC2846">
        <w:trPr>
          <w:trHeight w:val="317"/>
        </w:trPr>
        <w:tc>
          <w:tcPr>
            <w:tcW w:w="6521" w:type="dxa"/>
            <w:tcBorders>
              <w:top w:val="nil"/>
              <w:left w:val="nil"/>
              <w:bottom w:val="nil"/>
              <w:right w:val="nil"/>
            </w:tcBorders>
            <w:shd w:val="clear" w:color="auto" w:fill="auto"/>
            <w:noWrap/>
            <w:vAlign w:val="center"/>
            <w:hideMark/>
          </w:tcPr>
          <w:p w14:paraId="27A4D4CB" w14:textId="79843FEB" w:rsidR="00614751" w:rsidRDefault="00614751" w:rsidP="004A5585">
            <w:pPr>
              <w:spacing w:after="0" w:line="240" w:lineRule="auto"/>
              <w:ind w:firstLineChars="200" w:firstLine="400"/>
              <w:jc w:val="left"/>
              <w:rPr>
                <w:rFonts w:eastAsia="Times New Roman" w:cs="Times New Roman"/>
                <w:color w:val="000000"/>
                <w:sz w:val="20"/>
                <w:szCs w:val="20"/>
                <w:lang w:eastAsia="sk-SK"/>
              </w:rPr>
            </w:pPr>
            <w:r>
              <w:rPr>
                <w:rFonts w:eastAsia="Times New Roman" w:cs="Times New Roman"/>
                <w:color w:val="000000"/>
                <w:sz w:val="20"/>
                <w:szCs w:val="20"/>
                <w:lang w:eastAsia="sk-SK"/>
              </w:rPr>
              <w:t>9</w:t>
            </w:r>
            <w:r w:rsidRPr="00944CEF">
              <w:rPr>
                <w:rFonts w:eastAsia="Times New Roman" w:cs="Times New Roman"/>
                <w:color w:val="000000"/>
                <w:sz w:val="20"/>
                <w:szCs w:val="20"/>
                <w:lang w:eastAsia="sk-SK"/>
              </w:rPr>
              <w:t>. Rozdiel v hospodárení územnej samosprávy bez daňových príjmov</w:t>
            </w:r>
            <w:r w:rsidR="008E2E44">
              <w:rPr>
                <w:rFonts w:eastAsia="Times New Roman" w:cs="Times New Roman"/>
                <w:color w:val="000000"/>
                <w:sz w:val="20"/>
                <w:szCs w:val="20"/>
                <w:lang w:eastAsia="sk-SK"/>
              </w:rPr>
              <w:t xml:space="preserve">, </w:t>
            </w:r>
          </w:p>
          <w:p w14:paraId="1BE6A65D" w14:textId="6BBE8FFE" w:rsidR="008E2E44" w:rsidRPr="00944CEF" w:rsidRDefault="008E2E44" w:rsidP="004A5585">
            <w:pPr>
              <w:spacing w:after="0" w:line="240" w:lineRule="auto"/>
              <w:ind w:firstLineChars="200" w:firstLine="400"/>
              <w:jc w:val="left"/>
              <w:rPr>
                <w:rFonts w:eastAsia="Times New Roman" w:cs="Times New Roman"/>
                <w:color w:val="000000"/>
                <w:sz w:val="20"/>
                <w:szCs w:val="20"/>
                <w:lang w:eastAsia="sk-SK"/>
              </w:rPr>
            </w:pPr>
            <w:r>
              <w:rPr>
                <w:rFonts w:eastAsia="Times New Roman" w:cs="Times New Roman"/>
                <w:color w:val="000000"/>
                <w:sz w:val="20"/>
                <w:szCs w:val="20"/>
                <w:lang w:eastAsia="sk-SK"/>
              </w:rPr>
              <w:t>z toho:</w:t>
            </w:r>
          </w:p>
        </w:tc>
        <w:tc>
          <w:tcPr>
            <w:tcW w:w="992" w:type="dxa"/>
            <w:tcBorders>
              <w:top w:val="nil"/>
              <w:left w:val="nil"/>
              <w:bottom w:val="nil"/>
              <w:right w:val="nil"/>
            </w:tcBorders>
            <w:shd w:val="clear" w:color="auto" w:fill="auto"/>
            <w:noWrap/>
            <w:vAlign w:val="center"/>
            <w:hideMark/>
          </w:tcPr>
          <w:p w14:paraId="7A89081C"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-145 801</w:t>
            </w:r>
          </w:p>
        </w:tc>
        <w:tc>
          <w:tcPr>
            <w:tcW w:w="1017" w:type="dxa"/>
            <w:tcBorders>
              <w:top w:val="nil"/>
              <w:left w:val="nil"/>
              <w:bottom w:val="nil"/>
              <w:right w:val="nil"/>
            </w:tcBorders>
            <w:shd w:val="clear" w:color="auto" w:fill="auto"/>
            <w:noWrap/>
            <w:vAlign w:val="center"/>
            <w:hideMark/>
          </w:tcPr>
          <w:p w14:paraId="76092190"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-0,16</w:t>
            </w:r>
          </w:p>
        </w:tc>
      </w:tr>
      <w:tr w:rsidR="00614751" w:rsidRPr="00944CEF" w14:paraId="50AE1E78" w14:textId="77777777" w:rsidTr="00DC2846">
        <w:trPr>
          <w:trHeight w:val="317"/>
        </w:trPr>
        <w:tc>
          <w:tcPr>
            <w:tcW w:w="6521" w:type="dxa"/>
            <w:tcBorders>
              <w:top w:val="nil"/>
              <w:left w:val="nil"/>
              <w:bottom w:val="nil"/>
              <w:right w:val="nil"/>
            </w:tcBorders>
            <w:shd w:val="clear" w:color="auto" w:fill="auto"/>
            <w:noWrap/>
            <w:vAlign w:val="center"/>
            <w:hideMark/>
          </w:tcPr>
          <w:p w14:paraId="237DB7B3" w14:textId="53CCA780" w:rsidR="00614751" w:rsidRPr="00944CEF" w:rsidRDefault="00614751" w:rsidP="008E2E44">
            <w:pPr>
              <w:spacing w:after="0" w:line="240" w:lineRule="auto"/>
              <w:ind w:firstLineChars="300" w:firstLine="600"/>
              <w:jc w:val="left"/>
              <w:rPr>
                <w:rFonts w:eastAsia="Times New Roman" w:cs="Times New Roman"/>
                <w:color w:val="000000"/>
                <w:sz w:val="20"/>
                <w:szCs w:val="20"/>
                <w:lang w:eastAsia="sk-SK"/>
              </w:rPr>
            </w:pPr>
            <w:r>
              <w:rPr>
                <w:rFonts w:eastAsia="Times New Roman" w:cs="Times New Roman"/>
                <w:color w:val="000000"/>
                <w:sz w:val="20"/>
                <w:szCs w:val="20"/>
                <w:lang w:eastAsia="sk-SK"/>
              </w:rPr>
              <w:t xml:space="preserve"> </w:t>
            </w:r>
            <w:r w:rsidRPr="00944CEF">
              <w:rPr>
                <w:rFonts w:eastAsia="Times New Roman" w:cs="Times New Roman"/>
                <w:color w:val="000000"/>
                <w:sz w:val="20"/>
                <w:szCs w:val="20"/>
                <w:lang w:eastAsia="sk-SK"/>
              </w:rPr>
              <w:t>- obce</w:t>
            </w:r>
          </w:p>
        </w:tc>
        <w:tc>
          <w:tcPr>
            <w:tcW w:w="992" w:type="dxa"/>
            <w:tcBorders>
              <w:top w:val="nil"/>
              <w:left w:val="nil"/>
              <w:bottom w:val="nil"/>
              <w:right w:val="nil"/>
            </w:tcBorders>
            <w:shd w:val="clear" w:color="auto" w:fill="auto"/>
            <w:noWrap/>
            <w:vAlign w:val="center"/>
            <w:hideMark/>
          </w:tcPr>
          <w:p w14:paraId="28FD1CB4"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-180 793</w:t>
            </w:r>
          </w:p>
        </w:tc>
        <w:tc>
          <w:tcPr>
            <w:tcW w:w="1017" w:type="dxa"/>
            <w:tcBorders>
              <w:top w:val="nil"/>
              <w:left w:val="nil"/>
              <w:bottom w:val="nil"/>
              <w:right w:val="nil"/>
            </w:tcBorders>
            <w:shd w:val="clear" w:color="auto" w:fill="auto"/>
            <w:noWrap/>
            <w:vAlign w:val="center"/>
            <w:hideMark/>
          </w:tcPr>
          <w:p w14:paraId="1142F498"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-0,20</w:t>
            </w:r>
          </w:p>
        </w:tc>
      </w:tr>
      <w:tr w:rsidR="00614751" w:rsidRPr="00944CEF" w14:paraId="583275E9" w14:textId="77777777" w:rsidTr="00DC2846">
        <w:trPr>
          <w:trHeight w:val="317"/>
        </w:trPr>
        <w:tc>
          <w:tcPr>
            <w:tcW w:w="6521" w:type="dxa"/>
            <w:tcBorders>
              <w:top w:val="nil"/>
              <w:left w:val="nil"/>
              <w:bottom w:val="nil"/>
              <w:right w:val="nil"/>
            </w:tcBorders>
            <w:shd w:val="clear" w:color="auto" w:fill="auto"/>
            <w:noWrap/>
            <w:vAlign w:val="center"/>
            <w:hideMark/>
          </w:tcPr>
          <w:p w14:paraId="42D3C4B9" w14:textId="51CD843E" w:rsidR="00614751" w:rsidRPr="00944CEF" w:rsidRDefault="00614751" w:rsidP="008E2E44">
            <w:pPr>
              <w:spacing w:after="0" w:line="240" w:lineRule="auto"/>
              <w:ind w:firstLineChars="300" w:firstLine="600"/>
              <w:jc w:val="left"/>
              <w:rPr>
                <w:rFonts w:eastAsia="Times New Roman" w:cs="Times New Roman"/>
                <w:color w:val="000000"/>
                <w:sz w:val="20"/>
                <w:szCs w:val="20"/>
                <w:lang w:eastAsia="sk-SK"/>
              </w:rPr>
            </w:pPr>
            <w:r>
              <w:rPr>
                <w:rFonts w:eastAsia="Times New Roman" w:cs="Times New Roman"/>
                <w:color w:val="000000"/>
                <w:sz w:val="20"/>
                <w:szCs w:val="20"/>
                <w:lang w:eastAsia="sk-SK"/>
              </w:rPr>
              <w:t xml:space="preserve"> </w:t>
            </w:r>
            <w:r w:rsidRPr="00944CEF">
              <w:rPr>
                <w:rFonts w:eastAsia="Times New Roman" w:cs="Times New Roman"/>
                <w:color w:val="000000"/>
                <w:sz w:val="20"/>
                <w:szCs w:val="20"/>
                <w:lang w:eastAsia="sk-SK"/>
              </w:rPr>
              <w:t>- VUC</w:t>
            </w:r>
          </w:p>
        </w:tc>
        <w:tc>
          <w:tcPr>
            <w:tcW w:w="992" w:type="dxa"/>
            <w:tcBorders>
              <w:top w:val="nil"/>
              <w:left w:val="nil"/>
              <w:bottom w:val="nil"/>
              <w:right w:val="nil"/>
            </w:tcBorders>
            <w:shd w:val="clear" w:color="auto" w:fill="auto"/>
            <w:noWrap/>
            <w:vAlign w:val="center"/>
            <w:hideMark/>
          </w:tcPr>
          <w:p w14:paraId="512ED2F5"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15 175</w:t>
            </w:r>
          </w:p>
        </w:tc>
        <w:tc>
          <w:tcPr>
            <w:tcW w:w="1017" w:type="dxa"/>
            <w:tcBorders>
              <w:top w:val="nil"/>
              <w:left w:val="nil"/>
              <w:bottom w:val="nil"/>
              <w:right w:val="nil"/>
            </w:tcBorders>
            <w:shd w:val="clear" w:color="auto" w:fill="auto"/>
            <w:noWrap/>
            <w:vAlign w:val="center"/>
            <w:hideMark/>
          </w:tcPr>
          <w:p w14:paraId="0C5FF479"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0,02</w:t>
            </w:r>
          </w:p>
        </w:tc>
      </w:tr>
      <w:tr w:rsidR="00614751" w:rsidRPr="00944CEF" w14:paraId="063D90FB" w14:textId="77777777" w:rsidTr="00DC2846">
        <w:trPr>
          <w:trHeight w:val="317"/>
        </w:trPr>
        <w:tc>
          <w:tcPr>
            <w:tcW w:w="6521" w:type="dxa"/>
            <w:tcBorders>
              <w:top w:val="nil"/>
              <w:left w:val="nil"/>
              <w:bottom w:val="nil"/>
              <w:right w:val="nil"/>
            </w:tcBorders>
            <w:shd w:val="clear" w:color="auto" w:fill="auto"/>
            <w:noWrap/>
            <w:vAlign w:val="center"/>
            <w:hideMark/>
          </w:tcPr>
          <w:p w14:paraId="22E24F14" w14:textId="5063B3BF" w:rsidR="00614751" w:rsidRPr="00944CEF" w:rsidRDefault="00614751" w:rsidP="008E2E44">
            <w:pPr>
              <w:spacing w:after="0" w:line="240" w:lineRule="auto"/>
              <w:ind w:firstLineChars="300" w:firstLine="600"/>
              <w:jc w:val="left"/>
              <w:rPr>
                <w:rFonts w:eastAsia="Times New Roman" w:cs="Times New Roman"/>
                <w:color w:val="000000"/>
                <w:sz w:val="20"/>
                <w:szCs w:val="20"/>
                <w:lang w:eastAsia="sk-SK"/>
              </w:rPr>
            </w:pPr>
            <w:r w:rsidRPr="00944CEF">
              <w:rPr>
                <w:rFonts w:eastAsia="Times New Roman" w:cs="Times New Roman"/>
                <w:color w:val="000000"/>
                <w:sz w:val="20"/>
                <w:szCs w:val="20"/>
                <w:lang w:eastAsia="sk-SK"/>
              </w:rPr>
              <w:t xml:space="preserve"> - dopravné podniky</w:t>
            </w:r>
          </w:p>
        </w:tc>
        <w:tc>
          <w:tcPr>
            <w:tcW w:w="992" w:type="dxa"/>
            <w:tcBorders>
              <w:top w:val="nil"/>
              <w:left w:val="nil"/>
              <w:bottom w:val="nil"/>
              <w:right w:val="nil"/>
            </w:tcBorders>
            <w:shd w:val="clear" w:color="auto" w:fill="auto"/>
            <w:noWrap/>
            <w:vAlign w:val="center"/>
            <w:hideMark/>
          </w:tcPr>
          <w:p w14:paraId="5F00672A"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-4 472</w:t>
            </w:r>
          </w:p>
        </w:tc>
        <w:tc>
          <w:tcPr>
            <w:tcW w:w="1017" w:type="dxa"/>
            <w:tcBorders>
              <w:top w:val="nil"/>
              <w:left w:val="nil"/>
              <w:bottom w:val="nil"/>
              <w:right w:val="nil"/>
            </w:tcBorders>
            <w:shd w:val="clear" w:color="auto" w:fill="auto"/>
            <w:noWrap/>
            <w:vAlign w:val="center"/>
            <w:hideMark/>
          </w:tcPr>
          <w:p w14:paraId="2D82993D"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0,00</w:t>
            </w:r>
          </w:p>
        </w:tc>
      </w:tr>
      <w:tr w:rsidR="00614751" w:rsidRPr="00944CEF" w14:paraId="2BC7B1BD" w14:textId="77777777" w:rsidTr="00DC2846">
        <w:trPr>
          <w:trHeight w:val="317"/>
        </w:trPr>
        <w:tc>
          <w:tcPr>
            <w:tcW w:w="6521" w:type="dxa"/>
            <w:tcBorders>
              <w:top w:val="nil"/>
              <w:left w:val="nil"/>
              <w:bottom w:val="nil"/>
              <w:right w:val="nil"/>
            </w:tcBorders>
            <w:shd w:val="clear" w:color="auto" w:fill="auto"/>
            <w:noWrap/>
            <w:vAlign w:val="center"/>
            <w:hideMark/>
          </w:tcPr>
          <w:p w14:paraId="02EF9C2B" w14:textId="71F35AE9" w:rsidR="00614751" w:rsidRPr="00944CEF" w:rsidRDefault="00614751" w:rsidP="008E2E44">
            <w:pPr>
              <w:spacing w:after="0" w:line="240" w:lineRule="auto"/>
              <w:ind w:firstLineChars="300" w:firstLine="600"/>
              <w:jc w:val="left"/>
              <w:rPr>
                <w:rFonts w:eastAsia="Times New Roman" w:cs="Times New Roman"/>
                <w:color w:val="000000"/>
                <w:sz w:val="20"/>
                <w:szCs w:val="20"/>
                <w:lang w:eastAsia="sk-SK"/>
              </w:rPr>
            </w:pPr>
            <w:r w:rsidRPr="00944CEF">
              <w:rPr>
                <w:rFonts w:eastAsia="Times New Roman" w:cs="Times New Roman"/>
                <w:color w:val="000000"/>
                <w:sz w:val="20"/>
                <w:szCs w:val="20"/>
                <w:lang w:eastAsia="sk-SK"/>
              </w:rPr>
              <w:t xml:space="preserve"> - príspevkové organizácie obcí a VUC</w:t>
            </w:r>
          </w:p>
        </w:tc>
        <w:tc>
          <w:tcPr>
            <w:tcW w:w="992" w:type="dxa"/>
            <w:tcBorders>
              <w:top w:val="nil"/>
              <w:left w:val="nil"/>
              <w:bottom w:val="nil"/>
              <w:right w:val="nil"/>
            </w:tcBorders>
            <w:shd w:val="clear" w:color="auto" w:fill="auto"/>
            <w:noWrap/>
            <w:vAlign w:val="center"/>
            <w:hideMark/>
          </w:tcPr>
          <w:p w14:paraId="3D46CCD4"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4 365</w:t>
            </w:r>
          </w:p>
        </w:tc>
        <w:tc>
          <w:tcPr>
            <w:tcW w:w="1017" w:type="dxa"/>
            <w:tcBorders>
              <w:top w:val="nil"/>
              <w:left w:val="nil"/>
              <w:bottom w:val="nil"/>
              <w:right w:val="nil"/>
            </w:tcBorders>
            <w:shd w:val="clear" w:color="auto" w:fill="auto"/>
            <w:noWrap/>
            <w:vAlign w:val="center"/>
            <w:hideMark/>
          </w:tcPr>
          <w:p w14:paraId="602CA520"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0,00</w:t>
            </w:r>
          </w:p>
        </w:tc>
      </w:tr>
      <w:tr w:rsidR="00614751" w:rsidRPr="00944CEF" w14:paraId="4AE2412A" w14:textId="77777777" w:rsidTr="00DC2846">
        <w:trPr>
          <w:trHeight w:val="317"/>
        </w:trPr>
        <w:tc>
          <w:tcPr>
            <w:tcW w:w="6521" w:type="dxa"/>
            <w:tcBorders>
              <w:top w:val="nil"/>
              <w:left w:val="nil"/>
              <w:bottom w:val="nil"/>
              <w:right w:val="nil"/>
            </w:tcBorders>
            <w:shd w:val="clear" w:color="auto" w:fill="auto"/>
            <w:noWrap/>
            <w:vAlign w:val="center"/>
            <w:hideMark/>
          </w:tcPr>
          <w:p w14:paraId="26FA75D4" w14:textId="24D23649" w:rsidR="00614751" w:rsidRPr="00944CEF" w:rsidRDefault="00614751" w:rsidP="008E2E44">
            <w:pPr>
              <w:spacing w:after="0" w:line="240" w:lineRule="auto"/>
              <w:ind w:firstLineChars="300" w:firstLine="600"/>
              <w:jc w:val="left"/>
              <w:rPr>
                <w:rFonts w:eastAsia="Times New Roman" w:cs="Times New Roman"/>
                <w:color w:val="000000"/>
                <w:sz w:val="20"/>
                <w:szCs w:val="20"/>
                <w:lang w:eastAsia="sk-SK"/>
              </w:rPr>
            </w:pPr>
            <w:r w:rsidRPr="00944CEF">
              <w:rPr>
                <w:rFonts w:eastAsia="Times New Roman" w:cs="Times New Roman"/>
                <w:color w:val="000000"/>
                <w:sz w:val="20"/>
                <w:szCs w:val="20"/>
                <w:lang w:eastAsia="sk-SK"/>
              </w:rPr>
              <w:t xml:space="preserve"> - zdravotnícke zariadenia miestne</w:t>
            </w:r>
          </w:p>
        </w:tc>
        <w:tc>
          <w:tcPr>
            <w:tcW w:w="992" w:type="dxa"/>
            <w:tcBorders>
              <w:top w:val="nil"/>
              <w:left w:val="nil"/>
              <w:bottom w:val="nil"/>
              <w:right w:val="nil"/>
            </w:tcBorders>
            <w:shd w:val="clear" w:color="auto" w:fill="auto"/>
            <w:noWrap/>
            <w:vAlign w:val="center"/>
            <w:hideMark/>
          </w:tcPr>
          <w:p w14:paraId="71871B82"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12 582</w:t>
            </w:r>
          </w:p>
        </w:tc>
        <w:tc>
          <w:tcPr>
            <w:tcW w:w="1017" w:type="dxa"/>
            <w:tcBorders>
              <w:top w:val="nil"/>
              <w:left w:val="nil"/>
              <w:bottom w:val="nil"/>
              <w:right w:val="nil"/>
            </w:tcBorders>
            <w:shd w:val="clear" w:color="auto" w:fill="auto"/>
            <w:noWrap/>
            <w:vAlign w:val="center"/>
            <w:hideMark/>
          </w:tcPr>
          <w:p w14:paraId="67372DBB"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0,01</w:t>
            </w:r>
          </w:p>
        </w:tc>
      </w:tr>
      <w:tr w:rsidR="00614751" w:rsidRPr="00944CEF" w14:paraId="39FA8BAD" w14:textId="77777777" w:rsidTr="00DC2846">
        <w:trPr>
          <w:trHeight w:val="317"/>
        </w:trPr>
        <w:tc>
          <w:tcPr>
            <w:tcW w:w="6521" w:type="dxa"/>
            <w:tcBorders>
              <w:top w:val="nil"/>
              <w:left w:val="nil"/>
              <w:bottom w:val="nil"/>
              <w:right w:val="nil"/>
            </w:tcBorders>
            <w:shd w:val="clear" w:color="auto" w:fill="auto"/>
            <w:noWrap/>
            <w:vAlign w:val="center"/>
            <w:hideMark/>
          </w:tcPr>
          <w:p w14:paraId="64EAC71D" w14:textId="5CC9E184" w:rsidR="00614751" w:rsidRPr="00944CEF" w:rsidRDefault="00614751" w:rsidP="008E2E44">
            <w:pPr>
              <w:spacing w:after="0" w:line="240" w:lineRule="auto"/>
              <w:ind w:firstLineChars="300" w:firstLine="600"/>
              <w:jc w:val="left"/>
              <w:rPr>
                <w:rFonts w:eastAsia="Times New Roman" w:cs="Times New Roman"/>
                <w:color w:val="000000"/>
                <w:sz w:val="20"/>
                <w:szCs w:val="20"/>
                <w:lang w:eastAsia="sk-SK"/>
              </w:rPr>
            </w:pPr>
            <w:r w:rsidRPr="00944CEF">
              <w:rPr>
                <w:rFonts w:eastAsia="Times New Roman" w:cs="Times New Roman"/>
                <w:color w:val="000000"/>
                <w:sz w:val="20"/>
                <w:szCs w:val="20"/>
                <w:lang w:eastAsia="sk-SK"/>
              </w:rPr>
              <w:t xml:space="preserve"> - ostatné subjekty miestnej samosprávy</w:t>
            </w:r>
          </w:p>
        </w:tc>
        <w:tc>
          <w:tcPr>
            <w:tcW w:w="992" w:type="dxa"/>
            <w:tcBorders>
              <w:top w:val="nil"/>
              <w:left w:val="nil"/>
              <w:bottom w:val="nil"/>
              <w:right w:val="nil"/>
            </w:tcBorders>
            <w:shd w:val="clear" w:color="auto" w:fill="auto"/>
            <w:noWrap/>
            <w:vAlign w:val="center"/>
            <w:hideMark/>
          </w:tcPr>
          <w:p w14:paraId="1DE5A217"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7 342</w:t>
            </w:r>
          </w:p>
        </w:tc>
        <w:tc>
          <w:tcPr>
            <w:tcW w:w="1017" w:type="dxa"/>
            <w:tcBorders>
              <w:top w:val="nil"/>
              <w:left w:val="nil"/>
              <w:bottom w:val="nil"/>
              <w:right w:val="nil"/>
            </w:tcBorders>
            <w:shd w:val="clear" w:color="auto" w:fill="auto"/>
            <w:noWrap/>
            <w:vAlign w:val="center"/>
            <w:hideMark/>
          </w:tcPr>
          <w:p w14:paraId="0D881E2E" w14:textId="77777777" w:rsidR="00614751" w:rsidRPr="00944CEF" w:rsidRDefault="00614751" w:rsidP="004A5585">
            <w:pPr>
              <w:spacing w:after="0" w:line="240" w:lineRule="auto"/>
              <w:jc w:val="right"/>
              <w:rPr>
                <w:rFonts w:eastAsia="Times New Roman" w:cs="Times New Roman"/>
                <w:color w:val="000000"/>
                <w:sz w:val="20"/>
                <w:szCs w:val="20"/>
                <w:lang w:eastAsia="sk-SK"/>
              </w:rPr>
            </w:pPr>
            <w:r w:rsidRPr="00944CEF">
              <w:rPr>
                <w:rFonts w:eastAsia="Times New Roman" w:cs="Times New Roman"/>
                <w:color w:val="000000"/>
                <w:sz w:val="20"/>
                <w:szCs w:val="20"/>
                <w:lang w:eastAsia="sk-SK"/>
              </w:rPr>
              <w:t>0,01</w:t>
            </w:r>
          </w:p>
        </w:tc>
      </w:tr>
      <w:tr w:rsidR="00614751" w:rsidRPr="0004106B" w14:paraId="45B2124E" w14:textId="77777777" w:rsidTr="00DC2846">
        <w:trPr>
          <w:trHeight w:val="317"/>
        </w:trPr>
        <w:tc>
          <w:tcPr>
            <w:tcW w:w="6521" w:type="dxa"/>
            <w:tcBorders>
              <w:top w:val="nil"/>
              <w:left w:val="nil"/>
              <w:bottom w:val="single" w:sz="4" w:space="0" w:color="auto"/>
              <w:right w:val="nil"/>
            </w:tcBorders>
            <w:shd w:val="clear" w:color="auto" w:fill="auto"/>
            <w:noWrap/>
            <w:vAlign w:val="center"/>
            <w:hideMark/>
          </w:tcPr>
          <w:p w14:paraId="5BCD31D4" w14:textId="77777777" w:rsidR="00614751" w:rsidRPr="00944CEF" w:rsidRDefault="00614751" w:rsidP="004A5585">
            <w:pPr>
              <w:spacing w:after="0" w:line="240" w:lineRule="auto"/>
              <w:jc w:val="left"/>
              <w:rPr>
                <w:rFonts w:eastAsia="Times New Roman" w:cs="Times New Roman"/>
                <w:b/>
                <w:bCs/>
                <w:color w:val="000000"/>
                <w:sz w:val="20"/>
                <w:szCs w:val="20"/>
                <w:lang w:eastAsia="sk-SK"/>
              </w:rPr>
            </w:pPr>
            <w:r w:rsidRPr="00944CEF">
              <w:rPr>
                <w:rFonts w:eastAsia="Times New Roman" w:cs="Times New Roman"/>
                <w:b/>
                <w:bCs/>
                <w:color w:val="000000"/>
                <w:sz w:val="20"/>
                <w:szCs w:val="20"/>
                <w:lang w:eastAsia="sk-SK"/>
              </w:rPr>
              <w:t>2. Saldo verejnej správy - skutočnosť</w:t>
            </w:r>
          </w:p>
        </w:tc>
        <w:tc>
          <w:tcPr>
            <w:tcW w:w="992" w:type="dxa"/>
            <w:tcBorders>
              <w:top w:val="nil"/>
              <w:left w:val="nil"/>
              <w:bottom w:val="single" w:sz="4" w:space="0" w:color="auto"/>
              <w:right w:val="nil"/>
            </w:tcBorders>
            <w:shd w:val="clear" w:color="auto" w:fill="auto"/>
            <w:noWrap/>
            <w:vAlign w:val="center"/>
            <w:hideMark/>
          </w:tcPr>
          <w:p w14:paraId="69FD84E1" w14:textId="77777777" w:rsidR="00614751" w:rsidRPr="00944CEF" w:rsidRDefault="00614751" w:rsidP="004A5585">
            <w:pPr>
              <w:spacing w:after="0" w:line="240" w:lineRule="auto"/>
              <w:jc w:val="right"/>
              <w:rPr>
                <w:rFonts w:eastAsia="Times New Roman" w:cs="Times New Roman"/>
                <w:b/>
                <w:bCs/>
                <w:color w:val="000000"/>
                <w:sz w:val="20"/>
                <w:szCs w:val="20"/>
                <w:lang w:eastAsia="sk-SK"/>
              </w:rPr>
            </w:pPr>
            <w:r w:rsidRPr="00944CEF">
              <w:rPr>
                <w:rFonts w:eastAsia="Times New Roman" w:cs="Times New Roman"/>
                <w:b/>
                <w:bCs/>
                <w:color w:val="000000"/>
                <w:sz w:val="20"/>
                <w:szCs w:val="20"/>
                <w:lang w:eastAsia="sk-SK"/>
              </w:rPr>
              <w:t>-629 457</w:t>
            </w:r>
          </w:p>
        </w:tc>
        <w:tc>
          <w:tcPr>
            <w:tcW w:w="1017" w:type="dxa"/>
            <w:tcBorders>
              <w:top w:val="nil"/>
              <w:left w:val="nil"/>
              <w:bottom w:val="single" w:sz="4" w:space="0" w:color="auto"/>
              <w:right w:val="nil"/>
            </w:tcBorders>
            <w:shd w:val="clear" w:color="auto" w:fill="auto"/>
            <w:noWrap/>
            <w:vAlign w:val="center"/>
            <w:hideMark/>
          </w:tcPr>
          <w:p w14:paraId="3DDF9709" w14:textId="77777777" w:rsidR="00614751" w:rsidRPr="0004106B" w:rsidRDefault="00614751" w:rsidP="004A5585">
            <w:pPr>
              <w:spacing w:after="0" w:line="240" w:lineRule="auto"/>
              <w:jc w:val="right"/>
              <w:rPr>
                <w:rFonts w:eastAsia="Times New Roman" w:cs="Times New Roman"/>
                <w:b/>
                <w:bCs/>
                <w:color w:val="000000"/>
                <w:sz w:val="20"/>
                <w:szCs w:val="20"/>
                <w:highlight w:val="yellow"/>
                <w:lang w:eastAsia="sk-SK"/>
              </w:rPr>
            </w:pPr>
            <w:r w:rsidRPr="00B874DC">
              <w:rPr>
                <w:rFonts w:eastAsia="Times New Roman" w:cs="Times New Roman"/>
                <w:b/>
                <w:bCs/>
                <w:color w:val="000000"/>
                <w:sz w:val="20"/>
                <w:szCs w:val="20"/>
                <w:lang w:eastAsia="sk-SK"/>
              </w:rPr>
              <w:t>-0,70</w:t>
            </w:r>
          </w:p>
        </w:tc>
      </w:tr>
    </w:tbl>
    <w:p w14:paraId="160E1A05" w14:textId="0EC1FE6D" w:rsidR="00741CF5" w:rsidRPr="00741CF5" w:rsidRDefault="00741CF5" w:rsidP="00741CF5">
      <w:pPr>
        <w:spacing w:before="120"/>
        <w:rPr>
          <w:sz w:val="18"/>
          <w:szCs w:val="18"/>
        </w:rPr>
      </w:pPr>
      <w:bookmarkStart w:id="22" w:name="RANGE!B11:D62"/>
      <w:bookmarkEnd w:id="22"/>
      <w:r w:rsidRPr="00741CF5">
        <w:rPr>
          <w:rFonts w:eastAsia="Times New Roman" w:cs="Times New Roman"/>
          <w:iCs/>
          <w:color w:val="000000"/>
          <w:sz w:val="18"/>
          <w:szCs w:val="18"/>
          <w:lang w:eastAsia="sk-SK"/>
        </w:rPr>
        <w:t>Pozn.: (+) znamená pozitívny vplyv a (-) negatívny vplyv na saldo VS</w:t>
      </w:r>
      <w:r w:rsidRPr="00741CF5">
        <w:rPr>
          <w:rFonts w:eastAsia="Times New Roman" w:cs="Times New Roman"/>
          <w:sz w:val="18"/>
          <w:szCs w:val="18"/>
          <w:lang w:eastAsia="sk-SK"/>
        </w:rPr>
        <w:t xml:space="preserve"> </w:t>
      </w:r>
      <w:r>
        <w:rPr>
          <w:rFonts w:eastAsia="Times New Roman" w:cs="Times New Roman"/>
          <w:sz w:val="18"/>
          <w:szCs w:val="18"/>
          <w:lang w:eastAsia="sk-SK"/>
        </w:rPr>
        <w:tab/>
      </w:r>
      <w:r>
        <w:rPr>
          <w:rFonts w:eastAsia="Times New Roman" w:cs="Times New Roman"/>
          <w:sz w:val="18"/>
          <w:szCs w:val="18"/>
          <w:lang w:eastAsia="sk-SK"/>
        </w:rPr>
        <w:tab/>
      </w:r>
      <w:r>
        <w:rPr>
          <w:rFonts w:eastAsia="Times New Roman" w:cs="Times New Roman"/>
          <w:sz w:val="18"/>
          <w:szCs w:val="18"/>
          <w:lang w:eastAsia="sk-SK"/>
        </w:rPr>
        <w:tab/>
      </w:r>
      <w:r w:rsidR="00331568">
        <w:rPr>
          <w:rFonts w:eastAsia="Times New Roman" w:cs="Times New Roman"/>
          <w:sz w:val="18"/>
          <w:szCs w:val="18"/>
          <w:lang w:eastAsia="sk-SK"/>
        </w:rPr>
        <w:t xml:space="preserve">        </w:t>
      </w:r>
      <w:r w:rsidRPr="00741CF5">
        <w:rPr>
          <w:rFonts w:eastAsia="Times New Roman" w:cs="Times New Roman"/>
          <w:sz w:val="18"/>
          <w:szCs w:val="18"/>
          <w:lang w:eastAsia="sk-SK"/>
        </w:rPr>
        <w:t>Zdroj: MF SR</w:t>
      </w:r>
    </w:p>
    <w:p w14:paraId="679A3749" w14:textId="77777777" w:rsidR="00614751" w:rsidRPr="00223682" w:rsidRDefault="00614751" w:rsidP="00614751">
      <w:pPr>
        <w:spacing w:before="120"/>
        <w:rPr>
          <w:color w:val="FF0000"/>
        </w:rPr>
      </w:pPr>
      <w:r w:rsidRPr="0066624E">
        <w:t xml:space="preserve">Skutočný objem prijatých </w:t>
      </w:r>
      <w:r w:rsidRPr="0066624E">
        <w:rPr>
          <w:b/>
          <w:bCs/>
        </w:rPr>
        <w:t>dividend</w:t>
      </w:r>
      <w:r w:rsidRPr="0066624E">
        <w:t xml:space="preserve"> vrátane časového rozlíšenia bol v porovnaní s</w:t>
      </w:r>
      <w:r>
        <w:t> </w:t>
      </w:r>
      <w:r w:rsidRPr="0066624E">
        <w:t>predpokladaným výnosom z dividend nižší o</w:t>
      </w:r>
      <w:r>
        <w:t> </w:t>
      </w:r>
      <w:r w:rsidRPr="0066624E">
        <w:t>44</w:t>
      </w:r>
      <w:r>
        <w:t> </w:t>
      </w:r>
      <w:r w:rsidRPr="0066624E">
        <w:t>179</w:t>
      </w:r>
      <w:r>
        <w:t> </w:t>
      </w:r>
      <w:r w:rsidRPr="0066624E">
        <w:t>tis.</w:t>
      </w:r>
      <w:r>
        <w:t> </w:t>
      </w:r>
      <w:r w:rsidRPr="0066624E">
        <w:t>eur. Dôvodom vzniku rozdielov v prekročení, prípadne neplnení rozpočtovaného objemu dividend, boli odlišné výsledky hospodárenia dosiahnuté obchodnými spoločnosťami za</w:t>
      </w:r>
      <w:r>
        <w:t> </w:t>
      </w:r>
      <w:r w:rsidRPr="0066624E">
        <w:t xml:space="preserve">rok 2017. Objemovo najvyšší negatívny vplyv zaznamenal Slovenský plynárenský priemysel, </w:t>
      </w:r>
      <w:proofErr w:type="spellStart"/>
      <w:r w:rsidRPr="0066624E">
        <w:t>a.s</w:t>
      </w:r>
      <w:proofErr w:type="spellEnd"/>
      <w:r w:rsidRPr="0066624E">
        <w:t>. vplyvom podielu precenenia majetku skupiny na</w:t>
      </w:r>
      <w:r>
        <w:t> </w:t>
      </w:r>
      <w:r w:rsidRPr="0066624E">
        <w:t>výnosoch spoločnosti.</w:t>
      </w:r>
    </w:p>
    <w:p w14:paraId="2247D8EB" w14:textId="7B4E25F8" w:rsidR="00614751" w:rsidRDefault="00614751" w:rsidP="00614751">
      <w:pPr>
        <w:pStyle w:val="default"/>
        <w:spacing w:after="120" w:line="336" w:lineRule="auto"/>
        <w:jc w:val="both"/>
        <w:rPr>
          <w:rFonts w:eastAsiaTheme="minorHAnsi" w:cstheme="minorBidi"/>
          <w:color w:val="auto"/>
          <w:sz w:val="22"/>
          <w:szCs w:val="22"/>
          <w:lang w:eastAsia="en-US"/>
        </w:rPr>
      </w:pPr>
      <w:r w:rsidRPr="005335C6">
        <w:rPr>
          <w:rFonts w:eastAsiaTheme="minorHAnsi" w:cstheme="minorBidi"/>
          <w:color w:val="auto"/>
          <w:sz w:val="22"/>
          <w:szCs w:val="22"/>
          <w:lang w:eastAsia="en-US"/>
        </w:rPr>
        <w:t xml:space="preserve">V roku 2018 došlo k horšiemu hospodáreniu </w:t>
      </w:r>
      <w:r w:rsidRPr="005335C6">
        <w:rPr>
          <w:rFonts w:eastAsiaTheme="minorHAnsi" w:cstheme="minorBidi"/>
          <w:b/>
          <w:color w:val="auto"/>
          <w:sz w:val="22"/>
          <w:szCs w:val="22"/>
          <w:lang w:eastAsia="en-US"/>
        </w:rPr>
        <w:t>Enviro</w:t>
      </w:r>
      <w:r w:rsidR="005159A9">
        <w:rPr>
          <w:rFonts w:eastAsiaTheme="minorHAnsi" w:cstheme="minorBidi"/>
          <w:b/>
          <w:color w:val="auto"/>
          <w:sz w:val="22"/>
          <w:szCs w:val="22"/>
          <w:lang w:eastAsia="en-US"/>
        </w:rPr>
        <w:t xml:space="preserve">nmentálneho </w:t>
      </w:r>
      <w:r w:rsidRPr="005335C6">
        <w:rPr>
          <w:rFonts w:eastAsiaTheme="minorHAnsi" w:cstheme="minorBidi"/>
          <w:b/>
          <w:color w:val="auto"/>
          <w:sz w:val="22"/>
          <w:szCs w:val="22"/>
          <w:lang w:eastAsia="en-US"/>
        </w:rPr>
        <w:t>fondu</w:t>
      </w:r>
      <w:r w:rsidRPr="005335C6">
        <w:rPr>
          <w:rFonts w:eastAsiaTheme="minorHAnsi" w:cstheme="minorBidi"/>
          <w:color w:val="auto"/>
          <w:sz w:val="22"/>
          <w:szCs w:val="22"/>
          <w:lang w:eastAsia="en-US"/>
        </w:rPr>
        <w:t xml:space="preserve"> oproti rozpočtu o</w:t>
      </w:r>
      <w:r>
        <w:rPr>
          <w:rFonts w:eastAsiaTheme="minorHAnsi" w:cstheme="minorBidi"/>
          <w:color w:val="auto"/>
          <w:sz w:val="22"/>
          <w:szCs w:val="22"/>
          <w:lang w:eastAsia="en-US"/>
        </w:rPr>
        <w:t> </w:t>
      </w:r>
      <w:r w:rsidRPr="005335C6">
        <w:rPr>
          <w:rFonts w:eastAsiaTheme="minorHAnsi" w:cstheme="minorBidi"/>
          <w:color w:val="auto"/>
          <w:sz w:val="22"/>
          <w:szCs w:val="22"/>
          <w:lang w:eastAsia="en-US"/>
        </w:rPr>
        <w:t>95</w:t>
      </w:r>
      <w:r>
        <w:rPr>
          <w:rFonts w:eastAsiaTheme="minorHAnsi" w:cstheme="minorBidi"/>
          <w:color w:val="auto"/>
          <w:sz w:val="22"/>
          <w:szCs w:val="22"/>
          <w:lang w:eastAsia="en-US"/>
        </w:rPr>
        <w:t> </w:t>
      </w:r>
      <w:r w:rsidRPr="005335C6">
        <w:rPr>
          <w:rFonts w:eastAsiaTheme="minorHAnsi" w:cstheme="minorBidi"/>
          <w:color w:val="auto"/>
          <w:sz w:val="22"/>
          <w:szCs w:val="22"/>
          <w:lang w:eastAsia="en-US"/>
        </w:rPr>
        <w:t>677</w:t>
      </w:r>
      <w:r>
        <w:rPr>
          <w:rFonts w:eastAsiaTheme="minorHAnsi" w:cstheme="minorBidi"/>
          <w:color w:val="auto"/>
          <w:sz w:val="22"/>
          <w:szCs w:val="22"/>
          <w:lang w:eastAsia="en-US"/>
        </w:rPr>
        <w:t> </w:t>
      </w:r>
      <w:r w:rsidRPr="005335C6">
        <w:rPr>
          <w:rFonts w:eastAsiaTheme="minorHAnsi" w:cstheme="minorBidi"/>
          <w:color w:val="auto"/>
          <w:sz w:val="22"/>
          <w:szCs w:val="22"/>
          <w:lang w:eastAsia="en-US"/>
        </w:rPr>
        <w:t>tis.</w:t>
      </w:r>
      <w:r>
        <w:rPr>
          <w:rFonts w:eastAsiaTheme="minorHAnsi" w:cstheme="minorBidi"/>
          <w:color w:val="auto"/>
          <w:sz w:val="22"/>
          <w:szCs w:val="22"/>
          <w:lang w:eastAsia="en-US"/>
        </w:rPr>
        <w:t> </w:t>
      </w:r>
      <w:r w:rsidRPr="005335C6">
        <w:rPr>
          <w:rFonts w:eastAsiaTheme="minorHAnsi" w:cstheme="minorBidi"/>
          <w:color w:val="auto"/>
          <w:sz w:val="22"/>
          <w:szCs w:val="22"/>
          <w:lang w:eastAsia="en-US"/>
        </w:rPr>
        <w:t xml:space="preserve">eur. Rozpočtovaný </w:t>
      </w:r>
      <w:r w:rsidRPr="005335C6">
        <w:rPr>
          <w:rFonts w:eastAsiaTheme="minorHAnsi" w:cstheme="minorBidi"/>
          <w:b/>
          <w:color w:val="auto"/>
          <w:sz w:val="22"/>
          <w:szCs w:val="22"/>
          <w:lang w:eastAsia="en-US"/>
        </w:rPr>
        <w:t>príjem z emisných kvót</w:t>
      </w:r>
      <w:r w:rsidRPr="005335C6">
        <w:rPr>
          <w:rFonts w:eastAsiaTheme="minorHAnsi" w:cstheme="minorBidi"/>
          <w:color w:val="auto"/>
          <w:sz w:val="22"/>
          <w:szCs w:val="22"/>
          <w:lang w:eastAsia="en-US"/>
        </w:rPr>
        <w:t xml:space="preserve"> bol 116</w:t>
      </w:r>
      <w:r>
        <w:rPr>
          <w:rFonts w:eastAsiaTheme="minorHAnsi" w:cstheme="minorBidi"/>
          <w:color w:val="auto"/>
          <w:sz w:val="22"/>
          <w:szCs w:val="22"/>
          <w:lang w:eastAsia="en-US"/>
        </w:rPr>
        <w:t> </w:t>
      </w:r>
      <w:r w:rsidRPr="005335C6">
        <w:rPr>
          <w:rFonts w:eastAsiaTheme="minorHAnsi" w:cstheme="minorBidi"/>
          <w:color w:val="auto"/>
          <w:sz w:val="22"/>
          <w:szCs w:val="22"/>
          <w:lang w:eastAsia="en-US"/>
        </w:rPr>
        <w:t>659</w:t>
      </w:r>
      <w:r>
        <w:rPr>
          <w:rFonts w:eastAsiaTheme="minorHAnsi" w:cstheme="minorBidi"/>
          <w:color w:val="auto"/>
          <w:sz w:val="22"/>
          <w:szCs w:val="22"/>
          <w:lang w:eastAsia="en-US"/>
        </w:rPr>
        <w:t> </w:t>
      </w:r>
      <w:r w:rsidRPr="005335C6">
        <w:rPr>
          <w:rFonts w:eastAsiaTheme="minorHAnsi" w:cstheme="minorBidi"/>
          <w:color w:val="auto"/>
          <w:sz w:val="22"/>
          <w:szCs w:val="22"/>
          <w:lang w:eastAsia="en-US"/>
        </w:rPr>
        <w:t>tis.</w:t>
      </w:r>
      <w:r>
        <w:rPr>
          <w:rFonts w:eastAsiaTheme="minorHAnsi" w:cstheme="minorBidi"/>
          <w:color w:val="auto"/>
          <w:sz w:val="22"/>
          <w:szCs w:val="22"/>
          <w:lang w:eastAsia="en-US"/>
        </w:rPr>
        <w:t> </w:t>
      </w:r>
      <w:r w:rsidRPr="005335C6">
        <w:rPr>
          <w:rFonts w:eastAsiaTheme="minorHAnsi" w:cstheme="minorBidi"/>
          <w:color w:val="auto"/>
          <w:sz w:val="22"/>
          <w:szCs w:val="22"/>
          <w:lang w:eastAsia="en-US"/>
        </w:rPr>
        <w:t>eur, skutočné hotovostné príjmy boli 229 693 tis. eur a teda vyššie o</w:t>
      </w:r>
      <w:r>
        <w:rPr>
          <w:rFonts w:eastAsiaTheme="minorHAnsi" w:cstheme="minorBidi"/>
          <w:color w:val="auto"/>
          <w:sz w:val="22"/>
          <w:szCs w:val="22"/>
          <w:lang w:eastAsia="en-US"/>
        </w:rPr>
        <w:t> </w:t>
      </w:r>
      <w:r w:rsidRPr="005335C6">
        <w:rPr>
          <w:rFonts w:eastAsiaTheme="minorHAnsi" w:cstheme="minorBidi"/>
          <w:color w:val="auto"/>
          <w:sz w:val="22"/>
          <w:szCs w:val="22"/>
          <w:lang w:eastAsia="en-US"/>
        </w:rPr>
        <w:t>113</w:t>
      </w:r>
      <w:r>
        <w:rPr>
          <w:rFonts w:eastAsiaTheme="minorHAnsi" w:cstheme="minorBidi"/>
          <w:color w:val="auto"/>
          <w:sz w:val="22"/>
          <w:szCs w:val="22"/>
          <w:lang w:eastAsia="en-US"/>
        </w:rPr>
        <w:t> </w:t>
      </w:r>
      <w:r w:rsidRPr="005335C6">
        <w:rPr>
          <w:rFonts w:eastAsiaTheme="minorHAnsi" w:cstheme="minorBidi"/>
          <w:color w:val="auto"/>
          <w:sz w:val="22"/>
          <w:szCs w:val="22"/>
          <w:lang w:eastAsia="en-US"/>
        </w:rPr>
        <w:t>034</w:t>
      </w:r>
      <w:r>
        <w:rPr>
          <w:rFonts w:eastAsiaTheme="minorHAnsi" w:cstheme="minorBidi"/>
          <w:color w:val="auto"/>
          <w:sz w:val="22"/>
          <w:szCs w:val="22"/>
          <w:lang w:eastAsia="en-US"/>
        </w:rPr>
        <w:t> </w:t>
      </w:r>
      <w:r w:rsidRPr="005335C6">
        <w:rPr>
          <w:rFonts w:eastAsiaTheme="minorHAnsi" w:cstheme="minorBidi"/>
          <w:color w:val="auto"/>
          <w:sz w:val="22"/>
          <w:szCs w:val="22"/>
          <w:lang w:eastAsia="en-US"/>
        </w:rPr>
        <w:t>tis.</w:t>
      </w:r>
      <w:r>
        <w:rPr>
          <w:rFonts w:eastAsiaTheme="minorHAnsi" w:cstheme="minorBidi"/>
          <w:color w:val="auto"/>
          <w:sz w:val="22"/>
          <w:szCs w:val="22"/>
          <w:lang w:eastAsia="en-US"/>
        </w:rPr>
        <w:t> </w:t>
      </w:r>
      <w:r w:rsidRPr="005335C6">
        <w:rPr>
          <w:rFonts w:eastAsiaTheme="minorHAnsi" w:cstheme="minorBidi"/>
          <w:color w:val="auto"/>
          <w:sz w:val="22"/>
          <w:szCs w:val="22"/>
          <w:lang w:eastAsia="en-US"/>
        </w:rPr>
        <w:t>eur. Podľa metodiky ESA</w:t>
      </w:r>
      <w:r>
        <w:rPr>
          <w:rFonts w:eastAsiaTheme="minorHAnsi" w:cstheme="minorBidi"/>
          <w:color w:val="auto"/>
          <w:sz w:val="22"/>
          <w:szCs w:val="22"/>
          <w:lang w:eastAsia="en-US"/>
        </w:rPr>
        <w:t> </w:t>
      </w:r>
      <w:r w:rsidRPr="005335C6">
        <w:rPr>
          <w:rFonts w:eastAsiaTheme="minorHAnsi" w:cstheme="minorBidi"/>
          <w:color w:val="auto"/>
          <w:sz w:val="22"/>
          <w:szCs w:val="22"/>
          <w:lang w:eastAsia="en-US"/>
        </w:rPr>
        <w:t>2010 sú však príjmom len tie príjmy z predaja emisií, ktoré sú spotrebované v ekonomike, v roku 2018 bol tento príjem vo</w:t>
      </w:r>
      <w:r>
        <w:rPr>
          <w:rFonts w:eastAsiaTheme="minorHAnsi" w:cstheme="minorBidi"/>
          <w:color w:val="auto"/>
          <w:sz w:val="22"/>
          <w:szCs w:val="22"/>
          <w:lang w:eastAsia="en-US"/>
        </w:rPr>
        <w:t> </w:t>
      </w:r>
      <w:r w:rsidRPr="005335C6">
        <w:rPr>
          <w:rFonts w:eastAsiaTheme="minorHAnsi" w:cstheme="minorBidi"/>
          <w:color w:val="auto"/>
          <w:sz w:val="22"/>
          <w:szCs w:val="22"/>
          <w:lang w:eastAsia="en-US"/>
        </w:rPr>
        <w:t>výške 63</w:t>
      </w:r>
      <w:r>
        <w:rPr>
          <w:rFonts w:eastAsiaTheme="minorHAnsi" w:cstheme="minorBidi"/>
          <w:color w:val="auto"/>
          <w:sz w:val="22"/>
          <w:szCs w:val="22"/>
          <w:lang w:eastAsia="en-US"/>
        </w:rPr>
        <w:t> </w:t>
      </w:r>
      <w:r w:rsidRPr="005335C6">
        <w:rPr>
          <w:rFonts w:eastAsiaTheme="minorHAnsi" w:cstheme="minorBidi"/>
          <w:color w:val="auto"/>
          <w:sz w:val="22"/>
          <w:szCs w:val="22"/>
          <w:lang w:eastAsia="en-US"/>
        </w:rPr>
        <w:t>092</w:t>
      </w:r>
      <w:r>
        <w:rPr>
          <w:rFonts w:eastAsiaTheme="minorHAnsi" w:cstheme="minorBidi"/>
          <w:color w:val="auto"/>
          <w:sz w:val="22"/>
          <w:szCs w:val="22"/>
          <w:lang w:eastAsia="en-US"/>
        </w:rPr>
        <w:t> </w:t>
      </w:r>
      <w:r w:rsidRPr="005335C6">
        <w:rPr>
          <w:rFonts w:eastAsiaTheme="minorHAnsi" w:cstheme="minorBidi"/>
          <w:color w:val="auto"/>
          <w:sz w:val="22"/>
          <w:szCs w:val="22"/>
          <w:lang w:eastAsia="en-US"/>
        </w:rPr>
        <w:t>tis.</w:t>
      </w:r>
      <w:r>
        <w:rPr>
          <w:rFonts w:eastAsiaTheme="minorHAnsi" w:cstheme="minorBidi"/>
          <w:color w:val="auto"/>
          <w:sz w:val="22"/>
          <w:szCs w:val="22"/>
          <w:lang w:eastAsia="en-US"/>
        </w:rPr>
        <w:t> </w:t>
      </w:r>
      <w:r w:rsidRPr="005335C6">
        <w:rPr>
          <w:rFonts w:eastAsiaTheme="minorHAnsi" w:cstheme="minorBidi"/>
          <w:color w:val="auto"/>
          <w:sz w:val="22"/>
          <w:szCs w:val="22"/>
          <w:lang w:eastAsia="en-US"/>
        </w:rPr>
        <w:t>eur, a preto má akruálne zaznamenanie príjmov z emisných kvót negatívny vplyv v sume 166</w:t>
      </w:r>
      <w:r>
        <w:rPr>
          <w:rFonts w:eastAsiaTheme="minorHAnsi" w:cstheme="minorBidi"/>
          <w:color w:val="auto"/>
          <w:sz w:val="22"/>
          <w:szCs w:val="22"/>
          <w:lang w:eastAsia="en-US"/>
        </w:rPr>
        <w:t> </w:t>
      </w:r>
      <w:r w:rsidRPr="005335C6">
        <w:rPr>
          <w:rFonts w:eastAsiaTheme="minorHAnsi" w:cstheme="minorBidi"/>
          <w:color w:val="auto"/>
          <w:sz w:val="22"/>
          <w:szCs w:val="22"/>
          <w:lang w:eastAsia="en-US"/>
        </w:rPr>
        <w:t>601</w:t>
      </w:r>
      <w:r>
        <w:rPr>
          <w:rFonts w:eastAsiaTheme="minorHAnsi" w:cstheme="minorBidi"/>
          <w:color w:val="auto"/>
          <w:sz w:val="22"/>
          <w:szCs w:val="22"/>
          <w:lang w:eastAsia="en-US"/>
        </w:rPr>
        <w:t> </w:t>
      </w:r>
      <w:r w:rsidRPr="005335C6">
        <w:rPr>
          <w:rFonts w:eastAsiaTheme="minorHAnsi" w:cstheme="minorBidi"/>
          <w:color w:val="auto"/>
          <w:sz w:val="22"/>
          <w:szCs w:val="22"/>
          <w:lang w:eastAsia="en-US"/>
        </w:rPr>
        <w:t>tis.</w:t>
      </w:r>
      <w:r>
        <w:rPr>
          <w:rFonts w:eastAsiaTheme="minorHAnsi" w:cstheme="minorBidi"/>
          <w:color w:val="auto"/>
          <w:sz w:val="22"/>
          <w:szCs w:val="22"/>
          <w:lang w:eastAsia="en-US"/>
        </w:rPr>
        <w:t> </w:t>
      </w:r>
      <w:r w:rsidRPr="005335C6">
        <w:rPr>
          <w:rFonts w:eastAsiaTheme="minorHAnsi" w:cstheme="minorBidi"/>
          <w:color w:val="auto"/>
          <w:sz w:val="22"/>
          <w:szCs w:val="22"/>
          <w:lang w:eastAsia="en-US"/>
        </w:rPr>
        <w:t>eur, čo v konečnom dôsledku spôsobilo horší hospodársky výsledok.</w:t>
      </w:r>
    </w:p>
    <w:p w14:paraId="7DE5C226" w14:textId="2A1DF0BF" w:rsidR="00FF6F83" w:rsidRDefault="00614751" w:rsidP="00614751">
      <w:pPr>
        <w:pStyle w:val="default"/>
        <w:spacing w:after="120" w:line="336" w:lineRule="auto"/>
        <w:jc w:val="both"/>
        <w:rPr>
          <w:color w:val="auto"/>
          <w:sz w:val="22"/>
          <w:szCs w:val="22"/>
        </w:rPr>
      </w:pPr>
      <w:r>
        <w:rPr>
          <w:b/>
          <w:bCs/>
          <w:color w:val="auto"/>
          <w:sz w:val="22"/>
          <w:szCs w:val="22"/>
        </w:rPr>
        <w:t xml:space="preserve">Prenesené </w:t>
      </w:r>
      <w:r w:rsidRPr="00A265D6">
        <w:rPr>
          <w:b/>
          <w:bCs/>
          <w:color w:val="auto"/>
          <w:sz w:val="22"/>
          <w:szCs w:val="22"/>
        </w:rPr>
        <w:t>výdavky štátneho rozpočtu</w:t>
      </w:r>
      <w:r w:rsidRPr="00A265D6">
        <w:rPr>
          <w:color w:val="auto"/>
          <w:sz w:val="22"/>
          <w:szCs w:val="22"/>
        </w:rPr>
        <w:t xml:space="preserve">. Podľa zákona </w:t>
      </w:r>
      <w:r w:rsidR="006349F7" w:rsidRPr="00A265D6">
        <w:rPr>
          <w:color w:val="auto"/>
          <w:sz w:val="22"/>
          <w:szCs w:val="22"/>
        </w:rPr>
        <w:t xml:space="preserve">č. 523/2004 Z. z. </w:t>
      </w:r>
      <w:r w:rsidRPr="00A265D6">
        <w:rPr>
          <w:color w:val="auto"/>
          <w:sz w:val="22"/>
          <w:szCs w:val="22"/>
        </w:rPr>
        <w:t>o rozpočtových pravidlách verejnej správy</w:t>
      </w:r>
      <w:r w:rsidR="00114152" w:rsidRPr="00A265D6">
        <w:rPr>
          <w:color w:val="auto"/>
          <w:sz w:val="22"/>
          <w:szCs w:val="22"/>
        </w:rPr>
        <w:t xml:space="preserve"> a o zmene a doplnení niektorých zákonov</w:t>
      </w:r>
      <w:r w:rsidR="004F23A6" w:rsidRPr="00A265D6">
        <w:rPr>
          <w:color w:val="auto"/>
          <w:sz w:val="22"/>
          <w:szCs w:val="22"/>
        </w:rPr>
        <w:t xml:space="preserve"> v znení neskorších predpisov</w:t>
      </w:r>
      <w:r w:rsidR="006349F7" w:rsidRPr="00A265D6">
        <w:rPr>
          <w:color w:val="auto"/>
          <w:sz w:val="22"/>
          <w:szCs w:val="22"/>
        </w:rPr>
        <w:t xml:space="preserve"> (ďalej len ,,zákon o rozpočtových pravidlách“)</w:t>
      </w:r>
      <w:r w:rsidRPr="00A265D6">
        <w:rPr>
          <w:color w:val="auto"/>
          <w:sz w:val="22"/>
          <w:szCs w:val="22"/>
        </w:rPr>
        <w:t xml:space="preserve"> je možné kapitálové výdavky a vybrané bežné výdavky štátneho rozpočtu použiť na určený účel aj v nasledujúcich dvoch rozpočtových rokoch po rozpočtovom roku, na ktorý boli rozpočtované. Prostriedky Európskej únie, prostriedky štátneho rozpočtu určené na financovanie spoločných programov SR a EÚ a prostriedky štátneho rozpočtu určené na financovanie účelov vyplývajúcich z medzinárodných zmlúv o poskytnutí grantu uzatvorených medzi SR a inými štátmi možno použiť aj v nasledujúcich rozpočtových rokoch až do ich vyčerpania</w:t>
      </w:r>
      <w:r w:rsidR="004F23A6" w:rsidRPr="00A265D6">
        <w:rPr>
          <w:color w:val="auto"/>
          <w:sz w:val="22"/>
          <w:szCs w:val="22"/>
        </w:rPr>
        <w:t xml:space="preserve"> na určený účel</w:t>
      </w:r>
      <w:r w:rsidRPr="00A265D6">
        <w:rPr>
          <w:color w:val="auto"/>
          <w:sz w:val="22"/>
          <w:szCs w:val="22"/>
        </w:rPr>
        <w:t>. Toto pravidlo na jednej strane zefektívňuje použitie verejných prostriedkov tým, že kapitoly</w:t>
      </w:r>
      <w:r>
        <w:rPr>
          <w:color w:val="auto"/>
          <w:sz w:val="22"/>
          <w:szCs w:val="22"/>
        </w:rPr>
        <w:t xml:space="preserve"> rozpočtu nie sú motivované čerpať prostriedky v danom roku „za každú cenu“, na druhej strane vytvára neistotu pri vyhodnocovaní salda v súlade so schváleným štátnym rozpočtom. Viazané a prenášané výdavky do ďalšieho rozpočtového roka pôsobia v smere zníženia skutočného salda oproti schválenému rozpočtu v danom rozpočtovom roku; prenesené a zároveň použité výdavky z predchádzajúceho rozpočtového roka naopak saldo v </w:t>
      </w:r>
      <w:r w:rsidR="00FF6F83">
        <w:rPr>
          <w:color w:val="auto"/>
          <w:sz w:val="22"/>
          <w:szCs w:val="22"/>
        </w:rPr>
        <w:t>danom rozpočtovom roku zvyšujú.</w:t>
      </w:r>
    </w:p>
    <w:p w14:paraId="39596A57" w14:textId="725625A3" w:rsidR="00614751" w:rsidRDefault="00614751" w:rsidP="00614751">
      <w:pPr>
        <w:pStyle w:val="default"/>
        <w:spacing w:after="120" w:line="336" w:lineRule="auto"/>
        <w:jc w:val="both"/>
      </w:pPr>
      <w:r>
        <w:rPr>
          <w:color w:val="auto"/>
          <w:sz w:val="22"/>
          <w:szCs w:val="22"/>
        </w:rPr>
        <w:t xml:space="preserve">Čistý dopad na saldo verejnej správy závisí od výsledného efektu presunov. Ak sú prenesené výdavky do ďalšieho rozpočtového roka vyššie ako použité z predchádzajúceho rozpočtového roka, saldo sa oproti schválenému rozpočtu zníži, v opačnom prípade sa zvýši. </w:t>
      </w:r>
    </w:p>
    <w:p w14:paraId="36516392" w14:textId="68D845F8" w:rsidR="00614751" w:rsidRDefault="00614751" w:rsidP="00614751">
      <w:pPr>
        <w:pStyle w:val="default"/>
        <w:spacing w:after="120" w:line="336" w:lineRule="auto"/>
        <w:jc w:val="both"/>
      </w:pPr>
      <w:r>
        <w:rPr>
          <w:color w:val="auto"/>
          <w:sz w:val="22"/>
          <w:szCs w:val="22"/>
        </w:rPr>
        <w:t xml:space="preserve">Do roku 2018 boli prenesené bežné a kapitálové výdavky štátneho rozpočtu (s výnimkou prostriedkov Európskej únie a prostriedkov štátneho rozpočtu určených na financovanie spoločných programov SR) z rokov 2016 a 2017 (131G, 131H) celkovo v sume 1 090 603 tis. eur, pričom z toho v skutočnosti v roku 2018 bolo použitých celkovo </w:t>
      </w:r>
      <w:r w:rsidRPr="001477DC">
        <w:rPr>
          <w:sz w:val="22"/>
          <w:szCs w:val="22"/>
        </w:rPr>
        <w:t>706</w:t>
      </w:r>
      <w:r>
        <w:rPr>
          <w:sz w:val="22"/>
          <w:szCs w:val="22"/>
        </w:rPr>
        <w:t> </w:t>
      </w:r>
      <w:r w:rsidRPr="001477DC">
        <w:rPr>
          <w:sz w:val="22"/>
          <w:szCs w:val="22"/>
        </w:rPr>
        <w:t>485</w:t>
      </w:r>
      <w:r>
        <w:rPr>
          <w:sz w:val="22"/>
          <w:szCs w:val="22"/>
        </w:rPr>
        <w:t> </w:t>
      </w:r>
      <w:r w:rsidRPr="001477DC">
        <w:rPr>
          <w:color w:val="auto"/>
          <w:sz w:val="22"/>
          <w:szCs w:val="22"/>
        </w:rPr>
        <w:t>tis</w:t>
      </w:r>
      <w:r>
        <w:rPr>
          <w:color w:val="auto"/>
          <w:sz w:val="22"/>
          <w:szCs w:val="22"/>
        </w:rPr>
        <w:t xml:space="preserve">. eur. V roku 2018 boli zaviazané prostriedky s predpokladaným presunom do roku 2019 v sume 1 176 557 tis. eur, z toho rozpočtované prostriedky na rok 2018 boli 916 578 tis. eur. </w:t>
      </w:r>
    </w:p>
    <w:p w14:paraId="6F24B5AA" w14:textId="77777777" w:rsidR="002B100E" w:rsidRDefault="00614751" w:rsidP="002B100E">
      <w:pPr>
        <w:contextualSpacing/>
      </w:pPr>
      <w:r>
        <w:t>Pre analytický odhad vplyvu prenášaných výdavkov štátneho rozpočtu na saldo verejnej správy v danom roku sú dôležité len reálne použité výdavky z prenesených prostriedkov predchádzajúcich období (706 485 tis. eur) a na druhej strane len tá časť prenesených výdavkov do nasledujúcich období, ktorá bola súčasťou rozpočtovaných výdavko</w:t>
      </w:r>
      <w:r w:rsidR="002B100E">
        <w:t>v roku 2018 (916 578 tis. eur).</w:t>
      </w:r>
    </w:p>
    <w:p w14:paraId="38D0061E" w14:textId="6E5A31E4" w:rsidR="00614751" w:rsidRPr="001477DC" w:rsidRDefault="00614751" w:rsidP="002B100E">
      <w:pPr>
        <w:contextualSpacing/>
      </w:pPr>
      <w:r w:rsidRPr="001477DC">
        <w:rPr>
          <w:b/>
          <w:bCs/>
        </w:rPr>
        <w:t>Výdavky EÚ a spolufinancovanie:</w:t>
      </w:r>
    </w:p>
    <w:p w14:paraId="1F8771C3" w14:textId="77777777" w:rsidR="00614751" w:rsidRPr="001803D4" w:rsidRDefault="00614751" w:rsidP="00BB09F8">
      <w:pPr>
        <w:contextualSpacing/>
      </w:pPr>
      <w:r w:rsidRPr="001803D4">
        <w:t>V roku 2018 boli vyčerpané prenesené výdavky (viazané v roku 2017) nasledovne:</w:t>
      </w:r>
    </w:p>
    <w:p w14:paraId="2A23F68B" w14:textId="12E17330" w:rsidR="00614751" w:rsidRPr="00BB09F8" w:rsidRDefault="00614751" w:rsidP="00BB09F8">
      <w:pPr>
        <w:pStyle w:val="Odsekzoznamu"/>
        <w:numPr>
          <w:ilvl w:val="0"/>
          <w:numId w:val="26"/>
        </w:numPr>
        <w:spacing w:after="120" w:line="336" w:lineRule="auto"/>
        <w:ind w:left="714" w:hanging="357"/>
        <w:rPr>
          <w:rFonts w:ascii="Times New Roman" w:hAnsi="Times New Roman"/>
        </w:rPr>
      </w:pPr>
      <w:r w:rsidRPr="00BB09F8">
        <w:rPr>
          <w:rFonts w:ascii="Times New Roman" w:hAnsi="Times New Roman"/>
        </w:rPr>
        <w:t>EÚ – 1 698 918 tis. eur</w:t>
      </w:r>
      <w:r w:rsidR="00BB09F8" w:rsidRPr="00BB09F8">
        <w:rPr>
          <w:rFonts w:ascii="Times New Roman" w:hAnsi="Times New Roman"/>
        </w:rPr>
        <w:t>,</w:t>
      </w:r>
    </w:p>
    <w:p w14:paraId="40B60EE2" w14:textId="571FF810" w:rsidR="00614751" w:rsidRPr="00BB09F8" w:rsidRDefault="00BB09F8" w:rsidP="00BB09F8">
      <w:pPr>
        <w:pStyle w:val="Odsekzoznamu"/>
        <w:numPr>
          <w:ilvl w:val="0"/>
          <w:numId w:val="26"/>
        </w:numPr>
        <w:spacing w:after="120" w:line="336" w:lineRule="auto"/>
        <w:ind w:left="714" w:hanging="357"/>
        <w:rPr>
          <w:rFonts w:ascii="Times New Roman" w:hAnsi="Times New Roman"/>
        </w:rPr>
      </w:pPr>
      <w:r w:rsidRPr="00BB09F8">
        <w:rPr>
          <w:rFonts w:ascii="Times New Roman" w:hAnsi="Times New Roman"/>
        </w:rPr>
        <w:t>s</w:t>
      </w:r>
      <w:r w:rsidR="00614751" w:rsidRPr="00BB09F8">
        <w:rPr>
          <w:rFonts w:ascii="Times New Roman" w:hAnsi="Times New Roman"/>
        </w:rPr>
        <w:t>polufinancovanie- 262 270 tis. eur</w:t>
      </w:r>
      <w:r w:rsidRPr="00BB09F8">
        <w:rPr>
          <w:rFonts w:ascii="Times New Roman" w:hAnsi="Times New Roman"/>
        </w:rPr>
        <w:t>.</w:t>
      </w:r>
    </w:p>
    <w:p w14:paraId="2365CC85" w14:textId="77777777" w:rsidR="00614751" w:rsidRPr="001803D4" w:rsidRDefault="00614751" w:rsidP="00BB09F8">
      <w:pPr>
        <w:contextualSpacing/>
      </w:pPr>
      <w:r w:rsidRPr="001803D4">
        <w:t>Výdavky rozpočtované na</w:t>
      </w:r>
      <w:r>
        <w:t> </w:t>
      </w:r>
      <w:r w:rsidRPr="001803D4">
        <w:t>rok 2018 a prenesené do</w:t>
      </w:r>
      <w:r>
        <w:t> </w:t>
      </w:r>
      <w:r w:rsidRPr="001803D4">
        <w:t>roku 2019:</w:t>
      </w:r>
    </w:p>
    <w:p w14:paraId="1363CAAF" w14:textId="32938754" w:rsidR="00614751" w:rsidRPr="00BB09F8" w:rsidRDefault="00614751" w:rsidP="00BB09F8">
      <w:pPr>
        <w:pStyle w:val="Odsekzoznamu"/>
        <w:numPr>
          <w:ilvl w:val="0"/>
          <w:numId w:val="27"/>
        </w:numPr>
        <w:spacing w:after="120" w:line="336" w:lineRule="auto"/>
        <w:ind w:left="714" w:hanging="357"/>
        <w:rPr>
          <w:rFonts w:ascii="Times New Roman" w:hAnsi="Times New Roman"/>
        </w:rPr>
      </w:pPr>
      <w:r w:rsidRPr="00BB09F8">
        <w:rPr>
          <w:rFonts w:ascii="Times New Roman" w:hAnsi="Times New Roman"/>
        </w:rPr>
        <w:t>EÚ – 1 009 598 tis. eur</w:t>
      </w:r>
      <w:r w:rsidR="00BB09F8" w:rsidRPr="00BB09F8">
        <w:rPr>
          <w:rFonts w:ascii="Times New Roman" w:hAnsi="Times New Roman"/>
        </w:rPr>
        <w:t>,</w:t>
      </w:r>
    </w:p>
    <w:p w14:paraId="7663502C" w14:textId="44ADB6FF" w:rsidR="00614751" w:rsidRPr="00BB09F8" w:rsidRDefault="00BB09F8" w:rsidP="00BB09F8">
      <w:pPr>
        <w:pStyle w:val="Odsekzoznamu"/>
        <w:numPr>
          <w:ilvl w:val="0"/>
          <w:numId w:val="27"/>
        </w:numPr>
        <w:spacing w:after="120" w:line="336" w:lineRule="auto"/>
        <w:ind w:left="714" w:hanging="357"/>
        <w:rPr>
          <w:rFonts w:ascii="Times New Roman" w:hAnsi="Times New Roman"/>
        </w:rPr>
      </w:pPr>
      <w:r w:rsidRPr="00BB09F8">
        <w:rPr>
          <w:rFonts w:ascii="Times New Roman" w:hAnsi="Times New Roman"/>
        </w:rPr>
        <w:t>s</w:t>
      </w:r>
      <w:r w:rsidR="00614751" w:rsidRPr="00BB09F8">
        <w:rPr>
          <w:rFonts w:ascii="Times New Roman" w:hAnsi="Times New Roman"/>
        </w:rPr>
        <w:t>polufinancovanie – 154 414 tis. eur</w:t>
      </w:r>
      <w:r w:rsidRPr="00BB09F8">
        <w:rPr>
          <w:rFonts w:ascii="Times New Roman" w:hAnsi="Times New Roman"/>
        </w:rPr>
        <w:t>.</w:t>
      </w:r>
    </w:p>
    <w:p w14:paraId="64AFF51A" w14:textId="77777777" w:rsidR="002B100E" w:rsidRDefault="00614751" w:rsidP="002B100E">
      <w:pPr>
        <w:spacing w:after="240"/>
        <w:contextualSpacing/>
      </w:pPr>
      <w:r w:rsidRPr="00B27B57">
        <w:rPr>
          <w:b/>
        </w:rPr>
        <w:t>Odvody do rozpočtu</w:t>
      </w:r>
      <w:r w:rsidRPr="001803D4">
        <w:rPr>
          <w:b/>
        </w:rPr>
        <w:t xml:space="preserve"> EÚ</w:t>
      </w:r>
      <w:r w:rsidRPr="001803D4">
        <w:t xml:space="preserve"> boli na</w:t>
      </w:r>
      <w:r>
        <w:t> </w:t>
      </w:r>
      <w:r w:rsidRPr="001803D4">
        <w:t>hotovostnej báze nižšie oproti rozpočtu o</w:t>
      </w:r>
      <w:r>
        <w:t> </w:t>
      </w:r>
      <w:r w:rsidRPr="001803D4">
        <w:t>36</w:t>
      </w:r>
      <w:r>
        <w:t> </w:t>
      </w:r>
      <w:r w:rsidRPr="001803D4">
        <w:t>698</w:t>
      </w:r>
      <w:r>
        <w:t> </w:t>
      </w:r>
      <w:r w:rsidRPr="001803D4">
        <w:t>tis.</w:t>
      </w:r>
      <w:r>
        <w:t> </w:t>
      </w:r>
      <w:r w:rsidRPr="001803D4">
        <w:t>eur. Tento výsledok bol ešte negatívne ovplyvnený vplyvom akruálneho zaznamenania výdavkov súvisiacich s novelami rozpočtu EÚ vo</w:t>
      </w:r>
      <w:r>
        <w:t> </w:t>
      </w:r>
      <w:r w:rsidRPr="001803D4">
        <w:t>výške 32</w:t>
      </w:r>
      <w:r>
        <w:t> 213 tis. eur. Celková úspora na </w:t>
      </w:r>
      <w:r w:rsidRPr="001803D4">
        <w:t>akruálnej báze predstavovala 4</w:t>
      </w:r>
      <w:r>
        <w:t> </w:t>
      </w:r>
      <w:r w:rsidRPr="001803D4">
        <w:t>485</w:t>
      </w:r>
      <w:r>
        <w:t> tis. </w:t>
      </w:r>
      <w:r w:rsidR="002B100E">
        <w:t>eur.</w:t>
      </w:r>
    </w:p>
    <w:p w14:paraId="7718D1C7" w14:textId="77777777" w:rsidR="006933D7" w:rsidRDefault="00614751" w:rsidP="006933D7">
      <w:pPr>
        <w:spacing w:after="240"/>
        <w:contextualSpacing/>
      </w:pPr>
      <w:r w:rsidRPr="001803D4">
        <w:t>Pod</w:t>
      </w:r>
      <w:r w:rsidR="00741CF5">
        <w:t xml:space="preserve"> </w:t>
      </w:r>
      <w:r w:rsidRPr="001803D4">
        <w:rPr>
          <w:b/>
        </w:rPr>
        <w:t>korekciou k fondom EÚ</w:t>
      </w:r>
      <w:r w:rsidRPr="001803D4">
        <w:t xml:space="preserve"> sa rozumie porušenie uplatniteľného práva Únie alebo vnútroštátneho práva v</w:t>
      </w:r>
      <w:r>
        <w:t> </w:t>
      </w:r>
      <w:r w:rsidRPr="001803D4">
        <w:t>súvislosti s</w:t>
      </w:r>
      <w:r>
        <w:t> </w:t>
      </w:r>
      <w:r w:rsidRPr="001803D4">
        <w:t>výdavkami, ktoré boli vykázané Európskej komisii alebo v súvislosti s</w:t>
      </w:r>
      <w:r>
        <w:t> </w:t>
      </w:r>
      <w:r w:rsidRPr="001803D4">
        <w:t>výdavkami schvaľovanými na</w:t>
      </w:r>
      <w:r>
        <w:t> </w:t>
      </w:r>
      <w:r w:rsidRPr="001803D4">
        <w:t>národnej úrovni, v dôsledku čoho Slovenskej republike nie sú preplatené výdavky, ktoré potom musí pokryť štát</w:t>
      </w:r>
      <w:r>
        <w:t>ny rozpočet. Negatívny vplyv na </w:t>
      </w:r>
      <w:r w:rsidRPr="001803D4">
        <w:t>saldo verejnej správy mali finančné korekcie vo</w:t>
      </w:r>
      <w:r>
        <w:t> </w:t>
      </w:r>
      <w:r w:rsidRPr="001803D4">
        <w:t>výške 19</w:t>
      </w:r>
      <w:r>
        <w:t> </w:t>
      </w:r>
      <w:r w:rsidRPr="001803D4">
        <w:t>046</w:t>
      </w:r>
      <w:r>
        <w:t> </w:t>
      </w:r>
      <w:r w:rsidRPr="001803D4">
        <w:t>tis.</w:t>
      </w:r>
      <w:r>
        <w:t> </w:t>
      </w:r>
      <w:r w:rsidRPr="001803D4">
        <w:t>eur, z toho v dôsledku zníženia pohľadávky voči E</w:t>
      </w:r>
      <w:r w:rsidR="00BB09F8">
        <w:t>Ú</w:t>
      </w:r>
      <w:r w:rsidRPr="001803D4">
        <w:t xml:space="preserve"> z dôvodu systémových korekcií</w:t>
      </w:r>
      <w:r w:rsidRPr="001803D4">
        <w:rPr>
          <w:rStyle w:val="Odkaznapoznmkupodiarou"/>
        </w:rPr>
        <w:footnoteReference w:id="12"/>
      </w:r>
      <w:r w:rsidRPr="001803D4">
        <w:t xml:space="preserve"> v sume 11</w:t>
      </w:r>
      <w:r>
        <w:t> </w:t>
      </w:r>
      <w:r w:rsidRPr="001803D4">
        <w:t>594</w:t>
      </w:r>
      <w:r>
        <w:t> </w:t>
      </w:r>
      <w:r w:rsidRPr="001803D4">
        <w:t>tis.</w:t>
      </w:r>
      <w:r>
        <w:t> </w:t>
      </w:r>
      <w:r w:rsidRPr="001803D4">
        <w:t>eur a</w:t>
      </w:r>
      <w:r w:rsidR="00B27B57">
        <w:t xml:space="preserve"> </w:t>
      </w:r>
      <w:r w:rsidRPr="001803D4">
        <w:t>individuálnych korekcií</w:t>
      </w:r>
      <w:r w:rsidRPr="001803D4">
        <w:rPr>
          <w:rStyle w:val="Odkaznapoznmkupodiarou"/>
        </w:rPr>
        <w:footnoteReference w:id="13"/>
      </w:r>
      <w:r w:rsidRPr="001803D4">
        <w:t xml:space="preserve"> v sume 7</w:t>
      </w:r>
      <w:r>
        <w:t> </w:t>
      </w:r>
      <w:r w:rsidRPr="001803D4">
        <w:t>452 tis.</w:t>
      </w:r>
      <w:r>
        <w:t> </w:t>
      </w:r>
      <w:r w:rsidR="006933D7">
        <w:t xml:space="preserve">eur. </w:t>
      </w:r>
    </w:p>
    <w:p w14:paraId="2E79EBD7" w14:textId="0E34A653" w:rsidR="00614751" w:rsidRPr="001803D4" w:rsidRDefault="00614751" w:rsidP="006933D7">
      <w:pPr>
        <w:spacing w:after="240"/>
        <w:contextualSpacing/>
      </w:pPr>
      <w:r w:rsidRPr="001803D4">
        <w:t>V prípade, ak boli korekcie nahradené novými výdavkami,</w:t>
      </w:r>
      <w:r>
        <w:t xml:space="preserve"> </w:t>
      </w:r>
      <w:r w:rsidRPr="001803D4">
        <w:t>realizujú sa aj príjmy na</w:t>
      </w:r>
      <w:r>
        <w:t> </w:t>
      </w:r>
      <w:r w:rsidRPr="001803D4">
        <w:t>príjmovom účte platobných jednotiek a</w:t>
      </w:r>
      <w:r>
        <w:t> </w:t>
      </w:r>
      <w:r w:rsidRPr="001803D4">
        <w:t xml:space="preserve">zároveň bola v minulosti zaznamenaná programová (systémová) korekcia podľa požiadaviek </w:t>
      </w:r>
      <w:proofErr w:type="spellStart"/>
      <w:r w:rsidRPr="001803D4">
        <w:t>Eurostatu</w:t>
      </w:r>
      <w:proofErr w:type="spellEnd"/>
      <w:r w:rsidRPr="001803D4">
        <w:t xml:space="preserve"> v čase, keď bolo o nej rozhodnuté, išlo by o duplicitné zaznamenanie zníženia pohľadávky EÚ, jednak prostredníctvom nahlásenia korekcií v roku rozhodnutia a potom aj zmenou stavu pohľadávky vypočítanej ako rozdiel príjmov a výdavkov zo</w:t>
      </w:r>
      <w:r>
        <w:t> </w:t>
      </w:r>
      <w:r w:rsidRPr="001803D4">
        <w:t>zdroja EÚ na</w:t>
      </w:r>
      <w:r>
        <w:t> </w:t>
      </w:r>
      <w:r w:rsidRPr="001803D4">
        <w:t>rozpočtovom účte štátnych rozpočtových organizácií. Z tohto dôvodu je duplicitný negatívny vplyv na</w:t>
      </w:r>
      <w:r>
        <w:t> </w:t>
      </w:r>
      <w:r w:rsidRPr="001803D4">
        <w:t>schodok eliminovaný. Uvedené zohľadnila upravujúca položka očistenie vplyvu príjmov za</w:t>
      </w:r>
      <w:r>
        <w:t> </w:t>
      </w:r>
      <w:r w:rsidRPr="001803D4">
        <w:t>prostriedky EÚ z</w:t>
      </w:r>
      <w:r>
        <w:t> </w:t>
      </w:r>
      <w:r w:rsidRPr="001803D4">
        <w:t>dôvodu úhrady korekcií na</w:t>
      </w:r>
      <w:r>
        <w:t> </w:t>
      </w:r>
      <w:r w:rsidRPr="001803D4">
        <w:t>náklady štátu vo</w:t>
      </w:r>
      <w:r>
        <w:t> </w:t>
      </w:r>
      <w:r w:rsidRPr="001803D4">
        <w:t>výške 108</w:t>
      </w:r>
      <w:r>
        <w:t> </w:t>
      </w:r>
      <w:r w:rsidRPr="001803D4">
        <w:t>113</w:t>
      </w:r>
      <w:r>
        <w:t> </w:t>
      </w:r>
      <w:r w:rsidRPr="001803D4">
        <w:t>tis.</w:t>
      </w:r>
      <w:r>
        <w:t> </w:t>
      </w:r>
      <w:r w:rsidRPr="001803D4">
        <w:t>eur.</w:t>
      </w:r>
    </w:p>
    <w:p w14:paraId="16596A34" w14:textId="623E569B" w:rsidR="00614751" w:rsidRPr="00223682" w:rsidRDefault="00614751" w:rsidP="00614751">
      <w:r w:rsidRPr="001803D4">
        <w:t xml:space="preserve">Podľa Rozhodnutia </w:t>
      </w:r>
      <w:proofErr w:type="spellStart"/>
      <w:r w:rsidRPr="001803D4">
        <w:t>Eurostatu</w:t>
      </w:r>
      <w:proofErr w:type="spellEnd"/>
      <w:r w:rsidRPr="001803D4">
        <w:t xml:space="preserve"> č.</w:t>
      </w:r>
      <w:r>
        <w:t> </w:t>
      </w:r>
      <w:r w:rsidRPr="001803D4">
        <w:t>22/2005</w:t>
      </w:r>
      <w:r w:rsidR="00BB09F8">
        <w:t xml:space="preserve"> o zaznamenávaní transferov z EÚ</w:t>
      </w:r>
      <w:r w:rsidRPr="001803D4">
        <w:t xml:space="preserve"> do</w:t>
      </w:r>
      <w:r>
        <w:t> </w:t>
      </w:r>
      <w:r w:rsidRPr="001803D4">
        <w:t>členských krajín má byť celkový vplyv E</w:t>
      </w:r>
      <w:r w:rsidR="00BB09F8">
        <w:t>Ú</w:t>
      </w:r>
      <w:r w:rsidRPr="001803D4">
        <w:t xml:space="preserve"> tokov podľa metodiky ESA</w:t>
      </w:r>
      <w:r>
        <w:t> </w:t>
      </w:r>
      <w:r w:rsidRPr="001803D4">
        <w:t>2010 na</w:t>
      </w:r>
      <w:r>
        <w:t> </w:t>
      </w:r>
      <w:r w:rsidRPr="001803D4">
        <w:t>schodok verejnej správy nulový. Upravujúca položka, ktorou sa eliminuje vplyv E</w:t>
      </w:r>
      <w:r w:rsidR="00BB09F8">
        <w:t>Ú</w:t>
      </w:r>
      <w:r w:rsidRPr="001803D4">
        <w:t xml:space="preserve"> fondov na</w:t>
      </w:r>
      <w:r>
        <w:t> </w:t>
      </w:r>
      <w:r w:rsidRPr="001803D4">
        <w:t>saldo verejnej správy mala negatívny vplyv na</w:t>
      </w:r>
      <w:r>
        <w:t> </w:t>
      </w:r>
      <w:r w:rsidRPr="001803D4">
        <w:t>rozpočet vo</w:t>
      </w:r>
      <w:r>
        <w:t> </w:t>
      </w:r>
      <w:r w:rsidRPr="001803D4">
        <w:t>výške 92</w:t>
      </w:r>
      <w:r>
        <w:t> </w:t>
      </w:r>
      <w:r w:rsidRPr="001803D4">
        <w:t>553</w:t>
      </w:r>
      <w:r>
        <w:t> </w:t>
      </w:r>
      <w:r w:rsidRPr="001803D4">
        <w:t>tis.</w:t>
      </w:r>
      <w:r>
        <w:t> </w:t>
      </w:r>
      <w:r w:rsidRPr="001803D4">
        <w:t>eur.</w:t>
      </w:r>
    </w:p>
    <w:p w14:paraId="69619B87" w14:textId="36370509" w:rsidR="00741CF5" w:rsidRDefault="00614751" w:rsidP="00614751">
      <w:r w:rsidRPr="001803D4">
        <w:t xml:space="preserve">Vplyv </w:t>
      </w:r>
      <w:r w:rsidRPr="001803D4">
        <w:rPr>
          <w:b/>
          <w:bCs/>
        </w:rPr>
        <w:t>akruálnych príjmov a výdavkov na</w:t>
      </w:r>
      <w:r>
        <w:rPr>
          <w:b/>
          <w:bCs/>
        </w:rPr>
        <w:t> </w:t>
      </w:r>
      <w:r w:rsidRPr="001803D4">
        <w:rPr>
          <w:b/>
          <w:bCs/>
        </w:rPr>
        <w:t>obsluhu štátneho dlhu</w:t>
      </w:r>
      <w:r w:rsidRPr="001803D4">
        <w:t xml:space="preserve"> predstavoval deficit 11</w:t>
      </w:r>
      <w:r>
        <w:t> </w:t>
      </w:r>
      <w:r w:rsidRPr="001803D4">
        <w:t>151</w:t>
      </w:r>
      <w:r>
        <w:t> </w:t>
      </w:r>
      <w:r w:rsidRPr="001803D4">
        <w:t>tis.</w:t>
      </w:r>
      <w:r>
        <w:t> </w:t>
      </w:r>
      <w:r w:rsidRPr="001803D4">
        <w:t>eur a úspora oproti rozpočtovaným príjmom a výdavkom bola 14</w:t>
      </w:r>
      <w:r>
        <w:t> </w:t>
      </w:r>
      <w:r w:rsidRPr="001803D4">
        <w:t>698</w:t>
      </w:r>
      <w:r>
        <w:t> </w:t>
      </w:r>
      <w:r w:rsidRPr="001803D4">
        <w:t>tis.</w:t>
      </w:r>
      <w:r>
        <w:t> </w:t>
      </w:r>
      <w:r w:rsidRPr="001803D4">
        <w:t>eur. Rozdiel medzi rozpočtovaným a skutočným hotovostným transferom zo</w:t>
      </w:r>
      <w:r>
        <w:t> </w:t>
      </w:r>
      <w:r w:rsidRPr="001803D4">
        <w:t>štátneho rozpočtu na</w:t>
      </w:r>
      <w:r>
        <w:t> </w:t>
      </w:r>
      <w:r w:rsidRPr="001803D4">
        <w:t>saldo účet kapitoly štátny dlh bol vo</w:t>
      </w:r>
      <w:r>
        <w:t> </w:t>
      </w:r>
      <w:r w:rsidRPr="001803D4">
        <w:t>výške 16</w:t>
      </w:r>
      <w:r>
        <w:t> </w:t>
      </w:r>
      <w:r w:rsidRPr="001803D4">
        <w:t>597</w:t>
      </w:r>
      <w:r>
        <w:t> </w:t>
      </w:r>
      <w:r w:rsidRPr="001803D4">
        <w:t>tis.</w:t>
      </w:r>
      <w:r>
        <w:t> </w:t>
      </w:r>
      <w:r w:rsidRPr="001803D4">
        <w:t>eur. Úspora bola dosiahnutá vplyvom monetárnej politi</w:t>
      </w:r>
      <w:r>
        <w:t xml:space="preserve">ky Európskej centrálnej banky </w:t>
      </w:r>
      <w:r w:rsidRPr="0042021A">
        <w:t>a</w:t>
      </w:r>
      <w:r>
        <w:t> </w:t>
      </w:r>
      <w:r w:rsidRPr="0042021A">
        <w:t>domácimi</w:t>
      </w:r>
      <w:r w:rsidRPr="001803D4">
        <w:t xml:space="preserve"> makroekonomickými </w:t>
      </w:r>
      <w:r w:rsidRPr="00741CF5">
        <w:t>fundamentami.</w:t>
      </w:r>
    </w:p>
    <w:p w14:paraId="243DAAB9" w14:textId="60988260" w:rsidR="00614751" w:rsidRPr="00B37EA2" w:rsidRDefault="00614751" w:rsidP="00614751">
      <w:r w:rsidRPr="00B37EA2">
        <w:t xml:space="preserve">Schválený rozpočet </w:t>
      </w:r>
      <w:r w:rsidRPr="00B37EA2">
        <w:rPr>
          <w:b/>
        </w:rPr>
        <w:t>výdavkov na</w:t>
      </w:r>
      <w:r>
        <w:rPr>
          <w:b/>
        </w:rPr>
        <w:t> </w:t>
      </w:r>
      <w:r w:rsidRPr="00B37EA2">
        <w:rPr>
          <w:b/>
        </w:rPr>
        <w:t>sociálne poistenie</w:t>
      </w:r>
      <w:r w:rsidRPr="00B37EA2">
        <w:t xml:space="preserve"> bol vo</w:t>
      </w:r>
      <w:r>
        <w:t> </w:t>
      </w:r>
      <w:r w:rsidRPr="00B37EA2">
        <w:t>výške 7</w:t>
      </w:r>
      <w:r>
        <w:t> </w:t>
      </w:r>
      <w:r w:rsidRPr="00B37EA2">
        <w:t>867</w:t>
      </w:r>
      <w:r>
        <w:t> </w:t>
      </w:r>
      <w:r w:rsidRPr="00B37EA2">
        <w:t>087 tis. eur, dosiahnutá skutočnosť predstavovala sumu 7</w:t>
      </w:r>
      <w:r>
        <w:t> </w:t>
      </w:r>
      <w:r w:rsidRPr="00B37EA2">
        <w:t>943</w:t>
      </w:r>
      <w:r>
        <w:t> </w:t>
      </w:r>
      <w:r w:rsidRPr="00B37EA2">
        <w:t>758 tis. eur. Výdavky na</w:t>
      </w:r>
      <w:r>
        <w:t> </w:t>
      </w:r>
      <w:r w:rsidRPr="00B37EA2">
        <w:t>sociálne poistenie boli očistené o vplyv poistného zaplateného v roku 2017, ktoré súviselo s rokom 2018 o</w:t>
      </w:r>
      <w:r>
        <w:t> </w:t>
      </w:r>
      <w:r w:rsidRPr="00B37EA2">
        <w:t>675</w:t>
      </w:r>
      <w:r>
        <w:t> </w:t>
      </w:r>
      <w:r w:rsidRPr="00B37EA2">
        <w:t>tis.</w:t>
      </w:r>
      <w:r>
        <w:t> </w:t>
      </w:r>
      <w:r w:rsidRPr="00B37EA2">
        <w:t>eur. Výsledkom boli zvýšené výdavky na</w:t>
      </w:r>
      <w:r>
        <w:t> </w:t>
      </w:r>
      <w:r w:rsidRPr="00B37EA2">
        <w:t>sociálnom poistení o</w:t>
      </w:r>
      <w:r>
        <w:t> </w:t>
      </w:r>
      <w:r w:rsidRPr="00B37EA2">
        <w:t>75</w:t>
      </w:r>
      <w:r>
        <w:t> </w:t>
      </w:r>
      <w:r w:rsidRPr="00B37EA2">
        <w:t>996 tis. eur oproti schválenému rozpočtu.</w:t>
      </w:r>
    </w:p>
    <w:p w14:paraId="6CCB4E26" w14:textId="033929EB" w:rsidR="00614751" w:rsidRDefault="00AB7C7E" w:rsidP="00614751">
      <w:r w:rsidRPr="00A265D6">
        <w:rPr>
          <w:rFonts w:eastAsia="Times New Roman" w:cs="Times New Roman"/>
          <w:b/>
          <w:color w:val="000000"/>
          <w:sz w:val="20"/>
          <w:szCs w:val="20"/>
          <w:lang w:eastAsia="sk-SK"/>
        </w:rPr>
        <w:t>Výdavky verejného zdravotného poistenia</w:t>
      </w:r>
      <w:r w:rsidRPr="00A265D6">
        <w:rPr>
          <w:rFonts w:eastAsia="Times New Roman" w:cs="Times New Roman"/>
          <w:color w:val="000000"/>
          <w:sz w:val="20"/>
          <w:szCs w:val="20"/>
          <w:lang w:eastAsia="sk-SK"/>
        </w:rPr>
        <w:t xml:space="preserve"> (zdravotná starostlivosť) </w:t>
      </w:r>
      <w:r w:rsidR="00614751" w:rsidRPr="00A265D6">
        <w:t>boli rozpočtované v sume 4 46</w:t>
      </w:r>
      <w:r w:rsidR="00BA7D90" w:rsidRPr="00A265D6">
        <w:t>6</w:t>
      </w:r>
      <w:r w:rsidR="00614751" w:rsidRPr="00A265D6">
        <w:t> 880 tis. eur, skutočnosť však bola o 2</w:t>
      </w:r>
      <w:r w:rsidR="00370CC4" w:rsidRPr="00A265D6">
        <w:t>1</w:t>
      </w:r>
      <w:r w:rsidR="00614751" w:rsidRPr="00A265D6">
        <w:t> 160 tis. eur vyššia.</w:t>
      </w:r>
      <w:r w:rsidR="00614751" w:rsidRPr="00A265D6">
        <w:rPr>
          <w:color w:val="FF0000"/>
        </w:rPr>
        <w:t xml:space="preserve"> </w:t>
      </w:r>
      <w:r w:rsidR="00614751" w:rsidRPr="00A265D6">
        <w:t xml:space="preserve">Celkový </w:t>
      </w:r>
      <w:r w:rsidR="00BC3049" w:rsidRPr="00A265D6">
        <w:t>výsledok</w:t>
      </w:r>
      <w:r w:rsidR="00614751" w:rsidRPr="00A265D6">
        <w:t xml:space="preserve"> bol oproti</w:t>
      </w:r>
      <w:r w:rsidR="00614751" w:rsidRPr="00B37EA2">
        <w:t xml:space="preserve"> rozpočtu nižší</w:t>
      </w:r>
      <w:r w:rsidR="00614751">
        <w:t xml:space="preserve"> </w:t>
      </w:r>
      <w:r w:rsidR="00614751" w:rsidRPr="00B37EA2">
        <w:t>o</w:t>
      </w:r>
      <w:r w:rsidR="00614751">
        <w:t> </w:t>
      </w:r>
      <w:r w:rsidR="00614751" w:rsidRPr="00B37EA2">
        <w:t>121</w:t>
      </w:r>
      <w:r w:rsidR="00614751">
        <w:t> </w:t>
      </w:r>
      <w:r w:rsidR="00614751" w:rsidRPr="00B37EA2">
        <w:t>428</w:t>
      </w:r>
      <w:r w:rsidR="00614751">
        <w:t> </w:t>
      </w:r>
      <w:r w:rsidR="00614751" w:rsidRPr="00B37EA2">
        <w:t>tis.</w:t>
      </w:r>
      <w:r w:rsidR="00614751">
        <w:t> </w:t>
      </w:r>
      <w:r w:rsidR="00614751" w:rsidRPr="00B37EA2">
        <w:t>eur. Na</w:t>
      </w:r>
      <w:r w:rsidR="00614751">
        <w:t> </w:t>
      </w:r>
      <w:r w:rsidR="00614751" w:rsidRPr="00B37EA2">
        <w:t>hospodárenie negatívne vplýval aj</w:t>
      </w:r>
      <w:r w:rsidR="00614751">
        <w:t xml:space="preserve"> </w:t>
      </w:r>
      <w:r w:rsidR="00614751" w:rsidRPr="00B37EA2">
        <w:t>výdavkový transfer z verejnej časti zdravotného poistenia do</w:t>
      </w:r>
      <w:r w:rsidR="00614751">
        <w:t> </w:t>
      </w:r>
      <w:r w:rsidR="00614751" w:rsidRPr="00B37EA2">
        <w:t>súkromnej časti zdravotných poisťovní (splátka istiny úveru a výplata dividend akcionárom a platba za</w:t>
      </w:r>
      <w:r w:rsidR="00614751">
        <w:t> </w:t>
      </w:r>
      <w:r w:rsidR="00614751" w:rsidRPr="00B37EA2">
        <w:t>správu verejného zdravotného poistenia) spolu vo</w:t>
      </w:r>
      <w:r w:rsidR="00614751">
        <w:t> </w:t>
      </w:r>
      <w:r w:rsidR="00614751" w:rsidRPr="00B37EA2">
        <w:t>výške 167</w:t>
      </w:r>
      <w:r w:rsidR="00614751">
        <w:t> </w:t>
      </w:r>
      <w:r w:rsidR="00614751" w:rsidRPr="00B37EA2">
        <w:t>853</w:t>
      </w:r>
      <w:r w:rsidR="00614751">
        <w:t> </w:t>
      </w:r>
      <w:r w:rsidR="00614751" w:rsidRPr="00B37EA2">
        <w:t>tis.</w:t>
      </w:r>
      <w:r w:rsidR="00614751">
        <w:t> </w:t>
      </w:r>
      <w:r w:rsidR="00614751" w:rsidRPr="00B37EA2">
        <w:t>eur.</w:t>
      </w:r>
      <w:r w:rsidR="00614751">
        <w:t xml:space="preserve"> </w:t>
      </w:r>
    </w:p>
    <w:p w14:paraId="1E8102FA" w14:textId="77777777" w:rsidR="0004106B" w:rsidRDefault="0004106B">
      <w:pPr>
        <w:spacing w:after="160" w:line="259" w:lineRule="auto"/>
        <w:jc w:val="left"/>
      </w:pPr>
      <w:r>
        <w:br w:type="page"/>
      </w:r>
    </w:p>
    <w:p w14:paraId="4E820AEE" w14:textId="0B53877A" w:rsidR="00614751" w:rsidRDefault="00614751" w:rsidP="00614751">
      <w:r w:rsidRPr="00B37EA2">
        <w:t>Na</w:t>
      </w:r>
      <w:r>
        <w:t> </w:t>
      </w:r>
      <w:r w:rsidRPr="00B37EA2">
        <w:t xml:space="preserve">zhoršenie hospodárenia </w:t>
      </w:r>
      <w:r w:rsidRPr="00B37EA2">
        <w:rPr>
          <w:b/>
        </w:rPr>
        <w:t>Národnej diaľničnej spoločnosti</w:t>
      </w:r>
      <w:r w:rsidRPr="00B37EA2">
        <w:t xml:space="preserve"> o 24 716 tis. eur oproti rozpočtu vplývalo zvýšenie výdavkov na</w:t>
      </w:r>
      <w:r>
        <w:t> </w:t>
      </w:r>
      <w:r w:rsidRPr="00B37EA2">
        <w:t xml:space="preserve">obstarávanie kapitálových aktív ako aj nárast záväzkov voči dodávateľom z dôvodu väčšej rozostavanosti diaľnic a rýchlostných ciest. </w:t>
      </w:r>
      <w:r>
        <w:t>Negatívny vplyv malo</w:t>
      </w:r>
      <w:r w:rsidRPr="00B37EA2">
        <w:t xml:space="preserve"> aj zníženie pohľadávok súvisiacich s realizáciou systému elektronického mýta.</w:t>
      </w:r>
      <w:r>
        <w:t xml:space="preserve"> </w:t>
      </w:r>
    </w:p>
    <w:p w14:paraId="6DEA2181" w14:textId="50511C46" w:rsidR="00614751" w:rsidRDefault="00614751" w:rsidP="00614751">
      <w:pPr>
        <w:rPr>
          <w:rFonts w:cs="Times New Roman"/>
        </w:rPr>
      </w:pPr>
      <w:r w:rsidRPr="00D43929">
        <w:rPr>
          <w:b/>
        </w:rPr>
        <w:t>Železnice Slovenskej republiky</w:t>
      </w:r>
      <w:r w:rsidRPr="00D43929">
        <w:t xml:space="preserve"> hospodárili oproti rozpočtu verejnej správy lepšie o 10 880 tis. eur, čo bolo spôsobené najmä prijatím väčšieho objemu grantov, transferov a dotácií zo</w:t>
      </w:r>
      <w:r>
        <w:t> </w:t>
      </w:r>
      <w:r w:rsidRPr="00D43929">
        <w:t>zdrojov EÚ,</w:t>
      </w:r>
      <w:r>
        <w:t xml:space="preserve"> </w:t>
      </w:r>
      <w:r w:rsidRPr="00D43929">
        <w:t>zálohových platieb z programu CEF a</w:t>
      </w:r>
      <w:r>
        <w:t> </w:t>
      </w:r>
      <w:r w:rsidRPr="00D43929">
        <w:t>zo</w:t>
      </w:r>
      <w:r>
        <w:t> </w:t>
      </w:r>
      <w:r w:rsidRPr="00D43929">
        <w:t xml:space="preserve">zdrojov </w:t>
      </w:r>
      <w:r w:rsidRPr="00D43929">
        <w:rPr>
          <w:rFonts w:cs="Times New Roman"/>
        </w:rPr>
        <w:t>štátneho rozpočtu v</w:t>
      </w:r>
      <w:r>
        <w:rPr>
          <w:rFonts w:cs="Times New Roman"/>
        </w:rPr>
        <w:t> </w:t>
      </w:r>
      <w:r w:rsidRPr="00D43929">
        <w:rPr>
          <w:rFonts w:cs="Times New Roman"/>
        </w:rPr>
        <w:t>nadväznosti na</w:t>
      </w:r>
      <w:r>
        <w:rPr>
          <w:rFonts w:cs="Times New Roman"/>
        </w:rPr>
        <w:t> </w:t>
      </w:r>
      <w:r w:rsidRPr="00D43929">
        <w:rPr>
          <w:rFonts w:cs="Times New Roman"/>
        </w:rPr>
        <w:t>uvoľnenie finančných prostriedkov, ktoré boli viazané v predchádzajúcom roku na</w:t>
      </w:r>
      <w:r>
        <w:rPr>
          <w:rFonts w:cs="Times New Roman"/>
        </w:rPr>
        <w:t> </w:t>
      </w:r>
      <w:r w:rsidRPr="00D43929">
        <w:rPr>
          <w:rFonts w:cs="Times New Roman"/>
        </w:rPr>
        <w:t>použitie výdavkov do</w:t>
      </w:r>
      <w:r>
        <w:rPr>
          <w:rFonts w:cs="Times New Roman"/>
        </w:rPr>
        <w:t> </w:t>
      </w:r>
      <w:r w:rsidRPr="00D43929">
        <w:rPr>
          <w:rFonts w:cs="Times New Roman"/>
        </w:rPr>
        <w:t>nasledujúcich rokov</w:t>
      </w:r>
      <w:r w:rsidRPr="00D43929">
        <w:t>. Pozitívny vplyv na</w:t>
      </w:r>
      <w:r>
        <w:t> </w:t>
      </w:r>
      <w:r w:rsidRPr="00D43929">
        <w:t xml:space="preserve">hospodárenie mal aj </w:t>
      </w:r>
      <w:r w:rsidRPr="00D43929">
        <w:rPr>
          <w:rFonts w:cs="Times New Roman"/>
        </w:rPr>
        <w:t>nárast pohľadávok z titulu vyššej fakturácie dopravcom z dôvodu vyčerpania limitu poskytovaných kompenzácií</w:t>
      </w:r>
      <w:r w:rsidR="008978E7">
        <w:rPr>
          <w:rFonts w:cs="Times New Roman"/>
        </w:rPr>
        <w:t>.</w:t>
      </w:r>
      <w:r w:rsidRPr="00D43929">
        <w:rPr>
          <w:rFonts w:cs="Times New Roman"/>
        </w:rPr>
        <w:t xml:space="preserve"> </w:t>
      </w:r>
    </w:p>
    <w:p w14:paraId="4A1431EC" w14:textId="77777777" w:rsidR="00614751" w:rsidRPr="00223682" w:rsidRDefault="00614751" w:rsidP="00614751">
      <w:pPr>
        <w:rPr>
          <w:b/>
        </w:rPr>
      </w:pPr>
      <w:r w:rsidRPr="00D43929">
        <w:rPr>
          <w:b/>
        </w:rPr>
        <w:t>Príspevkové organizácie ústrednej správy</w:t>
      </w:r>
      <w:r w:rsidRPr="00D43929">
        <w:t xml:space="preserve"> dosiahli lepšie hospodárenie o</w:t>
      </w:r>
      <w:r>
        <w:t> </w:t>
      </w:r>
      <w:r w:rsidRPr="00D43929">
        <w:t>14</w:t>
      </w:r>
      <w:r>
        <w:t> </w:t>
      </w:r>
      <w:r w:rsidRPr="00D43929">
        <w:t>097</w:t>
      </w:r>
      <w:r>
        <w:t> </w:t>
      </w:r>
      <w:r w:rsidRPr="00D43929">
        <w:t>tis.</w:t>
      </w:r>
      <w:r>
        <w:t> </w:t>
      </w:r>
      <w:r w:rsidRPr="00D43929">
        <w:t>eur oproti rozpočtu, čo bolo spôsobené najmä pridelením väčšieho objemu grantov ako predpokladal rozpočet.</w:t>
      </w:r>
    </w:p>
    <w:p w14:paraId="03CBFF7B" w14:textId="71C12A5B" w:rsidR="00614751" w:rsidRPr="00D43929" w:rsidRDefault="00614751" w:rsidP="00614751">
      <w:r w:rsidRPr="00D43929">
        <w:t>Na</w:t>
      </w:r>
      <w:r>
        <w:t> </w:t>
      </w:r>
      <w:r w:rsidRPr="00D43929">
        <w:t xml:space="preserve">pozitívne hospodárenie </w:t>
      </w:r>
      <w:r w:rsidRPr="00D43929">
        <w:rPr>
          <w:b/>
        </w:rPr>
        <w:t>Slovenského pozemkového fondu</w:t>
      </w:r>
      <w:r w:rsidRPr="00D43929">
        <w:t xml:space="preserve"> o 11 414 tis.</w:t>
      </w:r>
      <w:r>
        <w:t> </w:t>
      </w:r>
      <w:r w:rsidRPr="00D43929">
        <w:t xml:space="preserve">eur oproti rozpočtu </w:t>
      </w:r>
      <w:r w:rsidRPr="00A265D6">
        <w:t>mal vplyv vyšší príjem z predaja pozemkov o 7 44</w:t>
      </w:r>
      <w:r w:rsidR="00662B40" w:rsidRPr="00A265D6">
        <w:t>9</w:t>
      </w:r>
      <w:r w:rsidRPr="00A265D6">
        <w:t> tis. eur a nižšie výdavky na nákup softvéru o 2 </w:t>
      </w:r>
      <w:r w:rsidR="00662B40" w:rsidRPr="00A265D6">
        <w:t>128</w:t>
      </w:r>
      <w:r w:rsidRPr="00A265D6">
        <w:t> tis. eur.</w:t>
      </w:r>
      <w:r w:rsidRPr="00D43929">
        <w:t xml:space="preserve"> </w:t>
      </w:r>
    </w:p>
    <w:p w14:paraId="4414D5DE" w14:textId="77777777" w:rsidR="00614751" w:rsidRPr="00D46652" w:rsidRDefault="00614751" w:rsidP="00614751">
      <w:r w:rsidRPr="00D43929">
        <w:t>Hospodárenie</w:t>
      </w:r>
      <w:r w:rsidRPr="00D43929">
        <w:rPr>
          <w:b/>
        </w:rPr>
        <w:t xml:space="preserve"> Verejných vysokých škôl </w:t>
      </w:r>
      <w:r w:rsidRPr="00D43929">
        <w:t>bolo lepšie oproti rozpočtu o 31</w:t>
      </w:r>
      <w:r>
        <w:t> </w:t>
      </w:r>
      <w:r w:rsidRPr="00D43929">
        <w:t>622</w:t>
      </w:r>
      <w:r>
        <w:t> </w:t>
      </w:r>
      <w:r w:rsidRPr="00D43929">
        <w:t>tis.</w:t>
      </w:r>
      <w:r>
        <w:t> </w:t>
      </w:r>
      <w:r w:rsidRPr="00D43929">
        <w:t>eur, čo bolo spôsobené vyšším príjmom z</w:t>
      </w:r>
      <w:r>
        <w:t> </w:t>
      </w:r>
      <w:r w:rsidRPr="00D43929">
        <w:t>administratívnych poplatkov, najmä školné od</w:t>
      </w:r>
      <w:r>
        <w:t> </w:t>
      </w:r>
      <w:r w:rsidRPr="00D43929">
        <w:t>zahraničných študentov, za</w:t>
      </w:r>
      <w:r>
        <w:t> </w:t>
      </w:r>
      <w:r w:rsidRPr="00D43929">
        <w:t>externé štúdium, štipendiá a taktiež vyššie granty zo</w:t>
      </w:r>
      <w:r>
        <w:t> </w:t>
      </w:r>
      <w:r w:rsidRPr="00D43929">
        <w:t>štátneho rozpočtu na</w:t>
      </w:r>
      <w:r>
        <w:t> </w:t>
      </w:r>
      <w:r w:rsidRPr="00D43929">
        <w:t>valorizáciu platov a rekonštrukcie internátov.</w:t>
      </w:r>
      <w:r w:rsidRPr="00D46652">
        <w:t xml:space="preserve"> </w:t>
      </w:r>
    </w:p>
    <w:p w14:paraId="6E5D8AB9" w14:textId="7CB42129" w:rsidR="00614751" w:rsidRPr="004179B8" w:rsidRDefault="00614751" w:rsidP="00614751">
      <w:r w:rsidRPr="00D43929">
        <w:rPr>
          <w:b/>
        </w:rPr>
        <w:t>Zdravotnícke zariadenia</w:t>
      </w:r>
      <w:r w:rsidRPr="00D43929">
        <w:t xml:space="preserve"> zaradené do</w:t>
      </w:r>
      <w:r>
        <w:t> </w:t>
      </w:r>
      <w:r w:rsidRPr="00D43929">
        <w:t>verejnej správy dosiahli prebytok 142</w:t>
      </w:r>
      <w:r>
        <w:t> </w:t>
      </w:r>
      <w:r w:rsidRPr="00D43929">
        <w:t>595</w:t>
      </w:r>
      <w:r>
        <w:t> </w:t>
      </w:r>
      <w:r w:rsidRPr="00D43929">
        <w:t>tis.</w:t>
      </w:r>
      <w:r>
        <w:t> </w:t>
      </w:r>
      <w:r w:rsidRPr="00D43929">
        <w:t>eur, čo predstavuje zlepšenie hospodárenia oproti rozpočtu o</w:t>
      </w:r>
      <w:r>
        <w:t> </w:t>
      </w:r>
      <w:r w:rsidRPr="00D43929">
        <w:t>159</w:t>
      </w:r>
      <w:r>
        <w:t> </w:t>
      </w:r>
      <w:r w:rsidRPr="00D43929">
        <w:t>235</w:t>
      </w:r>
      <w:r>
        <w:t> </w:t>
      </w:r>
      <w:r w:rsidRPr="00D43929">
        <w:t>tis.</w:t>
      </w:r>
      <w:r>
        <w:t> </w:t>
      </w:r>
      <w:r w:rsidRPr="00D43929">
        <w:t>eur. Z toho zdravotnícke zariadenia zaradené do</w:t>
      </w:r>
      <w:r>
        <w:t> </w:t>
      </w:r>
      <w:r w:rsidRPr="00D43929">
        <w:t>ús</w:t>
      </w:r>
      <w:r>
        <w:t>trednej správy hospodárili s </w:t>
      </w:r>
      <w:r w:rsidRPr="00D43929">
        <w:t>prebytkom 129</w:t>
      </w:r>
      <w:r>
        <w:t> </w:t>
      </w:r>
      <w:r w:rsidRPr="00D43929">
        <w:t>996</w:t>
      </w:r>
      <w:r>
        <w:t> tis. eur a </w:t>
      </w:r>
      <w:r w:rsidRPr="00D43929">
        <w:t>zdravotnícke zariadenia zaradené do</w:t>
      </w:r>
      <w:r>
        <w:t> </w:t>
      </w:r>
      <w:r w:rsidRPr="00D43929">
        <w:t>miestnej samosprávy hospodárili s</w:t>
      </w:r>
      <w:r>
        <w:t> </w:t>
      </w:r>
      <w:r w:rsidRPr="00D43929">
        <w:t>prebytkom 12</w:t>
      </w:r>
      <w:r>
        <w:t> </w:t>
      </w:r>
      <w:r w:rsidRPr="00D43929">
        <w:t xml:space="preserve">599 tis. eur. Rozdiel oproti rozpočtu je spôsobený najmä </w:t>
      </w:r>
      <w:r w:rsidR="0023176D">
        <w:t xml:space="preserve">realizáciou </w:t>
      </w:r>
      <w:r>
        <w:t>I. </w:t>
      </w:r>
      <w:r w:rsidRPr="00D43929">
        <w:t>etap</w:t>
      </w:r>
      <w:r w:rsidR="0023176D">
        <w:t>y</w:t>
      </w:r>
      <w:r w:rsidRPr="00D43929">
        <w:t xml:space="preserve"> oddlžovania</w:t>
      </w:r>
      <w:r w:rsidR="00873ED9">
        <w:t xml:space="preserve"> v súlade s Koncepciou oddlženia</w:t>
      </w:r>
      <w:r w:rsidR="0023176D">
        <w:t xml:space="preserve"> zdravotníckych zariadení</w:t>
      </w:r>
      <w:r w:rsidR="00EC358D">
        <w:t xml:space="preserve"> schválenej vládou SR v roku 2017</w:t>
      </w:r>
      <w:r w:rsidR="00EC358D">
        <w:rPr>
          <w:rStyle w:val="Odkaznapoznmkupodiarou"/>
        </w:rPr>
        <w:footnoteReference w:id="14"/>
      </w:r>
      <w:r w:rsidRPr="00D43929">
        <w:t xml:space="preserve">, </w:t>
      </w:r>
      <w:r w:rsidR="0023176D">
        <w:t>čo spôsobilo</w:t>
      </w:r>
      <w:r w:rsidRPr="00D43929">
        <w:t xml:space="preserve"> </w:t>
      </w:r>
      <w:r w:rsidR="0023176D">
        <w:t xml:space="preserve">pokles </w:t>
      </w:r>
      <w:r w:rsidRPr="00D43929">
        <w:t>celkových záväzkov o 97</w:t>
      </w:r>
      <w:r>
        <w:t> </w:t>
      </w:r>
      <w:r w:rsidRPr="00D43929">
        <w:t>605</w:t>
      </w:r>
      <w:r>
        <w:t> </w:t>
      </w:r>
      <w:r w:rsidRPr="00D43929">
        <w:t>tis.</w:t>
      </w:r>
      <w:r>
        <w:t> </w:t>
      </w:r>
      <w:r w:rsidRPr="00D43929">
        <w:t>eur.</w:t>
      </w:r>
    </w:p>
    <w:p w14:paraId="159FDCB0" w14:textId="75FFE8E3" w:rsidR="00614751" w:rsidRPr="004247AE" w:rsidRDefault="00614751" w:rsidP="00614751">
      <w:pPr>
        <w:rPr>
          <w:highlight w:val="lightGray"/>
        </w:rPr>
      </w:pPr>
      <w:r w:rsidRPr="00253679">
        <w:rPr>
          <w:b/>
        </w:rPr>
        <w:t xml:space="preserve">Územná samospráva </w:t>
      </w:r>
      <w:r w:rsidRPr="00253679">
        <w:t>dosiahla prebytok 117</w:t>
      </w:r>
      <w:r>
        <w:t> </w:t>
      </w:r>
      <w:r w:rsidRPr="00253679">
        <w:t>159</w:t>
      </w:r>
      <w:r>
        <w:t> </w:t>
      </w:r>
      <w:r w:rsidRPr="00253679">
        <w:t>tis.</w:t>
      </w:r>
      <w:r>
        <w:t> </w:t>
      </w:r>
      <w:r w:rsidRPr="00253679">
        <w:t xml:space="preserve">eur, čo </w:t>
      </w:r>
      <w:r w:rsidR="00F95C2E">
        <w:t xml:space="preserve">však </w:t>
      </w:r>
      <w:r w:rsidRPr="00253679">
        <w:t xml:space="preserve">predstavuje </w:t>
      </w:r>
      <w:r w:rsidR="00D71C66">
        <w:t>negatívny rozdiel</w:t>
      </w:r>
      <w:r w:rsidRPr="00253679">
        <w:t xml:space="preserve"> oproti rozpočtu o</w:t>
      </w:r>
      <w:r>
        <w:t> </w:t>
      </w:r>
      <w:r w:rsidRPr="00253679">
        <w:t>156</w:t>
      </w:r>
      <w:r>
        <w:t> </w:t>
      </w:r>
      <w:r w:rsidRPr="00253679">
        <w:t>116 tis. eur. Výšku prebytku negatívne ovplyvnilo hospodáreni</w:t>
      </w:r>
      <w:r>
        <w:t xml:space="preserve">e obcí, ktoré </w:t>
      </w:r>
      <w:r w:rsidR="002B6E3F">
        <w:t xml:space="preserve">úhrnom </w:t>
      </w:r>
      <w:r>
        <w:t xml:space="preserve">dosiahli schodok </w:t>
      </w:r>
      <w:r w:rsidRPr="00253679">
        <w:t>20</w:t>
      </w:r>
      <w:r>
        <w:t> </w:t>
      </w:r>
      <w:r w:rsidRPr="00253679">
        <w:t>335</w:t>
      </w:r>
      <w:r>
        <w:t> </w:t>
      </w:r>
      <w:r w:rsidRPr="00253679">
        <w:t>tis.</w:t>
      </w:r>
      <w:r>
        <w:t xml:space="preserve"> eur, </w:t>
      </w:r>
      <w:r w:rsidRPr="00253679">
        <w:t>a to hlavne zvýšením bežných výdavkov na</w:t>
      </w:r>
      <w:r>
        <w:t> </w:t>
      </w:r>
      <w:r w:rsidRPr="00253679">
        <w:t>mzdy, platy a </w:t>
      </w:r>
      <w:r w:rsidR="00444209">
        <w:rPr>
          <w:lang w:eastAsia="sk-SK"/>
        </w:rPr>
        <w:t>OOV</w:t>
      </w:r>
      <w:r w:rsidRPr="00253679">
        <w:t>, výdavkov na</w:t>
      </w:r>
      <w:r>
        <w:t> </w:t>
      </w:r>
      <w:r w:rsidRPr="00253679">
        <w:t>tovary a služby a výdavkov na</w:t>
      </w:r>
      <w:r>
        <w:t> </w:t>
      </w:r>
      <w:r w:rsidRPr="00253679">
        <w:t>obstarávanie kapitálových aktív. Obce investovali najmä do</w:t>
      </w:r>
      <w:r>
        <w:t> </w:t>
      </w:r>
      <w:r w:rsidRPr="00253679">
        <w:t>rekonštrukcie a výstavby infraštruktúry (kanalizácie, nájomné byty, komunikácie). Pri</w:t>
      </w:r>
      <w:r>
        <w:t> </w:t>
      </w:r>
      <w:r w:rsidRPr="00253679">
        <w:t>kapitálových výdavkoch bolo vyššie krytie z úverových zdrojov, spolufinancovanie z prostriedkov EÚ a z prostriedkov minulých rokov. Negatívny vplyv mal aj pokles pohľadávok z nedaňových príjmov a nárast záväzkov na</w:t>
      </w:r>
      <w:r>
        <w:t> </w:t>
      </w:r>
      <w:r w:rsidRPr="00253679">
        <w:t>obstarávanie kapitálových aktív. V príjmovej časti boli dosiahnuté nižšie kapitálové príjmy oproti rozpočtu. VÚC pozitívne vplývali na</w:t>
      </w:r>
      <w:r>
        <w:t> </w:t>
      </w:r>
      <w:r w:rsidRPr="00253679">
        <w:t xml:space="preserve">prebytok sumou </w:t>
      </w:r>
      <w:r>
        <w:t>104 </w:t>
      </w:r>
      <w:r w:rsidRPr="00253679">
        <w:t>630</w:t>
      </w:r>
      <w:r>
        <w:t> </w:t>
      </w:r>
      <w:r w:rsidRPr="00253679">
        <w:t>tis.</w:t>
      </w:r>
      <w:r>
        <w:t> </w:t>
      </w:r>
      <w:r w:rsidRPr="00253679">
        <w:t>eur najmä z dôvodu poklesu záväzkov. Mierny prebytok zaznamenali príspevkové organizácie obcí, príspevkové organizácie VÚC a ostatné subjekty miestnej samosprávy</w:t>
      </w:r>
      <w:r>
        <w:t>. Za </w:t>
      </w:r>
      <w:r w:rsidRPr="00630450">
        <w:t>územnú samosprávu sa v tomto prípade považujú samotné obce, vyššie územné celky a ich rozpočtové a príspevkové organizácie, dopravné podniky samosprávy, zdravotnícke zariadenia a ostatné subjekty miestnej samosprávy.</w:t>
      </w:r>
    </w:p>
    <w:p w14:paraId="68585F74" w14:textId="77777777" w:rsidR="00614751" w:rsidRDefault="00614751" w:rsidP="00614751">
      <w:pPr>
        <w:spacing w:after="0"/>
      </w:pPr>
      <w:r w:rsidRPr="00253679">
        <w:t>Saldo verejnej správy podľa jednotlivých subjektov v roku 2018 obsahuje nasledovná tabuľka.</w:t>
      </w:r>
    </w:p>
    <w:tbl>
      <w:tblPr>
        <w:tblW w:w="8858" w:type="dxa"/>
        <w:tblCellMar>
          <w:left w:w="70" w:type="dxa"/>
          <w:right w:w="70" w:type="dxa"/>
        </w:tblCellMar>
        <w:tblLook w:val="04A0" w:firstRow="1" w:lastRow="0" w:firstColumn="1" w:lastColumn="0" w:noHBand="0" w:noVBand="1"/>
      </w:tblPr>
      <w:tblGrid>
        <w:gridCol w:w="190"/>
        <w:gridCol w:w="190"/>
        <w:gridCol w:w="3466"/>
        <w:gridCol w:w="1025"/>
        <w:gridCol w:w="1025"/>
        <w:gridCol w:w="1022"/>
        <w:gridCol w:w="1025"/>
        <w:gridCol w:w="915"/>
      </w:tblGrid>
      <w:tr w:rsidR="00614751" w:rsidRPr="003163F9" w14:paraId="664E6E90" w14:textId="77777777" w:rsidTr="00614751">
        <w:trPr>
          <w:trHeight w:val="327"/>
        </w:trPr>
        <w:tc>
          <w:tcPr>
            <w:tcW w:w="4871" w:type="dxa"/>
            <w:gridSpan w:val="4"/>
            <w:tcBorders>
              <w:top w:val="nil"/>
              <w:left w:val="nil"/>
              <w:bottom w:val="single" w:sz="4" w:space="0" w:color="auto"/>
              <w:right w:val="nil"/>
            </w:tcBorders>
            <w:shd w:val="clear" w:color="000000" w:fill="000000"/>
            <w:noWrap/>
            <w:vAlign w:val="center"/>
            <w:hideMark/>
          </w:tcPr>
          <w:p w14:paraId="036BFBB3" w14:textId="77777777" w:rsidR="00614751" w:rsidRPr="003163F9" w:rsidRDefault="00614751" w:rsidP="004A5585">
            <w:pPr>
              <w:spacing w:after="0" w:line="240" w:lineRule="auto"/>
              <w:jc w:val="left"/>
              <w:rPr>
                <w:rFonts w:eastAsia="Times New Roman" w:cs="Times New Roman"/>
                <w:b/>
                <w:bCs/>
                <w:color w:val="FFFFFF"/>
                <w:sz w:val="20"/>
                <w:szCs w:val="20"/>
                <w:lang w:eastAsia="sk-SK"/>
              </w:rPr>
            </w:pPr>
            <w:r w:rsidRPr="003163F9">
              <w:rPr>
                <w:rFonts w:eastAsia="Times New Roman" w:cs="Times New Roman"/>
                <w:b/>
                <w:bCs/>
                <w:color w:val="FFFFFF"/>
                <w:sz w:val="20"/>
                <w:szCs w:val="20"/>
                <w:lang w:eastAsia="sk-SK"/>
              </w:rPr>
              <w:t xml:space="preserve">Schodok verejnej správy podľa jednotlivých subjektov </w:t>
            </w:r>
          </w:p>
        </w:tc>
        <w:tc>
          <w:tcPr>
            <w:tcW w:w="1025" w:type="dxa"/>
            <w:tcBorders>
              <w:top w:val="nil"/>
              <w:left w:val="nil"/>
              <w:bottom w:val="single" w:sz="4" w:space="0" w:color="auto"/>
              <w:right w:val="nil"/>
            </w:tcBorders>
            <w:shd w:val="clear" w:color="000000" w:fill="000000"/>
            <w:noWrap/>
            <w:vAlign w:val="center"/>
            <w:hideMark/>
          </w:tcPr>
          <w:p w14:paraId="60A3A29F" w14:textId="77777777" w:rsidR="00614751" w:rsidRPr="003163F9" w:rsidRDefault="00614751" w:rsidP="004A5585">
            <w:pPr>
              <w:spacing w:after="0" w:line="240" w:lineRule="auto"/>
              <w:jc w:val="left"/>
              <w:rPr>
                <w:rFonts w:eastAsia="Times New Roman" w:cs="Times New Roman"/>
                <w:b/>
                <w:bCs/>
                <w:color w:val="FFFFFF"/>
                <w:sz w:val="20"/>
                <w:szCs w:val="20"/>
                <w:lang w:eastAsia="sk-SK"/>
              </w:rPr>
            </w:pPr>
            <w:r w:rsidRPr="003163F9">
              <w:rPr>
                <w:rFonts w:eastAsia="Times New Roman" w:cs="Times New Roman"/>
                <w:b/>
                <w:bCs/>
                <w:color w:val="FFFFFF"/>
                <w:sz w:val="20"/>
                <w:szCs w:val="20"/>
                <w:lang w:eastAsia="sk-SK"/>
              </w:rPr>
              <w:t> </w:t>
            </w:r>
          </w:p>
        </w:tc>
        <w:tc>
          <w:tcPr>
            <w:tcW w:w="1022" w:type="dxa"/>
            <w:tcBorders>
              <w:top w:val="nil"/>
              <w:left w:val="nil"/>
              <w:bottom w:val="single" w:sz="4" w:space="0" w:color="auto"/>
              <w:right w:val="nil"/>
            </w:tcBorders>
            <w:shd w:val="clear" w:color="000000" w:fill="000000"/>
            <w:noWrap/>
            <w:vAlign w:val="center"/>
            <w:hideMark/>
          </w:tcPr>
          <w:p w14:paraId="00A28821" w14:textId="77777777" w:rsidR="00614751" w:rsidRPr="003163F9" w:rsidRDefault="00614751" w:rsidP="004A5585">
            <w:pPr>
              <w:spacing w:after="0" w:line="240" w:lineRule="auto"/>
              <w:jc w:val="left"/>
              <w:rPr>
                <w:rFonts w:eastAsia="Times New Roman" w:cs="Times New Roman"/>
                <w:b/>
                <w:bCs/>
                <w:color w:val="FFFFFF"/>
                <w:sz w:val="20"/>
                <w:szCs w:val="20"/>
                <w:lang w:eastAsia="sk-SK"/>
              </w:rPr>
            </w:pPr>
            <w:r w:rsidRPr="003163F9">
              <w:rPr>
                <w:rFonts w:eastAsia="Times New Roman" w:cs="Times New Roman"/>
                <w:b/>
                <w:bCs/>
                <w:color w:val="FFFFFF"/>
                <w:sz w:val="20"/>
                <w:szCs w:val="20"/>
                <w:lang w:eastAsia="sk-SK"/>
              </w:rPr>
              <w:t> </w:t>
            </w:r>
          </w:p>
        </w:tc>
        <w:tc>
          <w:tcPr>
            <w:tcW w:w="1025" w:type="dxa"/>
            <w:tcBorders>
              <w:top w:val="nil"/>
              <w:left w:val="nil"/>
              <w:bottom w:val="single" w:sz="4" w:space="0" w:color="auto"/>
              <w:right w:val="nil"/>
            </w:tcBorders>
            <w:shd w:val="clear" w:color="000000" w:fill="000000"/>
            <w:noWrap/>
            <w:vAlign w:val="center"/>
            <w:hideMark/>
          </w:tcPr>
          <w:p w14:paraId="764D0FB5" w14:textId="77777777" w:rsidR="00614751" w:rsidRPr="003163F9" w:rsidRDefault="00614751" w:rsidP="004A5585">
            <w:pPr>
              <w:spacing w:after="0" w:line="240" w:lineRule="auto"/>
              <w:jc w:val="left"/>
              <w:rPr>
                <w:rFonts w:eastAsia="Times New Roman" w:cs="Times New Roman"/>
                <w:b/>
                <w:bCs/>
                <w:color w:val="FFFFFF"/>
                <w:sz w:val="20"/>
                <w:szCs w:val="20"/>
                <w:lang w:eastAsia="sk-SK"/>
              </w:rPr>
            </w:pPr>
            <w:r w:rsidRPr="003163F9">
              <w:rPr>
                <w:rFonts w:eastAsia="Times New Roman" w:cs="Times New Roman"/>
                <w:b/>
                <w:bCs/>
                <w:color w:val="FFFFFF"/>
                <w:sz w:val="20"/>
                <w:szCs w:val="20"/>
                <w:lang w:eastAsia="sk-SK"/>
              </w:rPr>
              <w:t> </w:t>
            </w:r>
          </w:p>
        </w:tc>
        <w:tc>
          <w:tcPr>
            <w:tcW w:w="915" w:type="dxa"/>
            <w:tcBorders>
              <w:top w:val="nil"/>
              <w:left w:val="nil"/>
              <w:bottom w:val="nil"/>
              <w:right w:val="single" w:sz="8" w:space="0" w:color="auto"/>
            </w:tcBorders>
            <w:shd w:val="clear" w:color="000000" w:fill="000000"/>
            <w:noWrap/>
            <w:vAlign w:val="center"/>
            <w:hideMark/>
          </w:tcPr>
          <w:p w14:paraId="05609C07" w14:textId="77777777" w:rsidR="00614751" w:rsidRPr="003163F9" w:rsidRDefault="00614751" w:rsidP="004A5585">
            <w:pPr>
              <w:spacing w:after="0" w:line="240" w:lineRule="auto"/>
              <w:jc w:val="right"/>
              <w:rPr>
                <w:rFonts w:eastAsia="Times New Roman" w:cs="Times New Roman"/>
                <w:b/>
                <w:bCs/>
                <w:color w:val="FFFFFF"/>
                <w:sz w:val="20"/>
                <w:szCs w:val="20"/>
                <w:lang w:eastAsia="sk-SK"/>
              </w:rPr>
            </w:pPr>
            <w:r w:rsidRPr="003163F9">
              <w:rPr>
                <w:rFonts w:eastAsia="Times New Roman" w:cs="Times New Roman"/>
                <w:b/>
                <w:bCs/>
                <w:color w:val="FFFFFF"/>
                <w:sz w:val="20"/>
                <w:szCs w:val="20"/>
                <w:lang w:eastAsia="sk-SK"/>
              </w:rPr>
              <w:t>v tis. eur</w:t>
            </w:r>
          </w:p>
        </w:tc>
      </w:tr>
      <w:tr w:rsidR="00614751" w:rsidRPr="003163F9" w14:paraId="28FA9D2C" w14:textId="77777777" w:rsidTr="00614751">
        <w:trPr>
          <w:trHeight w:val="327"/>
        </w:trPr>
        <w:tc>
          <w:tcPr>
            <w:tcW w:w="190" w:type="dxa"/>
            <w:tcBorders>
              <w:top w:val="single" w:sz="4" w:space="0" w:color="auto"/>
              <w:left w:val="nil"/>
              <w:bottom w:val="nil"/>
              <w:right w:val="nil"/>
            </w:tcBorders>
            <w:shd w:val="clear" w:color="000000" w:fill="BFBFBF"/>
            <w:noWrap/>
            <w:vAlign w:val="center"/>
            <w:hideMark/>
          </w:tcPr>
          <w:p w14:paraId="69F48917" w14:textId="77777777" w:rsidR="00614751" w:rsidRPr="003163F9" w:rsidRDefault="00614751" w:rsidP="004A5585">
            <w:pPr>
              <w:spacing w:after="0" w:line="240" w:lineRule="auto"/>
              <w:jc w:val="center"/>
              <w:rPr>
                <w:rFonts w:eastAsia="Times New Roman" w:cs="Times New Roman"/>
                <w:b/>
                <w:bCs/>
                <w:sz w:val="20"/>
                <w:szCs w:val="20"/>
                <w:lang w:eastAsia="sk-SK"/>
              </w:rPr>
            </w:pPr>
            <w:r w:rsidRPr="003163F9">
              <w:rPr>
                <w:rFonts w:eastAsia="Times New Roman" w:cs="Times New Roman"/>
                <w:b/>
                <w:bCs/>
                <w:sz w:val="20"/>
                <w:szCs w:val="20"/>
                <w:lang w:eastAsia="sk-SK"/>
              </w:rPr>
              <w:t> </w:t>
            </w:r>
          </w:p>
        </w:tc>
        <w:tc>
          <w:tcPr>
            <w:tcW w:w="190" w:type="dxa"/>
            <w:tcBorders>
              <w:top w:val="single" w:sz="4" w:space="0" w:color="auto"/>
              <w:left w:val="nil"/>
              <w:bottom w:val="nil"/>
              <w:right w:val="nil"/>
            </w:tcBorders>
            <w:shd w:val="clear" w:color="000000" w:fill="BFBFBF"/>
            <w:noWrap/>
            <w:vAlign w:val="center"/>
            <w:hideMark/>
          </w:tcPr>
          <w:p w14:paraId="653C1E15" w14:textId="77777777" w:rsidR="00614751" w:rsidRPr="003163F9" w:rsidRDefault="00614751" w:rsidP="004A5585">
            <w:pPr>
              <w:spacing w:after="0" w:line="240" w:lineRule="auto"/>
              <w:jc w:val="center"/>
              <w:rPr>
                <w:rFonts w:eastAsia="Times New Roman" w:cs="Times New Roman"/>
                <w:b/>
                <w:bCs/>
                <w:sz w:val="20"/>
                <w:szCs w:val="20"/>
                <w:lang w:eastAsia="sk-SK"/>
              </w:rPr>
            </w:pPr>
            <w:r w:rsidRPr="003163F9">
              <w:rPr>
                <w:rFonts w:eastAsia="Times New Roman" w:cs="Times New Roman"/>
                <w:b/>
                <w:bCs/>
                <w:sz w:val="20"/>
                <w:szCs w:val="20"/>
                <w:lang w:eastAsia="sk-SK"/>
              </w:rPr>
              <w:t> </w:t>
            </w:r>
          </w:p>
        </w:tc>
        <w:tc>
          <w:tcPr>
            <w:tcW w:w="3466" w:type="dxa"/>
            <w:tcBorders>
              <w:top w:val="single" w:sz="4" w:space="0" w:color="auto"/>
              <w:left w:val="nil"/>
              <w:bottom w:val="nil"/>
              <w:right w:val="nil"/>
            </w:tcBorders>
            <w:shd w:val="clear" w:color="000000" w:fill="BFBFBF"/>
            <w:noWrap/>
            <w:vAlign w:val="center"/>
            <w:hideMark/>
          </w:tcPr>
          <w:p w14:paraId="4E5AE697" w14:textId="77777777" w:rsidR="00614751" w:rsidRPr="003163F9" w:rsidRDefault="00614751" w:rsidP="004A5585">
            <w:pPr>
              <w:spacing w:after="0" w:line="240" w:lineRule="auto"/>
              <w:jc w:val="center"/>
              <w:rPr>
                <w:rFonts w:eastAsia="Times New Roman" w:cs="Times New Roman"/>
                <w:b/>
                <w:bCs/>
                <w:sz w:val="20"/>
                <w:szCs w:val="20"/>
                <w:lang w:eastAsia="sk-SK"/>
              </w:rPr>
            </w:pPr>
            <w:r w:rsidRPr="003163F9">
              <w:rPr>
                <w:rFonts w:eastAsia="Times New Roman" w:cs="Times New Roman"/>
                <w:b/>
                <w:bCs/>
                <w:sz w:val="20"/>
                <w:szCs w:val="20"/>
                <w:lang w:eastAsia="sk-SK"/>
              </w:rPr>
              <w:t> </w:t>
            </w:r>
          </w:p>
        </w:tc>
        <w:tc>
          <w:tcPr>
            <w:tcW w:w="1025" w:type="dxa"/>
            <w:tcBorders>
              <w:top w:val="single" w:sz="4" w:space="0" w:color="auto"/>
              <w:left w:val="nil"/>
              <w:bottom w:val="nil"/>
              <w:right w:val="nil"/>
            </w:tcBorders>
            <w:shd w:val="clear" w:color="000000" w:fill="BFBFBF"/>
            <w:noWrap/>
            <w:vAlign w:val="center"/>
            <w:hideMark/>
          </w:tcPr>
          <w:p w14:paraId="2787DD52" w14:textId="77777777" w:rsidR="00614751" w:rsidRDefault="00614751" w:rsidP="00BC3049">
            <w:pPr>
              <w:spacing w:after="0" w:line="240" w:lineRule="auto"/>
              <w:jc w:val="center"/>
              <w:rPr>
                <w:rFonts w:eastAsia="Times New Roman" w:cs="Times New Roman"/>
                <w:b/>
                <w:bCs/>
                <w:sz w:val="20"/>
                <w:szCs w:val="20"/>
                <w:lang w:eastAsia="sk-SK"/>
              </w:rPr>
            </w:pPr>
            <w:r w:rsidRPr="003163F9">
              <w:rPr>
                <w:rFonts w:eastAsia="Times New Roman" w:cs="Times New Roman"/>
                <w:b/>
                <w:bCs/>
                <w:sz w:val="20"/>
                <w:szCs w:val="20"/>
                <w:lang w:eastAsia="sk-SK"/>
              </w:rPr>
              <w:t>2016</w:t>
            </w:r>
          </w:p>
          <w:p w14:paraId="104D1C54" w14:textId="7BC8FCAB" w:rsidR="00BC3049" w:rsidRPr="003163F9" w:rsidRDefault="00BC3049" w:rsidP="00BC3049">
            <w:pPr>
              <w:spacing w:after="0" w:line="240" w:lineRule="auto"/>
              <w:jc w:val="center"/>
              <w:rPr>
                <w:rFonts w:eastAsia="Times New Roman" w:cs="Times New Roman"/>
                <w:b/>
                <w:bCs/>
                <w:sz w:val="20"/>
                <w:szCs w:val="20"/>
                <w:lang w:eastAsia="sk-SK"/>
              </w:rPr>
            </w:pPr>
            <w:r w:rsidRPr="00B27B57">
              <w:rPr>
                <w:rFonts w:eastAsia="Times New Roman" w:cs="Times New Roman"/>
                <w:b/>
                <w:bCs/>
                <w:sz w:val="18"/>
                <w:szCs w:val="18"/>
                <w:lang w:eastAsia="sk-SK"/>
              </w:rPr>
              <w:t>Skutočnosť</w:t>
            </w:r>
          </w:p>
        </w:tc>
        <w:tc>
          <w:tcPr>
            <w:tcW w:w="1025" w:type="dxa"/>
            <w:tcBorders>
              <w:top w:val="single" w:sz="4" w:space="0" w:color="auto"/>
              <w:left w:val="nil"/>
              <w:bottom w:val="nil"/>
              <w:right w:val="nil"/>
            </w:tcBorders>
            <w:shd w:val="clear" w:color="000000" w:fill="BFBFBF"/>
            <w:noWrap/>
            <w:vAlign w:val="center"/>
            <w:hideMark/>
          </w:tcPr>
          <w:p w14:paraId="2DC5D634" w14:textId="77777777" w:rsidR="00614751" w:rsidRDefault="00614751" w:rsidP="00BC3049">
            <w:pPr>
              <w:spacing w:after="0" w:line="240" w:lineRule="auto"/>
              <w:jc w:val="center"/>
              <w:rPr>
                <w:rFonts w:eastAsia="Times New Roman" w:cs="Times New Roman"/>
                <w:b/>
                <w:bCs/>
                <w:sz w:val="20"/>
                <w:szCs w:val="20"/>
                <w:lang w:eastAsia="sk-SK"/>
              </w:rPr>
            </w:pPr>
            <w:r w:rsidRPr="003163F9">
              <w:rPr>
                <w:rFonts w:eastAsia="Times New Roman" w:cs="Times New Roman"/>
                <w:b/>
                <w:bCs/>
                <w:sz w:val="20"/>
                <w:szCs w:val="20"/>
                <w:lang w:eastAsia="sk-SK"/>
              </w:rPr>
              <w:t>2017</w:t>
            </w:r>
          </w:p>
          <w:p w14:paraId="79448473" w14:textId="0CA2FA21" w:rsidR="00BC3049" w:rsidRPr="003163F9" w:rsidRDefault="00BC3049" w:rsidP="00BC3049">
            <w:pPr>
              <w:spacing w:after="0" w:line="240" w:lineRule="auto"/>
              <w:jc w:val="center"/>
              <w:rPr>
                <w:rFonts w:eastAsia="Times New Roman" w:cs="Times New Roman"/>
                <w:b/>
                <w:bCs/>
                <w:sz w:val="20"/>
                <w:szCs w:val="20"/>
                <w:lang w:eastAsia="sk-SK"/>
              </w:rPr>
            </w:pPr>
            <w:r w:rsidRPr="00B27B57">
              <w:rPr>
                <w:rFonts w:eastAsia="Times New Roman" w:cs="Times New Roman"/>
                <w:b/>
                <w:bCs/>
                <w:sz w:val="18"/>
                <w:szCs w:val="18"/>
                <w:lang w:eastAsia="sk-SK"/>
              </w:rPr>
              <w:t>Skutočnosť</w:t>
            </w:r>
          </w:p>
        </w:tc>
        <w:tc>
          <w:tcPr>
            <w:tcW w:w="1022" w:type="dxa"/>
            <w:tcBorders>
              <w:top w:val="single" w:sz="4" w:space="0" w:color="auto"/>
              <w:left w:val="nil"/>
              <w:bottom w:val="nil"/>
              <w:right w:val="nil"/>
            </w:tcBorders>
            <w:shd w:val="clear" w:color="000000" w:fill="BFBFBF"/>
            <w:noWrap/>
            <w:vAlign w:val="center"/>
            <w:hideMark/>
          </w:tcPr>
          <w:p w14:paraId="79F4574B" w14:textId="77777777" w:rsidR="00614751" w:rsidRDefault="00614751" w:rsidP="00BC3049">
            <w:pPr>
              <w:spacing w:after="0" w:line="240" w:lineRule="auto"/>
              <w:jc w:val="center"/>
              <w:rPr>
                <w:rFonts w:eastAsia="Times New Roman" w:cs="Times New Roman"/>
                <w:b/>
                <w:bCs/>
                <w:sz w:val="20"/>
                <w:szCs w:val="20"/>
                <w:lang w:eastAsia="sk-SK"/>
              </w:rPr>
            </w:pPr>
            <w:r w:rsidRPr="003163F9">
              <w:rPr>
                <w:rFonts w:eastAsia="Times New Roman" w:cs="Times New Roman"/>
                <w:b/>
                <w:bCs/>
                <w:sz w:val="20"/>
                <w:szCs w:val="20"/>
                <w:lang w:eastAsia="sk-SK"/>
              </w:rPr>
              <w:t>2018</w:t>
            </w:r>
          </w:p>
          <w:p w14:paraId="549A29FC" w14:textId="3E43191C" w:rsidR="00BC3049" w:rsidRPr="003163F9" w:rsidRDefault="00BC3049" w:rsidP="00BC3049">
            <w:pPr>
              <w:spacing w:after="0" w:line="240" w:lineRule="auto"/>
              <w:jc w:val="center"/>
              <w:rPr>
                <w:rFonts w:eastAsia="Times New Roman" w:cs="Times New Roman"/>
                <w:b/>
                <w:bCs/>
                <w:sz w:val="20"/>
                <w:szCs w:val="20"/>
                <w:lang w:eastAsia="sk-SK"/>
              </w:rPr>
            </w:pPr>
            <w:r w:rsidRPr="00B27B57">
              <w:rPr>
                <w:rFonts w:eastAsia="Times New Roman" w:cs="Times New Roman"/>
                <w:b/>
                <w:bCs/>
                <w:sz w:val="18"/>
                <w:szCs w:val="18"/>
                <w:lang w:eastAsia="sk-SK"/>
              </w:rPr>
              <w:t>Rozpočet</w:t>
            </w:r>
          </w:p>
        </w:tc>
        <w:tc>
          <w:tcPr>
            <w:tcW w:w="1025" w:type="dxa"/>
            <w:tcBorders>
              <w:top w:val="single" w:sz="4" w:space="0" w:color="auto"/>
              <w:left w:val="nil"/>
              <w:bottom w:val="nil"/>
              <w:right w:val="nil"/>
            </w:tcBorders>
            <w:shd w:val="clear" w:color="000000" w:fill="BFBFBF"/>
            <w:noWrap/>
            <w:vAlign w:val="center"/>
            <w:hideMark/>
          </w:tcPr>
          <w:p w14:paraId="379F6BB9" w14:textId="77777777" w:rsidR="00614751" w:rsidRDefault="00614751" w:rsidP="00BC3049">
            <w:pPr>
              <w:spacing w:after="0" w:line="240" w:lineRule="auto"/>
              <w:jc w:val="center"/>
              <w:rPr>
                <w:rFonts w:eastAsia="Times New Roman" w:cs="Times New Roman"/>
                <w:b/>
                <w:bCs/>
                <w:sz w:val="20"/>
                <w:szCs w:val="20"/>
                <w:lang w:eastAsia="sk-SK"/>
              </w:rPr>
            </w:pPr>
            <w:r w:rsidRPr="003163F9">
              <w:rPr>
                <w:rFonts w:eastAsia="Times New Roman" w:cs="Times New Roman"/>
                <w:b/>
                <w:bCs/>
                <w:sz w:val="20"/>
                <w:szCs w:val="20"/>
                <w:lang w:eastAsia="sk-SK"/>
              </w:rPr>
              <w:t>2018</w:t>
            </w:r>
          </w:p>
          <w:p w14:paraId="39498C47" w14:textId="5633A392" w:rsidR="00BC3049" w:rsidRPr="003163F9" w:rsidRDefault="00BC3049" w:rsidP="00BC3049">
            <w:pPr>
              <w:spacing w:after="0" w:line="240" w:lineRule="auto"/>
              <w:jc w:val="center"/>
              <w:rPr>
                <w:rFonts w:eastAsia="Times New Roman" w:cs="Times New Roman"/>
                <w:b/>
                <w:bCs/>
                <w:sz w:val="20"/>
                <w:szCs w:val="20"/>
                <w:lang w:eastAsia="sk-SK"/>
              </w:rPr>
            </w:pPr>
            <w:r w:rsidRPr="00B27B57">
              <w:rPr>
                <w:rFonts w:eastAsia="Times New Roman" w:cs="Times New Roman"/>
                <w:b/>
                <w:bCs/>
                <w:sz w:val="18"/>
                <w:szCs w:val="18"/>
                <w:lang w:eastAsia="sk-SK"/>
              </w:rPr>
              <w:t>Skutočnosť</w:t>
            </w:r>
          </w:p>
        </w:tc>
        <w:tc>
          <w:tcPr>
            <w:tcW w:w="915" w:type="dxa"/>
            <w:tcBorders>
              <w:top w:val="single" w:sz="4" w:space="0" w:color="auto"/>
              <w:left w:val="nil"/>
              <w:bottom w:val="nil"/>
              <w:right w:val="nil"/>
            </w:tcBorders>
            <w:shd w:val="clear" w:color="000000" w:fill="BFBFBF"/>
            <w:noWrap/>
            <w:vAlign w:val="center"/>
            <w:hideMark/>
          </w:tcPr>
          <w:p w14:paraId="4D364FC7" w14:textId="77777777" w:rsidR="00614751" w:rsidRDefault="00614751" w:rsidP="00BC3049">
            <w:pPr>
              <w:spacing w:after="0" w:line="240" w:lineRule="auto"/>
              <w:jc w:val="center"/>
              <w:rPr>
                <w:rFonts w:eastAsia="Times New Roman" w:cs="Times New Roman"/>
                <w:b/>
                <w:bCs/>
                <w:sz w:val="20"/>
                <w:szCs w:val="20"/>
                <w:lang w:eastAsia="sk-SK"/>
              </w:rPr>
            </w:pPr>
            <w:r w:rsidRPr="003163F9">
              <w:rPr>
                <w:rFonts w:eastAsia="Times New Roman" w:cs="Times New Roman"/>
                <w:b/>
                <w:bCs/>
                <w:sz w:val="20"/>
                <w:szCs w:val="20"/>
                <w:lang w:eastAsia="sk-SK"/>
              </w:rPr>
              <w:t>2018</w:t>
            </w:r>
          </w:p>
          <w:p w14:paraId="55975091" w14:textId="3FB21160" w:rsidR="00BC3049" w:rsidRPr="003163F9" w:rsidRDefault="00BC3049" w:rsidP="00BC3049">
            <w:pPr>
              <w:spacing w:after="0" w:line="240" w:lineRule="auto"/>
              <w:jc w:val="center"/>
              <w:rPr>
                <w:rFonts w:eastAsia="Times New Roman" w:cs="Times New Roman"/>
                <w:b/>
                <w:bCs/>
                <w:sz w:val="20"/>
                <w:szCs w:val="20"/>
                <w:lang w:eastAsia="sk-SK"/>
              </w:rPr>
            </w:pPr>
            <w:r>
              <w:rPr>
                <w:rFonts w:eastAsia="Times New Roman" w:cs="Times New Roman"/>
                <w:b/>
                <w:bCs/>
                <w:sz w:val="20"/>
                <w:szCs w:val="20"/>
                <w:lang w:eastAsia="sk-SK"/>
              </w:rPr>
              <w:t>(S-R)</w:t>
            </w:r>
          </w:p>
        </w:tc>
      </w:tr>
      <w:tr w:rsidR="00614751" w:rsidRPr="003163F9" w14:paraId="7EC61376" w14:textId="77777777" w:rsidTr="00614751">
        <w:trPr>
          <w:trHeight w:val="327"/>
        </w:trPr>
        <w:tc>
          <w:tcPr>
            <w:tcW w:w="3846" w:type="dxa"/>
            <w:gridSpan w:val="3"/>
            <w:tcBorders>
              <w:top w:val="nil"/>
              <w:left w:val="nil"/>
              <w:bottom w:val="nil"/>
              <w:right w:val="nil"/>
            </w:tcBorders>
            <w:shd w:val="clear" w:color="000000" w:fill="FFFFFF"/>
            <w:noWrap/>
            <w:vAlign w:val="center"/>
            <w:hideMark/>
          </w:tcPr>
          <w:p w14:paraId="66B84148" w14:textId="77777777" w:rsidR="00614751" w:rsidRPr="003163F9" w:rsidRDefault="00614751" w:rsidP="004A5585">
            <w:pPr>
              <w:spacing w:after="0" w:line="240" w:lineRule="auto"/>
              <w:jc w:val="left"/>
              <w:rPr>
                <w:rFonts w:eastAsia="Times New Roman" w:cs="Times New Roman"/>
                <w:b/>
                <w:bCs/>
                <w:color w:val="000000"/>
                <w:sz w:val="20"/>
                <w:szCs w:val="20"/>
                <w:lang w:eastAsia="sk-SK"/>
              </w:rPr>
            </w:pPr>
            <w:r w:rsidRPr="003163F9">
              <w:rPr>
                <w:rFonts w:eastAsia="Times New Roman" w:cs="Times New Roman"/>
                <w:b/>
                <w:bCs/>
                <w:color w:val="000000"/>
                <w:sz w:val="20"/>
                <w:szCs w:val="20"/>
                <w:lang w:eastAsia="sk-SK"/>
              </w:rPr>
              <w:t>Ústredná správa, z toho</w:t>
            </w:r>
          </w:p>
        </w:tc>
        <w:tc>
          <w:tcPr>
            <w:tcW w:w="1025" w:type="dxa"/>
            <w:tcBorders>
              <w:top w:val="nil"/>
              <w:left w:val="nil"/>
              <w:bottom w:val="nil"/>
              <w:right w:val="nil"/>
            </w:tcBorders>
            <w:shd w:val="clear" w:color="000000" w:fill="FFFFFF"/>
            <w:noWrap/>
            <w:vAlign w:val="center"/>
            <w:hideMark/>
          </w:tcPr>
          <w:p w14:paraId="45AD457E" w14:textId="77777777" w:rsidR="00614751" w:rsidRPr="003163F9" w:rsidRDefault="00614751" w:rsidP="004A5585">
            <w:pPr>
              <w:spacing w:after="0" w:line="240" w:lineRule="auto"/>
              <w:jc w:val="left"/>
              <w:rPr>
                <w:rFonts w:eastAsia="Times New Roman" w:cs="Times New Roman"/>
                <w:b/>
                <w:bCs/>
                <w:color w:val="000000"/>
                <w:sz w:val="20"/>
                <w:szCs w:val="20"/>
                <w:lang w:eastAsia="sk-SK"/>
              </w:rPr>
            </w:pPr>
            <w:r w:rsidRPr="003163F9">
              <w:rPr>
                <w:rFonts w:eastAsia="Times New Roman" w:cs="Times New Roman"/>
                <w:b/>
                <w:bCs/>
                <w:color w:val="000000"/>
                <w:sz w:val="20"/>
                <w:szCs w:val="20"/>
                <w:lang w:eastAsia="sk-SK"/>
              </w:rPr>
              <w:t> </w:t>
            </w:r>
          </w:p>
        </w:tc>
        <w:tc>
          <w:tcPr>
            <w:tcW w:w="1025" w:type="dxa"/>
            <w:tcBorders>
              <w:top w:val="nil"/>
              <w:left w:val="nil"/>
              <w:bottom w:val="nil"/>
              <w:right w:val="nil"/>
            </w:tcBorders>
            <w:shd w:val="clear" w:color="000000" w:fill="FFFFFF"/>
            <w:noWrap/>
            <w:vAlign w:val="center"/>
            <w:hideMark/>
          </w:tcPr>
          <w:p w14:paraId="234FC08D" w14:textId="77777777" w:rsidR="00614751" w:rsidRPr="003163F9" w:rsidRDefault="00614751" w:rsidP="004A5585">
            <w:pPr>
              <w:spacing w:after="0" w:line="240" w:lineRule="auto"/>
              <w:jc w:val="left"/>
              <w:rPr>
                <w:rFonts w:eastAsia="Times New Roman" w:cs="Times New Roman"/>
                <w:b/>
                <w:bCs/>
                <w:color w:val="000000"/>
                <w:sz w:val="20"/>
                <w:szCs w:val="20"/>
                <w:lang w:eastAsia="sk-SK"/>
              </w:rPr>
            </w:pPr>
            <w:r w:rsidRPr="003163F9">
              <w:rPr>
                <w:rFonts w:eastAsia="Times New Roman" w:cs="Times New Roman"/>
                <w:b/>
                <w:bCs/>
                <w:color w:val="000000"/>
                <w:sz w:val="20"/>
                <w:szCs w:val="20"/>
                <w:lang w:eastAsia="sk-SK"/>
              </w:rPr>
              <w:t> </w:t>
            </w:r>
          </w:p>
        </w:tc>
        <w:tc>
          <w:tcPr>
            <w:tcW w:w="1022" w:type="dxa"/>
            <w:tcBorders>
              <w:top w:val="nil"/>
              <w:left w:val="nil"/>
              <w:bottom w:val="nil"/>
              <w:right w:val="nil"/>
            </w:tcBorders>
            <w:shd w:val="clear" w:color="000000" w:fill="FFFFFF"/>
            <w:noWrap/>
            <w:vAlign w:val="center"/>
            <w:hideMark/>
          </w:tcPr>
          <w:p w14:paraId="459AA987" w14:textId="77777777" w:rsidR="00614751" w:rsidRPr="003163F9" w:rsidRDefault="00614751" w:rsidP="004A5585">
            <w:pPr>
              <w:spacing w:after="0" w:line="240" w:lineRule="auto"/>
              <w:jc w:val="left"/>
              <w:rPr>
                <w:rFonts w:eastAsia="Times New Roman" w:cs="Times New Roman"/>
                <w:b/>
                <w:bCs/>
                <w:color w:val="000000"/>
                <w:sz w:val="20"/>
                <w:szCs w:val="20"/>
                <w:lang w:eastAsia="sk-SK"/>
              </w:rPr>
            </w:pPr>
            <w:r w:rsidRPr="003163F9">
              <w:rPr>
                <w:rFonts w:eastAsia="Times New Roman" w:cs="Times New Roman"/>
                <w:b/>
                <w:bCs/>
                <w:color w:val="000000"/>
                <w:sz w:val="20"/>
                <w:szCs w:val="20"/>
                <w:lang w:eastAsia="sk-SK"/>
              </w:rPr>
              <w:t> </w:t>
            </w:r>
          </w:p>
        </w:tc>
        <w:tc>
          <w:tcPr>
            <w:tcW w:w="1025" w:type="dxa"/>
            <w:tcBorders>
              <w:top w:val="nil"/>
              <w:left w:val="nil"/>
              <w:bottom w:val="nil"/>
              <w:right w:val="nil"/>
            </w:tcBorders>
            <w:shd w:val="clear" w:color="000000" w:fill="FFFFFF"/>
            <w:noWrap/>
            <w:vAlign w:val="center"/>
            <w:hideMark/>
          </w:tcPr>
          <w:p w14:paraId="596684BF" w14:textId="77777777" w:rsidR="00614751" w:rsidRPr="003163F9" w:rsidRDefault="00614751" w:rsidP="004A5585">
            <w:pPr>
              <w:spacing w:after="0" w:line="240" w:lineRule="auto"/>
              <w:jc w:val="left"/>
              <w:rPr>
                <w:rFonts w:eastAsia="Times New Roman" w:cs="Times New Roman"/>
                <w:b/>
                <w:bCs/>
                <w:color w:val="000000"/>
                <w:sz w:val="20"/>
                <w:szCs w:val="20"/>
                <w:lang w:eastAsia="sk-SK"/>
              </w:rPr>
            </w:pPr>
            <w:r w:rsidRPr="003163F9">
              <w:rPr>
                <w:rFonts w:eastAsia="Times New Roman" w:cs="Times New Roman"/>
                <w:b/>
                <w:bCs/>
                <w:color w:val="000000"/>
                <w:sz w:val="20"/>
                <w:szCs w:val="20"/>
                <w:lang w:eastAsia="sk-SK"/>
              </w:rPr>
              <w:t> </w:t>
            </w:r>
          </w:p>
        </w:tc>
        <w:tc>
          <w:tcPr>
            <w:tcW w:w="915" w:type="dxa"/>
            <w:tcBorders>
              <w:top w:val="nil"/>
              <w:left w:val="nil"/>
              <w:bottom w:val="nil"/>
              <w:right w:val="nil"/>
            </w:tcBorders>
            <w:shd w:val="clear" w:color="000000" w:fill="FFFFFF"/>
            <w:noWrap/>
            <w:vAlign w:val="center"/>
            <w:hideMark/>
          </w:tcPr>
          <w:p w14:paraId="4CFF7205" w14:textId="77777777" w:rsidR="00614751" w:rsidRPr="003163F9" w:rsidRDefault="00614751" w:rsidP="004A5585">
            <w:pPr>
              <w:spacing w:after="0" w:line="240" w:lineRule="auto"/>
              <w:jc w:val="left"/>
              <w:rPr>
                <w:rFonts w:eastAsia="Times New Roman" w:cs="Times New Roman"/>
                <w:b/>
                <w:bCs/>
                <w:color w:val="000000"/>
                <w:sz w:val="20"/>
                <w:szCs w:val="20"/>
                <w:lang w:eastAsia="sk-SK"/>
              </w:rPr>
            </w:pPr>
            <w:r w:rsidRPr="003163F9">
              <w:rPr>
                <w:rFonts w:eastAsia="Times New Roman" w:cs="Times New Roman"/>
                <w:b/>
                <w:bCs/>
                <w:color w:val="000000"/>
                <w:sz w:val="20"/>
                <w:szCs w:val="20"/>
                <w:lang w:eastAsia="sk-SK"/>
              </w:rPr>
              <w:t> </w:t>
            </w:r>
          </w:p>
        </w:tc>
      </w:tr>
      <w:tr w:rsidR="00614751" w:rsidRPr="003163F9" w14:paraId="68B9D872" w14:textId="77777777" w:rsidTr="00614751">
        <w:trPr>
          <w:trHeight w:val="327"/>
        </w:trPr>
        <w:tc>
          <w:tcPr>
            <w:tcW w:w="190" w:type="dxa"/>
            <w:tcBorders>
              <w:top w:val="nil"/>
              <w:left w:val="nil"/>
              <w:bottom w:val="nil"/>
              <w:right w:val="nil"/>
            </w:tcBorders>
            <w:shd w:val="clear" w:color="000000" w:fill="FFFFFF"/>
            <w:noWrap/>
            <w:vAlign w:val="center"/>
            <w:hideMark/>
          </w:tcPr>
          <w:p w14:paraId="0FE59A6B"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 </w:t>
            </w:r>
          </w:p>
        </w:tc>
        <w:tc>
          <w:tcPr>
            <w:tcW w:w="3656" w:type="dxa"/>
            <w:gridSpan w:val="2"/>
            <w:tcBorders>
              <w:top w:val="nil"/>
              <w:left w:val="nil"/>
              <w:bottom w:val="nil"/>
              <w:right w:val="nil"/>
            </w:tcBorders>
            <w:shd w:val="clear" w:color="000000" w:fill="FFFFFF"/>
            <w:noWrap/>
            <w:vAlign w:val="center"/>
            <w:hideMark/>
          </w:tcPr>
          <w:p w14:paraId="7661BAC8" w14:textId="77777777" w:rsidR="00614751" w:rsidRPr="003163F9" w:rsidRDefault="00614751" w:rsidP="004A5585">
            <w:pPr>
              <w:spacing w:after="0" w:line="240" w:lineRule="auto"/>
              <w:jc w:val="left"/>
              <w:rPr>
                <w:rFonts w:eastAsia="Times New Roman" w:cs="Times New Roman"/>
                <w:sz w:val="20"/>
                <w:szCs w:val="20"/>
                <w:lang w:eastAsia="sk-SK"/>
              </w:rPr>
            </w:pPr>
            <w:r w:rsidRPr="003163F9">
              <w:rPr>
                <w:rFonts w:eastAsia="Times New Roman" w:cs="Times New Roman"/>
                <w:sz w:val="20"/>
                <w:szCs w:val="20"/>
                <w:lang w:eastAsia="sk-SK"/>
              </w:rPr>
              <w:t>Štátny rozpočet</w:t>
            </w:r>
            <w:r w:rsidRPr="003163F9">
              <w:rPr>
                <w:rFonts w:eastAsia="Times New Roman" w:cs="Times New Roman"/>
                <w:sz w:val="20"/>
                <w:szCs w:val="20"/>
                <w:vertAlign w:val="superscript"/>
                <w:lang w:eastAsia="sk-SK"/>
              </w:rPr>
              <w:t>1</w:t>
            </w:r>
            <w:r w:rsidRPr="003163F9">
              <w:rPr>
                <w:rFonts w:eastAsia="Times New Roman" w:cs="Times New Roman"/>
                <w:color w:val="000000"/>
                <w:sz w:val="20"/>
                <w:szCs w:val="20"/>
                <w:vertAlign w:val="superscript"/>
                <w:lang w:eastAsia="sk-SK"/>
              </w:rPr>
              <w:t>)</w:t>
            </w:r>
          </w:p>
        </w:tc>
        <w:tc>
          <w:tcPr>
            <w:tcW w:w="1025" w:type="dxa"/>
            <w:tcBorders>
              <w:top w:val="nil"/>
              <w:left w:val="nil"/>
              <w:bottom w:val="nil"/>
              <w:right w:val="nil"/>
            </w:tcBorders>
            <w:shd w:val="clear" w:color="000000" w:fill="FFFFFF"/>
            <w:noWrap/>
            <w:vAlign w:val="center"/>
            <w:hideMark/>
          </w:tcPr>
          <w:p w14:paraId="1E47888A"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-2 265 116</w:t>
            </w:r>
          </w:p>
        </w:tc>
        <w:tc>
          <w:tcPr>
            <w:tcW w:w="1025" w:type="dxa"/>
            <w:tcBorders>
              <w:top w:val="nil"/>
              <w:left w:val="nil"/>
              <w:bottom w:val="nil"/>
              <w:right w:val="nil"/>
            </w:tcBorders>
            <w:shd w:val="clear" w:color="000000" w:fill="FFFFFF"/>
            <w:noWrap/>
            <w:vAlign w:val="center"/>
            <w:hideMark/>
          </w:tcPr>
          <w:p w14:paraId="394DCF9B"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-1 094 275</w:t>
            </w:r>
          </w:p>
        </w:tc>
        <w:tc>
          <w:tcPr>
            <w:tcW w:w="1022" w:type="dxa"/>
            <w:tcBorders>
              <w:top w:val="nil"/>
              <w:left w:val="nil"/>
              <w:bottom w:val="nil"/>
              <w:right w:val="nil"/>
            </w:tcBorders>
            <w:shd w:val="clear" w:color="000000" w:fill="FFFFFF"/>
            <w:noWrap/>
            <w:vAlign w:val="center"/>
            <w:hideMark/>
          </w:tcPr>
          <w:p w14:paraId="79222CFF" w14:textId="77777777" w:rsidR="00614751" w:rsidRPr="00B874DC" w:rsidRDefault="00614751" w:rsidP="004A5585">
            <w:pPr>
              <w:spacing w:after="0" w:line="240" w:lineRule="auto"/>
              <w:jc w:val="right"/>
              <w:rPr>
                <w:rFonts w:eastAsia="Times New Roman" w:cs="Times New Roman"/>
                <w:sz w:val="20"/>
                <w:szCs w:val="20"/>
                <w:lang w:eastAsia="sk-SK"/>
              </w:rPr>
            </w:pPr>
            <w:r w:rsidRPr="00B874DC">
              <w:rPr>
                <w:rFonts w:eastAsia="Times New Roman" w:cs="Times New Roman"/>
                <w:sz w:val="20"/>
                <w:szCs w:val="20"/>
                <w:lang w:eastAsia="sk-SK"/>
              </w:rPr>
              <w:t>-1 555 727</w:t>
            </w:r>
          </w:p>
        </w:tc>
        <w:tc>
          <w:tcPr>
            <w:tcW w:w="1025" w:type="dxa"/>
            <w:tcBorders>
              <w:top w:val="nil"/>
              <w:left w:val="nil"/>
              <w:bottom w:val="nil"/>
              <w:right w:val="nil"/>
            </w:tcBorders>
            <w:shd w:val="clear" w:color="000000" w:fill="FFFFFF"/>
            <w:noWrap/>
            <w:vAlign w:val="center"/>
            <w:hideMark/>
          </w:tcPr>
          <w:p w14:paraId="2F251B9D" w14:textId="77777777" w:rsidR="00614751" w:rsidRPr="00B874DC" w:rsidRDefault="00614751" w:rsidP="004A5585">
            <w:pPr>
              <w:spacing w:after="0" w:line="240" w:lineRule="auto"/>
              <w:jc w:val="right"/>
              <w:rPr>
                <w:rFonts w:eastAsia="Times New Roman" w:cs="Times New Roman"/>
                <w:sz w:val="20"/>
                <w:szCs w:val="20"/>
                <w:lang w:eastAsia="sk-SK"/>
              </w:rPr>
            </w:pPr>
            <w:r w:rsidRPr="00B874DC">
              <w:rPr>
                <w:rFonts w:eastAsia="Times New Roman" w:cs="Times New Roman"/>
                <w:sz w:val="20"/>
                <w:szCs w:val="20"/>
                <w:lang w:eastAsia="sk-SK"/>
              </w:rPr>
              <w:t>-1 379 930</w:t>
            </w:r>
          </w:p>
        </w:tc>
        <w:tc>
          <w:tcPr>
            <w:tcW w:w="915" w:type="dxa"/>
            <w:tcBorders>
              <w:top w:val="nil"/>
              <w:left w:val="nil"/>
              <w:bottom w:val="nil"/>
              <w:right w:val="nil"/>
            </w:tcBorders>
            <w:shd w:val="clear" w:color="000000" w:fill="FFFFFF"/>
            <w:noWrap/>
            <w:vAlign w:val="center"/>
            <w:hideMark/>
          </w:tcPr>
          <w:p w14:paraId="3DA11BF2" w14:textId="77777777" w:rsidR="00614751" w:rsidRPr="00B874DC" w:rsidRDefault="00614751" w:rsidP="004A5585">
            <w:pPr>
              <w:spacing w:after="0" w:line="240" w:lineRule="auto"/>
              <w:jc w:val="right"/>
              <w:rPr>
                <w:rFonts w:eastAsia="Times New Roman" w:cs="Times New Roman"/>
                <w:sz w:val="20"/>
                <w:szCs w:val="20"/>
                <w:lang w:eastAsia="sk-SK"/>
              </w:rPr>
            </w:pPr>
            <w:r w:rsidRPr="00B874DC">
              <w:rPr>
                <w:rFonts w:eastAsia="Times New Roman" w:cs="Times New Roman"/>
                <w:sz w:val="20"/>
                <w:szCs w:val="20"/>
                <w:lang w:eastAsia="sk-SK"/>
              </w:rPr>
              <w:t>175 797</w:t>
            </w:r>
          </w:p>
        </w:tc>
      </w:tr>
      <w:tr w:rsidR="00614751" w:rsidRPr="003163F9" w14:paraId="5504AD63" w14:textId="77777777" w:rsidTr="00614751">
        <w:trPr>
          <w:trHeight w:val="327"/>
        </w:trPr>
        <w:tc>
          <w:tcPr>
            <w:tcW w:w="190" w:type="dxa"/>
            <w:tcBorders>
              <w:top w:val="nil"/>
              <w:left w:val="nil"/>
              <w:bottom w:val="nil"/>
              <w:right w:val="nil"/>
            </w:tcBorders>
            <w:shd w:val="clear" w:color="000000" w:fill="FFFFFF"/>
            <w:noWrap/>
            <w:vAlign w:val="center"/>
            <w:hideMark/>
          </w:tcPr>
          <w:p w14:paraId="3CB17CD5"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 </w:t>
            </w:r>
          </w:p>
        </w:tc>
        <w:tc>
          <w:tcPr>
            <w:tcW w:w="3656" w:type="dxa"/>
            <w:gridSpan w:val="2"/>
            <w:tcBorders>
              <w:top w:val="nil"/>
              <w:left w:val="nil"/>
              <w:bottom w:val="nil"/>
              <w:right w:val="nil"/>
            </w:tcBorders>
            <w:shd w:val="clear" w:color="000000" w:fill="FFFFFF"/>
            <w:noWrap/>
            <w:vAlign w:val="center"/>
            <w:hideMark/>
          </w:tcPr>
          <w:p w14:paraId="000ED50B" w14:textId="77777777" w:rsidR="00614751" w:rsidRPr="003163F9" w:rsidRDefault="00614751" w:rsidP="004A5585">
            <w:pPr>
              <w:spacing w:after="0" w:line="240" w:lineRule="auto"/>
              <w:jc w:val="left"/>
              <w:rPr>
                <w:rFonts w:eastAsia="Times New Roman" w:cs="Times New Roman"/>
                <w:sz w:val="20"/>
                <w:szCs w:val="20"/>
                <w:lang w:eastAsia="sk-SK"/>
              </w:rPr>
            </w:pPr>
            <w:r w:rsidRPr="003163F9">
              <w:rPr>
                <w:rFonts w:eastAsia="Times New Roman" w:cs="Times New Roman"/>
                <w:sz w:val="20"/>
                <w:szCs w:val="20"/>
                <w:lang w:eastAsia="sk-SK"/>
              </w:rPr>
              <w:t>Príspevkové organizácie ústrednej správy</w:t>
            </w:r>
          </w:p>
        </w:tc>
        <w:tc>
          <w:tcPr>
            <w:tcW w:w="1025" w:type="dxa"/>
            <w:tcBorders>
              <w:top w:val="nil"/>
              <w:left w:val="nil"/>
              <w:bottom w:val="nil"/>
              <w:right w:val="nil"/>
            </w:tcBorders>
            <w:shd w:val="clear" w:color="000000" w:fill="FFFFFF"/>
            <w:noWrap/>
            <w:vAlign w:val="center"/>
            <w:hideMark/>
          </w:tcPr>
          <w:p w14:paraId="540FBC6B"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34 299</w:t>
            </w:r>
          </w:p>
        </w:tc>
        <w:tc>
          <w:tcPr>
            <w:tcW w:w="1025" w:type="dxa"/>
            <w:tcBorders>
              <w:top w:val="nil"/>
              <w:left w:val="nil"/>
              <w:bottom w:val="nil"/>
              <w:right w:val="nil"/>
            </w:tcBorders>
            <w:shd w:val="clear" w:color="000000" w:fill="FFFFFF"/>
            <w:noWrap/>
            <w:vAlign w:val="center"/>
            <w:hideMark/>
          </w:tcPr>
          <w:p w14:paraId="7ABC4244"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32 968</w:t>
            </w:r>
          </w:p>
        </w:tc>
        <w:tc>
          <w:tcPr>
            <w:tcW w:w="1022" w:type="dxa"/>
            <w:tcBorders>
              <w:top w:val="nil"/>
              <w:left w:val="nil"/>
              <w:bottom w:val="nil"/>
              <w:right w:val="nil"/>
            </w:tcBorders>
            <w:shd w:val="clear" w:color="000000" w:fill="FFFFFF"/>
            <w:noWrap/>
            <w:vAlign w:val="center"/>
            <w:hideMark/>
          </w:tcPr>
          <w:p w14:paraId="234719AD"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-12 998</w:t>
            </w:r>
          </w:p>
        </w:tc>
        <w:tc>
          <w:tcPr>
            <w:tcW w:w="1025" w:type="dxa"/>
            <w:tcBorders>
              <w:top w:val="nil"/>
              <w:left w:val="nil"/>
              <w:bottom w:val="nil"/>
              <w:right w:val="nil"/>
            </w:tcBorders>
            <w:shd w:val="clear" w:color="000000" w:fill="FFFFFF"/>
            <w:noWrap/>
            <w:vAlign w:val="center"/>
            <w:hideMark/>
          </w:tcPr>
          <w:p w14:paraId="79B0B5C5"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1 099</w:t>
            </w:r>
          </w:p>
        </w:tc>
        <w:tc>
          <w:tcPr>
            <w:tcW w:w="915" w:type="dxa"/>
            <w:tcBorders>
              <w:top w:val="nil"/>
              <w:left w:val="nil"/>
              <w:bottom w:val="nil"/>
              <w:right w:val="nil"/>
            </w:tcBorders>
            <w:shd w:val="clear" w:color="000000" w:fill="FFFFFF"/>
            <w:noWrap/>
            <w:vAlign w:val="center"/>
            <w:hideMark/>
          </w:tcPr>
          <w:p w14:paraId="0B3A420D"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14 097</w:t>
            </w:r>
          </w:p>
        </w:tc>
      </w:tr>
      <w:tr w:rsidR="00614751" w:rsidRPr="003163F9" w14:paraId="6BB788EA" w14:textId="77777777" w:rsidTr="00614751">
        <w:trPr>
          <w:trHeight w:val="327"/>
        </w:trPr>
        <w:tc>
          <w:tcPr>
            <w:tcW w:w="190" w:type="dxa"/>
            <w:tcBorders>
              <w:top w:val="nil"/>
              <w:left w:val="nil"/>
              <w:bottom w:val="nil"/>
              <w:right w:val="nil"/>
            </w:tcBorders>
            <w:shd w:val="clear" w:color="000000" w:fill="FFFFFF"/>
            <w:noWrap/>
            <w:vAlign w:val="center"/>
            <w:hideMark/>
          </w:tcPr>
          <w:p w14:paraId="2F7C7F70"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 </w:t>
            </w:r>
          </w:p>
        </w:tc>
        <w:tc>
          <w:tcPr>
            <w:tcW w:w="3656" w:type="dxa"/>
            <w:gridSpan w:val="2"/>
            <w:tcBorders>
              <w:top w:val="nil"/>
              <w:left w:val="nil"/>
              <w:bottom w:val="nil"/>
              <w:right w:val="nil"/>
            </w:tcBorders>
            <w:shd w:val="clear" w:color="000000" w:fill="FFFFFF"/>
            <w:noWrap/>
            <w:vAlign w:val="center"/>
            <w:hideMark/>
          </w:tcPr>
          <w:p w14:paraId="5631C8AC" w14:textId="77777777" w:rsidR="00614751" w:rsidRPr="003163F9" w:rsidRDefault="00614751" w:rsidP="004A5585">
            <w:pPr>
              <w:spacing w:after="0" w:line="240" w:lineRule="auto"/>
              <w:jc w:val="left"/>
              <w:rPr>
                <w:rFonts w:eastAsia="Times New Roman" w:cs="Times New Roman"/>
                <w:sz w:val="20"/>
                <w:szCs w:val="20"/>
                <w:lang w:eastAsia="sk-SK"/>
              </w:rPr>
            </w:pPr>
            <w:r w:rsidRPr="003163F9">
              <w:rPr>
                <w:rFonts w:eastAsia="Times New Roman" w:cs="Times New Roman"/>
                <w:sz w:val="20"/>
                <w:szCs w:val="20"/>
                <w:lang w:eastAsia="sk-SK"/>
              </w:rPr>
              <w:t>Štátne fondy</w:t>
            </w:r>
          </w:p>
        </w:tc>
        <w:tc>
          <w:tcPr>
            <w:tcW w:w="1025" w:type="dxa"/>
            <w:tcBorders>
              <w:top w:val="nil"/>
              <w:left w:val="nil"/>
              <w:bottom w:val="nil"/>
              <w:right w:val="nil"/>
            </w:tcBorders>
            <w:shd w:val="clear" w:color="000000" w:fill="FFFFFF"/>
            <w:noWrap/>
            <w:vAlign w:val="center"/>
            <w:hideMark/>
          </w:tcPr>
          <w:p w14:paraId="4EEC5848"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188 250</w:t>
            </w:r>
          </w:p>
        </w:tc>
        <w:tc>
          <w:tcPr>
            <w:tcW w:w="1025" w:type="dxa"/>
            <w:tcBorders>
              <w:top w:val="nil"/>
              <w:left w:val="nil"/>
              <w:bottom w:val="nil"/>
              <w:right w:val="nil"/>
            </w:tcBorders>
            <w:shd w:val="clear" w:color="000000" w:fill="FFFFFF"/>
            <w:noWrap/>
            <w:vAlign w:val="center"/>
            <w:hideMark/>
          </w:tcPr>
          <w:p w14:paraId="5C03AE47"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194 044</w:t>
            </w:r>
          </w:p>
        </w:tc>
        <w:tc>
          <w:tcPr>
            <w:tcW w:w="1022" w:type="dxa"/>
            <w:tcBorders>
              <w:top w:val="nil"/>
              <w:left w:val="nil"/>
              <w:bottom w:val="nil"/>
              <w:right w:val="nil"/>
            </w:tcBorders>
            <w:shd w:val="clear" w:color="000000" w:fill="FFFFFF"/>
            <w:noWrap/>
            <w:vAlign w:val="center"/>
            <w:hideMark/>
          </w:tcPr>
          <w:p w14:paraId="1441B7C2"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297 730</w:t>
            </w:r>
          </w:p>
        </w:tc>
        <w:tc>
          <w:tcPr>
            <w:tcW w:w="1025" w:type="dxa"/>
            <w:tcBorders>
              <w:top w:val="nil"/>
              <w:left w:val="nil"/>
              <w:bottom w:val="nil"/>
              <w:right w:val="nil"/>
            </w:tcBorders>
            <w:shd w:val="clear" w:color="000000" w:fill="FFFFFF"/>
            <w:noWrap/>
            <w:vAlign w:val="center"/>
            <w:hideMark/>
          </w:tcPr>
          <w:p w14:paraId="38333869"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196 229</w:t>
            </w:r>
          </w:p>
        </w:tc>
        <w:tc>
          <w:tcPr>
            <w:tcW w:w="915" w:type="dxa"/>
            <w:tcBorders>
              <w:top w:val="nil"/>
              <w:left w:val="nil"/>
              <w:bottom w:val="nil"/>
              <w:right w:val="nil"/>
            </w:tcBorders>
            <w:shd w:val="clear" w:color="000000" w:fill="FFFFFF"/>
            <w:noWrap/>
            <w:vAlign w:val="center"/>
            <w:hideMark/>
          </w:tcPr>
          <w:p w14:paraId="2007F10F"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-101 501</w:t>
            </w:r>
          </w:p>
        </w:tc>
      </w:tr>
      <w:tr w:rsidR="00614751" w:rsidRPr="003163F9" w14:paraId="56E2AB6E" w14:textId="77777777" w:rsidTr="00614751">
        <w:trPr>
          <w:trHeight w:val="327"/>
        </w:trPr>
        <w:tc>
          <w:tcPr>
            <w:tcW w:w="190" w:type="dxa"/>
            <w:tcBorders>
              <w:top w:val="nil"/>
              <w:left w:val="nil"/>
              <w:bottom w:val="nil"/>
              <w:right w:val="nil"/>
            </w:tcBorders>
            <w:shd w:val="clear" w:color="000000" w:fill="FFFFFF"/>
            <w:noWrap/>
            <w:vAlign w:val="center"/>
            <w:hideMark/>
          </w:tcPr>
          <w:p w14:paraId="7B0C693F"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 </w:t>
            </w:r>
          </w:p>
        </w:tc>
        <w:tc>
          <w:tcPr>
            <w:tcW w:w="3656" w:type="dxa"/>
            <w:gridSpan w:val="2"/>
            <w:tcBorders>
              <w:top w:val="nil"/>
              <w:left w:val="nil"/>
              <w:bottom w:val="nil"/>
              <w:right w:val="nil"/>
            </w:tcBorders>
            <w:shd w:val="clear" w:color="000000" w:fill="FFFFFF"/>
            <w:noWrap/>
            <w:vAlign w:val="center"/>
            <w:hideMark/>
          </w:tcPr>
          <w:p w14:paraId="262E99FD" w14:textId="77777777" w:rsidR="00614751" w:rsidRPr="003163F9" w:rsidRDefault="00614751" w:rsidP="004A5585">
            <w:pPr>
              <w:spacing w:after="0" w:line="240" w:lineRule="auto"/>
              <w:jc w:val="left"/>
              <w:rPr>
                <w:rFonts w:eastAsia="Times New Roman" w:cs="Times New Roman"/>
                <w:sz w:val="20"/>
                <w:szCs w:val="20"/>
                <w:lang w:eastAsia="sk-SK"/>
              </w:rPr>
            </w:pPr>
            <w:r w:rsidRPr="003163F9">
              <w:rPr>
                <w:rFonts w:eastAsia="Times New Roman" w:cs="Times New Roman"/>
                <w:sz w:val="20"/>
                <w:szCs w:val="20"/>
                <w:lang w:eastAsia="sk-SK"/>
              </w:rPr>
              <w:t>Eximbanka SR</w:t>
            </w:r>
          </w:p>
        </w:tc>
        <w:tc>
          <w:tcPr>
            <w:tcW w:w="1025" w:type="dxa"/>
            <w:tcBorders>
              <w:top w:val="nil"/>
              <w:left w:val="nil"/>
              <w:bottom w:val="nil"/>
              <w:right w:val="nil"/>
            </w:tcBorders>
            <w:shd w:val="clear" w:color="000000" w:fill="FFFFFF"/>
            <w:noWrap/>
            <w:vAlign w:val="center"/>
            <w:hideMark/>
          </w:tcPr>
          <w:p w14:paraId="64D63B60"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9 344</w:t>
            </w:r>
          </w:p>
        </w:tc>
        <w:tc>
          <w:tcPr>
            <w:tcW w:w="1025" w:type="dxa"/>
            <w:tcBorders>
              <w:top w:val="nil"/>
              <w:left w:val="nil"/>
              <w:bottom w:val="nil"/>
              <w:right w:val="nil"/>
            </w:tcBorders>
            <w:shd w:val="clear" w:color="000000" w:fill="FFFFFF"/>
            <w:noWrap/>
            <w:vAlign w:val="center"/>
            <w:hideMark/>
          </w:tcPr>
          <w:p w14:paraId="09B0C21F"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602</w:t>
            </w:r>
          </w:p>
        </w:tc>
        <w:tc>
          <w:tcPr>
            <w:tcW w:w="1022" w:type="dxa"/>
            <w:tcBorders>
              <w:top w:val="nil"/>
              <w:left w:val="nil"/>
              <w:bottom w:val="nil"/>
              <w:right w:val="nil"/>
            </w:tcBorders>
            <w:shd w:val="clear" w:color="000000" w:fill="FFFFFF"/>
            <w:noWrap/>
            <w:vAlign w:val="center"/>
            <w:hideMark/>
          </w:tcPr>
          <w:p w14:paraId="5D13D67C"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120</w:t>
            </w:r>
          </w:p>
        </w:tc>
        <w:tc>
          <w:tcPr>
            <w:tcW w:w="1025" w:type="dxa"/>
            <w:tcBorders>
              <w:top w:val="nil"/>
              <w:left w:val="nil"/>
              <w:bottom w:val="nil"/>
              <w:right w:val="nil"/>
            </w:tcBorders>
            <w:shd w:val="clear" w:color="000000" w:fill="FFFFFF"/>
            <w:noWrap/>
            <w:vAlign w:val="center"/>
            <w:hideMark/>
          </w:tcPr>
          <w:p w14:paraId="5D1827DD"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13 776</w:t>
            </w:r>
          </w:p>
        </w:tc>
        <w:tc>
          <w:tcPr>
            <w:tcW w:w="915" w:type="dxa"/>
            <w:tcBorders>
              <w:top w:val="nil"/>
              <w:left w:val="nil"/>
              <w:bottom w:val="nil"/>
              <w:right w:val="nil"/>
            </w:tcBorders>
            <w:shd w:val="clear" w:color="000000" w:fill="FFFFFF"/>
            <w:noWrap/>
            <w:vAlign w:val="center"/>
            <w:hideMark/>
          </w:tcPr>
          <w:p w14:paraId="02BE3ACE"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13 656</w:t>
            </w:r>
          </w:p>
        </w:tc>
      </w:tr>
      <w:tr w:rsidR="00614751" w:rsidRPr="003163F9" w14:paraId="4EA4FFB0" w14:textId="77777777" w:rsidTr="00614751">
        <w:trPr>
          <w:trHeight w:val="327"/>
        </w:trPr>
        <w:tc>
          <w:tcPr>
            <w:tcW w:w="190" w:type="dxa"/>
            <w:tcBorders>
              <w:top w:val="nil"/>
              <w:left w:val="nil"/>
              <w:bottom w:val="nil"/>
              <w:right w:val="nil"/>
            </w:tcBorders>
            <w:shd w:val="clear" w:color="000000" w:fill="FFFFFF"/>
            <w:noWrap/>
            <w:vAlign w:val="center"/>
            <w:hideMark/>
          </w:tcPr>
          <w:p w14:paraId="50D77673"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 </w:t>
            </w:r>
          </w:p>
        </w:tc>
        <w:tc>
          <w:tcPr>
            <w:tcW w:w="3656" w:type="dxa"/>
            <w:gridSpan w:val="2"/>
            <w:tcBorders>
              <w:top w:val="nil"/>
              <w:left w:val="nil"/>
              <w:bottom w:val="nil"/>
              <w:right w:val="nil"/>
            </w:tcBorders>
            <w:shd w:val="clear" w:color="000000" w:fill="FFFFFF"/>
            <w:noWrap/>
            <w:vAlign w:val="center"/>
            <w:hideMark/>
          </w:tcPr>
          <w:p w14:paraId="74E8024D" w14:textId="77777777" w:rsidR="00614751" w:rsidRPr="003163F9" w:rsidRDefault="00614751" w:rsidP="004A5585">
            <w:pPr>
              <w:spacing w:after="0" w:line="240" w:lineRule="auto"/>
              <w:jc w:val="left"/>
              <w:rPr>
                <w:rFonts w:eastAsia="Times New Roman" w:cs="Times New Roman"/>
                <w:sz w:val="20"/>
                <w:szCs w:val="20"/>
                <w:lang w:eastAsia="sk-SK"/>
              </w:rPr>
            </w:pPr>
            <w:r w:rsidRPr="003163F9">
              <w:rPr>
                <w:rFonts w:eastAsia="Times New Roman" w:cs="Times New Roman"/>
                <w:sz w:val="20"/>
                <w:szCs w:val="20"/>
                <w:lang w:eastAsia="sk-SK"/>
              </w:rPr>
              <w:t>Obchodné spoločnosti štátu, z toho:</w:t>
            </w:r>
          </w:p>
        </w:tc>
        <w:tc>
          <w:tcPr>
            <w:tcW w:w="1025" w:type="dxa"/>
            <w:tcBorders>
              <w:top w:val="nil"/>
              <w:left w:val="nil"/>
              <w:bottom w:val="nil"/>
              <w:right w:val="nil"/>
            </w:tcBorders>
            <w:shd w:val="clear" w:color="000000" w:fill="FFFFFF"/>
            <w:noWrap/>
            <w:vAlign w:val="center"/>
            <w:hideMark/>
          </w:tcPr>
          <w:p w14:paraId="03AD2CBA"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78 967</w:t>
            </w:r>
          </w:p>
        </w:tc>
        <w:tc>
          <w:tcPr>
            <w:tcW w:w="1025" w:type="dxa"/>
            <w:tcBorders>
              <w:top w:val="nil"/>
              <w:left w:val="nil"/>
              <w:bottom w:val="nil"/>
              <w:right w:val="nil"/>
            </w:tcBorders>
            <w:shd w:val="clear" w:color="000000" w:fill="FFFFFF"/>
            <w:noWrap/>
            <w:vAlign w:val="center"/>
            <w:hideMark/>
          </w:tcPr>
          <w:p w14:paraId="25998CA6"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-93 621</w:t>
            </w:r>
          </w:p>
        </w:tc>
        <w:tc>
          <w:tcPr>
            <w:tcW w:w="1022" w:type="dxa"/>
            <w:tcBorders>
              <w:top w:val="nil"/>
              <w:left w:val="nil"/>
              <w:bottom w:val="nil"/>
              <w:right w:val="nil"/>
            </w:tcBorders>
            <w:shd w:val="clear" w:color="000000" w:fill="FFFFFF"/>
            <w:noWrap/>
            <w:vAlign w:val="center"/>
            <w:hideMark/>
          </w:tcPr>
          <w:p w14:paraId="0EB5952C"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20 365</w:t>
            </w:r>
          </w:p>
        </w:tc>
        <w:tc>
          <w:tcPr>
            <w:tcW w:w="1025" w:type="dxa"/>
            <w:tcBorders>
              <w:top w:val="nil"/>
              <w:left w:val="nil"/>
              <w:bottom w:val="nil"/>
              <w:right w:val="nil"/>
            </w:tcBorders>
            <w:shd w:val="clear" w:color="000000" w:fill="FFFFFF"/>
            <w:noWrap/>
            <w:vAlign w:val="center"/>
            <w:hideMark/>
          </w:tcPr>
          <w:p w14:paraId="67287CCB"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6 345</w:t>
            </w:r>
          </w:p>
        </w:tc>
        <w:tc>
          <w:tcPr>
            <w:tcW w:w="915" w:type="dxa"/>
            <w:tcBorders>
              <w:top w:val="nil"/>
              <w:left w:val="nil"/>
              <w:bottom w:val="nil"/>
              <w:right w:val="nil"/>
            </w:tcBorders>
            <w:shd w:val="clear" w:color="000000" w:fill="FFFFFF"/>
            <w:noWrap/>
            <w:vAlign w:val="center"/>
            <w:hideMark/>
          </w:tcPr>
          <w:p w14:paraId="17486059"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-14 020</w:t>
            </w:r>
          </w:p>
        </w:tc>
      </w:tr>
      <w:tr w:rsidR="00614751" w:rsidRPr="003163F9" w14:paraId="6451A191" w14:textId="77777777" w:rsidTr="00614751">
        <w:trPr>
          <w:trHeight w:val="327"/>
        </w:trPr>
        <w:tc>
          <w:tcPr>
            <w:tcW w:w="190" w:type="dxa"/>
            <w:tcBorders>
              <w:top w:val="nil"/>
              <w:left w:val="nil"/>
              <w:bottom w:val="nil"/>
              <w:right w:val="nil"/>
            </w:tcBorders>
            <w:shd w:val="clear" w:color="000000" w:fill="FFFFFF"/>
            <w:noWrap/>
            <w:vAlign w:val="center"/>
            <w:hideMark/>
          </w:tcPr>
          <w:p w14:paraId="2AF1D61C"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 </w:t>
            </w:r>
          </w:p>
        </w:tc>
        <w:tc>
          <w:tcPr>
            <w:tcW w:w="190" w:type="dxa"/>
            <w:tcBorders>
              <w:top w:val="nil"/>
              <w:left w:val="nil"/>
              <w:bottom w:val="nil"/>
              <w:right w:val="nil"/>
            </w:tcBorders>
            <w:shd w:val="clear" w:color="000000" w:fill="FFFFFF"/>
            <w:noWrap/>
            <w:vAlign w:val="center"/>
            <w:hideMark/>
          </w:tcPr>
          <w:p w14:paraId="1AAFBB7A" w14:textId="77777777" w:rsidR="00614751" w:rsidRPr="003163F9" w:rsidRDefault="00614751" w:rsidP="004A5585">
            <w:pPr>
              <w:spacing w:after="0" w:line="240" w:lineRule="auto"/>
              <w:jc w:val="left"/>
              <w:rPr>
                <w:rFonts w:eastAsia="Times New Roman" w:cs="Times New Roman"/>
                <w:color w:val="000000"/>
                <w:sz w:val="20"/>
                <w:szCs w:val="20"/>
                <w:lang w:eastAsia="sk-SK"/>
              </w:rPr>
            </w:pPr>
            <w:r w:rsidRPr="003163F9">
              <w:rPr>
                <w:rFonts w:eastAsia="Times New Roman" w:cs="Times New Roman"/>
                <w:color w:val="000000"/>
                <w:sz w:val="20"/>
                <w:szCs w:val="20"/>
                <w:lang w:eastAsia="sk-SK"/>
              </w:rPr>
              <w:t> </w:t>
            </w:r>
          </w:p>
        </w:tc>
        <w:tc>
          <w:tcPr>
            <w:tcW w:w="3466" w:type="dxa"/>
            <w:tcBorders>
              <w:top w:val="nil"/>
              <w:left w:val="nil"/>
              <w:bottom w:val="nil"/>
              <w:right w:val="nil"/>
            </w:tcBorders>
            <w:shd w:val="clear" w:color="000000" w:fill="FFFFFF"/>
            <w:noWrap/>
            <w:vAlign w:val="center"/>
            <w:hideMark/>
          </w:tcPr>
          <w:p w14:paraId="62B7FFD9" w14:textId="77777777" w:rsidR="00614751" w:rsidRPr="003163F9" w:rsidRDefault="00614751" w:rsidP="004A5585">
            <w:pPr>
              <w:spacing w:after="0" w:line="240" w:lineRule="auto"/>
              <w:jc w:val="left"/>
              <w:rPr>
                <w:rFonts w:eastAsia="Times New Roman" w:cs="Times New Roman"/>
                <w:sz w:val="20"/>
                <w:szCs w:val="20"/>
                <w:lang w:eastAsia="sk-SK"/>
              </w:rPr>
            </w:pPr>
            <w:r w:rsidRPr="003163F9">
              <w:rPr>
                <w:rFonts w:eastAsia="Times New Roman" w:cs="Times New Roman"/>
                <w:sz w:val="20"/>
                <w:szCs w:val="20"/>
                <w:lang w:eastAsia="sk-SK"/>
              </w:rPr>
              <w:t xml:space="preserve">MH Manažment, </w:t>
            </w:r>
            <w:proofErr w:type="spellStart"/>
            <w:r w:rsidRPr="003163F9">
              <w:rPr>
                <w:rFonts w:eastAsia="Times New Roman" w:cs="Times New Roman"/>
                <w:sz w:val="20"/>
                <w:szCs w:val="20"/>
                <w:lang w:eastAsia="sk-SK"/>
              </w:rPr>
              <w:t>a.s</w:t>
            </w:r>
            <w:proofErr w:type="spellEnd"/>
            <w:r w:rsidRPr="003163F9">
              <w:rPr>
                <w:rFonts w:eastAsia="Times New Roman" w:cs="Times New Roman"/>
                <w:sz w:val="20"/>
                <w:szCs w:val="20"/>
                <w:lang w:eastAsia="sk-SK"/>
              </w:rPr>
              <w:t>.</w:t>
            </w:r>
          </w:p>
        </w:tc>
        <w:tc>
          <w:tcPr>
            <w:tcW w:w="1025" w:type="dxa"/>
            <w:tcBorders>
              <w:top w:val="nil"/>
              <w:left w:val="nil"/>
              <w:bottom w:val="nil"/>
              <w:right w:val="nil"/>
            </w:tcBorders>
            <w:shd w:val="clear" w:color="000000" w:fill="FFFFFF"/>
            <w:noWrap/>
            <w:vAlign w:val="center"/>
            <w:hideMark/>
          </w:tcPr>
          <w:p w14:paraId="47DF2171" w14:textId="77777777" w:rsidR="00614751" w:rsidRPr="003163F9" w:rsidRDefault="00614751" w:rsidP="004A5585">
            <w:pPr>
              <w:spacing w:after="0" w:line="240" w:lineRule="auto"/>
              <w:jc w:val="right"/>
              <w:rPr>
                <w:rFonts w:eastAsia="Times New Roman" w:cs="Times New Roman"/>
                <w:color w:val="000000"/>
                <w:sz w:val="20"/>
                <w:szCs w:val="20"/>
                <w:lang w:eastAsia="sk-SK"/>
              </w:rPr>
            </w:pPr>
            <w:r w:rsidRPr="003163F9">
              <w:rPr>
                <w:rFonts w:eastAsia="Times New Roman" w:cs="Times New Roman"/>
                <w:color w:val="000000"/>
                <w:sz w:val="20"/>
                <w:szCs w:val="20"/>
                <w:lang w:eastAsia="sk-SK"/>
              </w:rPr>
              <w:t>-47 029</w:t>
            </w:r>
          </w:p>
        </w:tc>
        <w:tc>
          <w:tcPr>
            <w:tcW w:w="1025" w:type="dxa"/>
            <w:tcBorders>
              <w:top w:val="nil"/>
              <w:left w:val="nil"/>
              <w:bottom w:val="nil"/>
              <w:right w:val="nil"/>
            </w:tcBorders>
            <w:shd w:val="clear" w:color="000000" w:fill="FFFFFF"/>
            <w:noWrap/>
            <w:vAlign w:val="center"/>
            <w:hideMark/>
          </w:tcPr>
          <w:p w14:paraId="5612BE52" w14:textId="77777777" w:rsidR="00614751" w:rsidRPr="003163F9" w:rsidRDefault="00614751" w:rsidP="004A5585">
            <w:pPr>
              <w:spacing w:after="0" w:line="240" w:lineRule="auto"/>
              <w:jc w:val="right"/>
              <w:rPr>
                <w:rFonts w:eastAsia="Times New Roman" w:cs="Times New Roman"/>
                <w:color w:val="000000"/>
                <w:sz w:val="20"/>
                <w:szCs w:val="20"/>
                <w:lang w:eastAsia="sk-SK"/>
              </w:rPr>
            </w:pPr>
            <w:r w:rsidRPr="003163F9">
              <w:rPr>
                <w:rFonts w:eastAsia="Times New Roman" w:cs="Times New Roman"/>
                <w:color w:val="000000"/>
                <w:sz w:val="20"/>
                <w:szCs w:val="20"/>
                <w:lang w:eastAsia="sk-SK"/>
              </w:rPr>
              <w:t>-27 568</w:t>
            </w:r>
          </w:p>
        </w:tc>
        <w:tc>
          <w:tcPr>
            <w:tcW w:w="1022" w:type="dxa"/>
            <w:tcBorders>
              <w:top w:val="nil"/>
              <w:left w:val="nil"/>
              <w:bottom w:val="nil"/>
              <w:right w:val="nil"/>
            </w:tcBorders>
            <w:shd w:val="clear" w:color="000000" w:fill="FFFFFF"/>
            <w:noWrap/>
            <w:vAlign w:val="center"/>
            <w:hideMark/>
          </w:tcPr>
          <w:p w14:paraId="281C3A90" w14:textId="77777777" w:rsidR="00614751" w:rsidRPr="003163F9" w:rsidRDefault="00614751" w:rsidP="004A5585">
            <w:pPr>
              <w:spacing w:after="0" w:line="240" w:lineRule="auto"/>
              <w:jc w:val="right"/>
              <w:rPr>
                <w:rFonts w:eastAsia="Times New Roman" w:cs="Times New Roman"/>
                <w:color w:val="000000"/>
                <w:sz w:val="20"/>
                <w:szCs w:val="20"/>
                <w:lang w:eastAsia="sk-SK"/>
              </w:rPr>
            </w:pPr>
            <w:r w:rsidRPr="003163F9">
              <w:rPr>
                <w:rFonts w:eastAsia="Times New Roman" w:cs="Times New Roman"/>
                <w:color w:val="000000"/>
                <w:sz w:val="20"/>
                <w:szCs w:val="20"/>
                <w:lang w:eastAsia="sk-SK"/>
              </w:rPr>
              <w:t>-4 022</w:t>
            </w:r>
          </w:p>
        </w:tc>
        <w:tc>
          <w:tcPr>
            <w:tcW w:w="1025" w:type="dxa"/>
            <w:tcBorders>
              <w:top w:val="nil"/>
              <w:left w:val="nil"/>
              <w:bottom w:val="nil"/>
              <w:right w:val="nil"/>
            </w:tcBorders>
            <w:shd w:val="clear" w:color="000000" w:fill="FFFFFF"/>
            <w:noWrap/>
            <w:vAlign w:val="center"/>
            <w:hideMark/>
          </w:tcPr>
          <w:p w14:paraId="5DFF79EE" w14:textId="77777777" w:rsidR="00614751" w:rsidRPr="003163F9" w:rsidRDefault="00614751" w:rsidP="004A5585">
            <w:pPr>
              <w:spacing w:after="0" w:line="240" w:lineRule="auto"/>
              <w:jc w:val="right"/>
              <w:rPr>
                <w:rFonts w:eastAsia="Times New Roman" w:cs="Times New Roman"/>
                <w:color w:val="000000"/>
                <w:sz w:val="20"/>
                <w:szCs w:val="20"/>
                <w:lang w:eastAsia="sk-SK"/>
              </w:rPr>
            </w:pPr>
            <w:r w:rsidRPr="003163F9">
              <w:rPr>
                <w:rFonts w:eastAsia="Times New Roman" w:cs="Times New Roman"/>
                <w:color w:val="000000"/>
                <w:sz w:val="20"/>
                <w:szCs w:val="20"/>
                <w:lang w:eastAsia="sk-SK"/>
              </w:rPr>
              <w:t>-8 109</w:t>
            </w:r>
          </w:p>
        </w:tc>
        <w:tc>
          <w:tcPr>
            <w:tcW w:w="915" w:type="dxa"/>
            <w:tcBorders>
              <w:top w:val="nil"/>
              <w:left w:val="nil"/>
              <w:bottom w:val="nil"/>
              <w:right w:val="nil"/>
            </w:tcBorders>
            <w:shd w:val="clear" w:color="000000" w:fill="FFFFFF"/>
            <w:noWrap/>
            <w:vAlign w:val="center"/>
            <w:hideMark/>
          </w:tcPr>
          <w:p w14:paraId="2CF59493"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-4 087</w:t>
            </w:r>
          </w:p>
        </w:tc>
      </w:tr>
      <w:tr w:rsidR="00614751" w:rsidRPr="003163F9" w14:paraId="1D30BF0B" w14:textId="77777777" w:rsidTr="00614751">
        <w:trPr>
          <w:trHeight w:val="327"/>
        </w:trPr>
        <w:tc>
          <w:tcPr>
            <w:tcW w:w="190" w:type="dxa"/>
            <w:tcBorders>
              <w:top w:val="nil"/>
              <w:left w:val="nil"/>
              <w:bottom w:val="nil"/>
              <w:right w:val="nil"/>
            </w:tcBorders>
            <w:shd w:val="clear" w:color="000000" w:fill="FFFFFF"/>
            <w:noWrap/>
            <w:vAlign w:val="center"/>
            <w:hideMark/>
          </w:tcPr>
          <w:p w14:paraId="2AB03389"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 </w:t>
            </w:r>
          </w:p>
        </w:tc>
        <w:tc>
          <w:tcPr>
            <w:tcW w:w="190" w:type="dxa"/>
            <w:tcBorders>
              <w:top w:val="nil"/>
              <w:left w:val="nil"/>
              <w:bottom w:val="nil"/>
              <w:right w:val="nil"/>
            </w:tcBorders>
            <w:shd w:val="clear" w:color="000000" w:fill="FFFFFF"/>
            <w:noWrap/>
            <w:vAlign w:val="center"/>
            <w:hideMark/>
          </w:tcPr>
          <w:p w14:paraId="44B5CBE9" w14:textId="77777777" w:rsidR="00614751" w:rsidRPr="003163F9" w:rsidRDefault="00614751" w:rsidP="004A5585">
            <w:pPr>
              <w:spacing w:after="0" w:line="240" w:lineRule="auto"/>
              <w:jc w:val="left"/>
              <w:rPr>
                <w:rFonts w:eastAsia="Times New Roman" w:cs="Times New Roman"/>
                <w:color w:val="000000"/>
                <w:sz w:val="20"/>
                <w:szCs w:val="20"/>
                <w:lang w:eastAsia="sk-SK"/>
              </w:rPr>
            </w:pPr>
            <w:r w:rsidRPr="003163F9">
              <w:rPr>
                <w:rFonts w:eastAsia="Times New Roman" w:cs="Times New Roman"/>
                <w:color w:val="000000"/>
                <w:sz w:val="20"/>
                <w:szCs w:val="20"/>
                <w:lang w:eastAsia="sk-SK"/>
              </w:rPr>
              <w:t> </w:t>
            </w:r>
          </w:p>
        </w:tc>
        <w:tc>
          <w:tcPr>
            <w:tcW w:w="3466" w:type="dxa"/>
            <w:tcBorders>
              <w:top w:val="nil"/>
              <w:left w:val="nil"/>
              <w:bottom w:val="nil"/>
              <w:right w:val="nil"/>
            </w:tcBorders>
            <w:shd w:val="clear" w:color="000000" w:fill="FFFFFF"/>
            <w:noWrap/>
            <w:vAlign w:val="center"/>
            <w:hideMark/>
          </w:tcPr>
          <w:p w14:paraId="0D5C8BE1" w14:textId="77777777" w:rsidR="00614751" w:rsidRPr="003163F9" w:rsidRDefault="00614751" w:rsidP="004A5585">
            <w:pPr>
              <w:spacing w:after="0" w:line="240" w:lineRule="auto"/>
              <w:jc w:val="left"/>
              <w:rPr>
                <w:rFonts w:eastAsia="Times New Roman" w:cs="Times New Roman"/>
                <w:sz w:val="20"/>
                <w:szCs w:val="20"/>
                <w:lang w:eastAsia="sk-SK"/>
              </w:rPr>
            </w:pPr>
            <w:r w:rsidRPr="003163F9">
              <w:rPr>
                <w:rFonts w:eastAsia="Times New Roman" w:cs="Times New Roman"/>
                <w:sz w:val="20"/>
                <w:szCs w:val="20"/>
                <w:lang w:eastAsia="sk-SK"/>
              </w:rPr>
              <w:t>MH Invest, s.r.o.</w:t>
            </w:r>
          </w:p>
        </w:tc>
        <w:tc>
          <w:tcPr>
            <w:tcW w:w="1025" w:type="dxa"/>
            <w:tcBorders>
              <w:top w:val="nil"/>
              <w:left w:val="nil"/>
              <w:bottom w:val="nil"/>
              <w:right w:val="nil"/>
            </w:tcBorders>
            <w:shd w:val="clear" w:color="000000" w:fill="FFFFFF"/>
            <w:noWrap/>
            <w:vAlign w:val="center"/>
            <w:hideMark/>
          </w:tcPr>
          <w:p w14:paraId="326EEF3C"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10 372</w:t>
            </w:r>
          </w:p>
        </w:tc>
        <w:tc>
          <w:tcPr>
            <w:tcW w:w="1025" w:type="dxa"/>
            <w:tcBorders>
              <w:top w:val="nil"/>
              <w:left w:val="nil"/>
              <w:bottom w:val="nil"/>
              <w:right w:val="nil"/>
            </w:tcBorders>
            <w:shd w:val="clear" w:color="000000" w:fill="FFFFFF"/>
            <w:noWrap/>
            <w:vAlign w:val="center"/>
            <w:hideMark/>
          </w:tcPr>
          <w:p w14:paraId="64DCA8FC"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25 256</w:t>
            </w:r>
          </w:p>
        </w:tc>
        <w:tc>
          <w:tcPr>
            <w:tcW w:w="1022" w:type="dxa"/>
            <w:tcBorders>
              <w:top w:val="nil"/>
              <w:left w:val="nil"/>
              <w:bottom w:val="nil"/>
              <w:right w:val="nil"/>
            </w:tcBorders>
            <w:shd w:val="clear" w:color="000000" w:fill="FFFFFF"/>
            <w:noWrap/>
            <w:vAlign w:val="center"/>
            <w:hideMark/>
          </w:tcPr>
          <w:p w14:paraId="004BC3BC"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-204</w:t>
            </w:r>
          </w:p>
        </w:tc>
        <w:tc>
          <w:tcPr>
            <w:tcW w:w="1025" w:type="dxa"/>
            <w:tcBorders>
              <w:top w:val="nil"/>
              <w:left w:val="nil"/>
              <w:bottom w:val="nil"/>
              <w:right w:val="nil"/>
            </w:tcBorders>
            <w:shd w:val="clear" w:color="000000" w:fill="FFFFFF"/>
            <w:noWrap/>
            <w:vAlign w:val="center"/>
            <w:hideMark/>
          </w:tcPr>
          <w:p w14:paraId="75A0C442"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-10 128</w:t>
            </w:r>
          </w:p>
        </w:tc>
        <w:tc>
          <w:tcPr>
            <w:tcW w:w="915" w:type="dxa"/>
            <w:tcBorders>
              <w:top w:val="nil"/>
              <w:left w:val="nil"/>
              <w:bottom w:val="nil"/>
              <w:right w:val="nil"/>
            </w:tcBorders>
            <w:shd w:val="clear" w:color="000000" w:fill="FFFFFF"/>
            <w:noWrap/>
            <w:vAlign w:val="center"/>
            <w:hideMark/>
          </w:tcPr>
          <w:p w14:paraId="33960453"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-9 924</w:t>
            </w:r>
          </w:p>
        </w:tc>
      </w:tr>
      <w:tr w:rsidR="00614751" w:rsidRPr="003163F9" w14:paraId="563CBBD2" w14:textId="77777777" w:rsidTr="00614751">
        <w:trPr>
          <w:trHeight w:val="327"/>
        </w:trPr>
        <w:tc>
          <w:tcPr>
            <w:tcW w:w="190" w:type="dxa"/>
            <w:tcBorders>
              <w:top w:val="nil"/>
              <w:left w:val="nil"/>
              <w:bottom w:val="nil"/>
              <w:right w:val="nil"/>
            </w:tcBorders>
            <w:shd w:val="clear" w:color="000000" w:fill="FFFFFF"/>
            <w:noWrap/>
            <w:vAlign w:val="center"/>
            <w:hideMark/>
          </w:tcPr>
          <w:p w14:paraId="721DC922"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 </w:t>
            </w:r>
          </w:p>
        </w:tc>
        <w:tc>
          <w:tcPr>
            <w:tcW w:w="190" w:type="dxa"/>
            <w:tcBorders>
              <w:top w:val="nil"/>
              <w:left w:val="nil"/>
              <w:bottom w:val="nil"/>
              <w:right w:val="nil"/>
            </w:tcBorders>
            <w:shd w:val="clear" w:color="000000" w:fill="FFFFFF"/>
            <w:noWrap/>
            <w:vAlign w:val="center"/>
            <w:hideMark/>
          </w:tcPr>
          <w:p w14:paraId="7BBA09C5" w14:textId="77777777" w:rsidR="00614751" w:rsidRPr="003163F9" w:rsidRDefault="00614751" w:rsidP="004A5585">
            <w:pPr>
              <w:spacing w:after="0" w:line="240" w:lineRule="auto"/>
              <w:jc w:val="left"/>
              <w:rPr>
                <w:rFonts w:eastAsia="Times New Roman" w:cs="Times New Roman"/>
                <w:color w:val="000000"/>
                <w:sz w:val="20"/>
                <w:szCs w:val="20"/>
                <w:lang w:eastAsia="sk-SK"/>
              </w:rPr>
            </w:pPr>
            <w:r w:rsidRPr="003163F9">
              <w:rPr>
                <w:rFonts w:eastAsia="Times New Roman" w:cs="Times New Roman"/>
                <w:color w:val="000000"/>
                <w:sz w:val="20"/>
                <w:szCs w:val="20"/>
                <w:lang w:eastAsia="sk-SK"/>
              </w:rPr>
              <w:t> </w:t>
            </w:r>
          </w:p>
        </w:tc>
        <w:tc>
          <w:tcPr>
            <w:tcW w:w="3466" w:type="dxa"/>
            <w:tcBorders>
              <w:top w:val="nil"/>
              <w:left w:val="nil"/>
              <w:bottom w:val="nil"/>
              <w:right w:val="nil"/>
            </w:tcBorders>
            <w:shd w:val="clear" w:color="000000" w:fill="FFFFFF"/>
            <w:noWrap/>
            <w:vAlign w:val="center"/>
            <w:hideMark/>
          </w:tcPr>
          <w:p w14:paraId="2B15C47A" w14:textId="77777777" w:rsidR="00614751" w:rsidRPr="003163F9" w:rsidRDefault="00614751" w:rsidP="004A5585">
            <w:pPr>
              <w:spacing w:after="0" w:line="240" w:lineRule="auto"/>
              <w:jc w:val="left"/>
              <w:rPr>
                <w:rFonts w:eastAsia="Times New Roman" w:cs="Times New Roman"/>
                <w:sz w:val="20"/>
                <w:szCs w:val="20"/>
                <w:lang w:eastAsia="sk-SK"/>
              </w:rPr>
            </w:pPr>
            <w:r w:rsidRPr="003163F9">
              <w:rPr>
                <w:rFonts w:eastAsia="Times New Roman" w:cs="Times New Roman"/>
                <w:sz w:val="20"/>
                <w:szCs w:val="20"/>
                <w:lang w:eastAsia="sk-SK"/>
              </w:rPr>
              <w:t>MH Invest II, s.r.o.</w:t>
            </w:r>
          </w:p>
        </w:tc>
        <w:tc>
          <w:tcPr>
            <w:tcW w:w="1025" w:type="dxa"/>
            <w:tcBorders>
              <w:top w:val="nil"/>
              <w:left w:val="nil"/>
              <w:bottom w:val="nil"/>
              <w:right w:val="nil"/>
            </w:tcBorders>
            <w:shd w:val="clear" w:color="000000" w:fill="FFFFFF"/>
            <w:noWrap/>
            <w:vAlign w:val="center"/>
            <w:hideMark/>
          </w:tcPr>
          <w:p w14:paraId="7D1F442C"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-20 533</w:t>
            </w:r>
          </w:p>
        </w:tc>
        <w:tc>
          <w:tcPr>
            <w:tcW w:w="1025" w:type="dxa"/>
            <w:tcBorders>
              <w:top w:val="nil"/>
              <w:left w:val="nil"/>
              <w:bottom w:val="nil"/>
              <w:right w:val="nil"/>
            </w:tcBorders>
            <w:shd w:val="clear" w:color="000000" w:fill="FFFFFF"/>
            <w:noWrap/>
            <w:vAlign w:val="center"/>
            <w:hideMark/>
          </w:tcPr>
          <w:p w14:paraId="3387539B"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23 429</w:t>
            </w:r>
          </w:p>
        </w:tc>
        <w:tc>
          <w:tcPr>
            <w:tcW w:w="1022" w:type="dxa"/>
            <w:tcBorders>
              <w:top w:val="nil"/>
              <w:left w:val="nil"/>
              <w:bottom w:val="nil"/>
              <w:right w:val="nil"/>
            </w:tcBorders>
            <w:shd w:val="clear" w:color="000000" w:fill="FFFFFF"/>
            <w:noWrap/>
            <w:vAlign w:val="center"/>
            <w:hideMark/>
          </w:tcPr>
          <w:p w14:paraId="699F3274"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-655</w:t>
            </w:r>
          </w:p>
        </w:tc>
        <w:tc>
          <w:tcPr>
            <w:tcW w:w="1025" w:type="dxa"/>
            <w:tcBorders>
              <w:top w:val="nil"/>
              <w:left w:val="nil"/>
              <w:bottom w:val="nil"/>
              <w:right w:val="nil"/>
            </w:tcBorders>
            <w:shd w:val="clear" w:color="000000" w:fill="FFFFFF"/>
            <w:noWrap/>
            <w:vAlign w:val="center"/>
            <w:hideMark/>
          </w:tcPr>
          <w:p w14:paraId="1B5F817B"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-568</w:t>
            </w:r>
          </w:p>
        </w:tc>
        <w:tc>
          <w:tcPr>
            <w:tcW w:w="915" w:type="dxa"/>
            <w:tcBorders>
              <w:top w:val="nil"/>
              <w:left w:val="nil"/>
              <w:bottom w:val="nil"/>
              <w:right w:val="nil"/>
            </w:tcBorders>
            <w:shd w:val="clear" w:color="000000" w:fill="FFFFFF"/>
            <w:noWrap/>
            <w:vAlign w:val="center"/>
            <w:hideMark/>
          </w:tcPr>
          <w:p w14:paraId="39F71065"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87</w:t>
            </w:r>
          </w:p>
        </w:tc>
      </w:tr>
      <w:tr w:rsidR="00614751" w:rsidRPr="003163F9" w14:paraId="14CC3540" w14:textId="77777777" w:rsidTr="00614751">
        <w:trPr>
          <w:trHeight w:val="327"/>
        </w:trPr>
        <w:tc>
          <w:tcPr>
            <w:tcW w:w="190" w:type="dxa"/>
            <w:tcBorders>
              <w:top w:val="nil"/>
              <w:left w:val="nil"/>
              <w:bottom w:val="nil"/>
              <w:right w:val="nil"/>
            </w:tcBorders>
            <w:shd w:val="clear" w:color="000000" w:fill="FFFFFF"/>
            <w:noWrap/>
            <w:vAlign w:val="center"/>
            <w:hideMark/>
          </w:tcPr>
          <w:p w14:paraId="72FE4BEA"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 </w:t>
            </w:r>
          </w:p>
        </w:tc>
        <w:tc>
          <w:tcPr>
            <w:tcW w:w="190" w:type="dxa"/>
            <w:tcBorders>
              <w:top w:val="nil"/>
              <w:left w:val="nil"/>
              <w:bottom w:val="nil"/>
              <w:right w:val="nil"/>
            </w:tcBorders>
            <w:shd w:val="clear" w:color="000000" w:fill="FFFFFF"/>
            <w:noWrap/>
            <w:vAlign w:val="center"/>
            <w:hideMark/>
          </w:tcPr>
          <w:p w14:paraId="20B34E0A" w14:textId="77777777" w:rsidR="00614751" w:rsidRPr="003163F9" w:rsidRDefault="00614751" w:rsidP="004A5585">
            <w:pPr>
              <w:spacing w:after="0" w:line="240" w:lineRule="auto"/>
              <w:jc w:val="left"/>
              <w:rPr>
                <w:rFonts w:eastAsia="Times New Roman" w:cs="Times New Roman"/>
                <w:color w:val="000000"/>
                <w:sz w:val="20"/>
                <w:szCs w:val="20"/>
                <w:lang w:eastAsia="sk-SK"/>
              </w:rPr>
            </w:pPr>
            <w:r w:rsidRPr="003163F9">
              <w:rPr>
                <w:rFonts w:eastAsia="Times New Roman" w:cs="Times New Roman"/>
                <w:color w:val="000000"/>
                <w:sz w:val="20"/>
                <w:szCs w:val="20"/>
                <w:lang w:eastAsia="sk-SK"/>
              </w:rPr>
              <w:t> </w:t>
            </w:r>
          </w:p>
        </w:tc>
        <w:tc>
          <w:tcPr>
            <w:tcW w:w="3466" w:type="dxa"/>
            <w:tcBorders>
              <w:top w:val="nil"/>
              <w:left w:val="nil"/>
              <w:bottom w:val="nil"/>
              <w:right w:val="nil"/>
            </w:tcBorders>
            <w:shd w:val="clear" w:color="000000" w:fill="FFFFFF"/>
            <w:noWrap/>
            <w:vAlign w:val="center"/>
            <w:hideMark/>
          </w:tcPr>
          <w:p w14:paraId="19C59D31" w14:textId="77777777" w:rsidR="00614751" w:rsidRPr="003163F9" w:rsidRDefault="00614751" w:rsidP="004A5585">
            <w:pPr>
              <w:spacing w:after="0" w:line="240" w:lineRule="auto"/>
              <w:jc w:val="left"/>
              <w:rPr>
                <w:rFonts w:eastAsia="Times New Roman" w:cs="Times New Roman"/>
                <w:sz w:val="20"/>
                <w:szCs w:val="20"/>
                <w:lang w:eastAsia="sk-SK"/>
              </w:rPr>
            </w:pPr>
            <w:r w:rsidRPr="003163F9">
              <w:rPr>
                <w:rFonts w:eastAsia="Times New Roman" w:cs="Times New Roman"/>
                <w:sz w:val="20"/>
                <w:szCs w:val="20"/>
                <w:lang w:eastAsia="sk-SK"/>
              </w:rPr>
              <w:t xml:space="preserve">JAVYS, </w:t>
            </w:r>
            <w:proofErr w:type="spellStart"/>
            <w:r w:rsidRPr="003163F9">
              <w:rPr>
                <w:rFonts w:eastAsia="Times New Roman" w:cs="Times New Roman"/>
                <w:sz w:val="20"/>
                <w:szCs w:val="20"/>
                <w:lang w:eastAsia="sk-SK"/>
              </w:rPr>
              <w:t>a.s</w:t>
            </w:r>
            <w:proofErr w:type="spellEnd"/>
            <w:r w:rsidRPr="003163F9">
              <w:rPr>
                <w:rFonts w:eastAsia="Times New Roman" w:cs="Times New Roman"/>
                <w:sz w:val="20"/>
                <w:szCs w:val="20"/>
                <w:lang w:eastAsia="sk-SK"/>
              </w:rPr>
              <w:t>.</w:t>
            </w:r>
          </w:p>
        </w:tc>
        <w:tc>
          <w:tcPr>
            <w:tcW w:w="1025" w:type="dxa"/>
            <w:tcBorders>
              <w:top w:val="nil"/>
              <w:left w:val="nil"/>
              <w:bottom w:val="nil"/>
              <w:right w:val="nil"/>
            </w:tcBorders>
            <w:shd w:val="clear" w:color="000000" w:fill="FFFFFF"/>
            <w:noWrap/>
            <w:vAlign w:val="center"/>
            <w:hideMark/>
          </w:tcPr>
          <w:p w14:paraId="4D2C262F"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12 150</w:t>
            </w:r>
          </w:p>
        </w:tc>
        <w:tc>
          <w:tcPr>
            <w:tcW w:w="1025" w:type="dxa"/>
            <w:tcBorders>
              <w:top w:val="nil"/>
              <w:left w:val="nil"/>
              <w:bottom w:val="nil"/>
              <w:right w:val="nil"/>
            </w:tcBorders>
            <w:shd w:val="clear" w:color="000000" w:fill="FFFFFF"/>
            <w:noWrap/>
            <w:vAlign w:val="center"/>
            <w:hideMark/>
          </w:tcPr>
          <w:p w14:paraId="31C1BA8F"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7 002</w:t>
            </w:r>
          </w:p>
        </w:tc>
        <w:tc>
          <w:tcPr>
            <w:tcW w:w="1022" w:type="dxa"/>
            <w:tcBorders>
              <w:top w:val="nil"/>
              <w:left w:val="nil"/>
              <w:bottom w:val="nil"/>
              <w:right w:val="nil"/>
            </w:tcBorders>
            <w:shd w:val="clear" w:color="000000" w:fill="FFFFFF"/>
            <w:noWrap/>
            <w:vAlign w:val="center"/>
            <w:hideMark/>
          </w:tcPr>
          <w:p w14:paraId="701EBF7C"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-5 037</w:t>
            </w:r>
          </w:p>
        </w:tc>
        <w:tc>
          <w:tcPr>
            <w:tcW w:w="1025" w:type="dxa"/>
            <w:tcBorders>
              <w:top w:val="nil"/>
              <w:left w:val="nil"/>
              <w:bottom w:val="nil"/>
              <w:right w:val="nil"/>
            </w:tcBorders>
            <w:shd w:val="clear" w:color="000000" w:fill="FFFFFF"/>
            <w:noWrap/>
            <w:vAlign w:val="center"/>
            <w:hideMark/>
          </w:tcPr>
          <w:p w14:paraId="66A4F972"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8 777</w:t>
            </w:r>
          </w:p>
        </w:tc>
        <w:tc>
          <w:tcPr>
            <w:tcW w:w="915" w:type="dxa"/>
            <w:tcBorders>
              <w:top w:val="nil"/>
              <w:left w:val="nil"/>
              <w:bottom w:val="nil"/>
              <w:right w:val="nil"/>
            </w:tcBorders>
            <w:shd w:val="clear" w:color="000000" w:fill="FFFFFF"/>
            <w:noWrap/>
            <w:vAlign w:val="center"/>
            <w:hideMark/>
          </w:tcPr>
          <w:p w14:paraId="62027EED"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13 814</w:t>
            </w:r>
          </w:p>
        </w:tc>
      </w:tr>
      <w:tr w:rsidR="00614751" w:rsidRPr="003163F9" w14:paraId="55C7E2AF" w14:textId="77777777" w:rsidTr="00614751">
        <w:trPr>
          <w:trHeight w:val="327"/>
        </w:trPr>
        <w:tc>
          <w:tcPr>
            <w:tcW w:w="190" w:type="dxa"/>
            <w:tcBorders>
              <w:top w:val="nil"/>
              <w:left w:val="nil"/>
              <w:bottom w:val="nil"/>
              <w:right w:val="nil"/>
            </w:tcBorders>
            <w:shd w:val="clear" w:color="000000" w:fill="FFFFFF"/>
            <w:noWrap/>
            <w:vAlign w:val="center"/>
            <w:hideMark/>
          </w:tcPr>
          <w:p w14:paraId="792381FB"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 </w:t>
            </w:r>
          </w:p>
        </w:tc>
        <w:tc>
          <w:tcPr>
            <w:tcW w:w="190" w:type="dxa"/>
            <w:tcBorders>
              <w:top w:val="nil"/>
              <w:left w:val="nil"/>
              <w:bottom w:val="nil"/>
              <w:right w:val="nil"/>
            </w:tcBorders>
            <w:shd w:val="clear" w:color="000000" w:fill="FFFFFF"/>
            <w:noWrap/>
            <w:vAlign w:val="center"/>
            <w:hideMark/>
          </w:tcPr>
          <w:p w14:paraId="623E810E" w14:textId="77777777" w:rsidR="00614751" w:rsidRPr="003163F9" w:rsidRDefault="00614751" w:rsidP="004A5585">
            <w:pPr>
              <w:spacing w:after="0" w:line="240" w:lineRule="auto"/>
              <w:jc w:val="left"/>
              <w:rPr>
                <w:rFonts w:eastAsia="Times New Roman" w:cs="Times New Roman"/>
                <w:sz w:val="20"/>
                <w:szCs w:val="20"/>
                <w:lang w:eastAsia="sk-SK"/>
              </w:rPr>
            </w:pPr>
            <w:r w:rsidRPr="003163F9">
              <w:rPr>
                <w:rFonts w:eastAsia="Times New Roman" w:cs="Times New Roman"/>
                <w:sz w:val="20"/>
                <w:szCs w:val="20"/>
                <w:lang w:eastAsia="sk-SK"/>
              </w:rPr>
              <w:t> </w:t>
            </w:r>
          </w:p>
        </w:tc>
        <w:tc>
          <w:tcPr>
            <w:tcW w:w="3466" w:type="dxa"/>
            <w:tcBorders>
              <w:top w:val="nil"/>
              <w:left w:val="nil"/>
              <w:bottom w:val="nil"/>
              <w:right w:val="nil"/>
            </w:tcBorders>
            <w:shd w:val="clear" w:color="000000" w:fill="FFFFFF"/>
            <w:noWrap/>
            <w:vAlign w:val="center"/>
            <w:hideMark/>
          </w:tcPr>
          <w:p w14:paraId="12E9CE21" w14:textId="77777777" w:rsidR="00614751" w:rsidRPr="003163F9" w:rsidRDefault="00614751" w:rsidP="004A5585">
            <w:pPr>
              <w:spacing w:after="0" w:line="240" w:lineRule="auto"/>
              <w:jc w:val="left"/>
              <w:rPr>
                <w:rFonts w:eastAsia="Times New Roman" w:cs="Times New Roman"/>
                <w:sz w:val="20"/>
                <w:szCs w:val="20"/>
                <w:lang w:eastAsia="sk-SK"/>
              </w:rPr>
            </w:pPr>
            <w:r w:rsidRPr="003163F9">
              <w:rPr>
                <w:rFonts w:eastAsia="Times New Roman" w:cs="Times New Roman"/>
                <w:sz w:val="20"/>
                <w:szCs w:val="20"/>
                <w:lang w:eastAsia="sk-SK"/>
              </w:rPr>
              <w:t>Železnice Slovenskej republiky</w:t>
            </w:r>
          </w:p>
        </w:tc>
        <w:tc>
          <w:tcPr>
            <w:tcW w:w="1025" w:type="dxa"/>
            <w:tcBorders>
              <w:top w:val="nil"/>
              <w:left w:val="nil"/>
              <w:bottom w:val="nil"/>
              <w:right w:val="nil"/>
            </w:tcBorders>
            <w:shd w:val="clear" w:color="000000" w:fill="FFFFFF"/>
            <w:noWrap/>
            <w:vAlign w:val="center"/>
            <w:hideMark/>
          </w:tcPr>
          <w:p w14:paraId="2E958BE0"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47 650</w:t>
            </w:r>
          </w:p>
        </w:tc>
        <w:tc>
          <w:tcPr>
            <w:tcW w:w="1025" w:type="dxa"/>
            <w:tcBorders>
              <w:top w:val="nil"/>
              <w:left w:val="nil"/>
              <w:bottom w:val="nil"/>
              <w:right w:val="nil"/>
            </w:tcBorders>
            <w:shd w:val="clear" w:color="000000" w:fill="FFFFFF"/>
            <w:noWrap/>
            <w:vAlign w:val="center"/>
            <w:hideMark/>
          </w:tcPr>
          <w:p w14:paraId="3A23D995"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-94 844</w:t>
            </w:r>
          </w:p>
        </w:tc>
        <w:tc>
          <w:tcPr>
            <w:tcW w:w="1022" w:type="dxa"/>
            <w:tcBorders>
              <w:top w:val="nil"/>
              <w:left w:val="nil"/>
              <w:bottom w:val="nil"/>
              <w:right w:val="nil"/>
            </w:tcBorders>
            <w:shd w:val="clear" w:color="000000" w:fill="FFFFFF"/>
            <w:noWrap/>
            <w:vAlign w:val="center"/>
            <w:hideMark/>
          </w:tcPr>
          <w:p w14:paraId="0C5EEE5E"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0</w:t>
            </w:r>
          </w:p>
        </w:tc>
        <w:tc>
          <w:tcPr>
            <w:tcW w:w="1025" w:type="dxa"/>
            <w:tcBorders>
              <w:top w:val="nil"/>
              <w:left w:val="nil"/>
              <w:bottom w:val="nil"/>
              <w:right w:val="nil"/>
            </w:tcBorders>
            <w:shd w:val="clear" w:color="000000" w:fill="FFFFFF"/>
            <w:noWrap/>
            <w:vAlign w:val="center"/>
            <w:hideMark/>
          </w:tcPr>
          <w:p w14:paraId="30EB3955"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10 880</w:t>
            </w:r>
          </w:p>
        </w:tc>
        <w:tc>
          <w:tcPr>
            <w:tcW w:w="915" w:type="dxa"/>
            <w:tcBorders>
              <w:top w:val="nil"/>
              <w:left w:val="nil"/>
              <w:bottom w:val="nil"/>
              <w:right w:val="nil"/>
            </w:tcBorders>
            <w:shd w:val="clear" w:color="000000" w:fill="FFFFFF"/>
            <w:noWrap/>
            <w:vAlign w:val="center"/>
            <w:hideMark/>
          </w:tcPr>
          <w:p w14:paraId="4B0339A9"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10 880</w:t>
            </w:r>
          </w:p>
        </w:tc>
      </w:tr>
      <w:tr w:rsidR="00614751" w:rsidRPr="003163F9" w14:paraId="52DAF6FB" w14:textId="77777777" w:rsidTr="00614751">
        <w:trPr>
          <w:trHeight w:val="327"/>
        </w:trPr>
        <w:tc>
          <w:tcPr>
            <w:tcW w:w="190" w:type="dxa"/>
            <w:tcBorders>
              <w:top w:val="nil"/>
              <w:left w:val="nil"/>
              <w:bottom w:val="nil"/>
              <w:right w:val="nil"/>
            </w:tcBorders>
            <w:shd w:val="clear" w:color="000000" w:fill="FFFFFF"/>
            <w:noWrap/>
            <w:vAlign w:val="center"/>
            <w:hideMark/>
          </w:tcPr>
          <w:p w14:paraId="705028B1"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 </w:t>
            </w:r>
          </w:p>
        </w:tc>
        <w:tc>
          <w:tcPr>
            <w:tcW w:w="190" w:type="dxa"/>
            <w:tcBorders>
              <w:top w:val="nil"/>
              <w:left w:val="nil"/>
              <w:bottom w:val="nil"/>
              <w:right w:val="nil"/>
            </w:tcBorders>
            <w:shd w:val="clear" w:color="000000" w:fill="FFFFFF"/>
            <w:noWrap/>
            <w:vAlign w:val="center"/>
            <w:hideMark/>
          </w:tcPr>
          <w:p w14:paraId="4E35F554" w14:textId="77777777" w:rsidR="00614751" w:rsidRPr="003163F9" w:rsidRDefault="00614751" w:rsidP="004A5585">
            <w:pPr>
              <w:spacing w:after="0" w:line="240" w:lineRule="auto"/>
              <w:jc w:val="left"/>
              <w:rPr>
                <w:rFonts w:eastAsia="Times New Roman" w:cs="Times New Roman"/>
                <w:sz w:val="20"/>
                <w:szCs w:val="20"/>
                <w:lang w:eastAsia="sk-SK"/>
              </w:rPr>
            </w:pPr>
            <w:r w:rsidRPr="003163F9">
              <w:rPr>
                <w:rFonts w:eastAsia="Times New Roman" w:cs="Times New Roman"/>
                <w:sz w:val="20"/>
                <w:szCs w:val="20"/>
                <w:lang w:eastAsia="sk-SK"/>
              </w:rPr>
              <w:t> </w:t>
            </w:r>
          </w:p>
        </w:tc>
        <w:tc>
          <w:tcPr>
            <w:tcW w:w="3466" w:type="dxa"/>
            <w:tcBorders>
              <w:top w:val="nil"/>
              <w:left w:val="nil"/>
              <w:bottom w:val="nil"/>
              <w:right w:val="nil"/>
            </w:tcBorders>
            <w:shd w:val="clear" w:color="000000" w:fill="FFFFFF"/>
            <w:noWrap/>
            <w:vAlign w:val="center"/>
            <w:hideMark/>
          </w:tcPr>
          <w:p w14:paraId="07116811" w14:textId="77777777" w:rsidR="00614751" w:rsidRPr="003163F9" w:rsidRDefault="00614751" w:rsidP="004A5585">
            <w:pPr>
              <w:spacing w:after="0" w:line="240" w:lineRule="auto"/>
              <w:jc w:val="left"/>
              <w:rPr>
                <w:rFonts w:eastAsia="Times New Roman" w:cs="Times New Roman"/>
                <w:sz w:val="20"/>
                <w:szCs w:val="20"/>
                <w:lang w:eastAsia="sk-SK"/>
              </w:rPr>
            </w:pPr>
            <w:r w:rsidRPr="003163F9">
              <w:rPr>
                <w:rFonts w:eastAsia="Times New Roman" w:cs="Times New Roman"/>
                <w:sz w:val="20"/>
                <w:szCs w:val="20"/>
                <w:lang w:eastAsia="sk-SK"/>
              </w:rPr>
              <w:t xml:space="preserve">Železničná spoločnosť Slovensko, </w:t>
            </w:r>
            <w:proofErr w:type="spellStart"/>
            <w:r w:rsidRPr="003163F9">
              <w:rPr>
                <w:rFonts w:eastAsia="Times New Roman" w:cs="Times New Roman"/>
                <w:sz w:val="20"/>
                <w:szCs w:val="20"/>
                <w:lang w:eastAsia="sk-SK"/>
              </w:rPr>
              <w:t>a.s</w:t>
            </w:r>
            <w:proofErr w:type="spellEnd"/>
            <w:r w:rsidRPr="003163F9">
              <w:rPr>
                <w:rFonts w:eastAsia="Times New Roman" w:cs="Times New Roman"/>
                <w:sz w:val="20"/>
                <w:szCs w:val="20"/>
                <w:lang w:eastAsia="sk-SK"/>
              </w:rPr>
              <w:t>.</w:t>
            </w:r>
          </w:p>
        </w:tc>
        <w:tc>
          <w:tcPr>
            <w:tcW w:w="1025" w:type="dxa"/>
            <w:tcBorders>
              <w:top w:val="nil"/>
              <w:left w:val="nil"/>
              <w:bottom w:val="nil"/>
              <w:right w:val="nil"/>
            </w:tcBorders>
            <w:shd w:val="clear" w:color="000000" w:fill="FFFFFF"/>
            <w:noWrap/>
            <w:vAlign w:val="center"/>
            <w:hideMark/>
          </w:tcPr>
          <w:p w14:paraId="41D211C4"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-17 018</w:t>
            </w:r>
          </w:p>
        </w:tc>
        <w:tc>
          <w:tcPr>
            <w:tcW w:w="1025" w:type="dxa"/>
            <w:tcBorders>
              <w:top w:val="nil"/>
              <w:left w:val="nil"/>
              <w:bottom w:val="nil"/>
              <w:right w:val="nil"/>
            </w:tcBorders>
            <w:shd w:val="clear" w:color="000000" w:fill="FFFFFF"/>
            <w:noWrap/>
            <w:vAlign w:val="center"/>
            <w:hideMark/>
          </w:tcPr>
          <w:p w14:paraId="330071E2"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7 301</w:t>
            </w:r>
          </w:p>
        </w:tc>
        <w:tc>
          <w:tcPr>
            <w:tcW w:w="1022" w:type="dxa"/>
            <w:tcBorders>
              <w:top w:val="nil"/>
              <w:left w:val="nil"/>
              <w:bottom w:val="nil"/>
              <w:right w:val="nil"/>
            </w:tcBorders>
            <w:shd w:val="clear" w:color="000000" w:fill="FFFFFF"/>
            <w:noWrap/>
            <w:vAlign w:val="center"/>
            <w:hideMark/>
          </w:tcPr>
          <w:p w14:paraId="331DB13C"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-6 719</w:t>
            </w:r>
          </w:p>
        </w:tc>
        <w:tc>
          <w:tcPr>
            <w:tcW w:w="1025" w:type="dxa"/>
            <w:tcBorders>
              <w:top w:val="nil"/>
              <w:left w:val="nil"/>
              <w:bottom w:val="nil"/>
              <w:right w:val="nil"/>
            </w:tcBorders>
            <w:shd w:val="clear" w:color="000000" w:fill="FFFFFF"/>
            <w:noWrap/>
            <w:vAlign w:val="center"/>
            <w:hideMark/>
          </w:tcPr>
          <w:p w14:paraId="1525253D"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-7 641</w:t>
            </w:r>
          </w:p>
        </w:tc>
        <w:tc>
          <w:tcPr>
            <w:tcW w:w="915" w:type="dxa"/>
            <w:tcBorders>
              <w:top w:val="nil"/>
              <w:left w:val="nil"/>
              <w:bottom w:val="nil"/>
              <w:right w:val="nil"/>
            </w:tcBorders>
            <w:shd w:val="clear" w:color="000000" w:fill="FFFFFF"/>
            <w:noWrap/>
            <w:vAlign w:val="center"/>
            <w:hideMark/>
          </w:tcPr>
          <w:p w14:paraId="4D1251DA"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-922</w:t>
            </w:r>
          </w:p>
        </w:tc>
      </w:tr>
      <w:tr w:rsidR="00614751" w:rsidRPr="003163F9" w14:paraId="4F899272" w14:textId="77777777" w:rsidTr="00614751">
        <w:trPr>
          <w:trHeight w:val="327"/>
        </w:trPr>
        <w:tc>
          <w:tcPr>
            <w:tcW w:w="190" w:type="dxa"/>
            <w:tcBorders>
              <w:top w:val="nil"/>
              <w:left w:val="nil"/>
              <w:bottom w:val="nil"/>
              <w:right w:val="nil"/>
            </w:tcBorders>
            <w:shd w:val="clear" w:color="000000" w:fill="FFFFFF"/>
            <w:noWrap/>
            <w:vAlign w:val="center"/>
            <w:hideMark/>
          </w:tcPr>
          <w:p w14:paraId="3541CC68"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 </w:t>
            </w:r>
          </w:p>
        </w:tc>
        <w:tc>
          <w:tcPr>
            <w:tcW w:w="190" w:type="dxa"/>
            <w:tcBorders>
              <w:top w:val="nil"/>
              <w:left w:val="nil"/>
              <w:bottom w:val="nil"/>
              <w:right w:val="nil"/>
            </w:tcBorders>
            <w:shd w:val="clear" w:color="000000" w:fill="FFFFFF"/>
            <w:noWrap/>
            <w:vAlign w:val="center"/>
            <w:hideMark/>
          </w:tcPr>
          <w:p w14:paraId="384B87BA" w14:textId="77777777" w:rsidR="00614751" w:rsidRPr="003163F9" w:rsidRDefault="00614751" w:rsidP="004A5585">
            <w:pPr>
              <w:spacing w:after="0" w:line="240" w:lineRule="auto"/>
              <w:jc w:val="left"/>
              <w:rPr>
                <w:rFonts w:eastAsia="Times New Roman" w:cs="Times New Roman"/>
                <w:sz w:val="20"/>
                <w:szCs w:val="20"/>
                <w:lang w:eastAsia="sk-SK"/>
              </w:rPr>
            </w:pPr>
            <w:r w:rsidRPr="003163F9">
              <w:rPr>
                <w:rFonts w:eastAsia="Times New Roman" w:cs="Times New Roman"/>
                <w:sz w:val="20"/>
                <w:szCs w:val="20"/>
                <w:lang w:eastAsia="sk-SK"/>
              </w:rPr>
              <w:t> </w:t>
            </w:r>
          </w:p>
        </w:tc>
        <w:tc>
          <w:tcPr>
            <w:tcW w:w="3466" w:type="dxa"/>
            <w:tcBorders>
              <w:top w:val="nil"/>
              <w:left w:val="nil"/>
              <w:bottom w:val="nil"/>
              <w:right w:val="nil"/>
            </w:tcBorders>
            <w:shd w:val="clear" w:color="000000" w:fill="FFFFFF"/>
            <w:noWrap/>
            <w:vAlign w:val="center"/>
            <w:hideMark/>
          </w:tcPr>
          <w:p w14:paraId="44A2AB29" w14:textId="77777777" w:rsidR="00614751" w:rsidRPr="003163F9" w:rsidRDefault="00614751" w:rsidP="004A5585">
            <w:pPr>
              <w:spacing w:after="0" w:line="240" w:lineRule="auto"/>
              <w:jc w:val="left"/>
              <w:rPr>
                <w:rFonts w:eastAsia="Times New Roman" w:cs="Times New Roman"/>
                <w:sz w:val="20"/>
                <w:szCs w:val="20"/>
                <w:lang w:eastAsia="sk-SK"/>
              </w:rPr>
            </w:pPr>
            <w:r w:rsidRPr="003163F9">
              <w:rPr>
                <w:rFonts w:eastAsia="Times New Roman" w:cs="Times New Roman"/>
                <w:sz w:val="20"/>
                <w:szCs w:val="20"/>
                <w:lang w:eastAsia="sk-SK"/>
              </w:rPr>
              <w:t xml:space="preserve">Národná diaľničná spoločnosť, </w:t>
            </w:r>
            <w:proofErr w:type="spellStart"/>
            <w:r w:rsidRPr="003163F9">
              <w:rPr>
                <w:rFonts w:eastAsia="Times New Roman" w:cs="Times New Roman"/>
                <w:sz w:val="20"/>
                <w:szCs w:val="20"/>
                <w:lang w:eastAsia="sk-SK"/>
              </w:rPr>
              <w:t>a.s</w:t>
            </w:r>
            <w:proofErr w:type="spellEnd"/>
            <w:r w:rsidRPr="003163F9">
              <w:rPr>
                <w:rFonts w:eastAsia="Times New Roman" w:cs="Times New Roman"/>
                <w:sz w:val="20"/>
                <w:szCs w:val="20"/>
                <w:lang w:eastAsia="sk-SK"/>
              </w:rPr>
              <w:t>.</w:t>
            </w:r>
          </w:p>
        </w:tc>
        <w:tc>
          <w:tcPr>
            <w:tcW w:w="1025" w:type="dxa"/>
            <w:tcBorders>
              <w:top w:val="nil"/>
              <w:left w:val="nil"/>
              <w:bottom w:val="nil"/>
              <w:right w:val="nil"/>
            </w:tcBorders>
            <w:shd w:val="clear" w:color="000000" w:fill="FFFFFF"/>
            <w:noWrap/>
            <w:vAlign w:val="center"/>
            <w:hideMark/>
          </w:tcPr>
          <w:p w14:paraId="2F8D0D67"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98 481</w:t>
            </w:r>
          </w:p>
        </w:tc>
        <w:tc>
          <w:tcPr>
            <w:tcW w:w="1025" w:type="dxa"/>
            <w:tcBorders>
              <w:top w:val="nil"/>
              <w:left w:val="nil"/>
              <w:bottom w:val="nil"/>
              <w:right w:val="nil"/>
            </w:tcBorders>
            <w:shd w:val="clear" w:color="000000" w:fill="FFFFFF"/>
            <w:noWrap/>
            <w:vAlign w:val="center"/>
            <w:hideMark/>
          </w:tcPr>
          <w:p w14:paraId="5147E329"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-35 116</w:t>
            </w:r>
          </w:p>
        </w:tc>
        <w:tc>
          <w:tcPr>
            <w:tcW w:w="1022" w:type="dxa"/>
            <w:tcBorders>
              <w:top w:val="nil"/>
              <w:left w:val="nil"/>
              <w:bottom w:val="nil"/>
              <w:right w:val="nil"/>
            </w:tcBorders>
            <w:shd w:val="clear" w:color="000000" w:fill="FFFFFF"/>
            <w:noWrap/>
            <w:vAlign w:val="center"/>
            <w:hideMark/>
          </w:tcPr>
          <w:p w14:paraId="4DE28551"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36 965</w:t>
            </w:r>
          </w:p>
        </w:tc>
        <w:tc>
          <w:tcPr>
            <w:tcW w:w="1025" w:type="dxa"/>
            <w:tcBorders>
              <w:top w:val="nil"/>
              <w:left w:val="nil"/>
              <w:bottom w:val="nil"/>
              <w:right w:val="nil"/>
            </w:tcBorders>
            <w:shd w:val="clear" w:color="000000" w:fill="FFFFFF"/>
            <w:noWrap/>
            <w:vAlign w:val="center"/>
            <w:hideMark/>
          </w:tcPr>
          <w:p w14:paraId="06216413"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12 249</w:t>
            </w:r>
          </w:p>
        </w:tc>
        <w:tc>
          <w:tcPr>
            <w:tcW w:w="915" w:type="dxa"/>
            <w:tcBorders>
              <w:top w:val="nil"/>
              <w:left w:val="nil"/>
              <w:bottom w:val="nil"/>
              <w:right w:val="nil"/>
            </w:tcBorders>
            <w:shd w:val="clear" w:color="000000" w:fill="FFFFFF"/>
            <w:noWrap/>
            <w:vAlign w:val="center"/>
            <w:hideMark/>
          </w:tcPr>
          <w:p w14:paraId="4A08D2BE"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-24 716</w:t>
            </w:r>
          </w:p>
        </w:tc>
      </w:tr>
      <w:tr w:rsidR="00614751" w:rsidRPr="003163F9" w14:paraId="3221A354" w14:textId="77777777" w:rsidTr="00614751">
        <w:trPr>
          <w:trHeight w:val="327"/>
        </w:trPr>
        <w:tc>
          <w:tcPr>
            <w:tcW w:w="190" w:type="dxa"/>
            <w:tcBorders>
              <w:top w:val="nil"/>
              <w:left w:val="nil"/>
              <w:bottom w:val="nil"/>
              <w:right w:val="nil"/>
            </w:tcBorders>
            <w:shd w:val="clear" w:color="000000" w:fill="FFFFFF"/>
            <w:noWrap/>
            <w:vAlign w:val="center"/>
            <w:hideMark/>
          </w:tcPr>
          <w:p w14:paraId="6BC40DEE"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 </w:t>
            </w:r>
          </w:p>
        </w:tc>
        <w:tc>
          <w:tcPr>
            <w:tcW w:w="3656" w:type="dxa"/>
            <w:gridSpan w:val="2"/>
            <w:tcBorders>
              <w:top w:val="nil"/>
              <w:left w:val="nil"/>
              <w:bottom w:val="nil"/>
              <w:right w:val="nil"/>
            </w:tcBorders>
            <w:shd w:val="clear" w:color="000000" w:fill="FFFFFF"/>
            <w:noWrap/>
            <w:vAlign w:val="center"/>
            <w:hideMark/>
          </w:tcPr>
          <w:p w14:paraId="5B576097" w14:textId="77777777" w:rsidR="00614751" w:rsidRPr="003163F9" w:rsidRDefault="00614751" w:rsidP="004A5585">
            <w:pPr>
              <w:spacing w:after="0" w:line="240" w:lineRule="auto"/>
              <w:jc w:val="left"/>
              <w:rPr>
                <w:rFonts w:eastAsia="Times New Roman" w:cs="Times New Roman"/>
                <w:sz w:val="20"/>
                <w:szCs w:val="20"/>
                <w:lang w:eastAsia="sk-SK"/>
              </w:rPr>
            </w:pPr>
            <w:r w:rsidRPr="003163F9">
              <w:rPr>
                <w:rFonts w:eastAsia="Times New Roman" w:cs="Times New Roman"/>
                <w:sz w:val="20"/>
                <w:szCs w:val="20"/>
                <w:lang w:eastAsia="sk-SK"/>
              </w:rPr>
              <w:t>Verejné vysoké školy</w:t>
            </w:r>
          </w:p>
        </w:tc>
        <w:tc>
          <w:tcPr>
            <w:tcW w:w="1025" w:type="dxa"/>
            <w:tcBorders>
              <w:top w:val="nil"/>
              <w:left w:val="nil"/>
              <w:bottom w:val="nil"/>
              <w:right w:val="nil"/>
            </w:tcBorders>
            <w:shd w:val="clear" w:color="000000" w:fill="FFFFFF"/>
            <w:noWrap/>
            <w:vAlign w:val="center"/>
            <w:hideMark/>
          </w:tcPr>
          <w:p w14:paraId="422167E2"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47 302</w:t>
            </w:r>
          </w:p>
        </w:tc>
        <w:tc>
          <w:tcPr>
            <w:tcW w:w="1025" w:type="dxa"/>
            <w:tcBorders>
              <w:top w:val="nil"/>
              <w:left w:val="nil"/>
              <w:bottom w:val="nil"/>
              <w:right w:val="nil"/>
            </w:tcBorders>
            <w:shd w:val="clear" w:color="000000" w:fill="FFFFFF"/>
            <w:noWrap/>
            <w:vAlign w:val="center"/>
            <w:hideMark/>
          </w:tcPr>
          <w:p w14:paraId="169B1994"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20 353</w:t>
            </w:r>
          </w:p>
        </w:tc>
        <w:tc>
          <w:tcPr>
            <w:tcW w:w="1022" w:type="dxa"/>
            <w:tcBorders>
              <w:top w:val="nil"/>
              <w:left w:val="nil"/>
              <w:bottom w:val="nil"/>
              <w:right w:val="nil"/>
            </w:tcBorders>
            <w:shd w:val="clear" w:color="000000" w:fill="FFFFFF"/>
            <w:noWrap/>
            <w:vAlign w:val="center"/>
            <w:hideMark/>
          </w:tcPr>
          <w:p w14:paraId="5730F963"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203</w:t>
            </w:r>
          </w:p>
        </w:tc>
        <w:tc>
          <w:tcPr>
            <w:tcW w:w="1025" w:type="dxa"/>
            <w:tcBorders>
              <w:top w:val="nil"/>
              <w:left w:val="nil"/>
              <w:bottom w:val="nil"/>
              <w:right w:val="nil"/>
            </w:tcBorders>
            <w:shd w:val="clear" w:color="000000" w:fill="FFFFFF"/>
            <w:noWrap/>
            <w:vAlign w:val="center"/>
            <w:hideMark/>
          </w:tcPr>
          <w:p w14:paraId="0CDC34C4"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31 825</w:t>
            </w:r>
          </w:p>
        </w:tc>
        <w:tc>
          <w:tcPr>
            <w:tcW w:w="915" w:type="dxa"/>
            <w:tcBorders>
              <w:top w:val="nil"/>
              <w:left w:val="nil"/>
              <w:bottom w:val="nil"/>
              <w:right w:val="nil"/>
            </w:tcBorders>
            <w:shd w:val="clear" w:color="000000" w:fill="FFFFFF"/>
            <w:noWrap/>
            <w:vAlign w:val="center"/>
            <w:hideMark/>
          </w:tcPr>
          <w:p w14:paraId="76E108F5"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31 622</w:t>
            </w:r>
          </w:p>
        </w:tc>
      </w:tr>
      <w:tr w:rsidR="00614751" w:rsidRPr="003163F9" w14:paraId="6BBE21B2" w14:textId="77777777" w:rsidTr="00614751">
        <w:trPr>
          <w:trHeight w:val="327"/>
        </w:trPr>
        <w:tc>
          <w:tcPr>
            <w:tcW w:w="190" w:type="dxa"/>
            <w:tcBorders>
              <w:top w:val="nil"/>
              <w:left w:val="nil"/>
              <w:bottom w:val="nil"/>
              <w:right w:val="nil"/>
            </w:tcBorders>
            <w:shd w:val="clear" w:color="000000" w:fill="FFFFFF"/>
            <w:noWrap/>
            <w:vAlign w:val="center"/>
            <w:hideMark/>
          </w:tcPr>
          <w:p w14:paraId="4F839EF6"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 </w:t>
            </w:r>
          </w:p>
        </w:tc>
        <w:tc>
          <w:tcPr>
            <w:tcW w:w="3656" w:type="dxa"/>
            <w:gridSpan w:val="2"/>
            <w:tcBorders>
              <w:top w:val="nil"/>
              <w:left w:val="nil"/>
              <w:bottom w:val="nil"/>
              <w:right w:val="nil"/>
            </w:tcBorders>
            <w:shd w:val="clear" w:color="000000" w:fill="FFFFFF"/>
            <w:noWrap/>
            <w:vAlign w:val="center"/>
            <w:hideMark/>
          </w:tcPr>
          <w:p w14:paraId="07762E38" w14:textId="77777777" w:rsidR="00614751" w:rsidRPr="003163F9" w:rsidRDefault="00614751" w:rsidP="004A5585">
            <w:pPr>
              <w:spacing w:after="0" w:line="240" w:lineRule="auto"/>
              <w:jc w:val="left"/>
              <w:rPr>
                <w:rFonts w:eastAsia="Times New Roman" w:cs="Times New Roman"/>
                <w:sz w:val="20"/>
                <w:szCs w:val="20"/>
                <w:lang w:eastAsia="sk-SK"/>
              </w:rPr>
            </w:pPr>
            <w:r w:rsidRPr="003163F9">
              <w:rPr>
                <w:rFonts w:eastAsia="Times New Roman" w:cs="Times New Roman"/>
                <w:sz w:val="20"/>
                <w:szCs w:val="20"/>
                <w:lang w:eastAsia="sk-SK"/>
              </w:rPr>
              <w:t>Zdravotnícke zariadenia ústrednej správy</w:t>
            </w:r>
          </w:p>
        </w:tc>
        <w:tc>
          <w:tcPr>
            <w:tcW w:w="1025" w:type="dxa"/>
            <w:tcBorders>
              <w:top w:val="nil"/>
              <w:left w:val="nil"/>
              <w:bottom w:val="nil"/>
              <w:right w:val="nil"/>
            </w:tcBorders>
            <w:shd w:val="clear" w:color="000000" w:fill="FFFFFF"/>
            <w:noWrap/>
            <w:vAlign w:val="center"/>
            <w:hideMark/>
          </w:tcPr>
          <w:p w14:paraId="5BD7CE91"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-74 645</w:t>
            </w:r>
          </w:p>
        </w:tc>
        <w:tc>
          <w:tcPr>
            <w:tcW w:w="1025" w:type="dxa"/>
            <w:tcBorders>
              <w:top w:val="nil"/>
              <w:left w:val="nil"/>
              <w:bottom w:val="nil"/>
              <w:right w:val="nil"/>
            </w:tcBorders>
            <w:shd w:val="clear" w:color="000000" w:fill="FFFFFF"/>
            <w:noWrap/>
            <w:vAlign w:val="center"/>
            <w:hideMark/>
          </w:tcPr>
          <w:p w14:paraId="011C81AC"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-34 006</w:t>
            </w:r>
          </w:p>
        </w:tc>
        <w:tc>
          <w:tcPr>
            <w:tcW w:w="1022" w:type="dxa"/>
            <w:tcBorders>
              <w:top w:val="nil"/>
              <w:left w:val="nil"/>
              <w:bottom w:val="nil"/>
              <w:right w:val="nil"/>
            </w:tcBorders>
            <w:shd w:val="clear" w:color="000000" w:fill="FFFFFF"/>
            <w:noWrap/>
            <w:vAlign w:val="center"/>
            <w:hideMark/>
          </w:tcPr>
          <w:p w14:paraId="3DA753AA"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-16 657</w:t>
            </w:r>
          </w:p>
        </w:tc>
        <w:tc>
          <w:tcPr>
            <w:tcW w:w="1025" w:type="dxa"/>
            <w:tcBorders>
              <w:top w:val="nil"/>
              <w:left w:val="nil"/>
              <w:bottom w:val="nil"/>
              <w:right w:val="nil"/>
            </w:tcBorders>
            <w:shd w:val="clear" w:color="000000" w:fill="FFFFFF"/>
            <w:noWrap/>
            <w:vAlign w:val="center"/>
            <w:hideMark/>
          </w:tcPr>
          <w:p w14:paraId="574172BB"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129 996</w:t>
            </w:r>
          </w:p>
        </w:tc>
        <w:tc>
          <w:tcPr>
            <w:tcW w:w="915" w:type="dxa"/>
            <w:tcBorders>
              <w:top w:val="nil"/>
              <w:left w:val="nil"/>
              <w:bottom w:val="nil"/>
              <w:right w:val="nil"/>
            </w:tcBorders>
            <w:shd w:val="clear" w:color="000000" w:fill="FFFFFF"/>
            <w:noWrap/>
            <w:vAlign w:val="center"/>
            <w:hideMark/>
          </w:tcPr>
          <w:p w14:paraId="04DB4A4D"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146 653</w:t>
            </w:r>
          </w:p>
        </w:tc>
      </w:tr>
      <w:tr w:rsidR="00614751" w:rsidRPr="003163F9" w14:paraId="210A9BF6" w14:textId="77777777" w:rsidTr="00614751">
        <w:trPr>
          <w:trHeight w:val="327"/>
        </w:trPr>
        <w:tc>
          <w:tcPr>
            <w:tcW w:w="190" w:type="dxa"/>
            <w:tcBorders>
              <w:top w:val="nil"/>
              <w:left w:val="nil"/>
              <w:bottom w:val="nil"/>
              <w:right w:val="nil"/>
            </w:tcBorders>
            <w:shd w:val="clear" w:color="000000" w:fill="FFFFFF"/>
            <w:noWrap/>
            <w:vAlign w:val="center"/>
            <w:hideMark/>
          </w:tcPr>
          <w:p w14:paraId="781F8C91"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 </w:t>
            </w:r>
          </w:p>
        </w:tc>
        <w:tc>
          <w:tcPr>
            <w:tcW w:w="3656" w:type="dxa"/>
            <w:gridSpan w:val="2"/>
            <w:tcBorders>
              <w:top w:val="nil"/>
              <w:left w:val="nil"/>
              <w:bottom w:val="nil"/>
              <w:right w:val="nil"/>
            </w:tcBorders>
            <w:shd w:val="clear" w:color="000000" w:fill="FFFFFF"/>
            <w:noWrap/>
            <w:vAlign w:val="center"/>
            <w:hideMark/>
          </w:tcPr>
          <w:p w14:paraId="6D608DE2" w14:textId="77777777" w:rsidR="00614751" w:rsidRPr="003163F9" w:rsidRDefault="00614751" w:rsidP="004A5585">
            <w:pPr>
              <w:spacing w:after="0" w:line="240" w:lineRule="auto"/>
              <w:jc w:val="left"/>
              <w:rPr>
                <w:rFonts w:eastAsia="Times New Roman" w:cs="Times New Roman"/>
                <w:sz w:val="20"/>
                <w:szCs w:val="20"/>
                <w:lang w:eastAsia="sk-SK"/>
              </w:rPr>
            </w:pPr>
            <w:r w:rsidRPr="003163F9">
              <w:rPr>
                <w:rFonts w:eastAsia="Times New Roman" w:cs="Times New Roman"/>
                <w:sz w:val="20"/>
                <w:szCs w:val="20"/>
                <w:lang w:eastAsia="sk-SK"/>
              </w:rPr>
              <w:t>Ostatné subjekty ústrednej správy</w:t>
            </w:r>
          </w:p>
        </w:tc>
        <w:tc>
          <w:tcPr>
            <w:tcW w:w="1025" w:type="dxa"/>
            <w:tcBorders>
              <w:top w:val="nil"/>
              <w:left w:val="nil"/>
              <w:bottom w:val="nil"/>
              <w:right w:val="nil"/>
            </w:tcBorders>
            <w:shd w:val="clear" w:color="000000" w:fill="FFFFFF"/>
            <w:noWrap/>
            <w:vAlign w:val="center"/>
            <w:hideMark/>
          </w:tcPr>
          <w:p w14:paraId="2C301701"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-29 466</w:t>
            </w:r>
          </w:p>
        </w:tc>
        <w:tc>
          <w:tcPr>
            <w:tcW w:w="1025" w:type="dxa"/>
            <w:tcBorders>
              <w:top w:val="nil"/>
              <w:left w:val="nil"/>
              <w:bottom w:val="nil"/>
              <w:right w:val="nil"/>
            </w:tcBorders>
            <w:shd w:val="clear" w:color="000000" w:fill="FFFFFF"/>
            <w:noWrap/>
            <w:vAlign w:val="center"/>
            <w:hideMark/>
          </w:tcPr>
          <w:p w14:paraId="4BEF5D99"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68 319</w:t>
            </w:r>
          </w:p>
        </w:tc>
        <w:tc>
          <w:tcPr>
            <w:tcW w:w="1022" w:type="dxa"/>
            <w:tcBorders>
              <w:top w:val="nil"/>
              <w:left w:val="nil"/>
              <w:bottom w:val="nil"/>
              <w:right w:val="nil"/>
            </w:tcBorders>
            <w:shd w:val="clear" w:color="000000" w:fill="FFFFFF"/>
            <w:noWrap/>
            <w:vAlign w:val="center"/>
            <w:hideMark/>
          </w:tcPr>
          <w:p w14:paraId="38E6A76D"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79 975</w:t>
            </w:r>
          </w:p>
        </w:tc>
        <w:tc>
          <w:tcPr>
            <w:tcW w:w="1025" w:type="dxa"/>
            <w:tcBorders>
              <w:top w:val="nil"/>
              <w:left w:val="nil"/>
              <w:bottom w:val="nil"/>
              <w:right w:val="nil"/>
            </w:tcBorders>
            <w:shd w:val="clear" w:color="000000" w:fill="FFFFFF"/>
            <w:noWrap/>
            <w:vAlign w:val="center"/>
            <w:hideMark/>
          </w:tcPr>
          <w:p w14:paraId="03B1C935"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90 378</w:t>
            </w:r>
          </w:p>
        </w:tc>
        <w:tc>
          <w:tcPr>
            <w:tcW w:w="915" w:type="dxa"/>
            <w:tcBorders>
              <w:top w:val="nil"/>
              <w:left w:val="nil"/>
              <w:bottom w:val="nil"/>
              <w:right w:val="nil"/>
            </w:tcBorders>
            <w:shd w:val="clear" w:color="000000" w:fill="FFFFFF"/>
            <w:noWrap/>
            <w:vAlign w:val="center"/>
            <w:hideMark/>
          </w:tcPr>
          <w:p w14:paraId="5680AA1A"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10 403</w:t>
            </w:r>
          </w:p>
        </w:tc>
      </w:tr>
      <w:tr w:rsidR="00614751" w:rsidRPr="003163F9" w14:paraId="04FEC806" w14:textId="77777777" w:rsidTr="00614751">
        <w:trPr>
          <w:trHeight w:val="327"/>
        </w:trPr>
        <w:tc>
          <w:tcPr>
            <w:tcW w:w="3846" w:type="dxa"/>
            <w:gridSpan w:val="3"/>
            <w:tcBorders>
              <w:top w:val="nil"/>
              <w:left w:val="nil"/>
              <w:bottom w:val="nil"/>
              <w:right w:val="nil"/>
            </w:tcBorders>
            <w:shd w:val="clear" w:color="000000" w:fill="FFFFFF"/>
            <w:noWrap/>
            <w:vAlign w:val="center"/>
            <w:hideMark/>
          </w:tcPr>
          <w:p w14:paraId="2F0DF127" w14:textId="77777777" w:rsidR="00614751" w:rsidRPr="003163F9" w:rsidRDefault="00614751" w:rsidP="004A5585">
            <w:pPr>
              <w:spacing w:after="0" w:line="240" w:lineRule="auto"/>
              <w:jc w:val="left"/>
              <w:rPr>
                <w:rFonts w:eastAsia="Times New Roman" w:cs="Times New Roman"/>
                <w:b/>
                <w:bCs/>
                <w:color w:val="000000"/>
                <w:sz w:val="20"/>
                <w:szCs w:val="20"/>
                <w:lang w:eastAsia="sk-SK"/>
              </w:rPr>
            </w:pPr>
            <w:r w:rsidRPr="003163F9">
              <w:rPr>
                <w:rFonts w:eastAsia="Times New Roman" w:cs="Times New Roman"/>
                <w:b/>
                <w:bCs/>
                <w:color w:val="000000"/>
                <w:sz w:val="20"/>
                <w:szCs w:val="20"/>
                <w:lang w:eastAsia="sk-SK"/>
              </w:rPr>
              <w:t>Územná samospráva, z toho</w:t>
            </w:r>
          </w:p>
        </w:tc>
        <w:tc>
          <w:tcPr>
            <w:tcW w:w="1025" w:type="dxa"/>
            <w:tcBorders>
              <w:top w:val="nil"/>
              <w:left w:val="nil"/>
              <w:bottom w:val="nil"/>
              <w:right w:val="nil"/>
            </w:tcBorders>
            <w:shd w:val="clear" w:color="000000" w:fill="FFFFFF"/>
            <w:noWrap/>
            <w:vAlign w:val="center"/>
            <w:hideMark/>
          </w:tcPr>
          <w:p w14:paraId="44E93544" w14:textId="77777777" w:rsidR="00614751" w:rsidRPr="003163F9" w:rsidRDefault="00614751" w:rsidP="004A5585">
            <w:pPr>
              <w:spacing w:after="0" w:line="240" w:lineRule="auto"/>
              <w:jc w:val="left"/>
              <w:rPr>
                <w:rFonts w:eastAsia="Times New Roman" w:cs="Times New Roman"/>
                <w:b/>
                <w:bCs/>
                <w:color w:val="000000"/>
                <w:sz w:val="20"/>
                <w:szCs w:val="20"/>
                <w:lang w:eastAsia="sk-SK"/>
              </w:rPr>
            </w:pPr>
            <w:r w:rsidRPr="003163F9">
              <w:rPr>
                <w:rFonts w:eastAsia="Times New Roman" w:cs="Times New Roman"/>
                <w:b/>
                <w:bCs/>
                <w:color w:val="000000"/>
                <w:sz w:val="20"/>
                <w:szCs w:val="20"/>
                <w:lang w:eastAsia="sk-SK"/>
              </w:rPr>
              <w:t> </w:t>
            </w:r>
          </w:p>
        </w:tc>
        <w:tc>
          <w:tcPr>
            <w:tcW w:w="1025" w:type="dxa"/>
            <w:tcBorders>
              <w:top w:val="nil"/>
              <w:left w:val="nil"/>
              <w:bottom w:val="nil"/>
              <w:right w:val="nil"/>
            </w:tcBorders>
            <w:shd w:val="clear" w:color="000000" w:fill="FFFFFF"/>
            <w:noWrap/>
            <w:vAlign w:val="center"/>
            <w:hideMark/>
          </w:tcPr>
          <w:p w14:paraId="41AD5236" w14:textId="77777777" w:rsidR="00614751" w:rsidRPr="003163F9" w:rsidRDefault="00614751" w:rsidP="004A5585">
            <w:pPr>
              <w:spacing w:after="0" w:line="240" w:lineRule="auto"/>
              <w:jc w:val="left"/>
              <w:rPr>
                <w:rFonts w:eastAsia="Times New Roman" w:cs="Times New Roman"/>
                <w:b/>
                <w:bCs/>
                <w:color w:val="000000"/>
                <w:sz w:val="20"/>
                <w:szCs w:val="20"/>
                <w:lang w:eastAsia="sk-SK"/>
              </w:rPr>
            </w:pPr>
            <w:r w:rsidRPr="003163F9">
              <w:rPr>
                <w:rFonts w:eastAsia="Times New Roman" w:cs="Times New Roman"/>
                <w:b/>
                <w:bCs/>
                <w:color w:val="000000"/>
                <w:sz w:val="20"/>
                <w:szCs w:val="20"/>
                <w:lang w:eastAsia="sk-SK"/>
              </w:rPr>
              <w:t> </w:t>
            </w:r>
          </w:p>
        </w:tc>
        <w:tc>
          <w:tcPr>
            <w:tcW w:w="1022" w:type="dxa"/>
            <w:tcBorders>
              <w:top w:val="nil"/>
              <w:left w:val="nil"/>
              <w:bottom w:val="nil"/>
              <w:right w:val="nil"/>
            </w:tcBorders>
            <w:shd w:val="clear" w:color="000000" w:fill="FFFFFF"/>
            <w:noWrap/>
            <w:vAlign w:val="center"/>
            <w:hideMark/>
          </w:tcPr>
          <w:p w14:paraId="3137B9A9" w14:textId="77777777" w:rsidR="00614751" w:rsidRPr="003163F9" w:rsidRDefault="00614751" w:rsidP="004A5585">
            <w:pPr>
              <w:spacing w:after="0" w:line="240" w:lineRule="auto"/>
              <w:jc w:val="left"/>
              <w:rPr>
                <w:rFonts w:eastAsia="Times New Roman" w:cs="Times New Roman"/>
                <w:b/>
                <w:bCs/>
                <w:color w:val="000000"/>
                <w:sz w:val="20"/>
                <w:szCs w:val="20"/>
                <w:lang w:eastAsia="sk-SK"/>
              </w:rPr>
            </w:pPr>
            <w:r w:rsidRPr="003163F9">
              <w:rPr>
                <w:rFonts w:eastAsia="Times New Roman" w:cs="Times New Roman"/>
                <w:b/>
                <w:bCs/>
                <w:color w:val="000000"/>
                <w:sz w:val="20"/>
                <w:szCs w:val="20"/>
                <w:lang w:eastAsia="sk-SK"/>
              </w:rPr>
              <w:t> </w:t>
            </w:r>
          </w:p>
        </w:tc>
        <w:tc>
          <w:tcPr>
            <w:tcW w:w="1025" w:type="dxa"/>
            <w:tcBorders>
              <w:top w:val="nil"/>
              <w:left w:val="nil"/>
              <w:bottom w:val="nil"/>
              <w:right w:val="nil"/>
            </w:tcBorders>
            <w:shd w:val="clear" w:color="000000" w:fill="FFFFFF"/>
            <w:noWrap/>
            <w:vAlign w:val="center"/>
            <w:hideMark/>
          </w:tcPr>
          <w:p w14:paraId="41DA4C48" w14:textId="77777777" w:rsidR="00614751" w:rsidRPr="003163F9" w:rsidRDefault="00614751" w:rsidP="004A5585">
            <w:pPr>
              <w:spacing w:after="0" w:line="240" w:lineRule="auto"/>
              <w:jc w:val="left"/>
              <w:rPr>
                <w:rFonts w:eastAsia="Times New Roman" w:cs="Times New Roman"/>
                <w:b/>
                <w:bCs/>
                <w:color w:val="000000"/>
                <w:sz w:val="20"/>
                <w:szCs w:val="20"/>
                <w:lang w:eastAsia="sk-SK"/>
              </w:rPr>
            </w:pPr>
            <w:r w:rsidRPr="003163F9">
              <w:rPr>
                <w:rFonts w:eastAsia="Times New Roman" w:cs="Times New Roman"/>
                <w:b/>
                <w:bCs/>
                <w:color w:val="000000"/>
                <w:sz w:val="20"/>
                <w:szCs w:val="20"/>
                <w:lang w:eastAsia="sk-SK"/>
              </w:rPr>
              <w:t> </w:t>
            </w:r>
          </w:p>
        </w:tc>
        <w:tc>
          <w:tcPr>
            <w:tcW w:w="915" w:type="dxa"/>
            <w:tcBorders>
              <w:top w:val="nil"/>
              <w:left w:val="nil"/>
              <w:bottom w:val="nil"/>
              <w:right w:val="nil"/>
            </w:tcBorders>
            <w:shd w:val="clear" w:color="000000" w:fill="FFFFFF"/>
            <w:noWrap/>
            <w:vAlign w:val="center"/>
            <w:hideMark/>
          </w:tcPr>
          <w:p w14:paraId="6EAD2F5C" w14:textId="77777777" w:rsidR="00614751" w:rsidRPr="003163F9" w:rsidRDefault="00614751" w:rsidP="004A5585">
            <w:pPr>
              <w:spacing w:after="0" w:line="240" w:lineRule="auto"/>
              <w:jc w:val="left"/>
              <w:rPr>
                <w:rFonts w:eastAsia="Times New Roman" w:cs="Times New Roman"/>
                <w:b/>
                <w:bCs/>
                <w:color w:val="000000"/>
                <w:sz w:val="20"/>
                <w:szCs w:val="20"/>
                <w:lang w:eastAsia="sk-SK"/>
              </w:rPr>
            </w:pPr>
            <w:r w:rsidRPr="003163F9">
              <w:rPr>
                <w:rFonts w:eastAsia="Times New Roman" w:cs="Times New Roman"/>
                <w:b/>
                <w:bCs/>
                <w:color w:val="000000"/>
                <w:sz w:val="20"/>
                <w:szCs w:val="20"/>
                <w:lang w:eastAsia="sk-SK"/>
              </w:rPr>
              <w:t> </w:t>
            </w:r>
          </w:p>
        </w:tc>
      </w:tr>
      <w:tr w:rsidR="00614751" w:rsidRPr="003163F9" w14:paraId="04556A64" w14:textId="77777777" w:rsidTr="00614751">
        <w:trPr>
          <w:trHeight w:val="327"/>
        </w:trPr>
        <w:tc>
          <w:tcPr>
            <w:tcW w:w="190" w:type="dxa"/>
            <w:tcBorders>
              <w:top w:val="nil"/>
              <w:left w:val="nil"/>
              <w:bottom w:val="nil"/>
              <w:right w:val="nil"/>
            </w:tcBorders>
            <w:shd w:val="clear" w:color="000000" w:fill="FFFFFF"/>
            <w:noWrap/>
            <w:vAlign w:val="center"/>
            <w:hideMark/>
          </w:tcPr>
          <w:p w14:paraId="3D4C3B5D" w14:textId="77777777" w:rsidR="00614751" w:rsidRPr="003163F9" w:rsidRDefault="00614751" w:rsidP="004A5585">
            <w:pPr>
              <w:spacing w:after="0" w:line="240" w:lineRule="auto"/>
              <w:jc w:val="left"/>
              <w:rPr>
                <w:rFonts w:eastAsia="Times New Roman" w:cs="Times New Roman"/>
                <w:color w:val="000000"/>
                <w:sz w:val="20"/>
                <w:szCs w:val="20"/>
                <w:lang w:eastAsia="sk-SK"/>
              </w:rPr>
            </w:pPr>
            <w:r w:rsidRPr="003163F9">
              <w:rPr>
                <w:rFonts w:eastAsia="Times New Roman" w:cs="Times New Roman"/>
                <w:color w:val="000000"/>
                <w:sz w:val="20"/>
                <w:szCs w:val="20"/>
                <w:lang w:eastAsia="sk-SK"/>
              </w:rPr>
              <w:t> </w:t>
            </w:r>
          </w:p>
        </w:tc>
        <w:tc>
          <w:tcPr>
            <w:tcW w:w="3656" w:type="dxa"/>
            <w:gridSpan w:val="2"/>
            <w:tcBorders>
              <w:top w:val="nil"/>
              <w:left w:val="nil"/>
              <w:bottom w:val="nil"/>
              <w:right w:val="nil"/>
            </w:tcBorders>
            <w:shd w:val="clear" w:color="000000" w:fill="FFFFFF"/>
            <w:noWrap/>
            <w:vAlign w:val="center"/>
            <w:hideMark/>
          </w:tcPr>
          <w:p w14:paraId="308E2691" w14:textId="77777777" w:rsidR="00614751" w:rsidRPr="003163F9" w:rsidRDefault="00614751" w:rsidP="004A5585">
            <w:pPr>
              <w:spacing w:after="0" w:line="240" w:lineRule="auto"/>
              <w:jc w:val="left"/>
              <w:rPr>
                <w:rFonts w:eastAsia="Times New Roman" w:cs="Times New Roman"/>
                <w:sz w:val="20"/>
                <w:szCs w:val="20"/>
                <w:lang w:eastAsia="sk-SK"/>
              </w:rPr>
            </w:pPr>
            <w:r w:rsidRPr="003163F9">
              <w:rPr>
                <w:rFonts w:eastAsia="Times New Roman" w:cs="Times New Roman"/>
                <w:sz w:val="20"/>
                <w:szCs w:val="20"/>
                <w:lang w:eastAsia="sk-SK"/>
              </w:rPr>
              <w:t>Obce</w:t>
            </w:r>
            <w:r w:rsidRPr="003163F9">
              <w:rPr>
                <w:rFonts w:eastAsia="Times New Roman" w:cs="Times New Roman"/>
                <w:sz w:val="20"/>
                <w:szCs w:val="20"/>
                <w:vertAlign w:val="superscript"/>
                <w:lang w:eastAsia="sk-SK"/>
              </w:rPr>
              <w:t xml:space="preserve"> </w:t>
            </w:r>
            <w:r w:rsidRPr="003163F9">
              <w:rPr>
                <w:rFonts w:eastAsia="Times New Roman" w:cs="Times New Roman"/>
                <w:sz w:val="20"/>
                <w:szCs w:val="20"/>
                <w:lang w:eastAsia="sk-SK"/>
              </w:rPr>
              <w:t>a ich rozpočtové organizácie</w:t>
            </w:r>
          </w:p>
        </w:tc>
        <w:tc>
          <w:tcPr>
            <w:tcW w:w="1025" w:type="dxa"/>
            <w:tcBorders>
              <w:top w:val="nil"/>
              <w:left w:val="nil"/>
              <w:bottom w:val="nil"/>
              <w:right w:val="nil"/>
            </w:tcBorders>
            <w:shd w:val="clear" w:color="000000" w:fill="FFFFFF"/>
            <w:noWrap/>
            <w:vAlign w:val="center"/>
            <w:hideMark/>
          </w:tcPr>
          <w:p w14:paraId="586A62F7"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348 274</w:t>
            </w:r>
          </w:p>
        </w:tc>
        <w:tc>
          <w:tcPr>
            <w:tcW w:w="1025" w:type="dxa"/>
            <w:tcBorders>
              <w:top w:val="nil"/>
              <w:left w:val="nil"/>
              <w:bottom w:val="nil"/>
              <w:right w:val="nil"/>
            </w:tcBorders>
            <w:shd w:val="clear" w:color="000000" w:fill="FFFFFF"/>
            <w:noWrap/>
            <w:vAlign w:val="center"/>
            <w:hideMark/>
          </w:tcPr>
          <w:p w14:paraId="046372DA"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-7 722</w:t>
            </w:r>
          </w:p>
        </w:tc>
        <w:tc>
          <w:tcPr>
            <w:tcW w:w="1022" w:type="dxa"/>
            <w:tcBorders>
              <w:top w:val="nil"/>
              <w:left w:val="nil"/>
              <w:bottom w:val="nil"/>
              <w:right w:val="nil"/>
            </w:tcBorders>
            <w:shd w:val="clear" w:color="000000" w:fill="FFFFFF"/>
            <w:noWrap/>
            <w:vAlign w:val="center"/>
            <w:hideMark/>
          </w:tcPr>
          <w:p w14:paraId="7639D5DB"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170 135</w:t>
            </w:r>
          </w:p>
        </w:tc>
        <w:tc>
          <w:tcPr>
            <w:tcW w:w="1025" w:type="dxa"/>
            <w:tcBorders>
              <w:top w:val="nil"/>
              <w:left w:val="nil"/>
              <w:bottom w:val="nil"/>
              <w:right w:val="nil"/>
            </w:tcBorders>
            <w:shd w:val="clear" w:color="000000" w:fill="FFFFFF"/>
            <w:noWrap/>
            <w:vAlign w:val="center"/>
            <w:hideMark/>
          </w:tcPr>
          <w:p w14:paraId="23CE2966"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-20 335</w:t>
            </w:r>
          </w:p>
        </w:tc>
        <w:tc>
          <w:tcPr>
            <w:tcW w:w="915" w:type="dxa"/>
            <w:tcBorders>
              <w:top w:val="nil"/>
              <w:left w:val="nil"/>
              <w:bottom w:val="nil"/>
              <w:right w:val="nil"/>
            </w:tcBorders>
            <w:shd w:val="clear" w:color="000000" w:fill="FFFFFF"/>
            <w:noWrap/>
            <w:vAlign w:val="center"/>
            <w:hideMark/>
          </w:tcPr>
          <w:p w14:paraId="3716E4D4"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-190 470</w:t>
            </w:r>
          </w:p>
        </w:tc>
      </w:tr>
      <w:tr w:rsidR="00614751" w:rsidRPr="003163F9" w14:paraId="6118C2E4" w14:textId="77777777" w:rsidTr="00614751">
        <w:trPr>
          <w:trHeight w:val="327"/>
        </w:trPr>
        <w:tc>
          <w:tcPr>
            <w:tcW w:w="190" w:type="dxa"/>
            <w:tcBorders>
              <w:top w:val="nil"/>
              <w:left w:val="nil"/>
              <w:bottom w:val="nil"/>
              <w:right w:val="nil"/>
            </w:tcBorders>
            <w:shd w:val="clear" w:color="000000" w:fill="FFFFFF"/>
            <w:noWrap/>
            <w:vAlign w:val="center"/>
            <w:hideMark/>
          </w:tcPr>
          <w:p w14:paraId="5BDF3BD8" w14:textId="77777777" w:rsidR="00614751" w:rsidRPr="003163F9" w:rsidRDefault="00614751" w:rsidP="004A5585">
            <w:pPr>
              <w:spacing w:after="0" w:line="240" w:lineRule="auto"/>
              <w:jc w:val="left"/>
              <w:rPr>
                <w:rFonts w:eastAsia="Times New Roman" w:cs="Times New Roman"/>
                <w:color w:val="000000"/>
                <w:sz w:val="20"/>
                <w:szCs w:val="20"/>
                <w:lang w:eastAsia="sk-SK"/>
              </w:rPr>
            </w:pPr>
            <w:r w:rsidRPr="003163F9">
              <w:rPr>
                <w:rFonts w:eastAsia="Times New Roman" w:cs="Times New Roman"/>
                <w:color w:val="000000"/>
                <w:sz w:val="20"/>
                <w:szCs w:val="20"/>
                <w:lang w:eastAsia="sk-SK"/>
              </w:rPr>
              <w:t> </w:t>
            </w:r>
          </w:p>
        </w:tc>
        <w:tc>
          <w:tcPr>
            <w:tcW w:w="3656" w:type="dxa"/>
            <w:gridSpan w:val="2"/>
            <w:tcBorders>
              <w:top w:val="nil"/>
              <w:left w:val="nil"/>
              <w:bottom w:val="nil"/>
              <w:right w:val="nil"/>
            </w:tcBorders>
            <w:shd w:val="clear" w:color="000000" w:fill="FFFFFF"/>
            <w:noWrap/>
            <w:vAlign w:val="center"/>
            <w:hideMark/>
          </w:tcPr>
          <w:p w14:paraId="1E07AC2E" w14:textId="77777777" w:rsidR="00614751" w:rsidRPr="003163F9" w:rsidRDefault="00614751" w:rsidP="004A5585">
            <w:pPr>
              <w:spacing w:after="0" w:line="240" w:lineRule="auto"/>
              <w:jc w:val="left"/>
              <w:rPr>
                <w:rFonts w:eastAsia="Times New Roman" w:cs="Times New Roman"/>
                <w:sz w:val="20"/>
                <w:szCs w:val="20"/>
                <w:lang w:eastAsia="sk-SK"/>
              </w:rPr>
            </w:pPr>
            <w:r w:rsidRPr="003163F9">
              <w:rPr>
                <w:rFonts w:eastAsia="Times New Roman" w:cs="Times New Roman"/>
                <w:sz w:val="20"/>
                <w:szCs w:val="20"/>
                <w:lang w:eastAsia="sk-SK"/>
              </w:rPr>
              <w:t>Vyššie územné celky a ich rozpočtové organizácie</w:t>
            </w:r>
          </w:p>
        </w:tc>
        <w:tc>
          <w:tcPr>
            <w:tcW w:w="1025" w:type="dxa"/>
            <w:tcBorders>
              <w:top w:val="nil"/>
              <w:left w:val="nil"/>
              <w:bottom w:val="nil"/>
              <w:right w:val="nil"/>
            </w:tcBorders>
            <w:shd w:val="clear" w:color="000000" w:fill="FFFFFF"/>
            <w:noWrap/>
            <w:vAlign w:val="center"/>
            <w:hideMark/>
          </w:tcPr>
          <w:p w14:paraId="27652AF7"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84 308</w:t>
            </w:r>
          </w:p>
        </w:tc>
        <w:tc>
          <w:tcPr>
            <w:tcW w:w="1025" w:type="dxa"/>
            <w:tcBorders>
              <w:top w:val="nil"/>
              <w:left w:val="nil"/>
              <w:bottom w:val="nil"/>
              <w:right w:val="nil"/>
            </w:tcBorders>
            <w:shd w:val="clear" w:color="000000" w:fill="FFFFFF"/>
            <w:noWrap/>
            <w:vAlign w:val="center"/>
            <w:hideMark/>
          </w:tcPr>
          <w:p w14:paraId="6F2E1FCB"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-15 735</w:t>
            </w:r>
          </w:p>
        </w:tc>
        <w:tc>
          <w:tcPr>
            <w:tcW w:w="1022" w:type="dxa"/>
            <w:tcBorders>
              <w:top w:val="nil"/>
              <w:left w:val="nil"/>
              <w:bottom w:val="nil"/>
              <w:right w:val="nil"/>
            </w:tcBorders>
            <w:shd w:val="clear" w:color="000000" w:fill="FFFFFF"/>
            <w:noWrap/>
            <w:vAlign w:val="center"/>
            <w:hideMark/>
          </w:tcPr>
          <w:p w14:paraId="57869552"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90 093</w:t>
            </w:r>
          </w:p>
        </w:tc>
        <w:tc>
          <w:tcPr>
            <w:tcW w:w="1025" w:type="dxa"/>
            <w:tcBorders>
              <w:top w:val="nil"/>
              <w:left w:val="nil"/>
              <w:bottom w:val="nil"/>
              <w:right w:val="nil"/>
            </w:tcBorders>
            <w:shd w:val="clear" w:color="000000" w:fill="FFFFFF"/>
            <w:noWrap/>
            <w:vAlign w:val="center"/>
            <w:hideMark/>
          </w:tcPr>
          <w:p w14:paraId="611B5E40"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104 630</w:t>
            </w:r>
          </w:p>
        </w:tc>
        <w:tc>
          <w:tcPr>
            <w:tcW w:w="915" w:type="dxa"/>
            <w:tcBorders>
              <w:top w:val="nil"/>
              <w:left w:val="nil"/>
              <w:bottom w:val="nil"/>
              <w:right w:val="nil"/>
            </w:tcBorders>
            <w:shd w:val="clear" w:color="000000" w:fill="FFFFFF"/>
            <w:noWrap/>
            <w:vAlign w:val="center"/>
            <w:hideMark/>
          </w:tcPr>
          <w:p w14:paraId="71FBB9EE"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14 537</w:t>
            </w:r>
          </w:p>
        </w:tc>
      </w:tr>
      <w:tr w:rsidR="00614751" w:rsidRPr="003163F9" w14:paraId="1337D8E6" w14:textId="77777777" w:rsidTr="00614751">
        <w:trPr>
          <w:trHeight w:val="327"/>
        </w:trPr>
        <w:tc>
          <w:tcPr>
            <w:tcW w:w="190" w:type="dxa"/>
            <w:tcBorders>
              <w:top w:val="nil"/>
              <w:left w:val="nil"/>
              <w:bottom w:val="nil"/>
              <w:right w:val="nil"/>
            </w:tcBorders>
            <w:shd w:val="clear" w:color="000000" w:fill="FFFFFF"/>
            <w:noWrap/>
            <w:vAlign w:val="center"/>
            <w:hideMark/>
          </w:tcPr>
          <w:p w14:paraId="0DF9802B" w14:textId="77777777" w:rsidR="00614751" w:rsidRPr="003163F9" w:rsidRDefault="00614751" w:rsidP="004A5585">
            <w:pPr>
              <w:spacing w:after="0" w:line="240" w:lineRule="auto"/>
              <w:jc w:val="left"/>
              <w:rPr>
                <w:rFonts w:eastAsia="Times New Roman" w:cs="Times New Roman"/>
                <w:color w:val="000000"/>
                <w:sz w:val="20"/>
                <w:szCs w:val="20"/>
                <w:lang w:eastAsia="sk-SK"/>
              </w:rPr>
            </w:pPr>
            <w:r w:rsidRPr="003163F9">
              <w:rPr>
                <w:rFonts w:eastAsia="Times New Roman" w:cs="Times New Roman"/>
                <w:color w:val="000000"/>
                <w:sz w:val="20"/>
                <w:szCs w:val="20"/>
                <w:lang w:eastAsia="sk-SK"/>
              </w:rPr>
              <w:t> </w:t>
            </w:r>
          </w:p>
        </w:tc>
        <w:tc>
          <w:tcPr>
            <w:tcW w:w="3656" w:type="dxa"/>
            <w:gridSpan w:val="2"/>
            <w:tcBorders>
              <w:top w:val="nil"/>
              <w:left w:val="nil"/>
              <w:bottom w:val="nil"/>
              <w:right w:val="nil"/>
            </w:tcBorders>
            <w:shd w:val="clear" w:color="000000" w:fill="FFFFFF"/>
            <w:noWrap/>
            <w:vAlign w:val="center"/>
            <w:hideMark/>
          </w:tcPr>
          <w:p w14:paraId="37B6B535" w14:textId="77777777" w:rsidR="00614751" w:rsidRPr="003163F9" w:rsidRDefault="00614751" w:rsidP="004A5585">
            <w:pPr>
              <w:spacing w:after="0" w:line="240" w:lineRule="auto"/>
              <w:jc w:val="left"/>
              <w:rPr>
                <w:rFonts w:eastAsia="Times New Roman" w:cs="Times New Roman"/>
                <w:sz w:val="20"/>
                <w:szCs w:val="20"/>
                <w:lang w:eastAsia="sk-SK"/>
              </w:rPr>
            </w:pPr>
            <w:r w:rsidRPr="003163F9">
              <w:rPr>
                <w:rFonts w:eastAsia="Times New Roman" w:cs="Times New Roman"/>
                <w:sz w:val="20"/>
                <w:szCs w:val="20"/>
                <w:lang w:eastAsia="sk-SK"/>
              </w:rPr>
              <w:t>Príspevkové organizácie obcí</w:t>
            </w:r>
          </w:p>
        </w:tc>
        <w:tc>
          <w:tcPr>
            <w:tcW w:w="1025" w:type="dxa"/>
            <w:tcBorders>
              <w:top w:val="nil"/>
              <w:left w:val="nil"/>
              <w:bottom w:val="nil"/>
              <w:right w:val="nil"/>
            </w:tcBorders>
            <w:shd w:val="clear" w:color="000000" w:fill="FFFFFF"/>
            <w:noWrap/>
            <w:vAlign w:val="center"/>
            <w:hideMark/>
          </w:tcPr>
          <w:p w14:paraId="775285F2"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11 906</w:t>
            </w:r>
          </w:p>
        </w:tc>
        <w:tc>
          <w:tcPr>
            <w:tcW w:w="1025" w:type="dxa"/>
            <w:tcBorders>
              <w:top w:val="nil"/>
              <w:left w:val="nil"/>
              <w:bottom w:val="nil"/>
              <w:right w:val="nil"/>
            </w:tcBorders>
            <w:shd w:val="clear" w:color="000000" w:fill="FFFFFF"/>
            <w:noWrap/>
            <w:vAlign w:val="center"/>
            <w:hideMark/>
          </w:tcPr>
          <w:p w14:paraId="33E990FF"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7 756</w:t>
            </w:r>
          </w:p>
        </w:tc>
        <w:tc>
          <w:tcPr>
            <w:tcW w:w="1022" w:type="dxa"/>
            <w:tcBorders>
              <w:top w:val="nil"/>
              <w:left w:val="nil"/>
              <w:bottom w:val="nil"/>
              <w:right w:val="nil"/>
            </w:tcBorders>
            <w:shd w:val="clear" w:color="000000" w:fill="FFFFFF"/>
            <w:noWrap/>
            <w:vAlign w:val="center"/>
            <w:hideMark/>
          </w:tcPr>
          <w:p w14:paraId="226C58AF"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2 020</w:t>
            </w:r>
          </w:p>
        </w:tc>
        <w:tc>
          <w:tcPr>
            <w:tcW w:w="1025" w:type="dxa"/>
            <w:tcBorders>
              <w:top w:val="nil"/>
              <w:left w:val="nil"/>
              <w:bottom w:val="nil"/>
              <w:right w:val="nil"/>
            </w:tcBorders>
            <w:shd w:val="clear" w:color="000000" w:fill="FFFFFF"/>
            <w:noWrap/>
            <w:vAlign w:val="center"/>
            <w:hideMark/>
          </w:tcPr>
          <w:p w14:paraId="31930771"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5 529</w:t>
            </w:r>
          </w:p>
        </w:tc>
        <w:tc>
          <w:tcPr>
            <w:tcW w:w="915" w:type="dxa"/>
            <w:tcBorders>
              <w:top w:val="nil"/>
              <w:left w:val="nil"/>
              <w:bottom w:val="nil"/>
              <w:right w:val="nil"/>
            </w:tcBorders>
            <w:shd w:val="clear" w:color="000000" w:fill="FFFFFF"/>
            <w:noWrap/>
            <w:vAlign w:val="center"/>
            <w:hideMark/>
          </w:tcPr>
          <w:p w14:paraId="70915A08"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3 509</w:t>
            </w:r>
          </w:p>
        </w:tc>
      </w:tr>
      <w:tr w:rsidR="00614751" w:rsidRPr="003163F9" w14:paraId="3F04518F" w14:textId="77777777" w:rsidTr="00614751">
        <w:trPr>
          <w:trHeight w:val="327"/>
        </w:trPr>
        <w:tc>
          <w:tcPr>
            <w:tcW w:w="190" w:type="dxa"/>
            <w:tcBorders>
              <w:top w:val="nil"/>
              <w:left w:val="nil"/>
              <w:bottom w:val="nil"/>
              <w:right w:val="nil"/>
            </w:tcBorders>
            <w:shd w:val="clear" w:color="000000" w:fill="FFFFFF"/>
            <w:noWrap/>
            <w:vAlign w:val="center"/>
            <w:hideMark/>
          </w:tcPr>
          <w:p w14:paraId="6088A9EC" w14:textId="77777777" w:rsidR="00614751" w:rsidRPr="003163F9" w:rsidRDefault="00614751" w:rsidP="004A5585">
            <w:pPr>
              <w:spacing w:after="0" w:line="240" w:lineRule="auto"/>
              <w:jc w:val="left"/>
              <w:rPr>
                <w:rFonts w:eastAsia="Times New Roman" w:cs="Times New Roman"/>
                <w:color w:val="000000"/>
                <w:sz w:val="20"/>
                <w:szCs w:val="20"/>
                <w:lang w:eastAsia="sk-SK"/>
              </w:rPr>
            </w:pPr>
            <w:r w:rsidRPr="003163F9">
              <w:rPr>
                <w:rFonts w:eastAsia="Times New Roman" w:cs="Times New Roman"/>
                <w:color w:val="000000"/>
                <w:sz w:val="20"/>
                <w:szCs w:val="20"/>
                <w:lang w:eastAsia="sk-SK"/>
              </w:rPr>
              <w:t> </w:t>
            </w:r>
          </w:p>
        </w:tc>
        <w:tc>
          <w:tcPr>
            <w:tcW w:w="3656" w:type="dxa"/>
            <w:gridSpan w:val="2"/>
            <w:tcBorders>
              <w:top w:val="nil"/>
              <w:left w:val="nil"/>
              <w:bottom w:val="nil"/>
              <w:right w:val="nil"/>
            </w:tcBorders>
            <w:shd w:val="clear" w:color="000000" w:fill="FFFFFF"/>
            <w:noWrap/>
            <w:vAlign w:val="center"/>
            <w:hideMark/>
          </w:tcPr>
          <w:p w14:paraId="75EBAFAD" w14:textId="77777777" w:rsidR="00614751" w:rsidRPr="003163F9" w:rsidRDefault="00614751" w:rsidP="004A5585">
            <w:pPr>
              <w:spacing w:after="0" w:line="240" w:lineRule="auto"/>
              <w:jc w:val="left"/>
              <w:rPr>
                <w:rFonts w:eastAsia="Times New Roman" w:cs="Times New Roman"/>
                <w:sz w:val="20"/>
                <w:szCs w:val="20"/>
                <w:lang w:eastAsia="sk-SK"/>
              </w:rPr>
            </w:pPr>
            <w:r w:rsidRPr="003163F9">
              <w:rPr>
                <w:rFonts w:eastAsia="Times New Roman" w:cs="Times New Roman"/>
                <w:sz w:val="20"/>
                <w:szCs w:val="20"/>
                <w:lang w:eastAsia="sk-SK"/>
              </w:rPr>
              <w:t>Príspevkové organizácie VÚC</w:t>
            </w:r>
          </w:p>
        </w:tc>
        <w:tc>
          <w:tcPr>
            <w:tcW w:w="1025" w:type="dxa"/>
            <w:tcBorders>
              <w:top w:val="nil"/>
              <w:left w:val="nil"/>
              <w:bottom w:val="nil"/>
              <w:right w:val="nil"/>
            </w:tcBorders>
            <w:shd w:val="clear" w:color="000000" w:fill="FFFFFF"/>
            <w:noWrap/>
            <w:vAlign w:val="center"/>
            <w:hideMark/>
          </w:tcPr>
          <w:p w14:paraId="6DBF8418"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931</w:t>
            </w:r>
          </w:p>
        </w:tc>
        <w:tc>
          <w:tcPr>
            <w:tcW w:w="1025" w:type="dxa"/>
            <w:tcBorders>
              <w:top w:val="nil"/>
              <w:left w:val="nil"/>
              <w:bottom w:val="nil"/>
              <w:right w:val="nil"/>
            </w:tcBorders>
            <w:shd w:val="clear" w:color="000000" w:fill="FFFFFF"/>
            <w:noWrap/>
            <w:vAlign w:val="center"/>
            <w:hideMark/>
          </w:tcPr>
          <w:p w14:paraId="673B7D7C"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-5</w:t>
            </w:r>
          </w:p>
        </w:tc>
        <w:tc>
          <w:tcPr>
            <w:tcW w:w="1022" w:type="dxa"/>
            <w:tcBorders>
              <w:top w:val="nil"/>
              <w:left w:val="nil"/>
              <w:bottom w:val="nil"/>
              <w:right w:val="nil"/>
            </w:tcBorders>
            <w:shd w:val="clear" w:color="000000" w:fill="FFFFFF"/>
            <w:noWrap/>
            <w:vAlign w:val="center"/>
            <w:hideMark/>
          </w:tcPr>
          <w:p w14:paraId="7049E61F"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1 740</w:t>
            </w:r>
          </w:p>
        </w:tc>
        <w:tc>
          <w:tcPr>
            <w:tcW w:w="1025" w:type="dxa"/>
            <w:tcBorders>
              <w:top w:val="nil"/>
              <w:left w:val="nil"/>
              <w:bottom w:val="nil"/>
              <w:right w:val="nil"/>
            </w:tcBorders>
            <w:shd w:val="clear" w:color="000000" w:fill="FFFFFF"/>
            <w:noWrap/>
            <w:vAlign w:val="center"/>
            <w:hideMark/>
          </w:tcPr>
          <w:p w14:paraId="5E0E1890"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2 596</w:t>
            </w:r>
          </w:p>
        </w:tc>
        <w:tc>
          <w:tcPr>
            <w:tcW w:w="915" w:type="dxa"/>
            <w:tcBorders>
              <w:top w:val="nil"/>
              <w:left w:val="nil"/>
              <w:bottom w:val="nil"/>
              <w:right w:val="nil"/>
            </w:tcBorders>
            <w:shd w:val="clear" w:color="000000" w:fill="FFFFFF"/>
            <w:noWrap/>
            <w:vAlign w:val="center"/>
            <w:hideMark/>
          </w:tcPr>
          <w:p w14:paraId="5DD13C54"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856</w:t>
            </w:r>
          </w:p>
        </w:tc>
      </w:tr>
      <w:tr w:rsidR="00614751" w:rsidRPr="003163F9" w14:paraId="11F68A72" w14:textId="77777777" w:rsidTr="00614751">
        <w:trPr>
          <w:trHeight w:val="327"/>
        </w:trPr>
        <w:tc>
          <w:tcPr>
            <w:tcW w:w="190" w:type="dxa"/>
            <w:tcBorders>
              <w:top w:val="nil"/>
              <w:left w:val="nil"/>
              <w:bottom w:val="nil"/>
              <w:right w:val="nil"/>
            </w:tcBorders>
            <w:shd w:val="clear" w:color="000000" w:fill="FFFFFF"/>
            <w:noWrap/>
            <w:vAlign w:val="center"/>
            <w:hideMark/>
          </w:tcPr>
          <w:p w14:paraId="23B9BC22" w14:textId="77777777" w:rsidR="00614751" w:rsidRPr="003163F9" w:rsidRDefault="00614751" w:rsidP="004A5585">
            <w:pPr>
              <w:spacing w:after="0" w:line="240" w:lineRule="auto"/>
              <w:jc w:val="left"/>
              <w:rPr>
                <w:rFonts w:eastAsia="Times New Roman" w:cs="Times New Roman"/>
                <w:color w:val="000000"/>
                <w:sz w:val="20"/>
                <w:szCs w:val="20"/>
                <w:lang w:eastAsia="sk-SK"/>
              </w:rPr>
            </w:pPr>
            <w:r w:rsidRPr="003163F9">
              <w:rPr>
                <w:rFonts w:eastAsia="Times New Roman" w:cs="Times New Roman"/>
                <w:color w:val="000000"/>
                <w:sz w:val="20"/>
                <w:szCs w:val="20"/>
                <w:lang w:eastAsia="sk-SK"/>
              </w:rPr>
              <w:t> </w:t>
            </w:r>
          </w:p>
        </w:tc>
        <w:tc>
          <w:tcPr>
            <w:tcW w:w="3656" w:type="dxa"/>
            <w:gridSpan w:val="2"/>
            <w:tcBorders>
              <w:top w:val="nil"/>
              <w:left w:val="nil"/>
              <w:bottom w:val="nil"/>
              <w:right w:val="nil"/>
            </w:tcBorders>
            <w:shd w:val="clear" w:color="000000" w:fill="FFFFFF"/>
            <w:noWrap/>
            <w:vAlign w:val="center"/>
            <w:hideMark/>
          </w:tcPr>
          <w:p w14:paraId="27732E62" w14:textId="77777777" w:rsidR="00614751" w:rsidRPr="003163F9" w:rsidRDefault="00614751" w:rsidP="004A5585">
            <w:pPr>
              <w:spacing w:after="0" w:line="240" w:lineRule="auto"/>
              <w:jc w:val="left"/>
              <w:rPr>
                <w:rFonts w:eastAsia="Times New Roman" w:cs="Times New Roman"/>
                <w:sz w:val="20"/>
                <w:szCs w:val="20"/>
                <w:lang w:eastAsia="sk-SK"/>
              </w:rPr>
            </w:pPr>
            <w:r w:rsidRPr="003163F9">
              <w:rPr>
                <w:rFonts w:eastAsia="Times New Roman" w:cs="Times New Roman"/>
                <w:sz w:val="20"/>
                <w:szCs w:val="20"/>
                <w:lang w:eastAsia="sk-SK"/>
              </w:rPr>
              <w:t>Dopravné podniky</w:t>
            </w:r>
          </w:p>
        </w:tc>
        <w:tc>
          <w:tcPr>
            <w:tcW w:w="1025" w:type="dxa"/>
            <w:tcBorders>
              <w:top w:val="nil"/>
              <w:left w:val="nil"/>
              <w:bottom w:val="nil"/>
              <w:right w:val="nil"/>
            </w:tcBorders>
            <w:shd w:val="clear" w:color="000000" w:fill="FFFFFF"/>
            <w:noWrap/>
            <w:vAlign w:val="center"/>
            <w:hideMark/>
          </w:tcPr>
          <w:p w14:paraId="08C72AC4"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12 612</w:t>
            </w:r>
          </w:p>
        </w:tc>
        <w:tc>
          <w:tcPr>
            <w:tcW w:w="1025" w:type="dxa"/>
            <w:tcBorders>
              <w:top w:val="nil"/>
              <w:left w:val="nil"/>
              <w:bottom w:val="nil"/>
              <w:right w:val="nil"/>
            </w:tcBorders>
            <w:shd w:val="clear" w:color="000000" w:fill="FFFFFF"/>
            <w:noWrap/>
            <w:vAlign w:val="center"/>
            <w:hideMark/>
          </w:tcPr>
          <w:p w14:paraId="5BC0476A"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8 458</w:t>
            </w:r>
          </w:p>
        </w:tc>
        <w:tc>
          <w:tcPr>
            <w:tcW w:w="1022" w:type="dxa"/>
            <w:tcBorders>
              <w:top w:val="nil"/>
              <w:left w:val="nil"/>
              <w:bottom w:val="nil"/>
              <w:right w:val="nil"/>
            </w:tcBorders>
            <w:shd w:val="clear" w:color="000000" w:fill="FFFFFF"/>
            <w:noWrap/>
            <w:vAlign w:val="center"/>
            <w:hideMark/>
          </w:tcPr>
          <w:p w14:paraId="7A809FC5"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9 270</w:t>
            </w:r>
          </w:p>
        </w:tc>
        <w:tc>
          <w:tcPr>
            <w:tcW w:w="1025" w:type="dxa"/>
            <w:tcBorders>
              <w:top w:val="nil"/>
              <w:left w:val="nil"/>
              <w:bottom w:val="nil"/>
              <w:right w:val="nil"/>
            </w:tcBorders>
            <w:shd w:val="clear" w:color="000000" w:fill="FFFFFF"/>
            <w:noWrap/>
            <w:vAlign w:val="center"/>
            <w:hideMark/>
          </w:tcPr>
          <w:p w14:paraId="337E48D8"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4 798</w:t>
            </w:r>
          </w:p>
        </w:tc>
        <w:tc>
          <w:tcPr>
            <w:tcW w:w="915" w:type="dxa"/>
            <w:tcBorders>
              <w:top w:val="nil"/>
              <w:left w:val="nil"/>
              <w:bottom w:val="nil"/>
              <w:right w:val="nil"/>
            </w:tcBorders>
            <w:shd w:val="clear" w:color="000000" w:fill="FFFFFF"/>
            <w:noWrap/>
            <w:vAlign w:val="center"/>
            <w:hideMark/>
          </w:tcPr>
          <w:p w14:paraId="0EBD5F1D"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-4 472</w:t>
            </w:r>
          </w:p>
        </w:tc>
      </w:tr>
      <w:tr w:rsidR="00614751" w:rsidRPr="003163F9" w14:paraId="104E5304" w14:textId="77777777" w:rsidTr="00614751">
        <w:trPr>
          <w:trHeight w:val="327"/>
        </w:trPr>
        <w:tc>
          <w:tcPr>
            <w:tcW w:w="190" w:type="dxa"/>
            <w:tcBorders>
              <w:top w:val="nil"/>
              <w:left w:val="nil"/>
              <w:bottom w:val="nil"/>
              <w:right w:val="nil"/>
            </w:tcBorders>
            <w:shd w:val="clear" w:color="000000" w:fill="FFFFFF"/>
            <w:noWrap/>
            <w:vAlign w:val="center"/>
            <w:hideMark/>
          </w:tcPr>
          <w:p w14:paraId="3A29DFA7" w14:textId="77777777" w:rsidR="00614751" w:rsidRPr="003163F9" w:rsidRDefault="00614751" w:rsidP="004A5585">
            <w:pPr>
              <w:spacing w:after="0" w:line="240" w:lineRule="auto"/>
              <w:jc w:val="left"/>
              <w:rPr>
                <w:rFonts w:eastAsia="Times New Roman" w:cs="Times New Roman"/>
                <w:color w:val="000000"/>
                <w:sz w:val="20"/>
                <w:szCs w:val="20"/>
                <w:lang w:eastAsia="sk-SK"/>
              </w:rPr>
            </w:pPr>
            <w:r w:rsidRPr="003163F9">
              <w:rPr>
                <w:rFonts w:eastAsia="Times New Roman" w:cs="Times New Roman"/>
                <w:color w:val="000000"/>
                <w:sz w:val="20"/>
                <w:szCs w:val="20"/>
                <w:lang w:eastAsia="sk-SK"/>
              </w:rPr>
              <w:t> </w:t>
            </w:r>
          </w:p>
        </w:tc>
        <w:tc>
          <w:tcPr>
            <w:tcW w:w="3656" w:type="dxa"/>
            <w:gridSpan w:val="2"/>
            <w:tcBorders>
              <w:top w:val="nil"/>
              <w:left w:val="nil"/>
              <w:bottom w:val="nil"/>
              <w:right w:val="nil"/>
            </w:tcBorders>
            <w:shd w:val="clear" w:color="000000" w:fill="FFFFFF"/>
            <w:noWrap/>
            <w:vAlign w:val="center"/>
            <w:hideMark/>
          </w:tcPr>
          <w:p w14:paraId="7375D1E5" w14:textId="77777777" w:rsidR="00614751" w:rsidRPr="003163F9" w:rsidRDefault="00614751" w:rsidP="004A5585">
            <w:pPr>
              <w:spacing w:after="0" w:line="240" w:lineRule="auto"/>
              <w:jc w:val="left"/>
              <w:rPr>
                <w:rFonts w:eastAsia="Times New Roman" w:cs="Times New Roman"/>
                <w:sz w:val="20"/>
                <w:szCs w:val="20"/>
                <w:lang w:eastAsia="sk-SK"/>
              </w:rPr>
            </w:pPr>
            <w:r w:rsidRPr="003163F9">
              <w:rPr>
                <w:rFonts w:eastAsia="Times New Roman" w:cs="Times New Roman"/>
                <w:sz w:val="20"/>
                <w:szCs w:val="20"/>
                <w:lang w:eastAsia="sk-SK"/>
              </w:rPr>
              <w:t>Zdravotnícke zariadenia miestnej samosprávy</w:t>
            </w:r>
          </w:p>
        </w:tc>
        <w:tc>
          <w:tcPr>
            <w:tcW w:w="1025" w:type="dxa"/>
            <w:tcBorders>
              <w:top w:val="nil"/>
              <w:left w:val="nil"/>
              <w:bottom w:val="nil"/>
              <w:right w:val="nil"/>
            </w:tcBorders>
            <w:shd w:val="clear" w:color="000000" w:fill="FFFFFF"/>
            <w:noWrap/>
            <w:vAlign w:val="center"/>
            <w:hideMark/>
          </w:tcPr>
          <w:p w14:paraId="0A02424B"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3 971</w:t>
            </w:r>
          </w:p>
        </w:tc>
        <w:tc>
          <w:tcPr>
            <w:tcW w:w="1025" w:type="dxa"/>
            <w:tcBorders>
              <w:top w:val="nil"/>
              <w:left w:val="nil"/>
              <w:bottom w:val="nil"/>
              <w:right w:val="nil"/>
            </w:tcBorders>
            <w:shd w:val="clear" w:color="000000" w:fill="FFFFFF"/>
            <w:noWrap/>
            <w:vAlign w:val="center"/>
            <w:hideMark/>
          </w:tcPr>
          <w:p w14:paraId="13B5F3B7"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-1 883</w:t>
            </w:r>
          </w:p>
        </w:tc>
        <w:tc>
          <w:tcPr>
            <w:tcW w:w="1022" w:type="dxa"/>
            <w:tcBorders>
              <w:top w:val="nil"/>
              <w:left w:val="nil"/>
              <w:bottom w:val="nil"/>
              <w:right w:val="nil"/>
            </w:tcBorders>
            <w:shd w:val="clear" w:color="000000" w:fill="FFFFFF"/>
            <w:noWrap/>
            <w:vAlign w:val="center"/>
            <w:hideMark/>
          </w:tcPr>
          <w:p w14:paraId="46537D5C"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17</w:t>
            </w:r>
          </w:p>
        </w:tc>
        <w:tc>
          <w:tcPr>
            <w:tcW w:w="1025" w:type="dxa"/>
            <w:tcBorders>
              <w:top w:val="nil"/>
              <w:left w:val="nil"/>
              <w:bottom w:val="nil"/>
              <w:right w:val="nil"/>
            </w:tcBorders>
            <w:shd w:val="clear" w:color="000000" w:fill="FFFFFF"/>
            <w:noWrap/>
            <w:vAlign w:val="center"/>
            <w:hideMark/>
          </w:tcPr>
          <w:p w14:paraId="0BFD1003"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12 599</w:t>
            </w:r>
          </w:p>
        </w:tc>
        <w:tc>
          <w:tcPr>
            <w:tcW w:w="915" w:type="dxa"/>
            <w:tcBorders>
              <w:top w:val="nil"/>
              <w:left w:val="nil"/>
              <w:bottom w:val="nil"/>
              <w:right w:val="nil"/>
            </w:tcBorders>
            <w:shd w:val="clear" w:color="000000" w:fill="FFFFFF"/>
            <w:noWrap/>
            <w:vAlign w:val="center"/>
            <w:hideMark/>
          </w:tcPr>
          <w:p w14:paraId="065BF18D"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12 582</w:t>
            </w:r>
          </w:p>
        </w:tc>
      </w:tr>
      <w:tr w:rsidR="00614751" w:rsidRPr="003163F9" w14:paraId="4EE32D7F" w14:textId="77777777" w:rsidTr="00614751">
        <w:trPr>
          <w:trHeight w:val="327"/>
        </w:trPr>
        <w:tc>
          <w:tcPr>
            <w:tcW w:w="190" w:type="dxa"/>
            <w:tcBorders>
              <w:top w:val="nil"/>
              <w:left w:val="nil"/>
              <w:bottom w:val="nil"/>
              <w:right w:val="nil"/>
            </w:tcBorders>
            <w:shd w:val="clear" w:color="000000" w:fill="FFFFFF"/>
            <w:noWrap/>
            <w:vAlign w:val="center"/>
            <w:hideMark/>
          </w:tcPr>
          <w:p w14:paraId="27D37B0D" w14:textId="77777777" w:rsidR="00614751" w:rsidRPr="003163F9" w:rsidRDefault="00614751" w:rsidP="004A5585">
            <w:pPr>
              <w:spacing w:after="0" w:line="240" w:lineRule="auto"/>
              <w:jc w:val="left"/>
              <w:rPr>
                <w:rFonts w:eastAsia="Times New Roman" w:cs="Times New Roman"/>
                <w:color w:val="000000"/>
                <w:sz w:val="20"/>
                <w:szCs w:val="20"/>
                <w:lang w:eastAsia="sk-SK"/>
              </w:rPr>
            </w:pPr>
            <w:r w:rsidRPr="003163F9">
              <w:rPr>
                <w:rFonts w:eastAsia="Times New Roman" w:cs="Times New Roman"/>
                <w:color w:val="000000"/>
                <w:sz w:val="20"/>
                <w:szCs w:val="20"/>
                <w:lang w:eastAsia="sk-SK"/>
              </w:rPr>
              <w:t> </w:t>
            </w:r>
          </w:p>
        </w:tc>
        <w:tc>
          <w:tcPr>
            <w:tcW w:w="3656" w:type="dxa"/>
            <w:gridSpan w:val="2"/>
            <w:tcBorders>
              <w:top w:val="nil"/>
              <w:left w:val="nil"/>
              <w:bottom w:val="nil"/>
              <w:right w:val="nil"/>
            </w:tcBorders>
            <w:shd w:val="clear" w:color="000000" w:fill="FFFFFF"/>
            <w:noWrap/>
            <w:vAlign w:val="center"/>
            <w:hideMark/>
          </w:tcPr>
          <w:p w14:paraId="772456D8" w14:textId="77777777" w:rsidR="00614751" w:rsidRPr="003163F9" w:rsidRDefault="00614751" w:rsidP="004A5585">
            <w:pPr>
              <w:spacing w:after="0" w:line="240" w:lineRule="auto"/>
              <w:jc w:val="left"/>
              <w:rPr>
                <w:rFonts w:eastAsia="Times New Roman" w:cs="Times New Roman"/>
                <w:sz w:val="20"/>
                <w:szCs w:val="20"/>
                <w:lang w:eastAsia="sk-SK"/>
              </w:rPr>
            </w:pPr>
            <w:r w:rsidRPr="003163F9">
              <w:rPr>
                <w:rFonts w:eastAsia="Times New Roman" w:cs="Times New Roman"/>
                <w:sz w:val="20"/>
                <w:szCs w:val="20"/>
                <w:lang w:eastAsia="sk-SK"/>
              </w:rPr>
              <w:t>Ostatné subjekty miestnej samosprávy</w:t>
            </w:r>
          </w:p>
        </w:tc>
        <w:tc>
          <w:tcPr>
            <w:tcW w:w="1025" w:type="dxa"/>
            <w:tcBorders>
              <w:top w:val="nil"/>
              <w:left w:val="nil"/>
              <w:bottom w:val="nil"/>
              <w:right w:val="nil"/>
            </w:tcBorders>
            <w:shd w:val="clear" w:color="000000" w:fill="FFFFFF"/>
            <w:noWrap/>
            <w:vAlign w:val="center"/>
            <w:hideMark/>
          </w:tcPr>
          <w:p w14:paraId="4824945B"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-2 523</w:t>
            </w:r>
          </w:p>
        </w:tc>
        <w:tc>
          <w:tcPr>
            <w:tcW w:w="1025" w:type="dxa"/>
            <w:tcBorders>
              <w:top w:val="nil"/>
              <w:left w:val="nil"/>
              <w:bottom w:val="nil"/>
              <w:right w:val="nil"/>
            </w:tcBorders>
            <w:shd w:val="clear" w:color="000000" w:fill="FFFFFF"/>
            <w:noWrap/>
            <w:vAlign w:val="center"/>
            <w:hideMark/>
          </w:tcPr>
          <w:p w14:paraId="3E5C3283"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3 937</w:t>
            </w:r>
          </w:p>
        </w:tc>
        <w:tc>
          <w:tcPr>
            <w:tcW w:w="1022" w:type="dxa"/>
            <w:tcBorders>
              <w:top w:val="nil"/>
              <w:left w:val="nil"/>
              <w:bottom w:val="nil"/>
              <w:right w:val="nil"/>
            </w:tcBorders>
            <w:shd w:val="clear" w:color="000000" w:fill="FFFFFF"/>
            <w:noWrap/>
            <w:vAlign w:val="center"/>
            <w:hideMark/>
          </w:tcPr>
          <w:p w14:paraId="720AA20E"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0</w:t>
            </w:r>
          </w:p>
        </w:tc>
        <w:tc>
          <w:tcPr>
            <w:tcW w:w="1025" w:type="dxa"/>
            <w:tcBorders>
              <w:top w:val="nil"/>
              <w:left w:val="nil"/>
              <w:bottom w:val="nil"/>
              <w:right w:val="nil"/>
            </w:tcBorders>
            <w:shd w:val="clear" w:color="000000" w:fill="FFFFFF"/>
            <w:noWrap/>
            <w:vAlign w:val="center"/>
            <w:hideMark/>
          </w:tcPr>
          <w:p w14:paraId="1CF7E474"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7 342</w:t>
            </w:r>
          </w:p>
        </w:tc>
        <w:tc>
          <w:tcPr>
            <w:tcW w:w="915" w:type="dxa"/>
            <w:tcBorders>
              <w:top w:val="nil"/>
              <w:left w:val="nil"/>
              <w:bottom w:val="nil"/>
              <w:right w:val="nil"/>
            </w:tcBorders>
            <w:shd w:val="clear" w:color="000000" w:fill="FFFFFF"/>
            <w:noWrap/>
            <w:vAlign w:val="center"/>
            <w:hideMark/>
          </w:tcPr>
          <w:p w14:paraId="6D04093C"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7 342</w:t>
            </w:r>
          </w:p>
        </w:tc>
      </w:tr>
      <w:tr w:rsidR="00614751" w:rsidRPr="003163F9" w14:paraId="4C83384E" w14:textId="77777777" w:rsidTr="00614751">
        <w:trPr>
          <w:trHeight w:val="327"/>
        </w:trPr>
        <w:tc>
          <w:tcPr>
            <w:tcW w:w="3846" w:type="dxa"/>
            <w:gridSpan w:val="3"/>
            <w:tcBorders>
              <w:top w:val="nil"/>
              <w:left w:val="nil"/>
              <w:bottom w:val="nil"/>
              <w:right w:val="nil"/>
            </w:tcBorders>
            <w:shd w:val="clear" w:color="000000" w:fill="FFFFFF"/>
            <w:noWrap/>
            <w:vAlign w:val="center"/>
            <w:hideMark/>
          </w:tcPr>
          <w:p w14:paraId="7C552DC9" w14:textId="77777777" w:rsidR="00614751" w:rsidRPr="003163F9" w:rsidRDefault="00614751" w:rsidP="004A5585">
            <w:pPr>
              <w:spacing w:after="0" w:line="240" w:lineRule="auto"/>
              <w:jc w:val="left"/>
              <w:rPr>
                <w:rFonts w:eastAsia="Times New Roman" w:cs="Times New Roman"/>
                <w:b/>
                <w:bCs/>
                <w:color w:val="000000"/>
                <w:sz w:val="20"/>
                <w:szCs w:val="20"/>
                <w:lang w:eastAsia="sk-SK"/>
              </w:rPr>
            </w:pPr>
            <w:r w:rsidRPr="003163F9">
              <w:rPr>
                <w:rFonts w:eastAsia="Times New Roman" w:cs="Times New Roman"/>
                <w:b/>
                <w:bCs/>
                <w:color w:val="000000"/>
                <w:sz w:val="20"/>
                <w:szCs w:val="20"/>
                <w:lang w:eastAsia="sk-SK"/>
              </w:rPr>
              <w:t>Fondy sociálneho zabezpečenia</w:t>
            </w:r>
          </w:p>
        </w:tc>
        <w:tc>
          <w:tcPr>
            <w:tcW w:w="1025" w:type="dxa"/>
            <w:tcBorders>
              <w:top w:val="nil"/>
              <w:left w:val="nil"/>
              <w:bottom w:val="nil"/>
              <w:right w:val="nil"/>
            </w:tcBorders>
            <w:shd w:val="clear" w:color="000000" w:fill="FFFFFF"/>
            <w:noWrap/>
            <w:vAlign w:val="center"/>
            <w:hideMark/>
          </w:tcPr>
          <w:p w14:paraId="6ACA7140" w14:textId="77777777" w:rsidR="00614751" w:rsidRPr="003163F9" w:rsidRDefault="00614751" w:rsidP="004A5585">
            <w:pPr>
              <w:spacing w:after="0" w:line="240" w:lineRule="auto"/>
              <w:jc w:val="left"/>
              <w:rPr>
                <w:rFonts w:eastAsia="Times New Roman" w:cs="Times New Roman"/>
                <w:b/>
                <w:bCs/>
                <w:color w:val="000000"/>
                <w:sz w:val="20"/>
                <w:szCs w:val="20"/>
                <w:lang w:eastAsia="sk-SK"/>
              </w:rPr>
            </w:pPr>
            <w:r w:rsidRPr="003163F9">
              <w:rPr>
                <w:rFonts w:eastAsia="Times New Roman" w:cs="Times New Roman"/>
                <w:b/>
                <w:bCs/>
                <w:color w:val="000000"/>
                <w:sz w:val="20"/>
                <w:szCs w:val="20"/>
                <w:lang w:eastAsia="sk-SK"/>
              </w:rPr>
              <w:t> </w:t>
            </w:r>
          </w:p>
        </w:tc>
        <w:tc>
          <w:tcPr>
            <w:tcW w:w="1025" w:type="dxa"/>
            <w:tcBorders>
              <w:top w:val="nil"/>
              <w:left w:val="nil"/>
              <w:bottom w:val="nil"/>
              <w:right w:val="nil"/>
            </w:tcBorders>
            <w:shd w:val="clear" w:color="000000" w:fill="FFFFFF"/>
            <w:noWrap/>
            <w:vAlign w:val="center"/>
            <w:hideMark/>
          </w:tcPr>
          <w:p w14:paraId="7367A08E" w14:textId="77777777" w:rsidR="00614751" w:rsidRPr="003163F9" w:rsidRDefault="00614751" w:rsidP="004A5585">
            <w:pPr>
              <w:spacing w:after="0" w:line="240" w:lineRule="auto"/>
              <w:jc w:val="left"/>
              <w:rPr>
                <w:rFonts w:eastAsia="Times New Roman" w:cs="Times New Roman"/>
                <w:b/>
                <w:bCs/>
                <w:color w:val="000000"/>
                <w:sz w:val="20"/>
                <w:szCs w:val="20"/>
                <w:lang w:eastAsia="sk-SK"/>
              </w:rPr>
            </w:pPr>
            <w:r w:rsidRPr="003163F9">
              <w:rPr>
                <w:rFonts w:eastAsia="Times New Roman" w:cs="Times New Roman"/>
                <w:b/>
                <w:bCs/>
                <w:color w:val="000000"/>
                <w:sz w:val="20"/>
                <w:szCs w:val="20"/>
                <w:lang w:eastAsia="sk-SK"/>
              </w:rPr>
              <w:t> </w:t>
            </w:r>
          </w:p>
        </w:tc>
        <w:tc>
          <w:tcPr>
            <w:tcW w:w="1022" w:type="dxa"/>
            <w:tcBorders>
              <w:top w:val="nil"/>
              <w:left w:val="nil"/>
              <w:bottom w:val="nil"/>
              <w:right w:val="nil"/>
            </w:tcBorders>
            <w:shd w:val="clear" w:color="000000" w:fill="FFFFFF"/>
            <w:noWrap/>
            <w:vAlign w:val="center"/>
            <w:hideMark/>
          </w:tcPr>
          <w:p w14:paraId="69874E9C" w14:textId="77777777" w:rsidR="00614751" w:rsidRPr="003163F9" w:rsidRDefault="00614751" w:rsidP="004A5585">
            <w:pPr>
              <w:spacing w:after="0" w:line="240" w:lineRule="auto"/>
              <w:jc w:val="left"/>
              <w:rPr>
                <w:rFonts w:eastAsia="Times New Roman" w:cs="Times New Roman"/>
                <w:b/>
                <w:bCs/>
                <w:color w:val="000000"/>
                <w:sz w:val="20"/>
                <w:szCs w:val="20"/>
                <w:lang w:eastAsia="sk-SK"/>
              </w:rPr>
            </w:pPr>
            <w:r w:rsidRPr="003163F9">
              <w:rPr>
                <w:rFonts w:eastAsia="Times New Roman" w:cs="Times New Roman"/>
                <w:b/>
                <w:bCs/>
                <w:color w:val="000000"/>
                <w:sz w:val="20"/>
                <w:szCs w:val="20"/>
                <w:lang w:eastAsia="sk-SK"/>
              </w:rPr>
              <w:t> </w:t>
            </w:r>
          </w:p>
        </w:tc>
        <w:tc>
          <w:tcPr>
            <w:tcW w:w="1025" w:type="dxa"/>
            <w:tcBorders>
              <w:top w:val="nil"/>
              <w:left w:val="nil"/>
              <w:bottom w:val="nil"/>
              <w:right w:val="nil"/>
            </w:tcBorders>
            <w:shd w:val="clear" w:color="000000" w:fill="FFFFFF"/>
            <w:noWrap/>
            <w:vAlign w:val="center"/>
            <w:hideMark/>
          </w:tcPr>
          <w:p w14:paraId="06DFAD96" w14:textId="77777777" w:rsidR="00614751" w:rsidRPr="003163F9" w:rsidRDefault="00614751" w:rsidP="004A5585">
            <w:pPr>
              <w:spacing w:after="0" w:line="240" w:lineRule="auto"/>
              <w:jc w:val="left"/>
              <w:rPr>
                <w:rFonts w:eastAsia="Times New Roman" w:cs="Times New Roman"/>
                <w:b/>
                <w:bCs/>
                <w:color w:val="000000"/>
                <w:sz w:val="20"/>
                <w:szCs w:val="20"/>
                <w:lang w:eastAsia="sk-SK"/>
              </w:rPr>
            </w:pPr>
            <w:r w:rsidRPr="003163F9">
              <w:rPr>
                <w:rFonts w:eastAsia="Times New Roman" w:cs="Times New Roman"/>
                <w:b/>
                <w:bCs/>
                <w:color w:val="000000"/>
                <w:sz w:val="20"/>
                <w:szCs w:val="20"/>
                <w:lang w:eastAsia="sk-SK"/>
              </w:rPr>
              <w:t> </w:t>
            </w:r>
          </w:p>
        </w:tc>
        <w:tc>
          <w:tcPr>
            <w:tcW w:w="915" w:type="dxa"/>
            <w:tcBorders>
              <w:top w:val="nil"/>
              <w:left w:val="nil"/>
              <w:bottom w:val="nil"/>
              <w:right w:val="nil"/>
            </w:tcBorders>
            <w:shd w:val="clear" w:color="000000" w:fill="FFFFFF"/>
            <w:noWrap/>
            <w:vAlign w:val="center"/>
            <w:hideMark/>
          </w:tcPr>
          <w:p w14:paraId="4E131115" w14:textId="77777777" w:rsidR="00614751" w:rsidRPr="003163F9" w:rsidRDefault="00614751" w:rsidP="004A5585">
            <w:pPr>
              <w:spacing w:after="0" w:line="240" w:lineRule="auto"/>
              <w:jc w:val="left"/>
              <w:rPr>
                <w:rFonts w:eastAsia="Times New Roman" w:cs="Times New Roman"/>
                <w:b/>
                <w:bCs/>
                <w:color w:val="000000"/>
                <w:sz w:val="20"/>
                <w:szCs w:val="20"/>
                <w:lang w:eastAsia="sk-SK"/>
              </w:rPr>
            </w:pPr>
            <w:r w:rsidRPr="003163F9">
              <w:rPr>
                <w:rFonts w:eastAsia="Times New Roman" w:cs="Times New Roman"/>
                <w:b/>
                <w:bCs/>
                <w:color w:val="000000"/>
                <w:sz w:val="20"/>
                <w:szCs w:val="20"/>
                <w:lang w:eastAsia="sk-SK"/>
              </w:rPr>
              <w:t> </w:t>
            </w:r>
          </w:p>
        </w:tc>
      </w:tr>
      <w:tr w:rsidR="00614751" w:rsidRPr="003163F9" w14:paraId="42D49C2A" w14:textId="77777777" w:rsidTr="00614751">
        <w:trPr>
          <w:trHeight w:val="327"/>
        </w:trPr>
        <w:tc>
          <w:tcPr>
            <w:tcW w:w="190" w:type="dxa"/>
            <w:tcBorders>
              <w:top w:val="nil"/>
              <w:left w:val="nil"/>
              <w:bottom w:val="nil"/>
              <w:right w:val="nil"/>
            </w:tcBorders>
            <w:shd w:val="clear" w:color="000000" w:fill="FFFFFF"/>
            <w:noWrap/>
            <w:vAlign w:val="center"/>
            <w:hideMark/>
          </w:tcPr>
          <w:p w14:paraId="6113F4D5" w14:textId="77777777" w:rsidR="00614751" w:rsidRPr="003163F9" w:rsidRDefault="00614751" w:rsidP="004A5585">
            <w:pPr>
              <w:spacing w:after="0" w:line="240" w:lineRule="auto"/>
              <w:jc w:val="left"/>
              <w:rPr>
                <w:rFonts w:eastAsia="Times New Roman" w:cs="Times New Roman"/>
                <w:sz w:val="20"/>
                <w:szCs w:val="20"/>
                <w:lang w:eastAsia="sk-SK"/>
              </w:rPr>
            </w:pPr>
            <w:r w:rsidRPr="003163F9">
              <w:rPr>
                <w:rFonts w:eastAsia="Times New Roman" w:cs="Times New Roman"/>
                <w:sz w:val="20"/>
                <w:szCs w:val="20"/>
                <w:lang w:eastAsia="sk-SK"/>
              </w:rPr>
              <w:t> </w:t>
            </w:r>
          </w:p>
        </w:tc>
        <w:tc>
          <w:tcPr>
            <w:tcW w:w="3656" w:type="dxa"/>
            <w:gridSpan w:val="2"/>
            <w:tcBorders>
              <w:top w:val="nil"/>
              <w:left w:val="nil"/>
              <w:bottom w:val="nil"/>
              <w:right w:val="nil"/>
            </w:tcBorders>
            <w:shd w:val="clear" w:color="000000" w:fill="FFFFFF"/>
            <w:noWrap/>
            <w:vAlign w:val="center"/>
            <w:hideMark/>
          </w:tcPr>
          <w:p w14:paraId="55A469D1" w14:textId="77777777" w:rsidR="00614751" w:rsidRPr="003163F9" w:rsidRDefault="00614751" w:rsidP="004A5585">
            <w:pPr>
              <w:spacing w:after="0" w:line="240" w:lineRule="auto"/>
              <w:jc w:val="left"/>
              <w:rPr>
                <w:rFonts w:eastAsia="Times New Roman" w:cs="Times New Roman"/>
                <w:sz w:val="20"/>
                <w:szCs w:val="20"/>
                <w:lang w:eastAsia="sk-SK"/>
              </w:rPr>
            </w:pPr>
            <w:r w:rsidRPr="003163F9">
              <w:rPr>
                <w:rFonts w:eastAsia="Times New Roman" w:cs="Times New Roman"/>
                <w:sz w:val="20"/>
                <w:szCs w:val="20"/>
                <w:lang w:eastAsia="sk-SK"/>
              </w:rPr>
              <w:t>Sociálna poisťovňa</w:t>
            </w:r>
          </w:p>
        </w:tc>
        <w:tc>
          <w:tcPr>
            <w:tcW w:w="1025" w:type="dxa"/>
            <w:tcBorders>
              <w:top w:val="nil"/>
              <w:left w:val="nil"/>
              <w:bottom w:val="nil"/>
              <w:right w:val="nil"/>
            </w:tcBorders>
            <w:shd w:val="clear" w:color="000000" w:fill="FFFFFF"/>
            <w:noWrap/>
            <w:vAlign w:val="center"/>
            <w:hideMark/>
          </w:tcPr>
          <w:p w14:paraId="1F7C59FC"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-180 428</w:t>
            </w:r>
          </w:p>
        </w:tc>
        <w:tc>
          <w:tcPr>
            <w:tcW w:w="1025" w:type="dxa"/>
            <w:tcBorders>
              <w:top w:val="nil"/>
              <w:left w:val="nil"/>
              <w:bottom w:val="nil"/>
              <w:right w:val="nil"/>
            </w:tcBorders>
            <w:shd w:val="clear" w:color="000000" w:fill="FFFFFF"/>
            <w:noWrap/>
            <w:vAlign w:val="center"/>
            <w:hideMark/>
          </w:tcPr>
          <w:p w14:paraId="0094D0F9"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75 891</w:t>
            </w:r>
          </w:p>
        </w:tc>
        <w:tc>
          <w:tcPr>
            <w:tcW w:w="1022" w:type="dxa"/>
            <w:tcBorders>
              <w:top w:val="nil"/>
              <w:left w:val="nil"/>
              <w:bottom w:val="nil"/>
              <w:right w:val="nil"/>
            </w:tcBorders>
            <w:shd w:val="clear" w:color="000000" w:fill="FFFFFF"/>
            <w:noWrap/>
            <w:vAlign w:val="center"/>
            <w:hideMark/>
          </w:tcPr>
          <w:p w14:paraId="68218B50"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40 872</w:t>
            </w:r>
          </w:p>
        </w:tc>
        <w:tc>
          <w:tcPr>
            <w:tcW w:w="1025" w:type="dxa"/>
            <w:tcBorders>
              <w:top w:val="nil"/>
              <w:left w:val="nil"/>
              <w:bottom w:val="nil"/>
              <w:right w:val="nil"/>
            </w:tcBorders>
            <w:shd w:val="clear" w:color="000000" w:fill="FFFFFF"/>
            <w:noWrap/>
            <w:vAlign w:val="center"/>
            <w:hideMark/>
          </w:tcPr>
          <w:p w14:paraId="69EA785E"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155 063</w:t>
            </w:r>
          </w:p>
        </w:tc>
        <w:tc>
          <w:tcPr>
            <w:tcW w:w="915" w:type="dxa"/>
            <w:tcBorders>
              <w:top w:val="nil"/>
              <w:left w:val="nil"/>
              <w:bottom w:val="nil"/>
              <w:right w:val="nil"/>
            </w:tcBorders>
            <w:shd w:val="clear" w:color="000000" w:fill="FFFFFF"/>
            <w:noWrap/>
            <w:vAlign w:val="center"/>
            <w:hideMark/>
          </w:tcPr>
          <w:p w14:paraId="6318A090"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114 191</w:t>
            </w:r>
          </w:p>
        </w:tc>
      </w:tr>
      <w:tr w:rsidR="00614751" w:rsidRPr="003163F9" w14:paraId="3E13EF25" w14:textId="77777777" w:rsidTr="00614751">
        <w:trPr>
          <w:trHeight w:val="327"/>
        </w:trPr>
        <w:tc>
          <w:tcPr>
            <w:tcW w:w="190" w:type="dxa"/>
            <w:tcBorders>
              <w:top w:val="nil"/>
              <w:left w:val="nil"/>
              <w:bottom w:val="nil"/>
              <w:right w:val="nil"/>
            </w:tcBorders>
            <w:shd w:val="clear" w:color="000000" w:fill="FFFFFF"/>
            <w:noWrap/>
            <w:vAlign w:val="center"/>
            <w:hideMark/>
          </w:tcPr>
          <w:p w14:paraId="7177C7A7" w14:textId="77777777" w:rsidR="00614751" w:rsidRPr="003163F9" w:rsidRDefault="00614751" w:rsidP="004A5585">
            <w:pPr>
              <w:spacing w:after="0" w:line="240" w:lineRule="auto"/>
              <w:jc w:val="left"/>
              <w:rPr>
                <w:rFonts w:eastAsia="Times New Roman" w:cs="Times New Roman"/>
                <w:sz w:val="20"/>
                <w:szCs w:val="20"/>
                <w:lang w:eastAsia="sk-SK"/>
              </w:rPr>
            </w:pPr>
            <w:r w:rsidRPr="003163F9">
              <w:rPr>
                <w:rFonts w:eastAsia="Times New Roman" w:cs="Times New Roman"/>
                <w:sz w:val="20"/>
                <w:szCs w:val="20"/>
                <w:lang w:eastAsia="sk-SK"/>
              </w:rPr>
              <w:t> </w:t>
            </w:r>
          </w:p>
        </w:tc>
        <w:tc>
          <w:tcPr>
            <w:tcW w:w="3656" w:type="dxa"/>
            <w:gridSpan w:val="2"/>
            <w:tcBorders>
              <w:top w:val="nil"/>
              <w:left w:val="nil"/>
              <w:bottom w:val="nil"/>
              <w:right w:val="nil"/>
            </w:tcBorders>
            <w:shd w:val="clear" w:color="000000" w:fill="FFFFFF"/>
            <w:noWrap/>
            <w:vAlign w:val="center"/>
            <w:hideMark/>
          </w:tcPr>
          <w:p w14:paraId="1B334E0D" w14:textId="77777777" w:rsidR="00614751" w:rsidRPr="003163F9" w:rsidRDefault="00614751" w:rsidP="004A5585">
            <w:pPr>
              <w:spacing w:after="0" w:line="240" w:lineRule="auto"/>
              <w:jc w:val="left"/>
              <w:rPr>
                <w:rFonts w:eastAsia="Times New Roman" w:cs="Times New Roman"/>
                <w:sz w:val="20"/>
                <w:szCs w:val="20"/>
                <w:lang w:eastAsia="sk-SK"/>
              </w:rPr>
            </w:pPr>
            <w:r w:rsidRPr="003163F9">
              <w:rPr>
                <w:rFonts w:eastAsia="Times New Roman" w:cs="Times New Roman"/>
                <w:sz w:val="20"/>
                <w:szCs w:val="20"/>
                <w:lang w:eastAsia="sk-SK"/>
              </w:rPr>
              <w:t>Verejné zdravotné poistenie</w:t>
            </w:r>
          </w:p>
        </w:tc>
        <w:tc>
          <w:tcPr>
            <w:tcW w:w="1025" w:type="dxa"/>
            <w:tcBorders>
              <w:top w:val="nil"/>
              <w:left w:val="nil"/>
              <w:bottom w:val="nil"/>
              <w:right w:val="nil"/>
            </w:tcBorders>
            <w:shd w:val="clear" w:color="000000" w:fill="FFFFFF"/>
            <w:noWrap/>
            <w:vAlign w:val="center"/>
            <w:hideMark/>
          </w:tcPr>
          <w:p w14:paraId="1A461048"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-72 699</w:t>
            </w:r>
          </w:p>
        </w:tc>
        <w:tc>
          <w:tcPr>
            <w:tcW w:w="1025" w:type="dxa"/>
            <w:tcBorders>
              <w:top w:val="nil"/>
              <w:left w:val="nil"/>
              <w:bottom w:val="nil"/>
              <w:right w:val="nil"/>
            </w:tcBorders>
            <w:shd w:val="clear" w:color="000000" w:fill="FFFFFF"/>
            <w:noWrap/>
            <w:vAlign w:val="center"/>
            <w:hideMark/>
          </w:tcPr>
          <w:p w14:paraId="0CEB5F8B"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166 991</w:t>
            </w:r>
          </w:p>
        </w:tc>
        <w:tc>
          <w:tcPr>
            <w:tcW w:w="1022" w:type="dxa"/>
            <w:tcBorders>
              <w:top w:val="nil"/>
              <w:left w:val="nil"/>
              <w:bottom w:val="nil"/>
              <w:right w:val="nil"/>
            </w:tcBorders>
            <w:shd w:val="clear" w:color="000000" w:fill="FFFFFF"/>
            <w:noWrap/>
            <w:vAlign w:val="center"/>
            <w:hideMark/>
          </w:tcPr>
          <w:p w14:paraId="3CBD129D"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130 031</w:t>
            </w:r>
          </w:p>
        </w:tc>
        <w:tc>
          <w:tcPr>
            <w:tcW w:w="1025" w:type="dxa"/>
            <w:tcBorders>
              <w:top w:val="nil"/>
              <w:left w:val="nil"/>
              <w:bottom w:val="nil"/>
              <w:right w:val="nil"/>
            </w:tcBorders>
            <w:shd w:val="clear" w:color="000000" w:fill="FFFFFF"/>
            <w:noWrap/>
            <w:vAlign w:val="center"/>
            <w:hideMark/>
          </w:tcPr>
          <w:p w14:paraId="3C7FF6F0" w14:textId="77777777" w:rsidR="00614751" w:rsidRPr="00B874DC" w:rsidRDefault="00614751" w:rsidP="004A5585">
            <w:pPr>
              <w:spacing w:after="0" w:line="240" w:lineRule="auto"/>
              <w:jc w:val="right"/>
              <w:rPr>
                <w:rFonts w:eastAsia="Times New Roman" w:cs="Times New Roman"/>
                <w:sz w:val="20"/>
                <w:szCs w:val="20"/>
                <w:lang w:eastAsia="sk-SK"/>
              </w:rPr>
            </w:pPr>
            <w:r w:rsidRPr="00B874DC">
              <w:rPr>
                <w:rFonts w:eastAsia="Times New Roman" w:cs="Times New Roman"/>
                <w:sz w:val="20"/>
                <w:szCs w:val="20"/>
                <w:lang w:eastAsia="sk-SK"/>
              </w:rPr>
              <w:t>8 603</w:t>
            </w:r>
          </w:p>
        </w:tc>
        <w:tc>
          <w:tcPr>
            <w:tcW w:w="915" w:type="dxa"/>
            <w:tcBorders>
              <w:top w:val="nil"/>
              <w:left w:val="nil"/>
              <w:bottom w:val="nil"/>
              <w:right w:val="nil"/>
            </w:tcBorders>
            <w:shd w:val="clear" w:color="000000" w:fill="FFFFFF"/>
            <w:noWrap/>
            <w:vAlign w:val="center"/>
            <w:hideMark/>
          </w:tcPr>
          <w:p w14:paraId="1431303A" w14:textId="77777777" w:rsidR="00614751" w:rsidRPr="003163F9" w:rsidRDefault="00614751" w:rsidP="004A5585">
            <w:pPr>
              <w:spacing w:after="0" w:line="240" w:lineRule="auto"/>
              <w:jc w:val="right"/>
              <w:rPr>
                <w:rFonts w:eastAsia="Times New Roman" w:cs="Times New Roman"/>
                <w:sz w:val="20"/>
                <w:szCs w:val="20"/>
                <w:lang w:eastAsia="sk-SK"/>
              </w:rPr>
            </w:pPr>
            <w:r w:rsidRPr="003163F9">
              <w:rPr>
                <w:rFonts w:eastAsia="Times New Roman" w:cs="Times New Roman"/>
                <w:sz w:val="20"/>
                <w:szCs w:val="20"/>
                <w:lang w:eastAsia="sk-SK"/>
              </w:rPr>
              <w:t>-121 428</w:t>
            </w:r>
          </w:p>
        </w:tc>
      </w:tr>
      <w:tr w:rsidR="00614751" w:rsidRPr="003163F9" w14:paraId="5C36AC89" w14:textId="77777777" w:rsidTr="00614751">
        <w:trPr>
          <w:trHeight w:val="327"/>
        </w:trPr>
        <w:tc>
          <w:tcPr>
            <w:tcW w:w="3846" w:type="dxa"/>
            <w:gridSpan w:val="3"/>
            <w:tcBorders>
              <w:top w:val="nil"/>
              <w:left w:val="nil"/>
              <w:bottom w:val="nil"/>
              <w:right w:val="nil"/>
            </w:tcBorders>
            <w:shd w:val="clear" w:color="000000" w:fill="FFFFFF"/>
            <w:noWrap/>
            <w:vAlign w:val="center"/>
            <w:hideMark/>
          </w:tcPr>
          <w:p w14:paraId="1DCA429F" w14:textId="77777777" w:rsidR="00614751" w:rsidRPr="003163F9" w:rsidRDefault="00614751" w:rsidP="004A5585">
            <w:pPr>
              <w:spacing w:after="0" w:line="240" w:lineRule="auto"/>
              <w:jc w:val="left"/>
              <w:rPr>
                <w:rFonts w:eastAsia="Times New Roman" w:cs="Times New Roman"/>
                <w:b/>
                <w:bCs/>
                <w:sz w:val="20"/>
                <w:szCs w:val="20"/>
                <w:lang w:eastAsia="sk-SK"/>
              </w:rPr>
            </w:pPr>
            <w:r w:rsidRPr="003163F9">
              <w:rPr>
                <w:rFonts w:eastAsia="Times New Roman" w:cs="Times New Roman"/>
                <w:b/>
                <w:bCs/>
                <w:sz w:val="20"/>
                <w:szCs w:val="20"/>
                <w:lang w:eastAsia="sk-SK"/>
              </w:rPr>
              <w:t>Schodok verejnej správy spolu</w:t>
            </w:r>
          </w:p>
        </w:tc>
        <w:tc>
          <w:tcPr>
            <w:tcW w:w="1025" w:type="dxa"/>
            <w:tcBorders>
              <w:top w:val="nil"/>
              <w:left w:val="nil"/>
              <w:bottom w:val="nil"/>
              <w:right w:val="nil"/>
            </w:tcBorders>
            <w:shd w:val="clear" w:color="000000" w:fill="FFFFFF"/>
            <w:noWrap/>
            <w:vAlign w:val="center"/>
            <w:hideMark/>
          </w:tcPr>
          <w:p w14:paraId="736AA1FA" w14:textId="77777777" w:rsidR="00614751" w:rsidRPr="003163F9" w:rsidRDefault="00614751" w:rsidP="004A5585">
            <w:pPr>
              <w:spacing w:after="0" w:line="240" w:lineRule="auto"/>
              <w:jc w:val="right"/>
              <w:rPr>
                <w:rFonts w:eastAsia="Times New Roman" w:cs="Times New Roman"/>
                <w:b/>
                <w:bCs/>
                <w:sz w:val="20"/>
                <w:szCs w:val="20"/>
                <w:lang w:eastAsia="sk-SK"/>
              </w:rPr>
            </w:pPr>
            <w:r w:rsidRPr="003163F9">
              <w:rPr>
                <w:rFonts w:eastAsia="Times New Roman" w:cs="Times New Roman"/>
                <w:b/>
                <w:bCs/>
                <w:sz w:val="20"/>
                <w:szCs w:val="20"/>
                <w:lang w:eastAsia="sk-SK"/>
              </w:rPr>
              <w:t>-1 804 713</w:t>
            </w:r>
          </w:p>
        </w:tc>
        <w:tc>
          <w:tcPr>
            <w:tcW w:w="1025" w:type="dxa"/>
            <w:tcBorders>
              <w:top w:val="nil"/>
              <w:left w:val="nil"/>
              <w:bottom w:val="nil"/>
              <w:right w:val="nil"/>
            </w:tcBorders>
            <w:shd w:val="clear" w:color="000000" w:fill="FFFFFF"/>
            <w:noWrap/>
            <w:vAlign w:val="center"/>
            <w:hideMark/>
          </w:tcPr>
          <w:p w14:paraId="5CD4FA51" w14:textId="77777777" w:rsidR="00614751" w:rsidRPr="003163F9" w:rsidRDefault="00614751" w:rsidP="004A5585">
            <w:pPr>
              <w:spacing w:after="0" w:line="240" w:lineRule="auto"/>
              <w:jc w:val="right"/>
              <w:rPr>
                <w:rFonts w:eastAsia="Times New Roman" w:cs="Times New Roman"/>
                <w:b/>
                <w:bCs/>
                <w:sz w:val="20"/>
                <w:szCs w:val="20"/>
                <w:lang w:eastAsia="sk-SK"/>
              </w:rPr>
            </w:pPr>
            <w:r w:rsidRPr="003163F9">
              <w:rPr>
                <w:rFonts w:eastAsia="Times New Roman" w:cs="Times New Roman"/>
                <w:b/>
                <w:bCs/>
                <w:sz w:val="20"/>
                <w:szCs w:val="20"/>
                <w:lang w:eastAsia="sk-SK"/>
              </w:rPr>
              <w:t>-667 928</w:t>
            </w:r>
          </w:p>
        </w:tc>
        <w:tc>
          <w:tcPr>
            <w:tcW w:w="1022" w:type="dxa"/>
            <w:tcBorders>
              <w:top w:val="nil"/>
              <w:left w:val="nil"/>
              <w:bottom w:val="nil"/>
              <w:right w:val="nil"/>
            </w:tcBorders>
            <w:shd w:val="clear" w:color="000000" w:fill="FFFFFF"/>
            <w:noWrap/>
            <w:vAlign w:val="center"/>
            <w:hideMark/>
          </w:tcPr>
          <w:p w14:paraId="7193D10F" w14:textId="77777777" w:rsidR="00614751" w:rsidRPr="003163F9" w:rsidRDefault="00614751" w:rsidP="004A5585">
            <w:pPr>
              <w:spacing w:after="0" w:line="240" w:lineRule="auto"/>
              <w:jc w:val="right"/>
              <w:rPr>
                <w:rFonts w:eastAsia="Times New Roman" w:cs="Times New Roman"/>
                <w:b/>
                <w:bCs/>
                <w:sz w:val="20"/>
                <w:szCs w:val="20"/>
                <w:lang w:eastAsia="sk-SK"/>
              </w:rPr>
            </w:pPr>
            <w:r w:rsidRPr="003163F9">
              <w:rPr>
                <w:rFonts w:eastAsia="Times New Roman" w:cs="Times New Roman"/>
                <w:b/>
                <w:bCs/>
                <w:sz w:val="20"/>
                <w:szCs w:val="20"/>
                <w:lang w:eastAsia="sk-SK"/>
              </w:rPr>
              <w:t>-742 811</w:t>
            </w:r>
          </w:p>
        </w:tc>
        <w:tc>
          <w:tcPr>
            <w:tcW w:w="1025" w:type="dxa"/>
            <w:tcBorders>
              <w:top w:val="nil"/>
              <w:left w:val="nil"/>
              <w:bottom w:val="nil"/>
              <w:right w:val="nil"/>
            </w:tcBorders>
            <w:shd w:val="clear" w:color="000000" w:fill="FFFFFF"/>
            <w:noWrap/>
            <w:vAlign w:val="center"/>
            <w:hideMark/>
          </w:tcPr>
          <w:p w14:paraId="4EC83245" w14:textId="77777777" w:rsidR="00614751" w:rsidRPr="00B874DC" w:rsidRDefault="00614751" w:rsidP="004A5585">
            <w:pPr>
              <w:spacing w:after="0" w:line="240" w:lineRule="auto"/>
              <w:jc w:val="right"/>
              <w:rPr>
                <w:rFonts w:eastAsia="Times New Roman" w:cs="Times New Roman"/>
                <w:b/>
                <w:bCs/>
                <w:sz w:val="20"/>
                <w:szCs w:val="20"/>
                <w:lang w:eastAsia="sk-SK"/>
              </w:rPr>
            </w:pPr>
            <w:r w:rsidRPr="00B874DC">
              <w:rPr>
                <w:rFonts w:eastAsia="Times New Roman" w:cs="Times New Roman"/>
                <w:b/>
                <w:bCs/>
                <w:sz w:val="20"/>
                <w:szCs w:val="20"/>
                <w:lang w:eastAsia="sk-SK"/>
              </w:rPr>
              <w:t>-629 457</w:t>
            </w:r>
          </w:p>
        </w:tc>
        <w:tc>
          <w:tcPr>
            <w:tcW w:w="915" w:type="dxa"/>
            <w:tcBorders>
              <w:top w:val="nil"/>
              <w:left w:val="nil"/>
              <w:bottom w:val="nil"/>
              <w:right w:val="nil"/>
            </w:tcBorders>
            <w:shd w:val="clear" w:color="000000" w:fill="FFFFFF"/>
            <w:noWrap/>
            <w:vAlign w:val="center"/>
            <w:hideMark/>
          </w:tcPr>
          <w:p w14:paraId="713D6ACA" w14:textId="77777777" w:rsidR="00614751" w:rsidRPr="003163F9" w:rsidRDefault="00614751" w:rsidP="004A5585">
            <w:pPr>
              <w:spacing w:after="0" w:line="240" w:lineRule="auto"/>
              <w:jc w:val="right"/>
              <w:rPr>
                <w:rFonts w:eastAsia="Times New Roman" w:cs="Times New Roman"/>
                <w:b/>
                <w:bCs/>
                <w:sz w:val="20"/>
                <w:szCs w:val="20"/>
                <w:lang w:eastAsia="sk-SK"/>
              </w:rPr>
            </w:pPr>
            <w:r w:rsidRPr="003163F9">
              <w:rPr>
                <w:rFonts w:eastAsia="Times New Roman" w:cs="Times New Roman"/>
                <w:b/>
                <w:bCs/>
                <w:sz w:val="20"/>
                <w:szCs w:val="20"/>
                <w:lang w:eastAsia="sk-SK"/>
              </w:rPr>
              <w:t>113 354</w:t>
            </w:r>
          </w:p>
        </w:tc>
      </w:tr>
      <w:tr w:rsidR="00614751" w:rsidRPr="003163F9" w14:paraId="40175DA6" w14:textId="77777777" w:rsidTr="00614751">
        <w:trPr>
          <w:trHeight w:val="327"/>
        </w:trPr>
        <w:tc>
          <w:tcPr>
            <w:tcW w:w="3846" w:type="dxa"/>
            <w:gridSpan w:val="3"/>
            <w:tcBorders>
              <w:top w:val="nil"/>
              <w:left w:val="nil"/>
              <w:bottom w:val="single" w:sz="4" w:space="0" w:color="auto"/>
              <w:right w:val="nil"/>
            </w:tcBorders>
            <w:shd w:val="clear" w:color="000000" w:fill="FFFFFF"/>
            <w:noWrap/>
            <w:vAlign w:val="center"/>
            <w:hideMark/>
          </w:tcPr>
          <w:p w14:paraId="3885E600" w14:textId="77777777" w:rsidR="00614751" w:rsidRPr="003163F9" w:rsidRDefault="00614751" w:rsidP="004A5585">
            <w:pPr>
              <w:spacing w:after="0" w:line="240" w:lineRule="auto"/>
              <w:jc w:val="left"/>
              <w:rPr>
                <w:rFonts w:eastAsia="Times New Roman" w:cs="Times New Roman"/>
                <w:b/>
                <w:bCs/>
                <w:sz w:val="20"/>
                <w:szCs w:val="20"/>
                <w:lang w:eastAsia="sk-SK"/>
              </w:rPr>
            </w:pPr>
            <w:r w:rsidRPr="003163F9">
              <w:rPr>
                <w:rFonts w:eastAsia="Times New Roman" w:cs="Times New Roman"/>
                <w:b/>
                <w:bCs/>
                <w:sz w:val="20"/>
                <w:szCs w:val="20"/>
                <w:lang w:eastAsia="sk-SK"/>
              </w:rPr>
              <w:t>% z HDP</w:t>
            </w:r>
          </w:p>
        </w:tc>
        <w:tc>
          <w:tcPr>
            <w:tcW w:w="1025" w:type="dxa"/>
            <w:tcBorders>
              <w:top w:val="nil"/>
              <w:left w:val="nil"/>
              <w:bottom w:val="single" w:sz="4" w:space="0" w:color="auto"/>
              <w:right w:val="nil"/>
            </w:tcBorders>
            <w:shd w:val="clear" w:color="000000" w:fill="FFFFFF"/>
            <w:noWrap/>
            <w:vAlign w:val="center"/>
            <w:hideMark/>
          </w:tcPr>
          <w:p w14:paraId="03D56CDD" w14:textId="77777777" w:rsidR="00614751" w:rsidRPr="003163F9" w:rsidRDefault="00614751" w:rsidP="004A5585">
            <w:pPr>
              <w:spacing w:after="0" w:line="240" w:lineRule="auto"/>
              <w:jc w:val="right"/>
              <w:rPr>
                <w:rFonts w:eastAsia="Times New Roman" w:cs="Times New Roman"/>
                <w:b/>
                <w:bCs/>
                <w:sz w:val="20"/>
                <w:szCs w:val="20"/>
                <w:lang w:eastAsia="sk-SK"/>
              </w:rPr>
            </w:pPr>
            <w:r w:rsidRPr="003163F9">
              <w:rPr>
                <w:rFonts w:eastAsia="Times New Roman" w:cs="Times New Roman"/>
                <w:b/>
                <w:bCs/>
                <w:sz w:val="20"/>
                <w:szCs w:val="20"/>
                <w:lang w:eastAsia="sk-SK"/>
              </w:rPr>
              <w:t>-2,2</w:t>
            </w:r>
          </w:p>
        </w:tc>
        <w:tc>
          <w:tcPr>
            <w:tcW w:w="1025" w:type="dxa"/>
            <w:tcBorders>
              <w:top w:val="nil"/>
              <w:left w:val="nil"/>
              <w:bottom w:val="single" w:sz="4" w:space="0" w:color="auto"/>
              <w:right w:val="nil"/>
            </w:tcBorders>
            <w:shd w:val="clear" w:color="000000" w:fill="FFFFFF"/>
            <w:noWrap/>
            <w:vAlign w:val="center"/>
            <w:hideMark/>
          </w:tcPr>
          <w:p w14:paraId="2DBE0C1D" w14:textId="77777777" w:rsidR="00614751" w:rsidRPr="003163F9" w:rsidRDefault="00614751" w:rsidP="004A5585">
            <w:pPr>
              <w:spacing w:after="0" w:line="240" w:lineRule="auto"/>
              <w:jc w:val="right"/>
              <w:rPr>
                <w:rFonts w:eastAsia="Times New Roman" w:cs="Times New Roman"/>
                <w:b/>
                <w:bCs/>
                <w:sz w:val="20"/>
                <w:szCs w:val="20"/>
                <w:lang w:eastAsia="sk-SK"/>
              </w:rPr>
            </w:pPr>
            <w:r>
              <w:rPr>
                <w:rFonts w:eastAsia="Times New Roman" w:cs="Times New Roman"/>
                <w:b/>
                <w:bCs/>
                <w:sz w:val="20"/>
                <w:szCs w:val="20"/>
                <w:lang w:eastAsia="sk-SK"/>
              </w:rPr>
              <w:t>-0,8</w:t>
            </w:r>
          </w:p>
        </w:tc>
        <w:tc>
          <w:tcPr>
            <w:tcW w:w="1022" w:type="dxa"/>
            <w:tcBorders>
              <w:top w:val="nil"/>
              <w:left w:val="nil"/>
              <w:bottom w:val="single" w:sz="4" w:space="0" w:color="auto"/>
              <w:right w:val="nil"/>
            </w:tcBorders>
            <w:shd w:val="clear" w:color="000000" w:fill="FFFFFF"/>
            <w:noWrap/>
            <w:vAlign w:val="center"/>
            <w:hideMark/>
          </w:tcPr>
          <w:p w14:paraId="6EE3865B" w14:textId="77777777" w:rsidR="00614751" w:rsidRPr="003163F9" w:rsidRDefault="00614751" w:rsidP="004A5585">
            <w:pPr>
              <w:spacing w:after="0" w:line="240" w:lineRule="auto"/>
              <w:jc w:val="right"/>
              <w:rPr>
                <w:rFonts w:eastAsia="Times New Roman" w:cs="Times New Roman"/>
                <w:b/>
                <w:bCs/>
                <w:sz w:val="20"/>
                <w:szCs w:val="20"/>
                <w:lang w:eastAsia="sk-SK"/>
              </w:rPr>
            </w:pPr>
            <w:r w:rsidRPr="003163F9">
              <w:rPr>
                <w:rFonts w:eastAsia="Times New Roman" w:cs="Times New Roman"/>
                <w:b/>
                <w:bCs/>
                <w:sz w:val="20"/>
                <w:szCs w:val="20"/>
                <w:lang w:eastAsia="sk-SK"/>
              </w:rPr>
              <w:t>-0,8</w:t>
            </w:r>
          </w:p>
        </w:tc>
        <w:tc>
          <w:tcPr>
            <w:tcW w:w="1025" w:type="dxa"/>
            <w:tcBorders>
              <w:top w:val="nil"/>
              <w:left w:val="nil"/>
              <w:bottom w:val="single" w:sz="4" w:space="0" w:color="auto"/>
              <w:right w:val="nil"/>
            </w:tcBorders>
            <w:shd w:val="clear" w:color="000000" w:fill="FFFFFF"/>
            <w:noWrap/>
            <w:vAlign w:val="center"/>
            <w:hideMark/>
          </w:tcPr>
          <w:p w14:paraId="29A63863" w14:textId="77777777" w:rsidR="00614751" w:rsidRPr="00B874DC" w:rsidRDefault="00614751" w:rsidP="004A5585">
            <w:pPr>
              <w:spacing w:after="0" w:line="240" w:lineRule="auto"/>
              <w:jc w:val="right"/>
              <w:rPr>
                <w:rFonts w:eastAsia="Times New Roman" w:cs="Times New Roman"/>
                <w:b/>
                <w:bCs/>
                <w:sz w:val="20"/>
                <w:szCs w:val="20"/>
                <w:lang w:eastAsia="sk-SK"/>
              </w:rPr>
            </w:pPr>
            <w:r w:rsidRPr="00B874DC">
              <w:rPr>
                <w:rFonts w:eastAsia="Times New Roman" w:cs="Times New Roman"/>
                <w:b/>
                <w:bCs/>
                <w:sz w:val="20"/>
                <w:szCs w:val="20"/>
                <w:lang w:eastAsia="sk-SK"/>
              </w:rPr>
              <w:t>-0,7</w:t>
            </w:r>
          </w:p>
        </w:tc>
        <w:tc>
          <w:tcPr>
            <w:tcW w:w="915" w:type="dxa"/>
            <w:tcBorders>
              <w:top w:val="nil"/>
              <w:left w:val="nil"/>
              <w:bottom w:val="single" w:sz="4" w:space="0" w:color="auto"/>
              <w:right w:val="nil"/>
            </w:tcBorders>
            <w:shd w:val="clear" w:color="000000" w:fill="FFFFFF"/>
            <w:noWrap/>
            <w:vAlign w:val="center"/>
            <w:hideMark/>
          </w:tcPr>
          <w:p w14:paraId="68CDF405" w14:textId="77777777" w:rsidR="00614751" w:rsidRPr="003163F9" w:rsidRDefault="00614751" w:rsidP="004A5585">
            <w:pPr>
              <w:spacing w:after="0" w:line="240" w:lineRule="auto"/>
              <w:jc w:val="right"/>
              <w:rPr>
                <w:rFonts w:eastAsia="Times New Roman" w:cs="Times New Roman"/>
                <w:b/>
                <w:bCs/>
                <w:sz w:val="20"/>
                <w:szCs w:val="20"/>
                <w:lang w:eastAsia="sk-SK"/>
              </w:rPr>
            </w:pPr>
            <w:r w:rsidRPr="003163F9">
              <w:rPr>
                <w:rFonts w:eastAsia="Times New Roman" w:cs="Times New Roman"/>
                <w:b/>
                <w:bCs/>
                <w:sz w:val="20"/>
                <w:szCs w:val="20"/>
                <w:lang w:eastAsia="sk-SK"/>
              </w:rPr>
              <w:t>0,1</w:t>
            </w:r>
          </w:p>
        </w:tc>
      </w:tr>
    </w:tbl>
    <w:p w14:paraId="46D2804C" w14:textId="4BE6685F" w:rsidR="006D31E7" w:rsidRDefault="00614751" w:rsidP="0004106B">
      <w:pPr>
        <w:rPr>
          <w:rFonts w:eastAsiaTheme="majorEastAsia" w:cstheme="majorBidi"/>
          <w:b/>
          <w:sz w:val="24"/>
          <w:szCs w:val="26"/>
        </w:rPr>
      </w:pPr>
      <w:r w:rsidRPr="00A265D6">
        <w:rPr>
          <w:rFonts w:eastAsia="Times New Roman" w:cs="Times New Roman"/>
          <w:color w:val="000000"/>
          <w:sz w:val="18"/>
          <w:szCs w:val="18"/>
          <w:lang w:eastAsia="sk-SK"/>
        </w:rPr>
        <w:t xml:space="preserve">Vrátane štátnych finančných aktív, </w:t>
      </w:r>
      <w:r w:rsidR="0087122F" w:rsidRPr="00A265D6">
        <w:rPr>
          <w:rFonts w:eastAsia="Times New Roman" w:cs="Times New Roman"/>
          <w:color w:val="000000"/>
          <w:sz w:val="18"/>
          <w:szCs w:val="18"/>
          <w:lang w:eastAsia="sk-SK"/>
        </w:rPr>
        <w:t>samostatných</w:t>
      </w:r>
      <w:r w:rsidRPr="00A265D6">
        <w:rPr>
          <w:rFonts w:eastAsia="Times New Roman" w:cs="Times New Roman"/>
          <w:color w:val="000000"/>
          <w:sz w:val="18"/>
          <w:szCs w:val="18"/>
          <w:lang w:eastAsia="sk-SK"/>
        </w:rPr>
        <w:t xml:space="preserve"> účtov a salda účtu štátneho dlhu</w:t>
      </w:r>
      <w:r w:rsidRPr="00A265D6">
        <w:rPr>
          <w:rFonts w:eastAsia="Times New Roman" w:cs="Times New Roman"/>
          <w:color w:val="000000"/>
          <w:sz w:val="18"/>
          <w:szCs w:val="18"/>
          <w:lang w:eastAsia="sk-SK"/>
        </w:rPr>
        <w:tab/>
        <w:t xml:space="preserve">        </w:t>
      </w:r>
      <w:r w:rsidR="00B27B57" w:rsidRPr="00A265D6">
        <w:rPr>
          <w:rFonts w:eastAsia="Times New Roman" w:cs="Times New Roman"/>
          <w:color w:val="000000"/>
          <w:sz w:val="18"/>
          <w:szCs w:val="18"/>
          <w:lang w:eastAsia="sk-SK"/>
        </w:rPr>
        <w:t xml:space="preserve"> </w:t>
      </w:r>
      <w:r w:rsidRPr="00A265D6">
        <w:rPr>
          <w:rFonts w:eastAsia="Times New Roman" w:cs="Times New Roman"/>
          <w:color w:val="000000"/>
          <w:sz w:val="18"/>
          <w:szCs w:val="18"/>
          <w:lang w:eastAsia="sk-SK"/>
        </w:rPr>
        <w:t xml:space="preserve">      </w:t>
      </w:r>
      <w:r w:rsidRPr="00A265D6">
        <w:rPr>
          <w:rFonts w:eastAsia="Times New Roman" w:cs="Times New Roman"/>
          <w:color w:val="000000"/>
          <w:sz w:val="18"/>
          <w:szCs w:val="18"/>
          <w:lang w:eastAsia="sk-SK"/>
        </w:rPr>
        <w:tab/>
        <w:t>Zdroj: MF SR</w:t>
      </w:r>
      <w:r w:rsidR="006D31E7">
        <w:br w:type="page"/>
      </w:r>
    </w:p>
    <w:p w14:paraId="0F26BE23" w14:textId="565BF860" w:rsidR="005F5B88" w:rsidRDefault="005F5B88" w:rsidP="0042635A">
      <w:pPr>
        <w:pStyle w:val="Nadpis2"/>
      </w:pPr>
      <w:bookmarkStart w:id="23" w:name="_Toc6415636"/>
      <w:bookmarkStart w:id="24" w:name="_Toc7502828"/>
      <w:r>
        <w:t>Dlh verejnej správy</w:t>
      </w:r>
      <w:bookmarkEnd w:id="23"/>
      <w:bookmarkEnd w:id="24"/>
    </w:p>
    <w:p w14:paraId="23BE5F9D" w14:textId="5A8C40F1" w:rsidR="004567F7" w:rsidRPr="00A265D6" w:rsidRDefault="004567F7" w:rsidP="004567F7">
      <w:r w:rsidRPr="00A265D6">
        <w:rPr>
          <w:b/>
        </w:rPr>
        <w:t>Maastrichtský dlh verejnej správy</w:t>
      </w:r>
      <w:r w:rsidRPr="00A265D6">
        <w:t xml:space="preserve"> dosiahol k 31.12.2018 hodnotu 44 </w:t>
      </w:r>
      <w:r w:rsidR="00F93905" w:rsidRPr="00A265D6">
        <w:t>144</w:t>
      </w:r>
      <w:r w:rsidRPr="00A265D6">
        <w:t> </w:t>
      </w:r>
      <w:r w:rsidR="00F93905" w:rsidRPr="00A265D6">
        <w:t>502</w:t>
      </w:r>
      <w:r w:rsidRPr="00A265D6">
        <w:t xml:space="preserve"> tis. eur, čo predstavuje </w:t>
      </w:r>
      <w:r w:rsidR="00F93905" w:rsidRPr="00A265D6">
        <w:rPr>
          <w:b/>
        </w:rPr>
        <w:t>48,9</w:t>
      </w:r>
      <w:r w:rsidRPr="00A265D6">
        <w:rPr>
          <w:b/>
        </w:rPr>
        <w:t> % HDP.</w:t>
      </w:r>
      <w:r w:rsidR="00D05093" w:rsidRPr="00A265D6">
        <w:t xml:space="preserve"> </w:t>
      </w:r>
      <w:r w:rsidR="00D05093" w:rsidRPr="00A265D6">
        <w:rPr>
          <w:b/>
        </w:rPr>
        <w:t>V pomere k HDP klesol piaty rok v rade a oproti roku 2017 je nižší o 2,0 p. b.</w:t>
      </w:r>
      <w:r w:rsidR="00D05093" w:rsidRPr="00A265D6">
        <w:t xml:space="preserve"> </w:t>
      </w:r>
      <w:r w:rsidRPr="00A265D6">
        <w:t>V porovnaní s východiskami rozpočtu na rok 2018 je dosiahnutý dlh nižší o 0,9</w:t>
      </w:r>
      <w:r w:rsidR="00865E34" w:rsidRPr="00A265D6">
        <w:t> </w:t>
      </w:r>
      <w:r w:rsidRPr="00A265D6">
        <w:t xml:space="preserve">p. b. </w:t>
      </w:r>
      <w:r w:rsidR="00D05093" w:rsidRPr="00A265D6">
        <w:t xml:space="preserve">V absolútnom vyjadrení </w:t>
      </w:r>
      <w:r w:rsidR="006E5382" w:rsidRPr="00A265D6">
        <w:t xml:space="preserve">medziročne </w:t>
      </w:r>
      <w:r w:rsidR="00D05093" w:rsidRPr="00A265D6">
        <w:t xml:space="preserve">vzrástol oproti </w:t>
      </w:r>
      <w:r w:rsidRPr="00A265D6">
        <w:t xml:space="preserve">revidovanému stavu maastrichtského dlhu </w:t>
      </w:r>
      <w:r w:rsidR="006E5382" w:rsidRPr="00A265D6">
        <w:t>za rok 2017</w:t>
      </w:r>
      <w:r w:rsidR="00865E34" w:rsidRPr="00A265D6">
        <w:rPr>
          <w:rStyle w:val="Odkaznapoznmkupodiarou"/>
        </w:rPr>
        <w:footnoteReference w:id="15"/>
      </w:r>
      <w:r w:rsidR="006E5382" w:rsidRPr="00A265D6">
        <w:t xml:space="preserve"> </w:t>
      </w:r>
      <w:r w:rsidRPr="00A265D6">
        <w:t>o </w:t>
      </w:r>
      <w:r w:rsidR="00F93905" w:rsidRPr="00A265D6">
        <w:t>913</w:t>
      </w:r>
      <w:r w:rsidRPr="00A265D6">
        <w:t> </w:t>
      </w:r>
      <w:r w:rsidR="00F93905" w:rsidRPr="00A265D6">
        <w:t>359</w:t>
      </w:r>
      <w:r w:rsidRPr="00A265D6">
        <w:t xml:space="preserve"> tis. eur</w:t>
      </w:r>
      <w:r w:rsidR="00865E34" w:rsidRPr="00A265D6">
        <w:t xml:space="preserve"> (1,0 p. b.) pričom z</w:t>
      </w:r>
      <w:r w:rsidRPr="00A265D6">
        <w:t>mena rastu HDP spôsobila zníženie dlhu verejnej správy medziročne o 3,0 p. b.</w:t>
      </w:r>
    </w:p>
    <w:p w14:paraId="5966D676" w14:textId="18524DE0" w:rsidR="004567F7" w:rsidRPr="00A265D6" w:rsidRDefault="004567F7" w:rsidP="004567F7">
      <w:r w:rsidRPr="00A265D6">
        <w:t>Maastrichtský dlh verejnej správy je koncipovaný ako konsolidovaný, to znamená, že vzťahy medzi jednotlivými subjektmi verejnej správy sú vylúčené. Skupiny subjektov verejnej správy uvedené v tabuľke nižšie sú vnútorne skonsolidované o vzájomné vzťahy v rámci danej skupiny (napríklad územná samospráva). Hodnota konsolidácie vo výške 1 42</w:t>
      </w:r>
      <w:r w:rsidR="00F93905" w:rsidRPr="00A265D6">
        <w:t>1</w:t>
      </w:r>
      <w:r w:rsidRPr="00A265D6">
        <w:t> </w:t>
      </w:r>
      <w:r w:rsidR="00F93905" w:rsidRPr="00A265D6">
        <w:t>569</w:t>
      </w:r>
      <w:r w:rsidRPr="00A265D6">
        <w:t xml:space="preserve"> tis. eur predstavuje len pôžičky medzi skupinami verejnej správy, napríklad pôžičky Štátneho fondu rozvoja bývania poskytnuté subjektom územnej samosprávy. </w:t>
      </w:r>
    </w:p>
    <w:p w14:paraId="593E5132" w14:textId="5F0FC686" w:rsidR="004567F7" w:rsidRPr="00A265D6" w:rsidRDefault="004567F7" w:rsidP="004567F7">
      <w:r w:rsidRPr="00A265D6">
        <w:t>Okrem týchto vzťahov sa pri výpočte maastrichtského dlhu v rámci zložky ,,štátny dlh“ abstrahuje od záväzkov Ministerstva financií SR voči Štátnej pokladnici z tzv. refinančného systému (9 004 192 tis. eur) a od záväzkov z vkladov subjektov verejnej správy v Štátnej pokladnici (4 092 389 tis. eur). Z pohľadu výšky vzájomných pôžičiek a výpožičiek vo verejnej správe tvorí najvýznamnejšiu položku konsolidácie Štátny fond rozvoja bývania (728 099 tis.</w:t>
      </w:r>
      <w:r w:rsidR="003B4DC9" w:rsidRPr="00A265D6">
        <w:t> </w:t>
      </w:r>
      <w:r w:rsidRPr="00A265D6">
        <w:t xml:space="preserve">eur), ktorý poskytuje návratné finančné prostriedky najmä subjektom územnej samosprávy v oblasti podpory bývania. </w:t>
      </w:r>
    </w:p>
    <w:p w14:paraId="46BDCD52" w14:textId="08F1DDD1" w:rsidR="006E7698" w:rsidRDefault="004567F7" w:rsidP="004567F7">
      <w:r w:rsidRPr="00A265D6">
        <w:t>Ďalšou významnou položkou konsolidácie je návratná finančná výpomoc poskytnutá zo štátneho rozpočtu Agentúre pre núdzové zásoby ropy a ropných výrobkov (410 000 tis. eur) a imputovaná pôžička Agentúry pre núdzové zásoby ropy a ropných výrobkov (227 832 tis. eur). Ostatnú časť konsolidácie tvoria najmä návratné finančné výpomoci poskytnuté zo štátneho rozpočtu mestám, obciam a ostatným subjektom verejnej správy (54 057 tis. eur).</w:t>
      </w:r>
      <w:r w:rsidR="004759D4" w:rsidRPr="00A265D6">
        <w:t xml:space="preserve"> V prehľade maastrichtského dlhu podľa zložiek verejnej správy sú uvedené hodnoty na nekonsolidovanej báze, pričom výsledná hodnota dlhu a opis medziročných vplyvov sú uvádzané po konsolidácii.</w:t>
      </w:r>
    </w:p>
    <w:p w14:paraId="41D76029" w14:textId="77777777" w:rsidR="006E7698" w:rsidRDefault="006E7698">
      <w:pPr>
        <w:spacing w:after="160" w:line="259" w:lineRule="auto"/>
        <w:jc w:val="left"/>
      </w:pPr>
      <w:r>
        <w:br w:type="page"/>
      </w:r>
    </w:p>
    <w:tbl>
      <w:tblPr>
        <w:tblW w:w="4984" w:type="pct"/>
        <w:tblLayout w:type="fixed"/>
        <w:tblCellMar>
          <w:left w:w="70" w:type="dxa"/>
          <w:right w:w="70" w:type="dxa"/>
        </w:tblCellMar>
        <w:tblLook w:val="04A0" w:firstRow="1" w:lastRow="0" w:firstColumn="1" w:lastColumn="0" w:noHBand="0" w:noVBand="1"/>
      </w:tblPr>
      <w:tblGrid>
        <w:gridCol w:w="4395"/>
        <w:gridCol w:w="1042"/>
        <w:gridCol w:w="1043"/>
        <w:gridCol w:w="1043"/>
        <w:gridCol w:w="953"/>
      </w:tblGrid>
      <w:tr w:rsidR="002C09C6" w:rsidRPr="00BF4B27" w14:paraId="47F0667D" w14:textId="77777777" w:rsidTr="002C09C6">
        <w:trPr>
          <w:trHeight w:val="300"/>
        </w:trPr>
        <w:tc>
          <w:tcPr>
            <w:tcW w:w="5000" w:type="pct"/>
            <w:gridSpan w:val="5"/>
            <w:tcBorders>
              <w:top w:val="single" w:sz="4" w:space="0" w:color="auto"/>
              <w:left w:val="nil"/>
              <w:bottom w:val="single" w:sz="4" w:space="0" w:color="auto"/>
              <w:right w:val="nil"/>
            </w:tcBorders>
            <w:shd w:val="clear" w:color="000000" w:fill="000000"/>
            <w:noWrap/>
            <w:vAlign w:val="center"/>
            <w:hideMark/>
          </w:tcPr>
          <w:p w14:paraId="43BD158C" w14:textId="70237632" w:rsidR="002C09C6" w:rsidRPr="002C09C6" w:rsidRDefault="002C09C6" w:rsidP="002C09C6">
            <w:pPr>
              <w:spacing w:after="0" w:line="240" w:lineRule="auto"/>
              <w:jc w:val="left"/>
              <w:rPr>
                <w:rFonts w:eastAsia="Times New Roman" w:cs="Times New Roman"/>
                <w:b/>
                <w:bCs/>
                <w:color w:val="FFFFFF"/>
                <w:sz w:val="20"/>
                <w:szCs w:val="20"/>
                <w:lang w:eastAsia="sk-SK"/>
              </w:rPr>
            </w:pPr>
            <w:r w:rsidRPr="002C09C6">
              <w:rPr>
                <w:rFonts w:eastAsia="Times New Roman" w:cs="Times New Roman"/>
                <w:b/>
                <w:bCs/>
                <w:color w:val="FFFFFF"/>
                <w:sz w:val="20"/>
                <w:szCs w:val="20"/>
                <w:lang w:eastAsia="sk-SK"/>
              </w:rPr>
              <w:t xml:space="preserve">Maastrichtský dlh verejnej správy podľa jednotlivých subjektov           </w:t>
            </w:r>
            <w:r w:rsidR="006E095B">
              <w:rPr>
                <w:rFonts w:eastAsia="Times New Roman" w:cs="Times New Roman"/>
                <w:b/>
                <w:bCs/>
                <w:color w:val="FFFFFF"/>
                <w:sz w:val="20"/>
                <w:szCs w:val="20"/>
                <w:lang w:eastAsia="sk-SK"/>
              </w:rPr>
              <w:t xml:space="preserve">                               v </w:t>
            </w:r>
            <w:r w:rsidRPr="002C09C6">
              <w:rPr>
                <w:rFonts w:eastAsia="Times New Roman" w:cs="Times New Roman"/>
                <w:b/>
                <w:bCs/>
                <w:color w:val="FFFFFF"/>
                <w:sz w:val="20"/>
                <w:szCs w:val="20"/>
                <w:lang w:eastAsia="sk-SK"/>
              </w:rPr>
              <w:t>tis. eur</w:t>
            </w:r>
          </w:p>
        </w:tc>
      </w:tr>
      <w:tr w:rsidR="004567F7" w:rsidRPr="00BF4B27" w14:paraId="491337C7" w14:textId="77777777" w:rsidTr="002C09C6">
        <w:trPr>
          <w:trHeight w:val="330"/>
        </w:trPr>
        <w:tc>
          <w:tcPr>
            <w:tcW w:w="2593" w:type="pct"/>
            <w:tcBorders>
              <w:top w:val="single" w:sz="4" w:space="0" w:color="auto"/>
              <w:left w:val="nil"/>
              <w:bottom w:val="nil"/>
              <w:right w:val="nil"/>
            </w:tcBorders>
            <w:shd w:val="clear" w:color="000000" w:fill="BFBFBF"/>
            <w:vAlign w:val="center"/>
            <w:hideMark/>
          </w:tcPr>
          <w:p w14:paraId="6C989FF3" w14:textId="77777777" w:rsidR="004567F7" w:rsidRPr="00BF4B27" w:rsidRDefault="004567F7" w:rsidP="00144775">
            <w:pPr>
              <w:spacing w:after="0" w:line="240" w:lineRule="auto"/>
              <w:rPr>
                <w:rFonts w:eastAsia="Times New Roman" w:cs="Times New Roman"/>
                <w:b/>
                <w:bCs/>
                <w:sz w:val="20"/>
                <w:szCs w:val="20"/>
                <w:lang w:eastAsia="sk-SK"/>
              </w:rPr>
            </w:pPr>
            <w:r w:rsidRPr="00BF4B27">
              <w:rPr>
                <w:rFonts w:eastAsia="Times New Roman" w:cs="Times New Roman"/>
                <w:b/>
                <w:bCs/>
                <w:sz w:val="20"/>
                <w:szCs w:val="20"/>
                <w:lang w:eastAsia="sk-SK"/>
              </w:rPr>
              <w:t> </w:t>
            </w:r>
          </w:p>
        </w:tc>
        <w:tc>
          <w:tcPr>
            <w:tcW w:w="615" w:type="pct"/>
            <w:tcBorders>
              <w:top w:val="single" w:sz="4" w:space="0" w:color="auto"/>
              <w:left w:val="nil"/>
              <w:bottom w:val="nil"/>
              <w:right w:val="nil"/>
            </w:tcBorders>
            <w:shd w:val="clear" w:color="000000" w:fill="BFBFBF"/>
            <w:vAlign w:val="center"/>
            <w:hideMark/>
          </w:tcPr>
          <w:p w14:paraId="363D259D" w14:textId="77777777" w:rsidR="004567F7" w:rsidRPr="00BF4B27" w:rsidRDefault="004567F7" w:rsidP="00144775">
            <w:pPr>
              <w:spacing w:after="0" w:line="240" w:lineRule="auto"/>
              <w:jc w:val="center"/>
              <w:rPr>
                <w:rFonts w:eastAsia="Times New Roman" w:cs="Times New Roman"/>
                <w:b/>
                <w:bCs/>
                <w:sz w:val="20"/>
                <w:szCs w:val="20"/>
                <w:lang w:eastAsia="sk-SK"/>
              </w:rPr>
            </w:pPr>
            <w:r w:rsidRPr="00BF4B27">
              <w:rPr>
                <w:rFonts w:eastAsia="Times New Roman" w:cs="Times New Roman"/>
                <w:b/>
                <w:bCs/>
                <w:sz w:val="20"/>
                <w:szCs w:val="20"/>
                <w:lang w:eastAsia="sk-SK"/>
              </w:rPr>
              <w:t>k 31.12.2016</w:t>
            </w:r>
          </w:p>
        </w:tc>
        <w:tc>
          <w:tcPr>
            <w:tcW w:w="615" w:type="pct"/>
            <w:tcBorders>
              <w:top w:val="single" w:sz="4" w:space="0" w:color="auto"/>
              <w:left w:val="nil"/>
              <w:bottom w:val="nil"/>
              <w:right w:val="nil"/>
            </w:tcBorders>
            <w:shd w:val="clear" w:color="000000" w:fill="BFBFBF"/>
            <w:vAlign w:val="center"/>
            <w:hideMark/>
          </w:tcPr>
          <w:p w14:paraId="62D8C715" w14:textId="77777777" w:rsidR="004567F7" w:rsidRPr="00BF4B27" w:rsidRDefault="004567F7" w:rsidP="00144775">
            <w:pPr>
              <w:spacing w:after="0" w:line="240" w:lineRule="auto"/>
              <w:jc w:val="center"/>
              <w:rPr>
                <w:rFonts w:eastAsia="Times New Roman" w:cs="Times New Roman"/>
                <w:b/>
                <w:bCs/>
                <w:sz w:val="20"/>
                <w:szCs w:val="20"/>
                <w:lang w:eastAsia="sk-SK"/>
              </w:rPr>
            </w:pPr>
            <w:r w:rsidRPr="00BF4B27">
              <w:rPr>
                <w:rFonts w:eastAsia="Times New Roman" w:cs="Times New Roman"/>
                <w:b/>
                <w:bCs/>
                <w:sz w:val="20"/>
                <w:szCs w:val="20"/>
                <w:lang w:eastAsia="sk-SK"/>
              </w:rPr>
              <w:t>k  31.12.2017</w:t>
            </w:r>
          </w:p>
        </w:tc>
        <w:tc>
          <w:tcPr>
            <w:tcW w:w="615" w:type="pct"/>
            <w:tcBorders>
              <w:top w:val="single" w:sz="4" w:space="0" w:color="auto"/>
              <w:left w:val="nil"/>
              <w:bottom w:val="nil"/>
              <w:right w:val="nil"/>
            </w:tcBorders>
            <w:shd w:val="clear" w:color="000000" w:fill="BFBFBF"/>
            <w:vAlign w:val="center"/>
            <w:hideMark/>
          </w:tcPr>
          <w:p w14:paraId="315A62AC" w14:textId="77777777" w:rsidR="004567F7" w:rsidRPr="00BF4B27" w:rsidRDefault="004567F7" w:rsidP="00144775">
            <w:pPr>
              <w:spacing w:after="0" w:line="240" w:lineRule="auto"/>
              <w:jc w:val="center"/>
              <w:rPr>
                <w:rFonts w:eastAsia="Times New Roman" w:cs="Times New Roman"/>
                <w:b/>
                <w:bCs/>
                <w:sz w:val="20"/>
                <w:szCs w:val="20"/>
                <w:lang w:eastAsia="sk-SK"/>
              </w:rPr>
            </w:pPr>
            <w:r w:rsidRPr="00BF4B27">
              <w:rPr>
                <w:rFonts w:eastAsia="Times New Roman" w:cs="Times New Roman"/>
                <w:b/>
                <w:bCs/>
                <w:sz w:val="20"/>
                <w:szCs w:val="20"/>
                <w:lang w:eastAsia="sk-SK"/>
              </w:rPr>
              <w:t>k  31.12.2018</w:t>
            </w:r>
          </w:p>
        </w:tc>
        <w:tc>
          <w:tcPr>
            <w:tcW w:w="562" w:type="pct"/>
            <w:tcBorders>
              <w:top w:val="single" w:sz="4" w:space="0" w:color="auto"/>
              <w:left w:val="nil"/>
              <w:bottom w:val="nil"/>
              <w:right w:val="nil"/>
            </w:tcBorders>
            <w:shd w:val="clear" w:color="000000" w:fill="BFBFBF"/>
            <w:vAlign w:val="center"/>
            <w:hideMark/>
          </w:tcPr>
          <w:p w14:paraId="7388257E" w14:textId="77777777" w:rsidR="004567F7" w:rsidRPr="00BF4B27" w:rsidRDefault="004567F7" w:rsidP="00144775">
            <w:pPr>
              <w:spacing w:after="0" w:line="240" w:lineRule="auto"/>
              <w:jc w:val="center"/>
              <w:rPr>
                <w:rFonts w:eastAsia="Times New Roman" w:cs="Times New Roman"/>
                <w:b/>
                <w:bCs/>
                <w:sz w:val="20"/>
                <w:szCs w:val="20"/>
                <w:lang w:eastAsia="sk-SK"/>
              </w:rPr>
            </w:pPr>
            <w:r w:rsidRPr="00BF4B27">
              <w:rPr>
                <w:rFonts w:eastAsia="Times New Roman" w:cs="Times New Roman"/>
                <w:b/>
                <w:bCs/>
                <w:sz w:val="20"/>
                <w:szCs w:val="20"/>
                <w:lang w:eastAsia="sk-SK"/>
              </w:rPr>
              <w:t>Zmena</w:t>
            </w:r>
          </w:p>
        </w:tc>
      </w:tr>
      <w:tr w:rsidR="004567F7" w:rsidRPr="00BF4B27" w14:paraId="37AC13DD" w14:textId="77777777" w:rsidTr="002C09C6">
        <w:trPr>
          <w:trHeight w:val="330"/>
        </w:trPr>
        <w:tc>
          <w:tcPr>
            <w:tcW w:w="2593" w:type="pct"/>
            <w:tcBorders>
              <w:top w:val="nil"/>
              <w:left w:val="nil"/>
              <w:bottom w:val="single" w:sz="4" w:space="0" w:color="auto"/>
              <w:right w:val="nil"/>
            </w:tcBorders>
            <w:shd w:val="clear" w:color="000000" w:fill="BFBFBF"/>
            <w:noWrap/>
            <w:vAlign w:val="bottom"/>
            <w:hideMark/>
          </w:tcPr>
          <w:p w14:paraId="014FA171" w14:textId="77777777" w:rsidR="004567F7" w:rsidRPr="00BF4B27" w:rsidRDefault="004567F7" w:rsidP="00144775">
            <w:pPr>
              <w:spacing w:after="0" w:line="240" w:lineRule="auto"/>
              <w:jc w:val="center"/>
              <w:rPr>
                <w:rFonts w:eastAsia="Times New Roman" w:cs="Times New Roman"/>
                <w:sz w:val="20"/>
                <w:szCs w:val="20"/>
                <w:lang w:eastAsia="sk-SK"/>
              </w:rPr>
            </w:pPr>
            <w:r w:rsidRPr="00BF4B27">
              <w:rPr>
                <w:rFonts w:eastAsia="Times New Roman" w:cs="Times New Roman"/>
                <w:sz w:val="20"/>
                <w:szCs w:val="20"/>
                <w:lang w:eastAsia="sk-SK"/>
              </w:rPr>
              <w:t> </w:t>
            </w:r>
          </w:p>
        </w:tc>
        <w:tc>
          <w:tcPr>
            <w:tcW w:w="615" w:type="pct"/>
            <w:tcBorders>
              <w:top w:val="nil"/>
              <w:left w:val="nil"/>
              <w:bottom w:val="single" w:sz="4" w:space="0" w:color="auto"/>
              <w:right w:val="nil"/>
            </w:tcBorders>
            <w:shd w:val="clear" w:color="000000" w:fill="BFBFBF"/>
            <w:noWrap/>
            <w:vAlign w:val="bottom"/>
            <w:hideMark/>
          </w:tcPr>
          <w:p w14:paraId="66F11EDA" w14:textId="77777777" w:rsidR="004567F7" w:rsidRPr="00BF4B27" w:rsidRDefault="004567F7" w:rsidP="00144775">
            <w:pPr>
              <w:spacing w:after="0" w:line="240" w:lineRule="auto"/>
              <w:jc w:val="center"/>
              <w:rPr>
                <w:rFonts w:eastAsia="Times New Roman" w:cs="Times New Roman"/>
                <w:sz w:val="20"/>
                <w:szCs w:val="20"/>
                <w:lang w:eastAsia="sk-SK"/>
              </w:rPr>
            </w:pPr>
            <w:r w:rsidRPr="00BF4B27">
              <w:rPr>
                <w:rFonts w:eastAsia="Times New Roman" w:cs="Times New Roman"/>
                <w:sz w:val="20"/>
                <w:szCs w:val="20"/>
                <w:lang w:eastAsia="sk-SK"/>
              </w:rPr>
              <w:t>1</w:t>
            </w:r>
          </w:p>
        </w:tc>
        <w:tc>
          <w:tcPr>
            <w:tcW w:w="615" w:type="pct"/>
            <w:tcBorders>
              <w:top w:val="nil"/>
              <w:left w:val="nil"/>
              <w:bottom w:val="single" w:sz="4" w:space="0" w:color="auto"/>
              <w:right w:val="nil"/>
            </w:tcBorders>
            <w:shd w:val="clear" w:color="000000" w:fill="BFBFBF"/>
            <w:noWrap/>
            <w:vAlign w:val="bottom"/>
            <w:hideMark/>
          </w:tcPr>
          <w:p w14:paraId="4B3970E1" w14:textId="77777777" w:rsidR="004567F7" w:rsidRPr="00BF4B27" w:rsidRDefault="004567F7" w:rsidP="00144775">
            <w:pPr>
              <w:spacing w:after="0" w:line="240" w:lineRule="auto"/>
              <w:jc w:val="center"/>
              <w:rPr>
                <w:rFonts w:eastAsia="Times New Roman" w:cs="Times New Roman"/>
                <w:sz w:val="20"/>
                <w:szCs w:val="20"/>
                <w:lang w:eastAsia="sk-SK"/>
              </w:rPr>
            </w:pPr>
            <w:r w:rsidRPr="00BF4B27">
              <w:rPr>
                <w:rFonts w:eastAsia="Times New Roman" w:cs="Times New Roman"/>
                <w:sz w:val="20"/>
                <w:szCs w:val="20"/>
                <w:lang w:eastAsia="sk-SK"/>
              </w:rPr>
              <w:t>2</w:t>
            </w:r>
          </w:p>
        </w:tc>
        <w:tc>
          <w:tcPr>
            <w:tcW w:w="615" w:type="pct"/>
            <w:tcBorders>
              <w:top w:val="nil"/>
              <w:left w:val="nil"/>
              <w:bottom w:val="single" w:sz="4" w:space="0" w:color="auto"/>
              <w:right w:val="nil"/>
            </w:tcBorders>
            <w:shd w:val="clear" w:color="000000" w:fill="BFBFBF"/>
            <w:noWrap/>
            <w:vAlign w:val="bottom"/>
            <w:hideMark/>
          </w:tcPr>
          <w:p w14:paraId="75AC4B51" w14:textId="77777777" w:rsidR="004567F7" w:rsidRPr="00BF4B27" w:rsidRDefault="004567F7" w:rsidP="00144775">
            <w:pPr>
              <w:spacing w:after="0" w:line="240" w:lineRule="auto"/>
              <w:jc w:val="center"/>
              <w:rPr>
                <w:rFonts w:eastAsia="Times New Roman" w:cs="Times New Roman"/>
                <w:sz w:val="20"/>
                <w:szCs w:val="20"/>
                <w:lang w:eastAsia="sk-SK"/>
              </w:rPr>
            </w:pPr>
            <w:r w:rsidRPr="00BF4B27">
              <w:rPr>
                <w:rFonts w:eastAsia="Times New Roman" w:cs="Times New Roman"/>
                <w:sz w:val="20"/>
                <w:szCs w:val="20"/>
                <w:lang w:eastAsia="sk-SK"/>
              </w:rPr>
              <w:t>3</w:t>
            </w:r>
          </w:p>
        </w:tc>
        <w:tc>
          <w:tcPr>
            <w:tcW w:w="562" w:type="pct"/>
            <w:tcBorders>
              <w:top w:val="nil"/>
              <w:left w:val="nil"/>
              <w:bottom w:val="single" w:sz="4" w:space="0" w:color="auto"/>
              <w:right w:val="nil"/>
            </w:tcBorders>
            <w:shd w:val="clear" w:color="000000" w:fill="BFBFBF"/>
            <w:noWrap/>
            <w:vAlign w:val="bottom"/>
            <w:hideMark/>
          </w:tcPr>
          <w:p w14:paraId="6DD24B9F" w14:textId="77777777" w:rsidR="004567F7" w:rsidRPr="00BF4B27" w:rsidRDefault="004567F7" w:rsidP="00144775">
            <w:pPr>
              <w:spacing w:after="0" w:line="240" w:lineRule="auto"/>
              <w:jc w:val="center"/>
              <w:rPr>
                <w:rFonts w:eastAsia="Times New Roman" w:cs="Times New Roman"/>
                <w:sz w:val="20"/>
                <w:szCs w:val="20"/>
                <w:lang w:eastAsia="sk-SK"/>
              </w:rPr>
            </w:pPr>
            <w:r w:rsidRPr="00BF4B27">
              <w:rPr>
                <w:rFonts w:eastAsia="Times New Roman" w:cs="Times New Roman"/>
                <w:sz w:val="20"/>
                <w:szCs w:val="20"/>
                <w:lang w:eastAsia="sk-SK"/>
              </w:rPr>
              <w:t>4=(3-2)</w:t>
            </w:r>
          </w:p>
        </w:tc>
      </w:tr>
      <w:tr w:rsidR="004567F7" w:rsidRPr="00BF4B27" w14:paraId="26BBD721" w14:textId="77777777" w:rsidTr="002C09C6">
        <w:trPr>
          <w:trHeight w:val="300"/>
        </w:trPr>
        <w:tc>
          <w:tcPr>
            <w:tcW w:w="2593" w:type="pct"/>
            <w:tcBorders>
              <w:top w:val="nil"/>
              <w:left w:val="nil"/>
              <w:bottom w:val="nil"/>
              <w:right w:val="nil"/>
            </w:tcBorders>
            <w:shd w:val="clear" w:color="auto" w:fill="auto"/>
            <w:noWrap/>
            <w:vAlign w:val="bottom"/>
            <w:hideMark/>
          </w:tcPr>
          <w:p w14:paraId="5F82DDEC" w14:textId="77777777" w:rsidR="004567F7" w:rsidRPr="00BF4B27" w:rsidRDefault="004567F7" w:rsidP="00144775">
            <w:pPr>
              <w:spacing w:after="0" w:line="240" w:lineRule="auto"/>
              <w:jc w:val="left"/>
              <w:rPr>
                <w:rFonts w:eastAsia="Times New Roman" w:cs="Times New Roman"/>
                <w:b/>
                <w:bCs/>
                <w:sz w:val="20"/>
                <w:szCs w:val="20"/>
                <w:lang w:eastAsia="sk-SK"/>
              </w:rPr>
            </w:pPr>
            <w:r w:rsidRPr="00BF4B27">
              <w:rPr>
                <w:rFonts w:eastAsia="Times New Roman" w:cs="Times New Roman"/>
                <w:b/>
                <w:bCs/>
                <w:sz w:val="20"/>
                <w:szCs w:val="20"/>
                <w:lang w:eastAsia="sk-SK"/>
              </w:rPr>
              <w:t>Ústredná správa</w:t>
            </w:r>
          </w:p>
        </w:tc>
        <w:tc>
          <w:tcPr>
            <w:tcW w:w="615" w:type="pct"/>
            <w:tcBorders>
              <w:top w:val="nil"/>
              <w:left w:val="nil"/>
              <w:bottom w:val="nil"/>
              <w:right w:val="nil"/>
            </w:tcBorders>
            <w:shd w:val="clear" w:color="auto" w:fill="auto"/>
            <w:noWrap/>
            <w:vAlign w:val="bottom"/>
            <w:hideMark/>
          </w:tcPr>
          <w:p w14:paraId="3A88A25E" w14:textId="77777777" w:rsidR="004567F7" w:rsidRPr="00BF4B27" w:rsidRDefault="004567F7" w:rsidP="00144775">
            <w:pPr>
              <w:spacing w:after="0" w:line="240" w:lineRule="auto"/>
              <w:jc w:val="left"/>
              <w:rPr>
                <w:rFonts w:eastAsia="Times New Roman" w:cs="Times New Roman"/>
                <w:b/>
                <w:bCs/>
                <w:sz w:val="20"/>
                <w:szCs w:val="20"/>
                <w:lang w:eastAsia="sk-SK"/>
              </w:rPr>
            </w:pPr>
          </w:p>
        </w:tc>
        <w:tc>
          <w:tcPr>
            <w:tcW w:w="615" w:type="pct"/>
            <w:tcBorders>
              <w:top w:val="nil"/>
              <w:left w:val="nil"/>
              <w:bottom w:val="nil"/>
              <w:right w:val="nil"/>
            </w:tcBorders>
            <w:shd w:val="clear" w:color="auto" w:fill="auto"/>
            <w:noWrap/>
            <w:vAlign w:val="bottom"/>
            <w:hideMark/>
          </w:tcPr>
          <w:p w14:paraId="26C9BEC0" w14:textId="77777777" w:rsidR="004567F7" w:rsidRPr="00BF4B27" w:rsidRDefault="004567F7" w:rsidP="00144775">
            <w:pPr>
              <w:spacing w:after="0" w:line="240" w:lineRule="auto"/>
              <w:jc w:val="left"/>
              <w:rPr>
                <w:rFonts w:eastAsia="Times New Roman" w:cs="Times New Roman"/>
                <w:sz w:val="20"/>
                <w:szCs w:val="20"/>
                <w:lang w:eastAsia="sk-SK"/>
              </w:rPr>
            </w:pPr>
          </w:p>
        </w:tc>
        <w:tc>
          <w:tcPr>
            <w:tcW w:w="615" w:type="pct"/>
            <w:tcBorders>
              <w:top w:val="nil"/>
              <w:left w:val="nil"/>
              <w:bottom w:val="nil"/>
              <w:right w:val="nil"/>
            </w:tcBorders>
            <w:shd w:val="clear" w:color="auto" w:fill="auto"/>
            <w:noWrap/>
            <w:vAlign w:val="bottom"/>
            <w:hideMark/>
          </w:tcPr>
          <w:p w14:paraId="24A793FC" w14:textId="77777777" w:rsidR="004567F7" w:rsidRPr="00BF4B27" w:rsidRDefault="004567F7" w:rsidP="00144775">
            <w:pPr>
              <w:spacing w:after="0" w:line="240" w:lineRule="auto"/>
              <w:jc w:val="left"/>
              <w:rPr>
                <w:rFonts w:eastAsia="Times New Roman" w:cs="Times New Roman"/>
                <w:sz w:val="20"/>
                <w:szCs w:val="20"/>
                <w:lang w:eastAsia="sk-SK"/>
              </w:rPr>
            </w:pPr>
          </w:p>
        </w:tc>
        <w:tc>
          <w:tcPr>
            <w:tcW w:w="562" w:type="pct"/>
            <w:tcBorders>
              <w:top w:val="nil"/>
              <w:left w:val="nil"/>
              <w:bottom w:val="nil"/>
              <w:right w:val="nil"/>
            </w:tcBorders>
            <w:shd w:val="clear" w:color="auto" w:fill="auto"/>
            <w:noWrap/>
            <w:vAlign w:val="bottom"/>
            <w:hideMark/>
          </w:tcPr>
          <w:p w14:paraId="4BE4E1EB" w14:textId="77777777" w:rsidR="004567F7" w:rsidRPr="00BF4B27" w:rsidRDefault="004567F7" w:rsidP="00144775">
            <w:pPr>
              <w:spacing w:after="0" w:line="240" w:lineRule="auto"/>
              <w:jc w:val="left"/>
              <w:rPr>
                <w:rFonts w:eastAsia="Times New Roman" w:cs="Times New Roman"/>
                <w:sz w:val="20"/>
                <w:szCs w:val="20"/>
                <w:lang w:eastAsia="sk-SK"/>
              </w:rPr>
            </w:pPr>
          </w:p>
        </w:tc>
      </w:tr>
      <w:tr w:rsidR="004567F7" w:rsidRPr="00BF4B27" w14:paraId="6C695DE6" w14:textId="77777777" w:rsidTr="002C09C6">
        <w:trPr>
          <w:trHeight w:val="300"/>
        </w:trPr>
        <w:tc>
          <w:tcPr>
            <w:tcW w:w="2593" w:type="pct"/>
            <w:tcBorders>
              <w:top w:val="nil"/>
              <w:left w:val="nil"/>
              <w:bottom w:val="nil"/>
              <w:right w:val="nil"/>
            </w:tcBorders>
            <w:shd w:val="clear" w:color="auto" w:fill="auto"/>
            <w:noWrap/>
            <w:vAlign w:val="bottom"/>
            <w:hideMark/>
          </w:tcPr>
          <w:p w14:paraId="0F38CFE7" w14:textId="77777777" w:rsidR="004567F7" w:rsidRPr="00BF4B27" w:rsidRDefault="004567F7" w:rsidP="00144775">
            <w:pPr>
              <w:spacing w:after="0" w:line="240" w:lineRule="auto"/>
              <w:ind w:firstLineChars="100" w:firstLine="200"/>
              <w:jc w:val="left"/>
              <w:rPr>
                <w:rFonts w:eastAsia="Times New Roman" w:cs="Times New Roman"/>
                <w:sz w:val="20"/>
                <w:szCs w:val="20"/>
                <w:lang w:eastAsia="sk-SK"/>
              </w:rPr>
            </w:pPr>
            <w:r w:rsidRPr="00BF4B27">
              <w:rPr>
                <w:rFonts w:eastAsia="Times New Roman" w:cs="Times New Roman"/>
                <w:sz w:val="20"/>
                <w:szCs w:val="20"/>
                <w:lang w:eastAsia="sk-SK"/>
              </w:rPr>
              <w:t xml:space="preserve">z toho: </w:t>
            </w:r>
          </w:p>
        </w:tc>
        <w:tc>
          <w:tcPr>
            <w:tcW w:w="615" w:type="pct"/>
            <w:tcBorders>
              <w:top w:val="nil"/>
              <w:left w:val="nil"/>
              <w:bottom w:val="nil"/>
              <w:right w:val="nil"/>
            </w:tcBorders>
            <w:shd w:val="clear" w:color="auto" w:fill="auto"/>
            <w:noWrap/>
            <w:vAlign w:val="bottom"/>
            <w:hideMark/>
          </w:tcPr>
          <w:p w14:paraId="118C8C44" w14:textId="77777777" w:rsidR="004567F7" w:rsidRPr="00BF4B27" w:rsidRDefault="004567F7" w:rsidP="00144775">
            <w:pPr>
              <w:spacing w:after="0" w:line="240" w:lineRule="auto"/>
              <w:ind w:firstLineChars="100" w:firstLine="200"/>
              <w:jc w:val="left"/>
              <w:rPr>
                <w:rFonts w:eastAsia="Times New Roman" w:cs="Times New Roman"/>
                <w:sz w:val="20"/>
                <w:szCs w:val="20"/>
                <w:lang w:eastAsia="sk-SK"/>
              </w:rPr>
            </w:pPr>
          </w:p>
        </w:tc>
        <w:tc>
          <w:tcPr>
            <w:tcW w:w="615" w:type="pct"/>
            <w:tcBorders>
              <w:top w:val="nil"/>
              <w:left w:val="nil"/>
              <w:bottom w:val="nil"/>
              <w:right w:val="nil"/>
            </w:tcBorders>
            <w:shd w:val="clear" w:color="auto" w:fill="auto"/>
            <w:noWrap/>
            <w:vAlign w:val="bottom"/>
            <w:hideMark/>
          </w:tcPr>
          <w:p w14:paraId="57EDBAC8" w14:textId="77777777" w:rsidR="004567F7" w:rsidRPr="00BF4B27" w:rsidRDefault="004567F7" w:rsidP="00144775">
            <w:pPr>
              <w:spacing w:after="0" w:line="240" w:lineRule="auto"/>
              <w:jc w:val="left"/>
              <w:rPr>
                <w:rFonts w:eastAsia="Times New Roman" w:cs="Times New Roman"/>
                <w:sz w:val="20"/>
                <w:szCs w:val="20"/>
                <w:lang w:eastAsia="sk-SK"/>
              </w:rPr>
            </w:pPr>
          </w:p>
        </w:tc>
        <w:tc>
          <w:tcPr>
            <w:tcW w:w="615" w:type="pct"/>
            <w:tcBorders>
              <w:top w:val="nil"/>
              <w:left w:val="nil"/>
              <w:bottom w:val="nil"/>
              <w:right w:val="nil"/>
            </w:tcBorders>
            <w:shd w:val="clear" w:color="auto" w:fill="auto"/>
            <w:noWrap/>
            <w:vAlign w:val="bottom"/>
            <w:hideMark/>
          </w:tcPr>
          <w:p w14:paraId="56237FB1" w14:textId="77777777" w:rsidR="004567F7" w:rsidRPr="00BF4B27" w:rsidRDefault="004567F7" w:rsidP="00144775">
            <w:pPr>
              <w:spacing w:after="0" w:line="240" w:lineRule="auto"/>
              <w:jc w:val="left"/>
              <w:rPr>
                <w:rFonts w:eastAsia="Times New Roman" w:cs="Times New Roman"/>
                <w:sz w:val="20"/>
                <w:szCs w:val="20"/>
                <w:lang w:eastAsia="sk-SK"/>
              </w:rPr>
            </w:pPr>
          </w:p>
        </w:tc>
        <w:tc>
          <w:tcPr>
            <w:tcW w:w="562" w:type="pct"/>
            <w:tcBorders>
              <w:top w:val="nil"/>
              <w:left w:val="nil"/>
              <w:bottom w:val="nil"/>
              <w:right w:val="nil"/>
            </w:tcBorders>
            <w:shd w:val="clear" w:color="auto" w:fill="auto"/>
            <w:noWrap/>
            <w:vAlign w:val="bottom"/>
            <w:hideMark/>
          </w:tcPr>
          <w:p w14:paraId="2AE69EDD" w14:textId="77777777" w:rsidR="004567F7" w:rsidRPr="00BF4B27" w:rsidRDefault="004567F7" w:rsidP="00144775">
            <w:pPr>
              <w:spacing w:after="0" w:line="240" w:lineRule="auto"/>
              <w:jc w:val="left"/>
              <w:rPr>
                <w:rFonts w:eastAsia="Times New Roman" w:cs="Times New Roman"/>
                <w:sz w:val="20"/>
                <w:szCs w:val="20"/>
                <w:lang w:eastAsia="sk-SK"/>
              </w:rPr>
            </w:pPr>
          </w:p>
        </w:tc>
      </w:tr>
      <w:tr w:rsidR="004567F7" w:rsidRPr="00BF4B27" w14:paraId="5A99D046" w14:textId="77777777" w:rsidTr="002C09C6">
        <w:trPr>
          <w:trHeight w:val="330"/>
        </w:trPr>
        <w:tc>
          <w:tcPr>
            <w:tcW w:w="2593" w:type="pct"/>
            <w:tcBorders>
              <w:top w:val="nil"/>
              <w:left w:val="nil"/>
              <w:bottom w:val="nil"/>
              <w:right w:val="nil"/>
            </w:tcBorders>
            <w:shd w:val="clear" w:color="auto" w:fill="auto"/>
            <w:noWrap/>
            <w:vAlign w:val="bottom"/>
            <w:hideMark/>
          </w:tcPr>
          <w:p w14:paraId="214423B0" w14:textId="3F37EF72" w:rsidR="004567F7" w:rsidRPr="00BF4B27" w:rsidRDefault="004567F7" w:rsidP="007E5EA0">
            <w:pPr>
              <w:spacing w:after="0" w:line="240" w:lineRule="auto"/>
              <w:ind w:firstLineChars="200" w:firstLine="400"/>
              <w:jc w:val="left"/>
              <w:rPr>
                <w:rFonts w:eastAsia="Times New Roman" w:cs="Times New Roman"/>
                <w:sz w:val="20"/>
                <w:szCs w:val="20"/>
                <w:lang w:eastAsia="sk-SK"/>
              </w:rPr>
            </w:pPr>
            <w:r w:rsidRPr="00BF4B27">
              <w:rPr>
                <w:rFonts w:eastAsia="Times New Roman" w:cs="Times New Roman"/>
                <w:sz w:val="20"/>
                <w:szCs w:val="20"/>
                <w:lang w:eastAsia="sk-SK"/>
              </w:rPr>
              <w:t xml:space="preserve">Štátny dlh </w:t>
            </w:r>
            <w:r w:rsidRPr="00BF4B27">
              <w:rPr>
                <w:rFonts w:eastAsia="Times New Roman" w:cs="Times New Roman"/>
                <w:sz w:val="20"/>
                <w:szCs w:val="20"/>
                <w:vertAlign w:val="superscript"/>
                <w:lang w:eastAsia="sk-SK"/>
              </w:rPr>
              <w:t>1)</w:t>
            </w:r>
          </w:p>
        </w:tc>
        <w:tc>
          <w:tcPr>
            <w:tcW w:w="615" w:type="pct"/>
            <w:tcBorders>
              <w:top w:val="nil"/>
              <w:left w:val="nil"/>
              <w:bottom w:val="nil"/>
              <w:right w:val="nil"/>
            </w:tcBorders>
            <w:shd w:val="clear" w:color="auto" w:fill="auto"/>
            <w:noWrap/>
            <w:vAlign w:val="bottom"/>
            <w:hideMark/>
          </w:tcPr>
          <w:p w14:paraId="4E19D667"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40 643 814</w:t>
            </w:r>
          </w:p>
        </w:tc>
        <w:tc>
          <w:tcPr>
            <w:tcW w:w="615" w:type="pct"/>
            <w:tcBorders>
              <w:top w:val="nil"/>
              <w:left w:val="nil"/>
              <w:bottom w:val="nil"/>
              <w:right w:val="nil"/>
            </w:tcBorders>
            <w:shd w:val="clear" w:color="auto" w:fill="auto"/>
            <w:noWrap/>
            <w:vAlign w:val="bottom"/>
            <w:hideMark/>
          </w:tcPr>
          <w:p w14:paraId="5043017D"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41 765 506</w:t>
            </w:r>
          </w:p>
        </w:tc>
        <w:tc>
          <w:tcPr>
            <w:tcW w:w="615" w:type="pct"/>
            <w:tcBorders>
              <w:top w:val="nil"/>
              <w:left w:val="nil"/>
              <w:bottom w:val="nil"/>
              <w:right w:val="nil"/>
            </w:tcBorders>
            <w:shd w:val="clear" w:color="auto" w:fill="auto"/>
            <w:noWrap/>
            <w:vAlign w:val="bottom"/>
            <w:hideMark/>
          </w:tcPr>
          <w:p w14:paraId="359CEA9C"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42 555 764</w:t>
            </w:r>
          </w:p>
        </w:tc>
        <w:tc>
          <w:tcPr>
            <w:tcW w:w="562" w:type="pct"/>
            <w:tcBorders>
              <w:top w:val="nil"/>
              <w:left w:val="nil"/>
              <w:bottom w:val="nil"/>
              <w:right w:val="nil"/>
            </w:tcBorders>
            <w:shd w:val="clear" w:color="auto" w:fill="auto"/>
            <w:noWrap/>
            <w:vAlign w:val="bottom"/>
            <w:hideMark/>
          </w:tcPr>
          <w:p w14:paraId="5FE1201D"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790 258</w:t>
            </w:r>
          </w:p>
        </w:tc>
      </w:tr>
      <w:tr w:rsidR="004567F7" w:rsidRPr="00BF4B27" w14:paraId="55618F4B" w14:textId="77777777" w:rsidTr="002C09C6">
        <w:trPr>
          <w:trHeight w:val="300"/>
        </w:trPr>
        <w:tc>
          <w:tcPr>
            <w:tcW w:w="2593" w:type="pct"/>
            <w:tcBorders>
              <w:top w:val="nil"/>
              <w:left w:val="nil"/>
              <w:bottom w:val="nil"/>
              <w:right w:val="nil"/>
            </w:tcBorders>
            <w:shd w:val="clear" w:color="auto" w:fill="auto"/>
            <w:noWrap/>
            <w:vAlign w:val="bottom"/>
            <w:hideMark/>
          </w:tcPr>
          <w:p w14:paraId="59D8022B" w14:textId="77777777" w:rsidR="004567F7" w:rsidRPr="00BF4B27" w:rsidRDefault="004567F7" w:rsidP="00144775">
            <w:pPr>
              <w:spacing w:after="0" w:line="240" w:lineRule="auto"/>
              <w:ind w:firstLineChars="200" w:firstLine="400"/>
              <w:jc w:val="left"/>
              <w:rPr>
                <w:rFonts w:eastAsia="Times New Roman" w:cs="Times New Roman"/>
                <w:sz w:val="20"/>
                <w:szCs w:val="20"/>
                <w:lang w:eastAsia="sk-SK"/>
              </w:rPr>
            </w:pPr>
            <w:r w:rsidRPr="00BF4B27">
              <w:rPr>
                <w:rFonts w:eastAsia="Times New Roman" w:cs="Times New Roman"/>
                <w:sz w:val="20"/>
                <w:szCs w:val="20"/>
                <w:lang w:eastAsia="sk-SK"/>
              </w:rPr>
              <w:t>Príspevkové organizácie ústrednej správy</w:t>
            </w:r>
          </w:p>
        </w:tc>
        <w:tc>
          <w:tcPr>
            <w:tcW w:w="615" w:type="pct"/>
            <w:tcBorders>
              <w:top w:val="nil"/>
              <w:left w:val="nil"/>
              <w:bottom w:val="nil"/>
              <w:right w:val="nil"/>
            </w:tcBorders>
            <w:shd w:val="clear" w:color="auto" w:fill="auto"/>
            <w:noWrap/>
            <w:vAlign w:val="bottom"/>
            <w:hideMark/>
          </w:tcPr>
          <w:p w14:paraId="4ED8054F"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2 704</w:t>
            </w:r>
          </w:p>
        </w:tc>
        <w:tc>
          <w:tcPr>
            <w:tcW w:w="615" w:type="pct"/>
            <w:tcBorders>
              <w:top w:val="nil"/>
              <w:left w:val="nil"/>
              <w:bottom w:val="nil"/>
              <w:right w:val="nil"/>
            </w:tcBorders>
            <w:shd w:val="clear" w:color="auto" w:fill="auto"/>
            <w:noWrap/>
            <w:vAlign w:val="bottom"/>
            <w:hideMark/>
          </w:tcPr>
          <w:p w14:paraId="505091CC"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2 005</w:t>
            </w:r>
          </w:p>
        </w:tc>
        <w:tc>
          <w:tcPr>
            <w:tcW w:w="615" w:type="pct"/>
            <w:tcBorders>
              <w:top w:val="nil"/>
              <w:left w:val="nil"/>
              <w:bottom w:val="nil"/>
              <w:right w:val="nil"/>
            </w:tcBorders>
            <w:shd w:val="clear" w:color="auto" w:fill="auto"/>
            <w:noWrap/>
            <w:vAlign w:val="bottom"/>
            <w:hideMark/>
          </w:tcPr>
          <w:p w14:paraId="3DF620BE"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2 259</w:t>
            </w:r>
          </w:p>
        </w:tc>
        <w:tc>
          <w:tcPr>
            <w:tcW w:w="562" w:type="pct"/>
            <w:tcBorders>
              <w:top w:val="nil"/>
              <w:left w:val="nil"/>
              <w:bottom w:val="nil"/>
              <w:right w:val="nil"/>
            </w:tcBorders>
            <w:shd w:val="clear" w:color="auto" w:fill="auto"/>
            <w:noWrap/>
            <w:vAlign w:val="bottom"/>
            <w:hideMark/>
          </w:tcPr>
          <w:p w14:paraId="2652E680"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254</w:t>
            </w:r>
          </w:p>
        </w:tc>
      </w:tr>
      <w:tr w:rsidR="004567F7" w:rsidRPr="00BF4B27" w14:paraId="0A15D83A" w14:textId="77777777" w:rsidTr="002C09C6">
        <w:trPr>
          <w:trHeight w:val="300"/>
        </w:trPr>
        <w:tc>
          <w:tcPr>
            <w:tcW w:w="2593" w:type="pct"/>
            <w:tcBorders>
              <w:top w:val="nil"/>
              <w:left w:val="nil"/>
              <w:bottom w:val="nil"/>
              <w:right w:val="nil"/>
            </w:tcBorders>
            <w:shd w:val="clear" w:color="auto" w:fill="auto"/>
            <w:noWrap/>
            <w:vAlign w:val="bottom"/>
            <w:hideMark/>
          </w:tcPr>
          <w:p w14:paraId="1AC32570" w14:textId="77777777" w:rsidR="004567F7" w:rsidRPr="00BF4B27" w:rsidRDefault="004567F7" w:rsidP="00144775">
            <w:pPr>
              <w:spacing w:after="0" w:line="240" w:lineRule="auto"/>
              <w:ind w:firstLineChars="200" w:firstLine="400"/>
              <w:jc w:val="left"/>
              <w:rPr>
                <w:rFonts w:eastAsia="Times New Roman" w:cs="Times New Roman"/>
                <w:sz w:val="20"/>
                <w:szCs w:val="20"/>
                <w:lang w:eastAsia="sk-SK"/>
              </w:rPr>
            </w:pPr>
            <w:r w:rsidRPr="00BF4B27">
              <w:rPr>
                <w:rFonts w:eastAsia="Times New Roman" w:cs="Times New Roman"/>
                <w:sz w:val="20"/>
                <w:szCs w:val="20"/>
                <w:lang w:eastAsia="sk-SK"/>
              </w:rPr>
              <w:t>Exportno-importná banka Slovenskej republiky</w:t>
            </w:r>
          </w:p>
        </w:tc>
        <w:tc>
          <w:tcPr>
            <w:tcW w:w="615" w:type="pct"/>
            <w:tcBorders>
              <w:top w:val="nil"/>
              <w:left w:val="nil"/>
              <w:bottom w:val="nil"/>
              <w:right w:val="nil"/>
            </w:tcBorders>
            <w:shd w:val="clear" w:color="auto" w:fill="auto"/>
            <w:noWrap/>
            <w:vAlign w:val="bottom"/>
            <w:hideMark/>
          </w:tcPr>
          <w:p w14:paraId="4B7FF076"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25 644</w:t>
            </w:r>
          </w:p>
        </w:tc>
        <w:tc>
          <w:tcPr>
            <w:tcW w:w="615" w:type="pct"/>
            <w:tcBorders>
              <w:top w:val="nil"/>
              <w:left w:val="nil"/>
              <w:bottom w:val="nil"/>
              <w:right w:val="nil"/>
            </w:tcBorders>
            <w:shd w:val="clear" w:color="auto" w:fill="auto"/>
            <w:noWrap/>
            <w:vAlign w:val="bottom"/>
            <w:hideMark/>
          </w:tcPr>
          <w:p w14:paraId="0638B03E"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9 542</w:t>
            </w:r>
          </w:p>
        </w:tc>
        <w:tc>
          <w:tcPr>
            <w:tcW w:w="615" w:type="pct"/>
            <w:tcBorders>
              <w:top w:val="nil"/>
              <w:left w:val="nil"/>
              <w:bottom w:val="nil"/>
              <w:right w:val="nil"/>
            </w:tcBorders>
            <w:shd w:val="clear" w:color="auto" w:fill="auto"/>
            <w:noWrap/>
            <w:vAlign w:val="bottom"/>
            <w:hideMark/>
          </w:tcPr>
          <w:p w14:paraId="47CDF80A"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10 121</w:t>
            </w:r>
          </w:p>
        </w:tc>
        <w:tc>
          <w:tcPr>
            <w:tcW w:w="562" w:type="pct"/>
            <w:tcBorders>
              <w:top w:val="nil"/>
              <w:left w:val="nil"/>
              <w:bottom w:val="nil"/>
              <w:right w:val="nil"/>
            </w:tcBorders>
            <w:shd w:val="clear" w:color="auto" w:fill="auto"/>
            <w:noWrap/>
            <w:vAlign w:val="bottom"/>
            <w:hideMark/>
          </w:tcPr>
          <w:p w14:paraId="43B17658"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579</w:t>
            </w:r>
          </w:p>
        </w:tc>
      </w:tr>
      <w:tr w:rsidR="004567F7" w:rsidRPr="00BF4B27" w14:paraId="146EB7C5" w14:textId="77777777" w:rsidTr="002C09C6">
        <w:trPr>
          <w:trHeight w:val="300"/>
        </w:trPr>
        <w:tc>
          <w:tcPr>
            <w:tcW w:w="2593" w:type="pct"/>
            <w:tcBorders>
              <w:top w:val="nil"/>
              <w:left w:val="nil"/>
              <w:bottom w:val="nil"/>
              <w:right w:val="nil"/>
            </w:tcBorders>
            <w:shd w:val="clear" w:color="auto" w:fill="auto"/>
            <w:noWrap/>
            <w:vAlign w:val="bottom"/>
            <w:hideMark/>
          </w:tcPr>
          <w:p w14:paraId="0314DCC6" w14:textId="77777777" w:rsidR="004567F7" w:rsidRPr="00BF4B27" w:rsidRDefault="004567F7" w:rsidP="00144775">
            <w:pPr>
              <w:spacing w:after="0" w:line="240" w:lineRule="auto"/>
              <w:ind w:firstLineChars="200" w:firstLine="400"/>
              <w:jc w:val="left"/>
              <w:rPr>
                <w:rFonts w:eastAsia="Times New Roman" w:cs="Times New Roman"/>
                <w:sz w:val="20"/>
                <w:szCs w:val="20"/>
                <w:lang w:eastAsia="sk-SK"/>
              </w:rPr>
            </w:pPr>
            <w:r w:rsidRPr="00BF4B27">
              <w:rPr>
                <w:rFonts w:eastAsia="Times New Roman" w:cs="Times New Roman"/>
                <w:sz w:val="20"/>
                <w:szCs w:val="20"/>
                <w:lang w:eastAsia="sk-SK"/>
              </w:rPr>
              <w:t>Obchodné spoločnosti štátu</w:t>
            </w:r>
          </w:p>
        </w:tc>
        <w:tc>
          <w:tcPr>
            <w:tcW w:w="615" w:type="pct"/>
            <w:tcBorders>
              <w:top w:val="nil"/>
              <w:left w:val="nil"/>
              <w:bottom w:val="nil"/>
              <w:right w:val="nil"/>
            </w:tcBorders>
            <w:shd w:val="clear" w:color="auto" w:fill="auto"/>
            <w:noWrap/>
            <w:vAlign w:val="bottom"/>
            <w:hideMark/>
          </w:tcPr>
          <w:p w14:paraId="52665824"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648 656</w:t>
            </w:r>
          </w:p>
        </w:tc>
        <w:tc>
          <w:tcPr>
            <w:tcW w:w="615" w:type="pct"/>
            <w:tcBorders>
              <w:top w:val="nil"/>
              <w:left w:val="nil"/>
              <w:bottom w:val="nil"/>
              <w:right w:val="nil"/>
            </w:tcBorders>
            <w:shd w:val="clear" w:color="auto" w:fill="auto"/>
            <w:noWrap/>
            <w:vAlign w:val="bottom"/>
            <w:hideMark/>
          </w:tcPr>
          <w:p w14:paraId="3B505078"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623 256</w:t>
            </w:r>
          </w:p>
        </w:tc>
        <w:tc>
          <w:tcPr>
            <w:tcW w:w="615" w:type="pct"/>
            <w:tcBorders>
              <w:top w:val="nil"/>
              <w:left w:val="nil"/>
              <w:bottom w:val="nil"/>
              <w:right w:val="nil"/>
            </w:tcBorders>
            <w:shd w:val="clear" w:color="auto" w:fill="auto"/>
            <w:noWrap/>
            <w:vAlign w:val="bottom"/>
            <w:hideMark/>
          </w:tcPr>
          <w:p w14:paraId="132BF1F3"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620 045</w:t>
            </w:r>
          </w:p>
        </w:tc>
        <w:tc>
          <w:tcPr>
            <w:tcW w:w="562" w:type="pct"/>
            <w:tcBorders>
              <w:top w:val="nil"/>
              <w:left w:val="nil"/>
              <w:bottom w:val="nil"/>
              <w:right w:val="nil"/>
            </w:tcBorders>
            <w:shd w:val="clear" w:color="auto" w:fill="auto"/>
            <w:noWrap/>
            <w:vAlign w:val="bottom"/>
            <w:hideMark/>
          </w:tcPr>
          <w:p w14:paraId="17EDAF67"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-3 211</w:t>
            </w:r>
          </w:p>
        </w:tc>
      </w:tr>
      <w:tr w:rsidR="004567F7" w:rsidRPr="00BF4B27" w14:paraId="26053FE1" w14:textId="77777777" w:rsidTr="002C09C6">
        <w:trPr>
          <w:trHeight w:val="300"/>
        </w:trPr>
        <w:tc>
          <w:tcPr>
            <w:tcW w:w="2593" w:type="pct"/>
            <w:tcBorders>
              <w:top w:val="nil"/>
              <w:left w:val="nil"/>
              <w:bottom w:val="nil"/>
              <w:right w:val="nil"/>
            </w:tcBorders>
            <w:shd w:val="clear" w:color="auto" w:fill="auto"/>
            <w:noWrap/>
            <w:vAlign w:val="bottom"/>
            <w:hideMark/>
          </w:tcPr>
          <w:p w14:paraId="768CC0A1" w14:textId="77777777" w:rsidR="004567F7" w:rsidRPr="00BF4B27" w:rsidRDefault="004567F7" w:rsidP="00144775">
            <w:pPr>
              <w:spacing w:after="0" w:line="240" w:lineRule="auto"/>
              <w:ind w:firstLineChars="300" w:firstLine="600"/>
              <w:jc w:val="left"/>
              <w:rPr>
                <w:rFonts w:eastAsia="Times New Roman" w:cs="Times New Roman"/>
                <w:sz w:val="20"/>
                <w:szCs w:val="20"/>
                <w:lang w:eastAsia="sk-SK"/>
              </w:rPr>
            </w:pPr>
            <w:r w:rsidRPr="00BF4B27">
              <w:rPr>
                <w:rFonts w:eastAsia="Times New Roman" w:cs="Times New Roman"/>
                <w:sz w:val="20"/>
                <w:szCs w:val="20"/>
                <w:lang w:eastAsia="sk-SK"/>
              </w:rPr>
              <w:t>z toho:</w:t>
            </w:r>
          </w:p>
        </w:tc>
        <w:tc>
          <w:tcPr>
            <w:tcW w:w="615" w:type="pct"/>
            <w:tcBorders>
              <w:top w:val="nil"/>
              <w:left w:val="nil"/>
              <w:bottom w:val="nil"/>
              <w:right w:val="nil"/>
            </w:tcBorders>
            <w:shd w:val="clear" w:color="auto" w:fill="auto"/>
            <w:noWrap/>
            <w:vAlign w:val="bottom"/>
            <w:hideMark/>
          </w:tcPr>
          <w:p w14:paraId="10C6C5F2" w14:textId="77777777" w:rsidR="004567F7" w:rsidRPr="00BF4B27" w:rsidRDefault="004567F7" w:rsidP="00144775">
            <w:pPr>
              <w:spacing w:after="0" w:line="240" w:lineRule="auto"/>
              <w:ind w:firstLineChars="300" w:firstLine="600"/>
              <w:jc w:val="left"/>
              <w:rPr>
                <w:rFonts w:eastAsia="Times New Roman" w:cs="Times New Roman"/>
                <w:sz w:val="20"/>
                <w:szCs w:val="20"/>
                <w:lang w:eastAsia="sk-SK"/>
              </w:rPr>
            </w:pPr>
          </w:p>
        </w:tc>
        <w:tc>
          <w:tcPr>
            <w:tcW w:w="615" w:type="pct"/>
            <w:tcBorders>
              <w:top w:val="nil"/>
              <w:left w:val="nil"/>
              <w:bottom w:val="nil"/>
              <w:right w:val="nil"/>
            </w:tcBorders>
            <w:shd w:val="clear" w:color="auto" w:fill="auto"/>
            <w:noWrap/>
            <w:vAlign w:val="bottom"/>
            <w:hideMark/>
          </w:tcPr>
          <w:p w14:paraId="34A4864B" w14:textId="77777777" w:rsidR="004567F7" w:rsidRPr="00BF4B27" w:rsidRDefault="004567F7" w:rsidP="00144775">
            <w:pPr>
              <w:spacing w:after="0" w:line="240" w:lineRule="auto"/>
              <w:jc w:val="left"/>
              <w:rPr>
                <w:rFonts w:eastAsia="Times New Roman" w:cs="Times New Roman"/>
                <w:sz w:val="20"/>
                <w:szCs w:val="20"/>
                <w:lang w:eastAsia="sk-SK"/>
              </w:rPr>
            </w:pPr>
          </w:p>
        </w:tc>
        <w:tc>
          <w:tcPr>
            <w:tcW w:w="615" w:type="pct"/>
            <w:tcBorders>
              <w:top w:val="nil"/>
              <w:left w:val="nil"/>
              <w:bottom w:val="nil"/>
              <w:right w:val="nil"/>
            </w:tcBorders>
            <w:shd w:val="clear" w:color="auto" w:fill="auto"/>
            <w:noWrap/>
            <w:vAlign w:val="bottom"/>
            <w:hideMark/>
          </w:tcPr>
          <w:p w14:paraId="26C0B99F" w14:textId="77777777" w:rsidR="004567F7" w:rsidRPr="00BF4B27" w:rsidRDefault="004567F7" w:rsidP="00144775">
            <w:pPr>
              <w:spacing w:after="0" w:line="240" w:lineRule="auto"/>
              <w:jc w:val="left"/>
              <w:rPr>
                <w:rFonts w:eastAsia="Times New Roman" w:cs="Times New Roman"/>
                <w:sz w:val="20"/>
                <w:szCs w:val="20"/>
                <w:lang w:eastAsia="sk-SK"/>
              </w:rPr>
            </w:pPr>
          </w:p>
        </w:tc>
        <w:tc>
          <w:tcPr>
            <w:tcW w:w="562" w:type="pct"/>
            <w:tcBorders>
              <w:top w:val="nil"/>
              <w:left w:val="nil"/>
              <w:bottom w:val="nil"/>
              <w:right w:val="nil"/>
            </w:tcBorders>
            <w:shd w:val="clear" w:color="auto" w:fill="auto"/>
            <w:noWrap/>
            <w:vAlign w:val="bottom"/>
            <w:hideMark/>
          </w:tcPr>
          <w:p w14:paraId="4A9DE273" w14:textId="77777777" w:rsidR="004567F7" w:rsidRPr="00BF4B27" w:rsidRDefault="004567F7" w:rsidP="00144775">
            <w:pPr>
              <w:spacing w:after="0" w:line="240" w:lineRule="auto"/>
              <w:jc w:val="left"/>
              <w:rPr>
                <w:rFonts w:eastAsia="Times New Roman" w:cs="Times New Roman"/>
                <w:sz w:val="20"/>
                <w:szCs w:val="20"/>
                <w:lang w:eastAsia="sk-SK"/>
              </w:rPr>
            </w:pPr>
          </w:p>
        </w:tc>
      </w:tr>
      <w:tr w:rsidR="004567F7" w:rsidRPr="00BF4B27" w14:paraId="12B1F045" w14:textId="77777777" w:rsidTr="002C09C6">
        <w:trPr>
          <w:trHeight w:val="300"/>
        </w:trPr>
        <w:tc>
          <w:tcPr>
            <w:tcW w:w="2593" w:type="pct"/>
            <w:tcBorders>
              <w:top w:val="nil"/>
              <w:left w:val="nil"/>
              <w:bottom w:val="nil"/>
              <w:right w:val="nil"/>
            </w:tcBorders>
            <w:shd w:val="clear" w:color="auto" w:fill="auto"/>
            <w:noWrap/>
            <w:vAlign w:val="bottom"/>
            <w:hideMark/>
          </w:tcPr>
          <w:p w14:paraId="32705602" w14:textId="77777777" w:rsidR="004567F7" w:rsidRPr="00BF4B27" w:rsidRDefault="004567F7" w:rsidP="00144775">
            <w:pPr>
              <w:spacing w:after="0" w:line="240" w:lineRule="auto"/>
              <w:ind w:firstLineChars="400" w:firstLine="800"/>
              <w:jc w:val="left"/>
              <w:rPr>
                <w:rFonts w:eastAsia="Times New Roman" w:cs="Times New Roman"/>
                <w:sz w:val="20"/>
                <w:szCs w:val="20"/>
                <w:lang w:eastAsia="sk-SK"/>
              </w:rPr>
            </w:pPr>
            <w:r w:rsidRPr="00BF4B27">
              <w:rPr>
                <w:rFonts w:eastAsia="Times New Roman" w:cs="Times New Roman"/>
                <w:sz w:val="20"/>
                <w:szCs w:val="20"/>
                <w:lang w:eastAsia="sk-SK"/>
              </w:rPr>
              <w:t>MH Manažment, a. s.</w:t>
            </w:r>
          </w:p>
        </w:tc>
        <w:tc>
          <w:tcPr>
            <w:tcW w:w="615" w:type="pct"/>
            <w:tcBorders>
              <w:top w:val="nil"/>
              <w:left w:val="nil"/>
              <w:bottom w:val="nil"/>
              <w:right w:val="nil"/>
            </w:tcBorders>
            <w:shd w:val="clear" w:color="auto" w:fill="auto"/>
            <w:noWrap/>
            <w:vAlign w:val="bottom"/>
            <w:hideMark/>
          </w:tcPr>
          <w:p w14:paraId="1AA05834"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15 223</w:t>
            </w:r>
          </w:p>
        </w:tc>
        <w:tc>
          <w:tcPr>
            <w:tcW w:w="615" w:type="pct"/>
            <w:tcBorders>
              <w:top w:val="nil"/>
              <w:left w:val="nil"/>
              <w:bottom w:val="nil"/>
              <w:right w:val="nil"/>
            </w:tcBorders>
            <w:shd w:val="clear" w:color="auto" w:fill="auto"/>
            <w:noWrap/>
            <w:vAlign w:val="bottom"/>
            <w:hideMark/>
          </w:tcPr>
          <w:p w14:paraId="146495B0"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15 216</w:t>
            </w:r>
          </w:p>
        </w:tc>
        <w:tc>
          <w:tcPr>
            <w:tcW w:w="615" w:type="pct"/>
            <w:tcBorders>
              <w:top w:val="nil"/>
              <w:left w:val="nil"/>
              <w:bottom w:val="nil"/>
              <w:right w:val="nil"/>
            </w:tcBorders>
            <w:shd w:val="clear" w:color="auto" w:fill="auto"/>
            <w:noWrap/>
            <w:vAlign w:val="bottom"/>
            <w:hideMark/>
          </w:tcPr>
          <w:p w14:paraId="71CF4FC2"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15 214</w:t>
            </w:r>
          </w:p>
        </w:tc>
        <w:tc>
          <w:tcPr>
            <w:tcW w:w="562" w:type="pct"/>
            <w:tcBorders>
              <w:top w:val="nil"/>
              <w:left w:val="nil"/>
              <w:bottom w:val="nil"/>
              <w:right w:val="nil"/>
            </w:tcBorders>
            <w:shd w:val="clear" w:color="auto" w:fill="auto"/>
            <w:noWrap/>
            <w:vAlign w:val="bottom"/>
            <w:hideMark/>
          </w:tcPr>
          <w:p w14:paraId="3933C8FA"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-2</w:t>
            </w:r>
          </w:p>
        </w:tc>
      </w:tr>
      <w:tr w:rsidR="004567F7" w:rsidRPr="00BF4B27" w14:paraId="1BF68F74" w14:textId="77777777" w:rsidTr="002C09C6">
        <w:trPr>
          <w:trHeight w:val="300"/>
        </w:trPr>
        <w:tc>
          <w:tcPr>
            <w:tcW w:w="2593" w:type="pct"/>
            <w:tcBorders>
              <w:top w:val="nil"/>
              <w:left w:val="nil"/>
              <w:bottom w:val="nil"/>
              <w:right w:val="nil"/>
            </w:tcBorders>
            <w:shd w:val="clear" w:color="auto" w:fill="auto"/>
            <w:noWrap/>
            <w:vAlign w:val="bottom"/>
            <w:hideMark/>
          </w:tcPr>
          <w:p w14:paraId="4F5B4B8D" w14:textId="607AB0D6" w:rsidR="004567F7" w:rsidRPr="00BF4B27" w:rsidRDefault="004567F7" w:rsidP="007A5A77">
            <w:pPr>
              <w:spacing w:after="0" w:line="240" w:lineRule="auto"/>
              <w:ind w:firstLineChars="400" w:firstLine="800"/>
              <w:jc w:val="left"/>
              <w:rPr>
                <w:rFonts w:eastAsia="Times New Roman" w:cs="Times New Roman"/>
                <w:sz w:val="20"/>
                <w:szCs w:val="20"/>
                <w:lang w:eastAsia="sk-SK"/>
              </w:rPr>
            </w:pPr>
            <w:r w:rsidRPr="00BF4B27">
              <w:rPr>
                <w:rFonts w:eastAsia="Times New Roman" w:cs="Times New Roman"/>
                <w:sz w:val="20"/>
                <w:szCs w:val="20"/>
                <w:lang w:eastAsia="sk-SK"/>
              </w:rPr>
              <w:t>MH Invest, s. r.</w:t>
            </w:r>
            <w:r w:rsidR="007A5A77">
              <w:rPr>
                <w:rFonts w:eastAsia="Times New Roman" w:cs="Times New Roman"/>
                <w:sz w:val="20"/>
                <w:szCs w:val="20"/>
                <w:lang w:eastAsia="sk-SK"/>
              </w:rPr>
              <w:t xml:space="preserve"> </w:t>
            </w:r>
            <w:r w:rsidRPr="00BF4B27">
              <w:rPr>
                <w:rFonts w:eastAsia="Times New Roman" w:cs="Times New Roman"/>
                <w:sz w:val="20"/>
                <w:szCs w:val="20"/>
                <w:lang w:eastAsia="sk-SK"/>
              </w:rPr>
              <w:t>o.</w:t>
            </w:r>
          </w:p>
        </w:tc>
        <w:tc>
          <w:tcPr>
            <w:tcW w:w="615" w:type="pct"/>
            <w:tcBorders>
              <w:top w:val="nil"/>
              <w:left w:val="nil"/>
              <w:bottom w:val="nil"/>
              <w:right w:val="nil"/>
            </w:tcBorders>
            <w:shd w:val="clear" w:color="auto" w:fill="auto"/>
            <w:noWrap/>
            <w:vAlign w:val="bottom"/>
            <w:hideMark/>
          </w:tcPr>
          <w:p w14:paraId="7C6E3ACF"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70</w:t>
            </w:r>
          </w:p>
        </w:tc>
        <w:tc>
          <w:tcPr>
            <w:tcW w:w="615" w:type="pct"/>
            <w:tcBorders>
              <w:top w:val="nil"/>
              <w:left w:val="nil"/>
              <w:bottom w:val="nil"/>
              <w:right w:val="nil"/>
            </w:tcBorders>
            <w:shd w:val="clear" w:color="auto" w:fill="auto"/>
            <w:noWrap/>
            <w:vAlign w:val="bottom"/>
            <w:hideMark/>
          </w:tcPr>
          <w:p w14:paraId="2BD30831"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30</w:t>
            </w:r>
          </w:p>
        </w:tc>
        <w:tc>
          <w:tcPr>
            <w:tcW w:w="615" w:type="pct"/>
            <w:tcBorders>
              <w:top w:val="nil"/>
              <w:left w:val="nil"/>
              <w:bottom w:val="nil"/>
              <w:right w:val="nil"/>
            </w:tcBorders>
            <w:shd w:val="clear" w:color="auto" w:fill="auto"/>
            <w:noWrap/>
            <w:vAlign w:val="bottom"/>
            <w:hideMark/>
          </w:tcPr>
          <w:p w14:paraId="59EE1657"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0</w:t>
            </w:r>
          </w:p>
        </w:tc>
        <w:tc>
          <w:tcPr>
            <w:tcW w:w="562" w:type="pct"/>
            <w:tcBorders>
              <w:top w:val="nil"/>
              <w:left w:val="nil"/>
              <w:bottom w:val="nil"/>
              <w:right w:val="nil"/>
            </w:tcBorders>
            <w:shd w:val="clear" w:color="auto" w:fill="auto"/>
            <w:noWrap/>
            <w:vAlign w:val="bottom"/>
            <w:hideMark/>
          </w:tcPr>
          <w:p w14:paraId="1DDBFFF1"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-30</w:t>
            </w:r>
          </w:p>
        </w:tc>
      </w:tr>
      <w:tr w:rsidR="004567F7" w:rsidRPr="00BF4B27" w14:paraId="7877C575" w14:textId="77777777" w:rsidTr="002C09C6">
        <w:trPr>
          <w:trHeight w:val="300"/>
        </w:trPr>
        <w:tc>
          <w:tcPr>
            <w:tcW w:w="2593" w:type="pct"/>
            <w:tcBorders>
              <w:top w:val="nil"/>
              <w:left w:val="nil"/>
              <w:bottom w:val="nil"/>
              <w:right w:val="nil"/>
            </w:tcBorders>
            <w:shd w:val="clear" w:color="auto" w:fill="auto"/>
            <w:noWrap/>
            <w:vAlign w:val="bottom"/>
            <w:hideMark/>
          </w:tcPr>
          <w:p w14:paraId="5CEA12E1" w14:textId="77777777" w:rsidR="004567F7" w:rsidRPr="00BF4B27" w:rsidRDefault="004567F7" w:rsidP="00144775">
            <w:pPr>
              <w:spacing w:after="0" w:line="240" w:lineRule="auto"/>
              <w:ind w:firstLineChars="400" w:firstLine="800"/>
              <w:jc w:val="left"/>
              <w:rPr>
                <w:rFonts w:eastAsia="Times New Roman" w:cs="Times New Roman"/>
                <w:sz w:val="20"/>
                <w:szCs w:val="20"/>
                <w:lang w:eastAsia="sk-SK"/>
              </w:rPr>
            </w:pPr>
            <w:r w:rsidRPr="00BF4B27">
              <w:rPr>
                <w:rFonts w:eastAsia="Times New Roman" w:cs="Times New Roman"/>
                <w:sz w:val="20"/>
                <w:szCs w:val="20"/>
                <w:lang w:eastAsia="sk-SK"/>
              </w:rPr>
              <w:t>MH Invest II., s. r. o.</w:t>
            </w:r>
          </w:p>
        </w:tc>
        <w:tc>
          <w:tcPr>
            <w:tcW w:w="615" w:type="pct"/>
            <w:tcBorders>
              <w:top w:val="nil"/>
              <w:left w:val="nil"/>
              <w:bottom w:val="nil"/>
              <w:right w:val="nil"/>
            </w:tcBorders>
            <w:shd w:val="clear" w:color="auto" w:fill="auto"/>
            <w:noWrap/>
            <w:vAlign w:val="bottom"/>
            <w:hideMark/>
          </w:tcPr>
          <w:p w14:paraId="1AE3355B"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2 737</w:t>
            </w:r>
          </w:p>
        </w:tc>
        <w:tc>
          <w:tcPr>
            <w:tcW w:w="615" w:type="pct"/>
            <w:tcBorders>
              <w:top w:val="nil"/>
              <w:left w:val="nil"/>
              <w:bottom w:val="nil"/>
              <w:right w:val="nil"/>
            </w:tcBorders>
            <w:shd w:val="clear" w:color="auto" w:fill="auto"/>
            <w:noWrap/>
            <w:vAlign w:val="bottom"/>
            <w:hideMark/>
          </w:tcPr>
          <w:p w14:paraId="1982A1F4"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2 762</w:t>
            </w:r>
          </w:p>
        </w:tc>
        <w:tc>
          <w:tcPr>
            <w:tcW w:w="615" w:type="pct"/>
            <w:tcBorders>
              <w:top w:val="nil"/>
              <w:left w:val="nil"/>
              <w:bottom w:val="nil"/>
              <w:right w:val="nil"/>
            </w:tcBorders>
            <w:shd w:val="clear" w:color="auto" w:fill="auto"/>
            <w:noWrap/>
            <w:vAlign w:val="bottom"/>
            <w:hideMark/>
          </w:tcPr>
          <w:p w14:paraId="438BC277"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2 755</w:t>
            </w:r>
          </w:p>
        </w:tc>
        <w:tc>
          <w:tcPr>
            <w:tcW w:w="562" w:type="pct"/>
            <w:tcBorders>
              <w:top w:val="nil"/>
              <w:left w:val="nil"/>
              <w:bottom w:val="nil"/>
              <w:right w:val="nil"/>
            </w:tcBorders>
            <w:shd w:val="clear" w:color="auto" w:fill="auto"/>
            <w:noWrap/>
            <w:vAlign w:val="bottom"/>
            <w:hideMark/>
          </w:tcPr>
          <w:p w14:paraId="63B02B3E"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-7</w:t>
            </w:r>
          </w:p>
        </w:tc>
      </w:tr>
      <w:tr w:rsidR="004567F7" w:rsidRPr="00BF4B27" w14:paraId="39A8130B" w14:textId="77777777" w:rsidTr="002C09C6">
        <w:trPr>
          <w:trHeight w:val="300"/>
        </w:trPr>
        <w:tc>
          <w:tcPr>
            <w:tcW w:w="2593" w:type="pct"/>
            <w:tcBorders>
              <w:top w:val="nil"/>
              <w:left w:val="nil"/>
              <w:bottom w:val="nil"/>
              <w:right w:val="nil"/>
            </w:tcBorders>
            <w:shd w:val="clear" w:color="auto" w:fill="auto"/>
            <w:noWrap/>
            <w:vAlign w:val="bottom"/>
            <w:hideMark/>
          </w:tcPr>
          <w:p w14:paraId="25DF14D6" w14:textId="77777777" w:rsidR="004567F7" w:rsidRPr="00BF4B27" w:rsidRDefault="004567F7" w:rsidP="00144775">
            <w:pPr>
              <w:spacing w:after="0" w:line="240" w:lineRule="auto"/>
              <w:ind w:firstLineChars="400" w:firstLine="800"/>
              <w:jc w:val="left"/>
              <w:rPr>
                <w:rFonts w:eastAsia="Times New Roman" w:cs="Times New Roman"/>
                <w:sz w:val="20"/>
                <w:szCs w:val="20"/>
                <w:lang w:eastAsia="sk-SK"/>
              </w:rPr>
            </w:pPr>
            <w:r w:rsidRPr="00BF4B27">
              <w:rPr>
                <w:rFonts w:eastAsia="Times New Roman" w:cs="Times New Roman"/>
                <w:sz w:val="20"/>
                <w:szCs w:val="20"/>
                <w:lang w:eastAsia="sk-SK"/>
              </w:rPr>
              <w:t>JAVYS, a. s.</w:t>
            </w:r>
          </w:p>
        </w:tc>
        <w:tc>
          <w:tcPr>
            <w:tcW w:w="615" w:type="pct"/>
            <w:tcBorders>
              <w:top w:val="nil"/>
              <w:left w:val="nil"/>
              <w:bottom w:val="nil"/>
              <w:right w:val="nil"/>
            </w:tcBorders>
            <w:shd w:val="clear" w:color="auto" w:fill="auto"/>
            <w:noWrap/>
            <w:vAlign w:val="bottom"/>
            <w:hideMark/>
          </w:tcPr>
          <w:p w14:paraId="7A2F2EFB"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307</w:t>
            </w:r>
          </w:p>
        </w:tc>
        <w:tc>
          <w:tcPr>
            <w:tcW w:w="615" w:type="pct"/>
            <w:tcBorders>
              <w:top w:val="nil"/>
              <w:left w:val="nil"/>
              <w:bottom w:val="nil"/>
              <w:right w:val="nil"/>
            </w:tcBorders>
            <w:shd w:val="clear" w:color="auto" w:fill="auto"/>
            <w:noWrap/>
            <w:vAlign w:val="bottom"/>
            <w:hideMark/>
          </w:tcPr>
          <w:p w14:paraId="7F2A39D5"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1 615</w:t>
            </w:r>
          </w:p>
        </w:tc>
        <w:tc>
          <w:tcPr>
            <w:tcW w:w="615" w:type="pct"/>
            <w:tcBorders>
              <w:top w:val="nil"/>
              <w:left w:val="nil"/>
              <w:bottom w:val="nil"/>
              <w:right w:val="nil"/>
            </w:tcBorders>
            <w:shd w:val="clear" w:color="auto" w:fill="auto"/>
            <w:noWrap/>
            <w:vAlign w:val="bottom"/>
            <w:hideMark/>
          </w:tcPr>
          <w:p w14:paraId="11F99AE4"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1 339</w:t>
            </w:r>
          </w:p>
        </w:tc>
        <w:tc>
          <w:tcPr>
            <w:tcW w:w="562" w:type="pct"/>
            <w:tcBorders>
              <w:top w:val="nil"/>
              <w:left w:val="nil"/>
              <w:bottom w:val="nil"/>
              <w:right w:val="nil"/>
            </w:tcBorders>
            <w:shd w:val="clear" w:color="auto" w:fill="auto"/>
            <w:noWrap/>
            <w:vAlign w:val="bottom"/>
            <w:hideMark/>
          </w:tcPr>
          <w:p w14:paraId="2FB7CFB5"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-276</w:t>
            </w:r>
          </w:p>
        </w:tc>
      </w:tr>
      <w:tr w:rsidR="004567F7" w:rsidRPr="00BF4B27" w14:paraId="49CEEE6B" w14:textId="77777777" w:rsidTr="002C09C6">
        <w:trPr>
          <w:trHeight w:val="300"/>
        </w:trPr>
        <w:tc>
          <w:tcPr>
            <w:tcW w:w="2593" w:type="pct"/>
            <w:tcBorders>
              <w:top w:val="nil"/>
              <w:left w:val="nil"/>
              <w:bottom w:val="nil"/>
              <w:right w:val="nil"/>
            </w:tcBorders>
            <w:shd w:val="clear" w:color="auto" w:fill="auto"/>
            <w:noWrap/>
            <w:vAlign w:val="bottom"/>
            <w:hideMark/>
          </w:tcPr>
          <w:p w14:paraId="7FEF60FD" w14:textId="77777777" w:rsidR="004567F7" w:rsidRPr="00BF4B27" w:rsidRDefault="004567F7" w:rsidP="00144775">
            <w:pPr>
              <w:spacing w:after="0" w:line="240" w:lineRule="auto"/>
              <w:ind w:firstLineChars="400" w:firstLine="800"/>
              <w:jc w:val="left"/>
              <w:rPr>
                <w:rFonts w:eastAsia="Times New Roman" w:cs="Times New Roman"/>
                <w:sz w:val="20"/>
                <w:szCs w:val="20"/>
                <w:lang w:eastAsia="sk-SK"/>
              </w:rPr>
            </w:pPr>
            <w:r w:rsidRPr="00BF4B27">
              <w:rPr>
                <w:rFonts w:eastAsia="Times New Roman" w:cs="Times New Roman"/>
                <w:sz w:val="20"/>
                <w:szCs w:val="20"/>
                <w:lang w:eastAsia="sk-SK"/>
              </w:rPr>
              <w:t>Železnice Slovenskej republiky</w:t>
            </w:r>
          </w:p>
        </w:tc>
        <w:tc>
          <w:tcPr>
            <w:tcW w:w="615" w:type="pct"/>
            <w:tcBorders>
              <w:top w:val="nil"/>
              <w:left w:val="nil"/>
              <w:bottom w:val="nil"/>
              <w:right w:val="nil"/>
            </w:tcBorders>
            <w:shd w:val="clear" w:color="auto" w:fill="auto"/>
            <w:noWrap/>
            <w:vAlign w:val="bottom"/>
            <w:hideMark/>
          </w:tcPr>
          <w:p w14:paraId="1D68BB81"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62 944</w:t>
            </w:r>
          </w:p>
        </w:tc>
        <w:tc>
          <w:tcPr>
            <w:tcW w:w="615" w:type="pct"/>
            <w:tcBorders>
              <w:top w:val="nil"/>
              <w:left w:val="nil"/>
              <w:bottom w:val="nil"/>
              <w:right w:val="nil"/>
            </w:tcBorders>
            <w:shd w:val="clear" w:color="auto" w:fill="auto"/>
            <w:noWrap/>
            <w:vAlign w:val="bottom"/>
            <w:hideMark/>
          </w:tcPr>
          <w:p w14:paraId="55EE056D"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63 383</w:t>
            </w:r>
          </w:p>
        </w:tc>
        <w:tc>
          <w:tcPr>
            <w:tcW w:w="615" w:type="pct"/>
            <w:tcBorders>
              <w:top w:val="nil"/>
              <w:left w:val="nil"/>
              <w:bottom w:val="nil"/>
              <w:right w:val="nil"/>
            </w:tcBorders>
            <w:shd w:val="clear" w:color="auto" w:fill="auto"/>
            <w:noWrap/>
            <w:vAlign w:val="bottom"/>
            <w:hideMark/>
          </w:tcPr>
          <w:p w14:paraId="2752FDF7"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63 581</w:t>
            </w:r>
          </w:p>
        </w:tc>
        <w:tc>
          <w:tcPr>
            <w:tcW w:w="562" w:type="pct"/>
            <w:tcBorders>
              <w:top w:val="nil"/>
              <w:left w:val="nil"/>
              <w:bottom w:val="nil"/>
              <w:right w:val="nil"/>
            </w:tcBorders>
            <w:shd w:val="clear" w:color="auto" w:fill="auto"/>
            <w:noWrap/>
            <w:vAlign w:val="bottom"/>
            <w:hideMark/>
          </w:tcPr>
          <w:p w14:paraId="35E5BEA1"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198</w:t>
            </w:r>
          </w:p>
        </w:tc>
      </w:tr>
      <w:tr w:rsidR="004567F7" w:rsidRPr="00BF4B27" w14:paraId="4492EB89" w14:textId="77777777" w:rsidTr="002C09C6">
        <w:trPr>
          <w:trHeight w:val="300"/>
        </w:trPr>
        <w:tc>
          <w:tcPr>
            <w:tcW w:w="2593" w:type="pct"/>
            <w:tcBorders>
              <w:top w:val="nil"/>
              <w:left w:val="nil"/>
              <w:bottom w:val="nil"/>
              <w:right w:val="nil"/>
            </w:tcBorders>
            <w:shd w:val="clear" w:color="auto" w:fill="auto"/>
            <w:noWrap/>
            <w:vAlign w:val="bottom"/>
            <w:hideMark/>
          </w:tcPr>
          <w:p w14:paraId="229D6719" w14:textId="77777777" w:rsidR="004567F7" w:rsidRPr="00BF4B27" w:rsidRDefault="004567F7" w:rsidP="00144775">
            <w:pPr>
              <w:spacing w:after="0" w:line="240" w:lineRule="auto"/>
              <w:ind w:firstLineChars="400" w:firstLine="800"/>
              <w:jc w:val="left"/>
              <w:rPr>
                <w:rFonts w:eastAsia="Times New Roman" w:cs="Times New Roman"/>
                <w:sz w:val="20"/>
                <w:szCs w:val="20"/>
                <w:lang w:eastAsia="sk-SK"/>
              </w:rPr>
            </w:pPr>
            <w:r w:rsidRPr="00BF4B27">
              <w:rPr>
                <w:rFonts w:eastAsia="Times New Roman" w:cs="Times New Roman"/>
                <w:sz w:val="20"/>
                <w:szCs w:val="20"/>
                <w:lang w:eastAsia="sk-SK"/>
              </w:rPr>
              <w:t>Železničná spoločnosť Slovensko, a. s.</w:t>
            </w:r>
          </w:p>
        </w:tc>
        <w:tc>
          <w:tcPr>
            <w:tcW w:w="615" w:type="pct"/>
            <w:tcBorders>
              <w:top w:val="nil"/>
              <w:left w:val="nil"/>
              <w:bottom w:val="nil"/>
              <w:right w:val="nil"/>
            </w:tcBorders>
            <w:shd w:val="clear" w:color="auto" w:fill="auto"/>
            <w:noWrap/>
            <w:vAlign w:val="bottom"/>
            <w:hideMark/>
          </w:tcPr>
          <w:p w14:paraId="0B88F6F6"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343 945</w:t>
            </w:r>
          </w:p>
        </w:tc>
        <w:tc>
          <w:tcPr>
            <w:tcW w:w="615" w:type="pct"/>
            <w:tcBorders>
              <w:top w:val="nil"/>
              <w:left w:val="nil"/>
              <w:bottom w:val="nil"/>
              <w:right w:val="nil"/>
            </w:tcBorders>
            <w:shd w:val="clear" w:color="auto" w:fill="auto"/>
            <w:noWrap/>
            <w:vAlign w:val="bottom"/>
            <w:hideMark/>
          </w:tcPr>
          <w:p w14:paraId="2076FCC8"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351 871</w:t>
            </w:r>
          </w:p>
        </w:tc>
        <w:tc>
          <w:tcPr>
            <w:tcW w:w="615" w:type="pct"/>
            <w:tcBorders>
              <w:top w:val="nil"/>
              <w:left w:val="nil"/>
              <w:bottom w:val="nil"/>
              <w:right w:val="nil"/>
            </w:tcBorders>
            <w:shd w:val="clear" w:color="auto" w:fill="auto"/>
            <w:noWrap/>
            <w:vAlign w:val="bottom"/>
            <w:hideMark/>
          </w:tcPr>
          <w:p w14:paraId="0FCC4E17"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386 355</w:t>
            </w:r>
          </w:p>
        </w:tc>
        <w:tc>
          <w:tcPr>
            <w:tcW w:w="562" w:type="pct"/>
            <w:tcBorders>
              <w:top w:val="nil"/>
              <w:left w:val="nil"/>
              <w:bottom w:val="nil"/>
              <w:right w:val="nil"/>
            </w:tcBorders>
            <w:shd w:val="clear" w:color="auto" w:fill="auto"/>
            <w:noWrap/>
            <w:vAlign w:val="bottom"/>
            <w:hideMark/>
          </w:tcPr>
          <w:p w14:paraId="2BDC7C22"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34 484</w:t>
            </w:r>
          </w:p>
        </w:tc>
      </w:tr>
      <w:tr w:rsidR="004567F7" w:rsidRPr="00BF4B27" w14:paraId="30FBC492" w14:textId="77777777" w:rsidTr="002C09C6">
        <w:trPr>
          <w:trHeight w:val="300"/>
        </w:trPr>
        <w:tc>
          <w:tcPr>
            <w:tcW w:w="2593" w:type="pct"/>
            <w:tcBorders>
              <w:top w:val="nil"/>
              <w:left w:val="nil"/>
              <w:bottom w:val="nil"/>
              <w:right w:val="nil"/>
            </w:tcBorders>
            <w:shd w:val="clear" w:color="auto" w:fill="auto"/>
            <w:noWrap/>
            <w:vAlign w:val="bottom"/>
            <w:hideMark/>
          </w:tcPr>
          <w:p w14:paraId="5362AFAD" w14:textId="77777777" w:rsidR="004567F7" w:rsidRPr="00BF4B27" w:rsidRDefault="004567F7" w:rsidP="00144775">
            <w:pPr>
              <w:spacing w:after="0" w:line="240" w:lineRule="auto"/>
              <w:ind w:firstLineChars="400" w:firstLine="800"/>
              <w:jc w:val="left"/>
              <w:rPr>
                <w:rFonts w:eastAsia="Times New Roman" w:cs="Times New Roman"/>
                <w:sz w:val="20"/>
                <w:szCs w:val="20"/>
                <w:lang w:eastAsia="sk-SK"/>
              </w:rPr>
            </w:pPr>
            <w:r w:rsidRPr="00BF4B27">
              <w:rPr>
                <w:rFonts w:eastAsia="Times New Roman" w:cs="Times New Roman"/>
                <w:sz w:val="20"/>
                <w:szCs w:val="20"/>
                <w:lang w:eastAsia="sk-SK"/>
              </w:rPr>
              <w:t>Národná diaľničná spoločnosť, a. s.</w:t>
            </w:r>
          </w:p>
        </w:tc>
        <w:tc>
          <w:tcPr>
            <w:tcW w:w="615" w:type="pct"/>
            <w:tcBorders>
              <w:top w:val="nil"/>
              <w:left w:val="nil"/>
              <w:bottom w:val="nil"/>
              <w:right w:val="nil"/>
            </w:tcBorders>
            <w:shd w:val="clear" w:color="auto" w:fill="auto"/>
            <w:noWrap/>
            <w:vAlign w:val="bottom"/>
            <w:hideMark/>
          </w:tcPr>
          <w:p w14:paraId="0BFA4F93"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223 430</w:t>
            </w:r>
          </w:p>
        </w:tc>
        <w:tc>
          <w:tcPr>
            <w:tcW w:w="615" w:type="pct"/>
            <w:tcBorders>
              <w:top w:val="nil"/>
              <w:left w:val="nil"/>
              <w:bottom w:val="nil"/>
              <w:right w:val="nil"/>
            </w:tcBorders>
            <w:shd w:val="clear" w:color="auto" w:fill="auto"/>
            <w:noWrap/>
            <w:vAlign w:val="bottom"/>
            <w:hideMark/>
          </w:tcPr>
          <w:p w14:paraId="1CCB7812"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188 379</w:t>
            </w:r>
          </w:p>
        </w:tc>
        <w:tc>
          <w:tcPr>
            <w:tcW w:w="615" w:type="pct"/>
            <w:tcBorders>
              <w:top w:val="nil"/>
              <w:left w:val="nil"/>
              <w:bottom w:val="nil"/>
              <w:right w:val="nil"/>
            </w:tcBorders>
            <w:shd w:val="clear" w:color="auto" w:fill="auto"/>
            <w:noWrap/>
            <w:vAlign w:val="bottom"/>
            <w:hideMark/>
          </w:tcPr>
          <w:p w14:paraId="44CA10D2"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150 801</w:t>
            </w:r>
          </w:p>
        </w:tc>
        <w:tc>
          <w:tcPr>
            <w:tcW w:w="562" w:type="pct"/>
            <w:tcBorders>
              <w:top w:val="nil"/>
              <w:left w:val="nil"/>
              <w:bottom w:val="nil"/>
              <w:right w:val="nil"/>
            </w:tcBorders>
            <w:shd w:val="clear" w:color="auto" w:fill="auto"/>
            <w:noWrap/>
            <w:vAlign w:val="bottom"/>
            <w:hideMark/>
          </w:tcPr>
          <w:p w14:paraId="16F430AB"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-37 578</w:t>
            </w:r>
          </w:p>
        </w:tc>
      </w:tr>
      <w:tr w:rsidR="004567F7" w:rsidRPr="00BF4B27" w14:paraId="4DE03432" w14:textId="77777777" w:rsidTr="002C09C6">
        <w:trPr>
          <w:trHeight w:val="300"/>
        </w:trPr>
        <w:tc>
          <w:tcPr>
            <w:tcW w:w="2593" w:type="pct"/>
            <w:tcBorders>
              <w:top w:val="nil"/>
              <w:left w:val="nil"/>
              <w:bottom w:val="nil"/>
              <w:right w:val="nil"/>
            </w:tcBorders>
            <w:shd w:val="clear" w:color="auto" w:fill="auto"/>
            <w:noWrap/>
            <w:vAlign w:val="bottom"/>
            <w:hideMark/>
          </w:tcPr>
          <w:p w14:paraId="45B0F493" w14:textId="77777777" w:rsidR="004567F7" w:rsidRPr="00BF4B27" w:rsidRDefault="004567F7" w:rsidP="00144775">
            <w:pPr>
              <w:spacing w:after="0" w:line="240" w:lineRule="auto"/>
              <w:ind w:firstLineChars="200" w:firstLine="400"/>
              <w:jc w:val="left"/>
              <w:rPr>
                <w:rFonts w:eastAsia="Times New Roman" w:cs="Times New Roman"/>
                <w:sz w:val="20"/>
                <w:szCs w:val="20"/>
                <w:lang w:eastAsia="sk-SK"/>
              </w:rPr>
            </w:pPr>
            <w:r w:rsidRPr="00BF4B27">
              <w:rPr>
                <w:rFonts w:eastAsia="Times New Roman" w:cs="Times New Roman"/>
                <w:sz w:val="20"/>
                <w:szCs w:val="20"/>
                <w:lang w:eastAsia="sk-SK"/>
              </w:rPr>
              <w:t>Verejné vysoké školy</w:t>
            </w:r>
          </w:p>
        </w:tc>
        <w:tc>
          <w:tcPr>
            <w:tcW w:w="615" w:type="pct"/>
            <w:tcBorders>
              <w:top w:val="nil"/>
              <w:left w:val="nil"/>
              <w:bottom w:val="nil"/>
              <w:right w:val="nil"/>
            </w:tcBorders>
            <w:shd w:val="clear" w:color="auto" w:fill="auto"/>
            <w:noWrap/>
            <w:vAlign w:val="bottom"/>
            <w:hideMark/>
          </w:tcPr>
          <w:p w14:paraId="30A37595"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7 731</w:t>
            </w:r>
          </w:p>
        </w:tc>
        <w:tc>
          <w:tcPr>
            <w:tcW w:w="615" w:type="pct"/>
            <w:tcBorders>
              <w:top w:val="nil"/>
              <w:left w:val="nil"/>
              <w:bottom w:val="nil"/>
              <w:right w:val="nil"/>
            </w:tcBorders>
            <w:shd w:val="clear" w:color="auto" w:fill="auto"/>
            <w:noWrap/>
            <w:vAlign w:val="bottom"/>
            <w:hideMark/>
          </w:tcPr>
          <w:p w14:paraId="09E2A83A"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7 343</w:t>
            </w:r>
          </w:p>
        </w:tc>
        <w:tc>
          <w:tcPr>
            <w:tcW w:w="615" w:type="pct"/>
            <w:tcBorders>
              <w:top w:val="nil"/>
              <w:left w:val="nil"/>
              <w:bottom w:val="nil"/>
              <w:right w:val="nil"/>
            </w:tcBorders>
            <w:shd w:val="clear" w:color="auto" w:fill="auto"/>
            <w:noWrap/>
            <w:vAlign w:val="bottom"/>
            <w:hideMark/>
          </w:tcPr>
          <w:p w14:paraId="575C7D67"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5 203</w:t>
            </w:r>
          </w:p>
        </w:tc>
        <w:tc>
          <w:tcPr>
            <w:tcW w:w="562" w:type="pct"/>
            <w:tcBorders>
              <w:top w:val="nil"/>
              <w:left w:val="nil"/>
              <w:bottom w:val="nil"/>
              <w:right w:val="nil"/>
            </w:tcBorders>
            <w:shd w:val="clear" w:color="auto" w:fill="auto"/>
            <w:noWrap/>
            <w:vAlign w:val="bottom"/>
            <w:hideMark/>
          </w:tcPr>
          <w:p w14:paraId="1243CB70"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-2 140</w:t>
            </w:r>
          </w:p>
        </w:tc>
      </w:tr>
      <w:tr w:rsidR="004567F7" w:rsidRPr="00BF4B27" w14:paraId="63598B05" w14:textId="77777777" w:rsidTr="002C09C6">
        <w:trPr>
          <w:trHeight w:val="300"/>
        </w:trPr>
        <w:tc>
          <w:tcPr>
            <w:tcW w:w="2593" w:type="pct"/>
            <w:tcBorders>
              <w:top w:val="nil"/>
              <w:left w:val="nil"/>
              <w:bottom w:val="nil"/>
              <w:right w:val="nil"/>
            </w:tcBorders>
            <w:shd w:val="clear" w:color="auto" w:fill="auto"/>
            <w:noWrap/>
            <w:vAlign w:val="bottom"/>
            <w:hideMark/>
          </w:tcPr>
          <w:p w14:paraId="2D3F37F5" w14:textId="77777777" w:rsidR="004567F7" w:rsidRPr="00BF4B27" w:rsidRDefault="004567F7" w:rsidP="00144775">
            <w:pPr>
              <w:spacing w:after="0" w:line="240" w:lineRule="auto"/>
              <w:ind w:firstLineChars="200" w:firstLine="400"/>
              <w:jc w:val="left"/>
              <w:rPr>
                <w:rFonts w:eastAsia="Times New Roman" w:cs="Times New Roman"/>
                <w:sz w:val="20"/>
                <w:szCs w:val="20"/>
                <w:lang w:eastAsia="sk-SK"/>
              </w:rPr>
            </w:pPr>
            <w:r w:rsidRPr="00BF4B27">
              <w:rPr>
                <w:rFonts w:eastAsia="Times New Roman" w:cs="Times New Roman"/>
                <w:sz w:val="20"/>
                <w:szCs w:val="20"/>
                <w:lang w:eastAsia="sk-SK"/>
              </w:rPr>
              <w:t>Zdravotnícke zariadenia ústrednej správy</w:t>
            </w:r>
          </w:p>
        </w:tc>
        <w:tc>
          <w:tcPr>
            <w:tcW w:w="615" w:type="pct"/>
            <w:tcBorders>
              <w:top w:val="nil"/>
              <w:left w:val="nil"/>
              <w:bottom w:val="nil"/>
              <w:right w:val="nil"/>
            </w:tcBorders>
            <w:shd w:val="clear" w:color="auto" w:fill="auto"/>
            <w:noWrap/>
            <w:vAlign w:val="bottom"/>
            <w:hideMark/>
          </w:tcPr>
          <w:p w14:paraId="6D528B04"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21 771</w:t>
            </w:r>
          </w:p>
        </w:tc>
        <w:tc>
          <w:tcPr>
            <w:tcW w:w="615" w:type="pct"/>
            <w:tcBorders>
              <w:top w:val="nil"/>
              <w:left w:val="nil"/>
              <w:bottom w:val="nil"/>
              <w:right w:val="nil"/>
            </w:tcBorders>
            <w:shd w:val="clear" w:color="auto" w:fill="auto"/>
            <w:noWrap/>
            <w:vAlign w:val="bottom"/>
            <w:hideMark/>
          </w:tcPr>
          <w:p w14:paraId="12AC1091" w14:textId="29DBCB3A" w:rsidR="004567F7" w:rsidRPr="00BF4B27" w:rsidRDefault="004567F7" w:rsidP="00F9390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 xml:space="preserve">22 </w:t>
            </w:r>
            <w:r w:rsidR="00F93905" w:rsidRPr="00BF4B27">
              <w:rPr>
                <w:rFonts w:eastAsia="Times New Roman" w:cs="Times New Roman"/>
                <w:sz w:val="20"/>
                <w:szCs w:val="20"/>
                <w:lang w:eastAsia="sk-SK"/>
              </w:rPr>
              <w:t>692</w:t>
            </w:r>
          </w:p>
        </w:tc>
        <w:tc>
          <w:tcPr>
            <w:tcW w:w="615" w:type="pct"/>
            <w:tcBorders>
              <w:top w:val="nil"/>
              <w:left w:val="nil"/>
              <w:bottom w:val="nil"/>
              <w:right w:val="nil"/>
            </w:tcBorders>
            <w:shd w:val="clear" w:color="auto" w:fill="auto"/>
            <w:noWrap/>
            <w:vAlign w:val="bottom"/>
            <w:hideMark/>
          </w:tcPr>
          <w:p w14:paraId="6E0444BE"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58 708</w:t>
            </w:r>
          </w:p>
        </w:tc>
        <w:tc>
          <w:tcPr>
            <w:tcW w:w="562" w:type="pct"/>
            <w:tcBorders>
              <w:top w:val="nil"/>
              <w:left w:val="nil"/>
              <w:bottom w:val="nil"/>
              <w:right w:val="nil"/>
            </w:tcBorders>
            <w:shd w:val="clear" w:color="auto" w:fill="auto"/>
            <w:noWrap/>
            <w:vAlign w:val="bottom"/>
            <w:hideMark/>
          </w:tcPr>
          <w:p w14:paraId="34CE2476" w14:textId="29D6E64B" w:rsidR="004567F7" w:rsidRPr="00BF4B27" w:rsidRDefault="004567F7" w:rsidP="00F9390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 xml:space="preserve">36 </w:t>
            </w:r>
            <w:r w:rsidR="00F93905" w:rsidRPr="00BF4B27">
              <w:rPr>
                <w:rFonts w:eastAsia="Times New Roman" w:cs="Times New Roman"/>
                <w:sz w:val="20"/>
                <w:szCs w:val="20"/>
                <w:lang w:eastAsia="sk-SK"/>
              </w:rPr>
              <w:t>016</w:t>
            </w:r>
          </w:p>
        </w:tc>
      </w:tr>
      <w:tr w:rsidR="004567F7" w:rsidRPr="00BF4B27" w14:paraId="611A91AC" w14:textId="77777777" w:rsidTr="002C09C6">
        <w:trPr>
          <w:trHeight w:val="300"/>
        </w:trPr>
        <w:tc>
          <w:tcPr>
            <w:tcW w:w="2593" w:type="pct"/>
            <w:tcBorders>
              <w:top w:val="nil"/>
              <w:left w:val="nil"/>
              <w:bottom w:val="nil"/>
              <w:right w:val="nil"/>
            </w:tcBorders>
            <w:shd w:val="clear" w:color="auto" w:fill="auto"/>
            <w:noWrap/>
            <w:vAlign w:val="bottom"/>
            <w:hideMark/>
          </w:tcPr>
          <w:p w14:paraId="7D373BF1" w14:textId="77777777" w:rsidR="004567F7" w:rsidRPr="00BF4B27" w:rsidRDefault="004567F7" w:rsidP="00144775">
            <w:pPr>
              <w:spacing w:after="0" w:line="240" w:lineRule="auto"/>
              <w:ind w:firstLineChars="200" w:firstLine="400"/>
              <w:jc w:val="left"/>
              <w:rPr>
                <w:rFonts w:eastAsia="Times New Roman" w:cs="Times New Roman"/>
                <w:sz w:val="20"/>
                <w:szCs w:val="20"/>
                <w:lang w:eastAsia="sk-SK"/>
              </w:rPr>
            </w:pPr>
            <w:r w:rsidRPr="00BF4B27">
              <w:rPr>
                <w:rFonts w:eastAsia="Times New Roman" w:cs="Times New Roman"/>
                <w:sz w:val="20"/>
                <w:szCs w:val="20"/>
                <w:lang w:eastAsia="sk-SK"/>
              </w:rPr>
              <w:t>Ostatné subjekty ústrednej správy</w:t>
            </w:r>
          </w:p>
        </w:tc>
        <w:tc>
          <w:tcPr>
            <w:tcW w:w="615" w:type="pct"/>
            <w:tcBorders>
              <w:top w:val="nil"/>
              <w:left w:val="nil"/>
              <w:bottom w:val="nil"/>
              <w:right w:val="nil"/>
            </w:tcBorders>
            <w:shd w:val="clear" w:color="auto" w:fill="auto"/>
            <w:noWrap/>
            <w:vAlign w:val="bottom"/>
            <w:hideMark/>
          </w:tcPr>
          <w:p w14:paraId="4B0399CA"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521 300</w:t>
            </w:r>
          </w:p>
        </w:tc>
        <w:tc>
          <w:tcPr>
            <w:tcW w:w="615" w:type="pct"/>
            <w:tcBorders>
              <w:top w:val="nil"/>
              <w:left w:val="nil"/>
              <w:bottom w:val="nil"/>
              <w:right w:val="nil"/>
            </w:tcBorders>
            <w:shd w:val="clear" w:color="auto" w:fill="auto"/>
            <w:noWrap/>
            <w:vAlign w:val="bottom"/>
            <w:hideMark/>
          </w:tcPr>
          <w:p w14:paraId="642FC35B"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461 718</w:t>
            </w:r>
          </w:p>
        </w:tc>
        <w:tc>
          <w:tcPr>
            <w:tcW w:w="615" w:type="pct"/>
            <w:tcBorders>
              <w:top w:val="nil"/>
              <w:left w:val="nil"/>
              <w:bottom w:val="nil"/>
              <w:right w:val="nil"/>
            </w:tcBorders>
            <w:shd w:val="clear" w:color="auto" w:fill="auto"/>
            <w:noWrap/>
            <w:vAlign w:val="bottom"/>
            <w:hideMark/>
          </w:tcPr>
          <w:p w14:paraId="17666642"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412 248</w:t>
            </w:r>
          </w:p>
        </w:tc>
        <w:tc>
          <w:tcPr>
            <w:tcW w:w="562" w:type="pct"/>
            <w:tcBorders>
              <w:top w:val="nil"/>
              <w:left w:val="nil"/>
              <w:bottom w:val="nil"/>
              <w:right w:val="nil"/>
            </w:tcBorders>
            <w:shd w:val="clear" w:color="auto" w:fill="auto"/>
            <w:noWrap/>
            <w:vAlign w:val="bottom"/>
            <w:hideMark/>
          </w:tcPr>
          <w:p w14:paraId="4E6DB08B"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-49 470</w:t>
            </w:r>
          </w:p>
        </w:tc>
      </w:tr>
      <w:tr w:rsidR="004567F7" w:rsidRPr="00BF4B27" w14:paraId="520D848A" w14:textId="77777777" w:rsidTr="002C09C6">
        <w:trPr>
          <w:trHeight w:val="300"/>
        </w:trPr>
        <w:tc>
          <w:tcPr>
            <w:tcW w:w="2593" w:type="pct"/>
            <w:tcBorders>
              <w:top w:val="nil"/>
              <w:left w:val="nil"/>
              <w:bottom w:val="nil"/>
              <w:right w:val="nil"/>
            </w:tcBorders>
            <w:shd w:val="clear" w:color="auto" w:fill="auto"/>
            <w:noWrap/>
            <w:vAlign w:val="bottom"/>
            <w:hideMark/>
          </w:tcPr>
          <w:p w14:paraId="535350C5" w14:textId="77777777" w:rsidR="004567F7" w:rsidRPr="00BF4B27" w:rsidRDefault="004567F7" w:rsidP="00144775">
            <w:pPr>
              <w:spacing w:after="0" w:line="240" w:lineRule="auto"/>
              <w:jc w:val="left"/>
              <w:rPr>
                <w:rFonts w:eastAsia="Times New Roman" w:cs="Times New Roman"/>
                <w:b/>
                <w:bCs/>
                <w:sz w:val="20"/>
                <w:szCs w:val="20"/>
                <w:lang w:eastAsia="sk-SK"/>
              </w:rPr>
            </w:pPr>
            <w:r w:rsidRPr="00BF4B27">
              <w:rPr>
                <w:rFonts w:eastAsia="Times New Roman" w:cs="Times New Roman"/>
                <w:b/>
                <w:bCs/>
                <w:sz w:val="20"/>
                <w:szCs w:val="20"/>
                <w:lang w:eastAsia="sk-SK"/>
              </w:rPr>
              <w:t>Územná samospráva</w:t>
            </w:r>
          </w:p>
        </w:tc>
        <w:tc>
          <w:tcPr>
            <w:tcW w:w="615" w:type="pct"/>
            <w:tcBorders>
              <w:top w:val="nil"/>
              <w:left w:val="nil"/>
              <w:bottom w:val="nil"/>
              <w:right w:val="nil"/>
            </w:tcBorders>
            <w:shd w:val="clear" w:color="auto" w:fill="auto"/>
            <w:noWrap/>
            <w:vAlign w:val="bottom"/>
            <w:hideMark/>
          </w:tcPr>
          <w:p w14:paraId="3E4E74E0" w14:textId="77777777" w:rsidR="004567F7" w:rsidRPr="00BF4B27" w:rsidRDefault="004567F7" w:rsidP="00144775">
            <w:pPr>
              <w:spacing w:after="0" w:line="240" w:lineRule="auto"/>
              <w:jc w:val="left"/>
              <w:rPr>
                <w:rFonts w:eastAsia="Times New Roman" w:cs="Times New Roman"/>
                <w:b/>
                <w:bCs/>
                <w:sz w:val="20"/>
                <w:szCs w:val="20"/>
                <w:lang w:eastAsia="sk-SK"/>
              </w:rPr>
            </w:pPr>
          </w:p>
        </w:tc>
        <w:tc>
          <w:tcPr>
            <w:tcW w:w="615" w:type="pct"/>
            <w:tcBorders>
              <w:top w:val="nil"/>
              <w:left w:val="nil"/>
              <w:bottom w:val="nil"/>
              <w:right w:val="nil"/>
            </w:tcBorders>
            <w:shd w:val="clear" w:color="auto" w:fill="auto"/>
            <w:noWrap/>
            <w:vAlign w:val="bottom"/>
            <w:hideMark/>
          </w:tcPr>
          <w:p w14:paraId="62E69103" w14:textId="77777777" w:rsidR="004567F7" w:rsidRPr="00BF4B27" w:rsidRDefault="004567F7" w:rsidP="00144775">
            <w:pPr>
              <w:spacing w:after="0" w:line="240" w:lineRule="auto"/>
              <w:jc w:val="left"/>
              <w:rPr>
                <w:rFonts w:eastAsia="Times New Roman" w:cs="Times New Roman"/>
                <w:sz w:val="20"/>
                <w:szCs w:val="20"/>
                <w:lang w:eastAsia="sk-SK"/>
              </w:rPr>
            </w:pPr>
          </w:p>
        </w:tc>
        <w:tc>
          <w:tcPr>
            <w:tcW w:w="615" w:type="pct"/>
            <w:tcBorders>
              <w:top w:val="nil"/>
              <w:left w:val="nil"/>
              <w:bottom w:val="nil"/>
              <w:right w:val="nil"/>
            </w:tcBorders>
            <w:shd w:val="clear" w:color="auto" w:fill="auto"/>
            <w:noWrap/>
            <w:vAlign w:val="bottom"/>
            <w:hideMark/>
          </w:tcPr>
          <w:p w14:paraId="4255FF8C" w14:textId="77777777" w:rsidR="004567F7" w:rsidRPr="00BF4B27" w:rsidRDefault="004567F7" w:rsidP="00144775">
            <w:pPr>
              <w:spacing w:after="0" w:line="240" w:lineRule="auto"/>
              <w:jc w:val="left"/>
              <w:rPr>
                <w:rFonts w:eastAsia="Times New Roman" w:cs="Times New Roman"/>
                <w:sz w:val="20"/>
                <w:szCs w:val="20"/>
                <w:lang w:eastAsia="sk-SK"/>
              </w:rPr>
            </w:pPr>
          </w:p>
        </w:tc>
        <w:tc>
          <w:tcPr>
            <w:tcW w:w="562" w:type="pct"/>
            <w:tcBorders>
              <w:top w:val="nil"/>
              <w:left w:val="nil"/>
              <w:bottom w:val="nil"/>
              <w:right w:val="nil"/>
            </w:tcBorders>
            <w:shd w:val="clear" w:color="auto" w:fill="auto"/>
            <w:noWrap/>
            <w:vAlign w:val="bottom"/>
            <w:hideMark/>
          </w:tcPr>
          <w:p w14:paraId="7839876E" w14:textId="77777777" w:rsidR="004567F7" w:rsidRPr="00BF4B27" w:rsidRDefault="004567F7" w:rsidP="00144775">
            <w:pPr>
              <w:spacing w:after="0" w:line="240" w:lineRule="auto"/>
              <w:jc w:val="left"/>
              <w:rPr>
                <w:rFonts w:eastAsia="Times New Roman" w:cs="Times New Roman"/>
                <w:sz w:val="20"/>
                <w:szCs w:val="20"/>
                <w:lang w:eastAsia="sk-SK"/>
              </w:rPr>
            </w:pPr>
          </w:p>
        </w:tc>
      </w:tr>
      <w:tr w:rsidR="004567F7" w:rsidRPr="00BF4B27" w14:paraId="10917617" w14:textId="77777777" w:rsidTr="002C09C6">
        <w:trPr>
          <w:trHeight w:val="300"/>
        </w:trPr>
        <w:tc>
          <w:tcPr>
            <w:tcW w:w="2593" w:type="pct"/>
            <w:tcBorders>
              <w:top w:val="nil"/>
              <w:left w:val="nil"/>
              <w:bottom w:val="nil"/>
              <w:right w:val="nil"/>
            </w:tcBorders>
            <w:shd w:val="clear" w:color="auto" w:fill="auto"/>
            <w:noWrap/>
            <w:vAlign w:val="bottom"/>
            <w:hideMark/>
          </w:tcPr>
          <w:p w14:paraId="6BA28C74" w14:textId="77777777" w:rsidR="004567F7" w:rsidRPr="00BF4B27" w:rsidRDefault="004567F7" w:rsidP="00144775">
            <w:pPr>
              <w:spacing w:after="0" w:line="240" w:lineRule="auto"/>
              <w:ind w:firstLineChars="200" w:firstLine="400"/>
              <w:jc w:val="left"/>
              <w:rPr>
                <w:rFonts w:eastAsia="Times New Roman" w:cs="Times New Roman"/>
                <w:sz w:val="20"/>
                <w:szCs w:val="20"/>
                <w:lang w:eastAsia="sk-SK"/>
              </w:rPr>
            </w:pPr>
            <w:r w:rsidRPr="00BF4B27">
              <w:rPr>
                <w:rFonts w:eastAsia="Times New Roman" w:cs="Times New Roman"/>
                <w:sz w:val="20"/>
                <w:szCs w:val="20"/>
                <w:lang w:eastAsia="sk-SK"/>
              </w:rPr>
              <w:t>Obce a ich rozpočtové organizácie</w:t>
            </w:r>
          </w:p>
        </w:tc>
        <w:tc>
          <w:tcPr>
            <w:tcW w:w="615" w:type="pct"/>
            <w:tcBorders>
              <w:top w:val="nil"/>
              <w:left w:val="nil"/>
              <w:bottom w:val="nil"/>
              <w:right w:val="nil"/>
            </w:tcBorders>
            <w:shd w:val="clear" w:color="auto" w:fill="auto"/>
            <w:noWrap/>
            <w:vAlign w:val="bottom"/>
            <w:hideMark/>
          </w:tcPr>
          <w:p w14:paraId="55F334AD"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1 334 719</w:t>
            </w:r>
          </w:p>
        </w:tc>
        <w:tc>
          <w:tcPr>
            <w:tcW w:w="615" w:type="pct"/>
            <w:tcBorders>
              <w:top w:val="nil"/>
              <w:left w:val="nil"/>
              <w:bottom w:val="nil"/>
              <w:right w:val="nil"/>
            </w:tcBorders>
            <w:shd w:val="clear" w:color="auto" w:fill="auto"/>
            <w:noWrap/>
            <w:vAlign w:val="bottom"/>
            <w:hideMark/>
          </w:tcPr>
          <w:p w14:paraId="6E38B879"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1 362 979</w:t>
            </w:r>
          </w:p>
        </w:tc>
        <w:tc>
          <w:tcPr>
            <w:tcW w:w="615" w:type="pct"/>
            <w:tcBorders>
              <w:top w:val="nil"/>
              <w:left w:val="nil"/>
              <w:bottom w:val="nil"/>
              <w:right w:val="nil"/>
            </w:tcBorders>
            <w:shd w:val="clear" w:color="auto" w:fill="auto"/>
            <w:noWrap/>
            <w:vAlign w:val="bottom"/>
            <w:hideMark/>
          </w:tcPr>
          <w:p w14:paraId="1109DBD1"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1 455 000</w:t>
            </w:r>
          </w:p>
        </w:tc>
        <w:tc>
          <w:tcPr>
            <w:tcW w:w="562" w:type="pct"/>
            <w:tcBorders>
              <w:top w:val="nil"/>
              <w:left w:val="nil"/>
              <w:bottom w:val="nil"/>
              <w:right w:val="nil"/>
            </w:tcBorders>
            <w:shd w:val="clear" w:color="auto" w:fill="auto"/>
            <w:noWrap/>
            <w:vAlign w:val="bottom"/>
            <w:hideMark/>
          </w:tcPr>
          <w:p w14:paraId="42429D18"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92 021</w:t>
            </w:r>
          </w:p>
        </w:tc>
      </w:tr>
      <w:tr w:rsidR="004567F7" w:rsidRPr="00BF4B27" w14:paraId="0AD23DC1" w14:textId="77777777" w:rsidTr="002C09C6">
        <w:trPr>
          <w:trHeight w:val="300"/>
        </w:trPr>
        <w:tc>
          <w:tcPr>
            <w:tcW w:w="2593" w:type="pct"/>
            <w:tcBorders>
              <w:top w:val="nil"/>
              <w:left w:val="nil"/>
              <w:bottom w:val="nil"/>
              <w:right w:val="nil"/>
            </w:tcBorders>
            <w:shd w:val="clear" w:color="auto" w:fill="auto"/>
            <w:noWrap/>
            <w:vAlign w:val="bottom"/>
            <w:hideMark/>
          </w:tcPr>
          <w:p w14:paraId="376C1810" w14:textId="77777777" w:rsidR="004567F7" w:rsidRPr="00BF4B27" w:rsidRDefault="004567F7" w:rsidP="00144775">
            <w:pPr>
              <w:spacing w:after="0" w:line="240" w:lineRule="auto"/>
              <w:ind w:firstLineChars="200" w:firstLine="400"/>
              <w:jc w:val="left"/>
              <w:rPr>
                <w:rFonts w:eastAsia="Times New Roman" w:cs="Times New Roman"/>
                <w:sz w:val="20"/>
                <w:szCs w:val="20"/>
                <w:lang w:eastAsia="sk-SK"/>
              </w:rPr>
            </w:pPr>
            <w:r w:rsidRPr="00BF4B27">
              <w:rPr>
                <w:rFonts w:eastAsia="Times New Roman" w:cs="Times New Roman"/>
                <w:sz w:val="20"/>
                <w:szCs w:val="20"/>
                <w:lang w:eastAsia="sk-SK"/>
              </w:rPr>
              <w:t>Vyššie územné celky a ich rozpočtové organizácie</w:t>
            </w:r>
          </w:p>
        </w:tc>
        <w:tc>
          <w:tcPr>
            <w:tcW w:w="615" w:type="pct"/>
            <w:tcBorders>
              <w:top w:val="nil"/>
              <w:left w:val="nil"/>
              <w:bottom w:val="nil"/>
              <w:right w:val="nil"/>
            </w:tcBorders>
            <w:shd w:val="clear" w:color="auto" w:fill="auto"/>
            <w:noWrap/>
            <w:vAlign w:val="bottom"/>
            <w:hideMark/>
          </w:tcPr>
          <w:p w14:paraId="48E3F122"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347 635</w:t>
            </w:r>
          </w:p>
        </w:tc>
        <w:tc>
          <w:tcPr>
            <w:tcW w:w="615" w:type="pct"/>
            <w:tcBorders>
              <w:top w:val="nil"/>
              <w:left w:val="nil"/>
              <w:bottom w:val="nil"/>
              <w:right w:val="nil"/>
            </w:tcBorders>
            <w:shd w:val="clear" w:color="auto" w:fill="auto"/>
            <w:noWrap/>
            <w:vAlign w:val="bottom"/>
            <w:hideMark/>
          </w:tcPr>
          <w:p w14:paraId="6BA67E97"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369 508</w:t>
            </w:r>
          </w:p>
        </w:tc>
        <w:tc>
          <w:tcPr>
            <w:tcW w:w="615" w:type="pct"/>
            <w:tcBorders>
              <w:top w:val="nil"/>
              <w:left w:val="nil"/>
              <w:bottom w:val="nil"/>
              <w:right w:val="nil"/>
            </w:tcBorders>
            <w:shd w:val="clear" w:color="auto" w:fill="auto"/>
            <w:noWrap/>
            <w:vAlign w:val="bottom"/>
            <w:hideMark/>
          </w:tcPr>
          <w:p w14:paraId="6D534D81"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362 599</w:t>
            </w:r>
          </w:p>
        </w:tc>
        <w:tc>
          <w:tcPr>
            <w:tcW w:w="562" w:type="pct"/>
            <w:tcBorders>
              <w:top w:val="nil"/>
              <w:left w:val="nil"/>
              <w:bottom w:val="nil"/>
              <w:right w:val="nil"/>
            </w:tcBorders>
            <w:shd w:val="clear" w:color="auto" w:fill="auto"/>
            <w:noWrap/>
            <w:vAlign w:val="bottom"/>
            <w:hideMark/>
          </w:tcPr>
          <w:p w14:paraId="2FD1485F"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-6 909</w:t>
            </w:r>
          </w:p>
        </w:tc>
      </w:tr>
      <w:tr w:rsidR="004567F7" w:rsidRPr="00BF4B27" w14:paraId="51203DCC" w14:textId="77777777" w:rsidTr="002C09C6">
        <w:trPr>
          <w:trHeight w:val="300"/>
        </w:trPr>
        <w:tc>
          <w:tcPr>
            <w:tcW w:w="2593" w:type="pct"/>
            <w:tcBorders>
              <w:top w:val="nil"/>
              <w:left w:val="nil"/>
              <w:bottom w:val="nil"/>
              <w:right w:val="nil"/>
            </w:tcBorders>
            <w:shd w:val="clear" w:color="auto" w:fill="auto"/>
            <w:noWrap/>
            <w:vAlign w:val="bottom"/>
            <w:hideMark/>
          </w:tcPr>
          <w:p w14:paraId="3E97D567" w14:textId="77777777" w:rsidR="004567F7" w:rsidRPr="00BF4B27" w:rsidRDefault="004567F7" w:rsidP="00144775">
            <w:pPr>
              <w:spacing w:after="0" w:line="240" w:lineRule="auto"/>
              <w:ind w:firstLineChars="200" w:firstLine="400"/>
              <w:jc w:val="left"/>
              <w:rPr>
                <w:rFonts w:eastAsia="Times New Roman" w:cs="Times New Roman"/>
                <w:sz w:val="20"/>
                <w:szCs w:val="20"/>
                <w:lang w:eastAsia="sk-SK"/>
              </w:rPr>
            </w:pPr>
            <w:r w:rsidRPr="00BF4B27">
              <w:rPr>
                <w:rFonts w:eastAsia="Times New Roman" w:cs="Times New Roman"/>
                <w:sz w:val="20"/>
                <w:szCs w:val="20"/>
                <w:lang w:eastAsia="sk-SK"/>
              </w:rPr>
              <w:t>Príspevkové organizácie obcí</w:t>
            </w:r>
          </w:p>
        </w:tc>
        <w:tc>
          <w:tcPr>
            <w:tcW w:w="615" w:type="pct"/>
            <w:tcBorders>
              <w:top w:val="nil"/>
              <w:left w:val="nil"/>
              <w:bottom w:val="nil"/>
              <w:right w:val="nil"/>
            </w:tcBorders>
            <w:shd w:val="clear" w:color="auto" w:fill="auto"/>
            <w:noWrap/>
            <w:vAlign w:val="bottom"/>
            <w:hideMark/>
          </w:tcPr>
          <w:p w14:paraId="61E2A469"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936</w:t>
            </w:r>
          </w:p>
        </w:tc>
        <w:tc>
          <w:tcPr>
            <w:tcW w:w="615" w:type="pct"/>
            <w:tcBorders>
              <w:top w:val="nil"/>
              <w:left w:val="nil"/>
              <w:bottom w:val="nil"/>
              <w:right w:val="nil"/>
            </w:tcBorders>
            <w:shd w:val="clear" w:color="auto" w:fill="auto"/>
            <w:noWrap/>
            <w:vAlign w:val="bottom"/>
            <w:hideMark/>
          </w:tcPr>
          <w:p w14:paraId="4ECA41BC"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1 292</w:t>
            </w:r>
          </w:p>
        </w:tc>
        <w:tc>
          <w:tcPr>
            <w:tcW w:w="615" w:type="pct"/>
            <w:tcBorders>
              <w:top w:val="nil"/>
              <w:left w:val="nil"/>
              <w:bottom w:val="nil"/>
              <w:right w:val="nil"/>
            </w:tcBorders>
            <w:shd w:val="clear" w:color="auto" w:fill="auto"/>
            <w:noWrap/>
            <w:vAlign w:val="bottom"/>
            <w:hideMark/>
          </w:tcPr>
          <w:p w14:paraId="4048B139"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1 498</w:t>
            </w:r>
          </w:p>
        </w:tc>
        <w:tc>
          <w:tcPr>
            <w:tcW w:w="562" w:type="pct"/>
            <w:tcBorders>
              <w:top w:val="nil"/>
              <w:left w:val="nil"/>
              <w:bottom w:val="nil"/>
              <w:right w:val="nil"/>
            </w:tcBorders>
            <w:shd w:val="clear" w:color="auto" w:fill="auto"/>
            <w:noWrap/>
            <w:vAlign w:val="bottom"/>
            <w:hideMark/>
          </w:tcPr>
          <w:p w14:paraId="3FC3AF13"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206</w:t>
            </w:r>
          </w:p>
        </w:tc>
      </w:tr>
      <w:tr w:rsidR="004567F7" w:rsidRPr="00BF4B27" w14:paraId="5A4F7B5C" w14:textId="77777777" w:rsidTr="002C09C6">
        <w:trPr>
          <w:trHeight w:val="300"/>
        </w:trPr>
        <w:tc>
          <w:tcPr>
            <w:tcW w:w="2593" w:type="pct"/>
            <w:tcBorders>
              <w:top w:val="nil"/>
              <w:left w:val="nil"/>
              <w:bottom w:val="nil"/>
              <w:right w:val="nil"/>
            </w:tcBorders>
            <w:shd w:val="clear" w:color="auto" w:fill="auto"/>
            <w:noWrap/>
            <w:vAlign w:val="bottom"/>
            <w:hideMark/>
          </w:tcPr>
          <w:p w14:paraId="5CEFA967" w14:textId="77777777" w:rsidR="004567F7" w:rsidRPr="00BF4B27" w:rsidRDefault="004567F7" w:rsidP="00144775">
            <w:pPr>
              <w:spacing w:after="0" w:line="240" w:lineRule="auto"/>
              <w:ind w:firstLineChars="200" w:firstLine="400"/>
              <w:jc w:val="left"/>
              <w:rPr>
                <w:rFonts w:eastAsia="Times New Roman" w:cs="Times New Roman"/>
                <w:sz w:val="20"/>
                <w:szCs w:val="20"/>
                <w:lang w:eastAsia="sk-SK"/>
              </w:rPr>
            </w:pPr>
            <w:r w:rsidRPr="00BF4B27">
              <w:rPr>
                <w:rFonts w:eastAsia="Times New Roman" w:cs="Times New Roman"/>
                <w:sz w:val="20"/>
                <w:szCs w:val="20"/>
                <w:lang w:eastAsia="sk-SK"/>
              </w:rPr>
              <w:t>Príspevkové organizácie VÚC</w:t>
            </w:r>
          </w:p>
        </w:tc>
        <w:tc>
          <w:tcPr>
            <w:tcW w:w="615" w:type="pct"/>
            <w:tcBorders>
              <w:top w:val="nil"/>
              <w:left w:val="nil"/>
              <w:bottom w:val="nil"/>
              <w:right w:val="nil"/>
            </w:tcBorders>
            <w:shd w:val="clear" w:color="auto" w:fill="auto"/>
            <w:noWrap/>
            <w:vAlign w:val="bottom"/>
            <w:hideMark/>
          </w:tcPr>
          <w:p w14:paraId="7142BCA4"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1 040</w:t>
            </w:r>
          </w:p>
        </w:tc>
        <w:tc>
          <w:tcPr>
            <w:tcW w:w="615" w:type="pct"/>
            <w:tcBorders>
              <w:top w:val="nil"/>
              <w:left w:val="nil"/>
              <w:bottom w:val="nil"/>
              <w:right w:val="nil"/>
            </w:tcBorders>
            <w:shd w:val="clear" w:color="auto" w:fill="auto"/>
            <w:noWrap/>
            <w:vAlign w:val="bottom"/>
            <w:hideMark/>
          </w:tcPr>
          <w:p w14:paraId="284BD2D2"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684</w:t>
            </w:r>
          </w:p>
        </w:tc>
        <w:tc>
          <w:tcPr>
            <w:tcW w:w="615" w:type="pct"/>
            <w:tcBorders>
              <w:top w:val="nil"/>
              <w:left w:val="nil"/>
              <w:bottom w:val="nil"/>
              <w:right w:val="nil"/>
            </w:tcBorders>
            <w:shd w:val="clear" w:color="auto" w:fill="auto"/>
            <w:noWrap/>
            <w:vAlign w:val="bottom"/>
            <w:hideMark/>
          </w:tcPr>
          <w:p w14:paraId="7FE383D9"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612</w:t>
            </w:r>
          </w:p>
        </w:tc>
        <w:tc>
          <w:tcPr>
            <w:tcW w:w="562" w:type="pct"/>
            <w:tcBorders>
              <w:top w:val="nil"/>
              <w:left w:val="nil"/>
              <w:bottom w:val="nil"/>
              <w:right w:val="nil"/>
            </w:tcBorders>
            <w:shd w:val="clear" w:color="auto" w:fill="auto"/>
            <w:noWrap/>
            <w:vAlign w:val="bottom"/>
            <w:hideMark/>
          </w:tcPr>
          <w:p w14:paraId="56461990"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-72</w:t>
            </w:r>
          </w:p>
        </w:tc>
      </w:tr>
      <w:tr w:rsidR="004567F7" w:rsidRPr="00BF4B27" w14:paraId="4EFB76FD" w14:textId="77777777" w:rsidTr="002C09C6">
        <w:trPr>
          <w:trHeight w:val="300"/>
        </w:trPr>
        <w:tc>
          <w:tcPr>
            <w:tcW w:w="2593" w:type="pct"/>
            <w:tcBorders>
              <w:top w:val="nil"/>
              <w:left w:val="nil"/>
              <w:bottom w:val="nil"/>
              <w:right w:val="nil"/>
            </w:tcBorders>
            <w:shd w:val="clear" w:color="auto" w:fill="auto"/>
            <w:noWrap/>
            <w:vAlign w:val="bottom"/>
            <w:hideMark/>
          </w:tcPr>
          <w:p w14:paraId="363C4E4A" w14:textId="77777777" w:rsidR="004567F7" w:rsidRPr="00BF4B27" w:rsidRDefault="004567F7" w:rsidP="00144775">
            <w:pPr>
              <w:spacing w:after="0" w:line="240" w:lineRule="auto"/>
              <w:ind w:firstLineChars="200" w:firstLine="400"/>
              <w:jc w:val="left"/>
              <w:rPr>
                <w:rFonts w:eastAsia="Times New Roman" w:cs="Times New Roman"/>
                <w:sz w:val="20"/>
                <w:szCs w:val="20"/>
                <w:lang w:eastAsia="sk-SK"/>
              </w:rPr>
            </w:pPr>
            <w:r w:rsidRPr="00BF4B27">
              <w:rPr>
                <w:rFonts w:eastAsia="Times New Roman" w:cs="Times New Roman"/>
                <w:sz w:val="20"/>
                <w:szCs w:val="20"/>
                <w:lang w:eastAsia="sk-SK"/>
              </w:rPr>
              <w:t>Dopravné podniky</w:t>
            </w:r>
          </w:p>
        </w:tc>
        <w:tc>
          <w:tcPr>
            <w:tcW w:w="615" w:type="pct"/>
            <w:tcBorders>
              <w:top w:val="nil"/>
              <w:left w:val="nil"/>
              <w:bottom w:val="nil"/>
              <w:right w:val="nil"/>
            </w:tcBorders>
            <w:shd w:val="clear" w:color="auto" w:fill="auto"/>
            <w:noWrap/>
            <w:vAlign w:val="bottom"/>
            <w:hideMark/>
          </w:tcPr>
          <w:p w14:paraId="42944CDE"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82 153</w:t>
            </w:r>
          </w:p>
        </w:tc>
        <w:tc>
          <w:tcPr>
            <w:tcW w:w="615" w:type="pct"/>
            <w:tcBorders>
              <w:top w:val="nil"/>
              <w:left w:val="nil"/>
              <w:bottom w:val="nil"/>
              <w:right w:val="nil"/>
            </w:tcBorders>
            <w:shd w:val="clear" w:color="auto" w:fill="auto"/>
            <w:noWrap/>
            <w:vAlign w:val="bottom"/>
            <w:hideMark/>
          </w:tcPr>
          <w:p w14:paraId="4E55AE46"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79 721</w:t>
            </w:r>
          </w:p>
        </w:tc>
        <w:tc>
          <w:tcPr>
            <w:tcW w:w="615" w:type="pct"/>
            <w:tcBorders>
              <w:top w:val="nil"/>
              <w:left w:val="nil"/>
              <w:bottom w:val="nil"/>
              <w:right w:val="nil"/>
            </w:tcBorders>
            <w:shd w:val="clear" w:color="auto" w:fill="auto"/>
            <w:noWrap/>
            <w:vAlign w:val="bottom"/>
            <w:hideMark/>
          </w:tcPr>
          <w:p w14:paraId="480B9429"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75 780</w:t>
            </w:r>
          </w:p>
        </w:tc>
        <w:tc>
          <w:tcPr>
            <w:tcW w:w="562" w:type="pct"/>
            <w:tcBorders>
              <w:top w:val="nil"/>
              <w:left w:val="nil"/>
              <w:bottom w:val="nil"/>
              <w:right w:val="nil"/>
            </w:tcBorders>
            <w:shd w:val="clear" w:color="auto" w:fill="auto"/>
            <w:noWrap/>
            <w:vAlign w:val="bottom"/>
            <w:hideMark/>
          </w:tcPr>
          <w:p w14:paraId="7F3FD5D6"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-3 941</w:t>
            </w:r>
          </w:p>
        </w:tc>
      </w:tr>
      <w:tr w:rsidR="004567F7" w:rsidRPr="00BF4B27" w14:paraId="7E46AD1F" w14:textId="77777777" w:rsidTr="002C09C6">
        <w:trPr>
          <w:trHeight w:val="300"/>
        </w:trPr>
        <w:tc>
          <w:tcPr>
            <w:tcW w:w="2593" w:type="pct"/>
            <w:tcBorders>
              <w:top w:val="nil"/>
              <w:left w:val="nil"/>
              <w:bottom w:val="nil"/>
              <w:right w:val="nil"/>
            </w:tcBorders>
            <w:shd w:val="clear" w:color="auto" w:fill="auto"/>
            <w:noWrap/>
            <w:vAlign w:val="bottom"/>
            <w:hideMark/>
          </w:tcPr>
          <w:p w14:paraId="2010B8AE" w14:textId="77777777" w:rsidR="004567F7" w:rsidRPr="00BF4B27" w:rsidRDefault="004567F7" w:rsidP="00144775">
            <w:pPr>
              <w:spacing w:after="0" w:line="240" w:lineRule="auto"/>
              <w:ind w:firstLineChars="200" w:firstLine="400"/>
              <w:jc w:val="left"/>
              <w:rPr>
                <w:rFonts w:eastAsia="Times New Roman" w:cs="Times New Roman"/>
                <w:sz w:val="20"/>
                <w:szCs w:val="20"/>
                <w:lang w:eastAsia="sk-SK"/>
              </w:rPr>
            </w:pPr>
            <w:r w:rsidRPr="00BF4B27">
              <w:rPr>
                <w:rFonts w:eastAsia="Times New Roman" w:cs="Times New Roman"/>
                <w:sz w:val="20"/>
                <w:szCs w:val="20"/>
                <w:lang w:eastAsia="sk-SK"/>
              </w:rPr>
              <w:t>Zdravotnícke zariadenia miestnej samosprávy</w:t>
            </w:r>
          </w:p>
        </w:tc>
        <w:tc>
          <w:tcPr>
            <w:tcW w:w="615" w:type="pct"/>
            <w:tcBorders>
              <w:top w:val="nil"/>
              <w:left w:val="nil"/>
              <w:bottom w:val="nil"/>
              <w:right w:val="nil"/>
            </w:tcBorders>
            <w:shd w:val="clear" w:color="auto" w:fill="auto"/>
            <w:noWrap/>
            <w:vAlign w:val="bottom"/>
            <w:hideMark/>
          </w:tcPr>
          <w:p w14:paraId="3C89ACD9"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1 257</w:t>
            </w:r>
          </w:p>
        </w:tc>
        <w:tc>
          <w:tcPr>
            <w:tcW w:w="615" w:type="pct"/>
            <w:tcBorders>
              <w:top w:val="nil"/>
              <w:left w:val="nil"/>
              <w:bottom w:val="nil"/>
              <w:right w:val="nil"/>
            </w:tcBorders>
            <w:shd w:val="clear" w:color="auto" w:fill="auto"/>
            <w:noWrap/>
            <w:vAlign w:val="bottom"/>
            <w:hideMark/>
          </w:tcPr>
          <w:p w14:paraId="08B8DF2C" w14:textId="3B214AA1" w:rsidR="004567F7" w:rsidRPr="00BF4B27" w:rsidRDefault="004567F7" w:rsidP="00F9390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 xml:space="preserve">1 </w:t>
            </w:r>
            <w:r w:rsidR="00F93905" w:rsidRPr="00BF4B27">
              <w:rPr>
                <w:rFonts w:eastAsia="Times New Roman" w:cs="Times New Roman"/>
                <w:sz w:val="20"/>
                <w:szCs w:val="20"/>
                <w:lang w:eastAsia="sk-SK"/>
              </w:rPr>
              <w:t>075</w:t>
            </w:r>
          </w:p>
        </w:tc>
        <w:tc>
          <w:tcPr>
            <w:tcW w:w="615" w:type="pct"/>
            <w:tcBorders>
              <w:top w:val="nil"/>
              <w:left w:val="nil"/>
              <w:bottom w:val="nil"/>
              <w:right w:val="nil"/>
            </w:tcBorders>
            <w:shd w:val="clear" w:color="auto" w:fill="auto"/>
            <w:noWrap/>
            <w:vAlign w:val="bottom"/>
            <w:hideMark/>
          </w:tcPr>
          <w:p w14:paraId="37564266"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3 471</w:t>
            </w:r>
          </w:p>
        </w:tc>
        <w:tc>
          <w:tcPr>
            <w:tcW w:w="562" w:type="pct"/>
            <w:tcBorders>
              <w:top w:val="nil"/>
              <w:left w:val="nil"/>
              <w:bottom w:val="nil"/>
              <w:right w:val="nil"/>
            </w:tcBorders>
            <w:shd w:val="clear" w:color="auto" w:fill="auto"/>
            <w:noWrap/>
            <w:vAlign w:val="bottom"/>
            <w:hideMark/>
          </w:tcPr>
          <w:p w14:paraId="033E0B5D" w14:textId="21EB4CDB" w:rsidR="004567F7" w:rsidRPr="00BF4B27" w:rsidRDefault="004567F7" w:rsidP="00F9390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 xml:space="preserve">2 </w:t>
            </w:r>
            <w:r w:rsidR="00F93905" w:rsidRPr="00BF4B27">
              <w:rPr>
                <w:rFonts w:eastAsia="Times New Roman" w:cs="Times New Roman"/>
                <w:sz w:val="20"/>
                <w:szCs w:val="20"/>
                <w:lang w:eastAsia="sk-SK"/>
              </w:rPr>
              <w:t>396</w:t>
            </w:r>
          </w:p>
        </w:tc>
      </w:tr>
      <w:tr w:rsidR="004567F7" w:rsidRPr="00BF4B27" w14:paraId="30942790" w14:textId="77777777" w:rsidTr="002C09C6">
        <w:trPr>
          <w:trHeight w:val="300"/>
        </w:trPr>
        <w:tc>
          <w:tcPr>
            <w:tcW w:w="2593" w:type="pct"/>
            <w:tcBorders>
              <w:top w:val="nil"/>
              <w:left w:val="nil"/>
              <w:bottom w:val="nil"/>
              <w:right w:val="nil"/>
            </w:tcBorders>
            <w:shd w:val="clear" w:color="auto" w:fill="auto"/>
            <w:noWrap/>
            <w:vAlign w:val="bottom"/>
            <w:hideMark/>
          </w:tcPr>
          <w:p w14:paraId="786C8342" w14:textId="77777777" w:rsidR="004567F7" w:rsidRPr="00BF4B27" w:rsidRDefault="004567F7" w:rsidP="00144775">
            <w:pPr>
              <w:spacing w:after="0" w:line="240" w:lineRule="auto"/>
              <w:ind w:firstLineChars="200" w:firstLine="400"/>
              <w:jc w:val="left"/>
              <w:rPr>
                <w:rFonts w:eastAsia="Times New Roman" w:cs="Times New Roman"/>
                <w:sz w:val="20"/>
                <w:szCs w:val="20"/>
                <w:lang w:eastAsia="sk-SK"/>
              </w:rPr>
            </w:pPr>
            <w:r w:rsidRPr="00BF4B27">
              <w:rPr>
                <w:rFonts w:eastAsia="Times New Roman" w:cs="Times New Roman"/>
                <w:sz w:val="20"/>
                <w:szCs w:val="20"/>
                <w:lang w:eastAsia="sk-SK"/>
              </w:rPr>
              <w:t>Ostatné subjekty miestnej samosprávy</w:t>
            </w:r>
          </w:p>
        </w:tc>
        <w:tc>
          <w:tcPr>
            <w:tcW w:w="615" w:type="pct"/>
            <w:tcBorders>
              <w:top w:val="nil"/>
              <w:left w:val="nil"/>
              <w:bottom w:val="nil"/>
              <w:right w:val="nil"/>
            </w:tcBorders>
            <w:shd w:val="clear" w:color="auto" w:fill="auto"/>
            <w:noWrap/>
            <w:vAlign w:val="bottom"/>
            <w:hideMark/>
          </w:tcPr>
          <w:p w14:paraId="75F47BA0"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5 082</w:t>
            </w:r>
          </w:p>
        </w:tc>
        <w:tc>
          <w:tcPr>
            <w:tcW w:w="615" w:type="pct"/>
            <w:tcBorders>
              <w:top w:val="nil"/>
              <w:left w:val="nil"/>
              <w:bottom w:val="nil"/>
              <w:right w:val="nil"/>
            </w:tcBorders>
            <w:shd w:val="clear" w:color="auto" w:fill="auto"/>
            <w:noWrap/>
            <w:vAlign w:val="bottom"/>
            <w:hideMark/>
          </w:tcPr>
          <w:p w14:paraId="3F37A4AF"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3 794</w:t>
            </w:r>
          </w:p>
        </w:tc>
        <w:tc>
          <w:tcPr>
            <w:tcW w:w="615" w:type="pct"/>
            <w:tcBorders>
              <w:top w:val="nil"/>
              <w:left w:val="nil"/>
              <w:bottom w:val="nil"/>
              <w:right w:val="nil"/>
            </w:tcBorders>
            <w:shd w:val="clear" w:color="auto" w:fill="auto"/>
            <w:noWrap/>
            <w:vAlign w:val="bottom"/>
            <w:hideMark/>
          </w:tcPr>
          <w:p w14:paraId="54B59548"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2 506</w:t>
            </w:r>
          </w:p>
        </w:tc>
        <w:tc>
          <w:tcPr>
            <w:tcW w:w="562" w:type="pct"/>
            <w:tcBorders>
              <w:top w:val="nil"/>
              <w:left w:val="nil"/>
              <w:bottom w:val="nil"/>
              <w:right w:val="nil"/>
            </w:tcBorders>
            <w:shd w:val="clear" w:color="auto" w:fill="auto"/>
            <w:noWrap/>
            <w:vAlign w:val="bottom"/>
            <w:hideMark/>
          </w:tcPr>
          <w:p w14:paraId="552CBE7A"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-1 288</w:t>
            </w:r>
          </w:p>
        </w:tc>
      </w:tr>
      <w:tr w:rsidR="004567F7" w:rsidRPr="00BF4B27" w14:paraId="7B9622E2" w14:textId="77777777" w:rsidTr="002C09C6">
        <w:trPr>
          <w:trHeight w:val="300"/>
        </w:trPr>
        <w:tc>
          <w:tcPr>
            <w:tcW w:w="2593" w:type="pct"/>
            <w:tcBorders>
              <w:top w:val="nil"/>
              <w:left w:val="nil"/>
              <w:bottom w:val="nil"/>
              <w:right w:val="nil"/>
            </w:tcBorders>
            <w:shd w:val="clear" w:color="auto" w:fill="auto"/>
            <w:noWrap/>
            <w:vAlign w:val="bottom"/>
            <w:hideMark/>
          </w:tcPr>
          <w:p w14:paraId="3EBE7F9A" w14:textId="77777777" w:rsidR="004567F7" w:rsidRPr="00BF4B27" w:rsidRDefault="004567F7" w:rsidP="00144775">
            <w:pPr>
              <w:spacing w:after="0" w:line="240" w:lineRule="auto"/>
              <w:jc w:val="left"/>
              <w:rPr>
                <w:rFonts w:eastAsia="Times New Roman" w:cs="Times New Roman"/>
                <w:b/>
                <w:bCs/>
                <w:sz w:val="20"/>
                <w:szCs w:val="20"/>
                <w:lang w:eastAsia="sk-SK"/>
              </w:rPr>
            </w:pPr>
            <w:r w:rsidRPr="00BF4B27">
              <w:rPr>
                <w:rFonts w:eastAsia="Times New Roman" w:cs="Times New Roman"/>
                <w:b/>
                <w:bCs/>
                <w:sz w:val="20"/>
                <w:szCs w:val="20"/>
                <w:lang w:eastAsia="sk-SK"/>
              </w:rPr>
              <w:t>Fondy sociálneho zabezpečenia</w:t>
            </w:r>
          </w:p>
        </w:tc>
        <w:tc>
          <w:tcPr>
            <w:tcW w:w="615" w:type="pct"/>
            <w:tcBorders>
              <w:top w:val="nil"/>
              <w:left w:val="nil"/>
              <w:bottom w:val="nil"/>
              <w:right w:val="nil"/>
            </w:tcBorders>
            <w:shd w:val="clear" w:color="auto" w:fill="auto"/>
            <w:noWrap/>
            <w:vAlign w:val="bottom"/>
            <w:hideMark/>
          </w:tcPr>
          <w:p w14:paraId="2D320AF1" w14:textId="77777777" w:rsidR="004567F7" w:rsidRPr="00BF4B27" w:rsidRDefault="004567F7" w:rsidP="00144775">
            <w:pPr>
              <w:spacing w:after="0" w:line="240" w:lineRule="auto"/>
              <w:jc w:val="left"/>
              <w:rPr>
                <w:rFonts w:eastAsia="Times New Roman" w:cs="Times New Roman"/>
                <w:b/>
                <w:bCs/>
                <w:sz w:val="20"/>
                <w:szCs w:val="20"/>
                <w:lang w:eastAsia="sk-SK"/>
              </w:rPr>
            </w:pPr>
          </w:p>
        </w:tc>
        <w:tc>
          <w:tcPr>
            <w:tcW w:w="615" w:type="pct"/>
            <w:tcBorders>
              <w:top w:val="nil"/>
              <w:left w:val="nil"/>
              <w:bottom w:val="nil"/>
              <w:right w:val="nil"/>
            </w:tcBorders>
            <w:shd w:val="clear" w:color="auto" w:fill="auto"/>
            <w:noWrap/>
            <w:vAlign w:val="bottom"/>
            <w:hideMark/>
          </w:tcPr>
          <w:p w14:paraId="73DA8AC7" w14:textId="77777777" w:rsidR="004567F7" w:rsidRPr="00BF4B27" w:rsidRDefault="004567F7" w:rsidP="00144775">
            <w:pPr>
              <w:spacing w:after="0" w:line="240" w:lineRule="auto"/>
              <w:jc w:val="left"/>
              <w:rPr>
                <w:rFonts w:eastAsia="Times New Roman" w:cs="Times New Roman"/>
                <w:sz w:val="20"/>
                <w:szCs w:val="20"/>
                <w:lang w:eastAsia="sk-SK"/>
              </w:rPr>
            </w:pPr>
          </w:p>
        </w:tc>
        <w:tc>
          <w:tcPr>
            <w:tcW w:w="615" w:type="pct"/>
            <w:tcBorders>
              <w:top w:val="nil"/>
              <w:left w:val="nil"/>
              <w:bottom w:val="nil"/>
              <w:right w:val="nil"/>
            </w:tcBorders>
            <w:shd w:val="clear" w:color="auto" w:fill="auto"/>
            <w:noWrap/>
            <w:vAlign w:val="bottom"/>
            <w:hideMark/>
          </w:tcPr>
          <w:p w14:paraId="220ADC38" w14:textId="77777777" w:rsidR="004567F7" w:rsidRPr="00BF4B27" w:rsidRDefault="004567F7" w:rsidP="00144775">
            <w:pPr>
              <w:spacing w:after="0" w:line="240" w:lineRule="auto"/>
              <w:jc w:val="left"/>
              <w:rPr>
                <w:rFonts w:eastAsia="Times New Roman" w:cs="Times New Roman"/>
                <w:sz w:val="20"/>
                <w:szCs w:val="20"/>
                <w:lang w:eastAsia="sk-SK"/>
              </w:rPr>
            </w:pPr>
          </w:p>
        </w:tc>
        <w:tc>
          <w:tcPr>
            <w:tcW w:w="562" w:type="pct"/>
            <w:tcBorders>
              <w:top w:val="nil"/>
              <w:left w:val="nil"/>
              <w:bottom w:val="nil"/>
              <w:right w:val="nil"/>
            </w:tcBorders>
            <w:shd w:val="clear" w:color="auto" w:fill="auto"/>
            <w:noWrap/>
            <w:vAlign w:val="bottom"/>
            <w:hideMark/>
          </w:tcPr>
          <w:p w14:paraId="15AF27CA" w14:textId="77777777" w:rsidR="004567F7" w:rsidRPr="00BF4B27" w:rsidRDefault="004567F7" w:rsidP="00144775">
            <w:pPr>
              <w:spacing w:after="0" w:line="240" w:lineRule="auto"/>
              <w:jc w:val="left"/>
              <w:rPr>
                <w:rFonts w:eastAsia="Times New Roman" w:cs="Times New Roman"/>
                <w:sz w:val="20"/>
                <w:szCs w:val="20"/>
                <w:lang w:eastAsia="sk-SK"/>
              </w:rPr>
            </w:pPr>
          </w:p>
        </w:tc>
      </w:tr>
      <w:tr w:rsidR="004567F7" w:rsidRPr="00BF4B27" w14:paraId="727E5E17" w14:textId="77777777" w:rsidTr="002C09C6">
        <w:trPr>
          <w:trHeight w:val="300"/>
        </w:trPr>
        <w:tc>
          <w:tcPr>
            <w:tcW w:w="2593" w:type="pct"/>
            <w:tcBorders>
              <w:top w:val="nil"/>
              <w:left w:val="nil"/>
              <w:bottom w:val="nil"/>
              <w:right w:val="nil"/>
            </w:tcBorders>
            <w:shd w:val="clear" w:color="auto" w:fill="auto"/>
            <w:noWrap/>
            <w:vAlign w:val="bottom"/>
            <w:hideMark/>
          </w:tcPr>
          <w:p w14:paraId="49C52246" w14:textId="77777777" w:rsidR="004567F7" w:rsidRPr="00BF4B27" w:rsidRDefault="004567F7" w:rsidP="00144775">
            <w:pPr>
              <w:spacing w:after="0" w:line="240" w:lineRule="auto"/>
              <w:ind w:firstLineChars="200" w:firstLine="400"/>
              <w:jc w:val="left"/>
              <w:rPr>
                <w:rFonts w:eastAsia="Times New Roman" w:cs="Times New Roman"/>
                <w:sz w:val="20"/>
                <w:szCs w:val="20"/>
                <w:lang w:eastAsia="sk-SK"/>
              </w:rPr>
            </w:pPr>
            <w:r w:rsidRPr="00BF4B27">
              <w:rPr>
                <w:rFonts w:eastAsia="Times New Roman" w:cs="Times New Roman"/>
                <w:sz w:val="20"/>
                <w:szCs w:val="20"/>
                <w:lang w:eastAsia="sk-SK"/>
              </w:rPr>
              <w:t>Sociálna poisťovňa</w:t>
            </w:r>
          </w:p>
        </w:tc>
        <w:tc>
          <w:tcPr>
            <w:tcW w:w="615" w:type="pct"/>
            <w:tcBorders>
              <w:top w:val="nil"/>
              <w:left w:val="nil"/>
              <w:bottom w:val="nil"/>
              <w:right w:val="nil"/>
            </w:tcBorders>
            <w:shd w:val="clear" w:color="auto" w:fill="auto"/>
            <w:noWrap/>
            <w:vAlign w:val="bottom"/>
            <w:hideMark/>
          </w:tcPr>
          <w:p w14:paraId="2AC0C01B"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146</w:t>
            </w:r>
          </w:p>
        </w:tc>
        <w:tc>
          <w:tcPr>
            <w:tcW w:w="615" w:type="pct"/>
            <w:tcBorders>
              <w:top w:val="nil"/>
              <w:left w:val="nil"/>
              <w:bottom w:val="nil"/>
              <w:right w:val="nil"/>
            </w:tcBorders>
            <w:shd w:val="clear" w:color="auto" w:fill="auto"/>
            <w:noWrap/>
            <w:vAlign w:val="bottom"/>
            <w:hideMark/>
          </w:tcPr>
          <w:p w14:paraId="3F969C22"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162</w:t>
            </w:r>
          </w:p>
        </w:tc>
        <w:tc>
          <w:tcPr>
            <w:tcW w:w="615" w:type="pct"/>
            <w:tcBorders>
              <w:top w:val="nil"/>
              <w:left w:val="nil"/>
              <w:bottom w:val="nil"/>
              <w:right w:val="nil"/>
            </w:tcBorders>
            <w:shd w:val="clear" w:color="auto" w:fill="auto"/>
            <w:noWrap/>
            <w:vAlign w:val="bottom"/>
            <w:hideMark/>
          </w:tcPr>
          <w:p w14:paraId="0FF09367"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113</w:t>
            </w:r>
          </w:p>
        </w:tc>
        <w:tc>
          <w:tcPr>
            <w:tcW w:w="562" w:type="pct"/>
            <w:tcBorders>
              <w:top w:val="nil"/>
              <w:left w:val="nil"/>
              <w:bottom w:val="nil"/>
              <w:right w:val="nil"/>
            </w:tcBorders>
            <w:shd w:val="clear" w:color="auto" w:fill="auto"/>
            <w:noWrap/>
            <w:vAlign w:val="bottom"/>
            <w:hideMark/>
          </w:tcPr>
          <w:p w14:paraId="1B53A219"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-49</w:t>
            </w:r>
          </w:p>
        </w:tc>
      </w:tr>
      <w:tr w:rsidR="004567F7" w:rsidRPr="00BF4B27" w14:paraId="36EBA68F" w14:textId="77777777" w:rsidTr="002C09C6">
        <w:trPr>
          <w:trHeight w:val="300"/>
        </w:trPr>
        <w:tc>
          <w:tcPr>
            <w:tcW w:w="2593" w:type="pct"/>
            <w:tcBorders>
              <w:top w:val="nil"/>
              <w:left w:val="nil"/>
              <w:bottom w:val="nil"/>
              <w:right w:val="nil"/>
            </w:tcBorders>
            <w:shd w:val="clear" w:color="auto" w:fill="auto"/>
            <w:noWrap/>
            <w:vAlign w:val="bottom"/>
            <w:hideMark/>
          </w:tcPr>
          <w:p w14:paraId="74EC7D5B" w14:textId="77777777" w:rsidR="004567F7" w:rsidRPr="00BF4B27" w:rsidRDefault="004567F7" w:rsidP="00144775">
            <w:pPr>
              <w:spacing w:after="0" w:line="240" w:lineRule="auto"/>
              <w:ind w:firstLineChars="200" w:firstLine="400"/>
              <w:jc w:val="left"/>
              <w:rPr>
                <w:rFonts w:eastAsia="Times New Roman" w:cs="Times New Roman"/>
                <w:sz w:val="20"/>
                <w:szCs w:val="20"/>
                <w:lang w:eastAsia="sk-SK"/>
              </w:rPr>
            </w:pPr>
            <w:r w:rsidRPr="00BF4B27">
              <w:rPr>
                <w:rFonts w:eastAsia="Times New Roman" w:cs="Times New Roman"/>
                <w:sz w:val="20"/>
                <w:szCs w:val="20"/>
                <w:lang w:eastAsia="sk-SK"/>
              </w:rPr>
              <w:t>Verejné zdravotné poistenie</w:t>
            </w:r>
          </w:p>
        </w:tc>
        <w:tc>
          <w:tcPr>
            <w:tcW w:w="615" w:type="pct"/>
            <w:tcBorders>
              <w:top w:val="nil"/>
              <w:left w:val="nil"/>
              <w:bottom w:val="nil"/>
              <w:right w:val="nil"/>
            </w:tcBorders>
            <w:shd w:val="clear" w:color="auto" w:fill="auto"/>
            <w:noWrap/>
            <w:vAlign w:val="bottom"/>
            <w:hideMark/>
          </w:tcPr>
          <w:p w14:paraId="2F920691"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265</w:t>
            </w:r>
          </w:p>
        </w:tc>
        <w:tc>
          <w:tcPr>
            <w:tcW w:w="615" w:type="pct"/>
            <w:tcBorders>
              <w:top w:val="nil"/>
              <w:left w:val="nil"/>
              <w:bottom w:val="nil"/>
              <w:right w:val="nil"/>
            </w:tcBorders>
            <w:shd w:val="clear" w:color="auto" w:fill="auto"/>
            <w:noWrap/>
            <w:vAlign w:val="bottom"/>
            <w:hideMark/>
          </w:tcPr>
          <w:p w14:paraId="1012C1EB"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736</w:t>
            </w:r>
          </w:p>
        </w:tc>
        <w:tc>
          <w:tcPr>
            <w:tcW w:w="615" w:type="pct"/>
            <w:tcBorders>
              <w:top w:val="nil"/>
              <w:left w:val="nil"/>
              <w:bottom w:val="nil"/>
              <w:right w:val="nil"/>
            </w:tcBorders>
            <w:shd w:val="clear" w:color="auto" w:fill="auto"/>
            <w:noWrap/>
            <w:vAlign w:val="bottom"/>
            <w:hideMark/>
          </w:tcPr>
          <w:p w14:paraId="3AA614A9"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144</w:t>
            </w:r>
          </w:p>
        </w:tc>
        <w:tc>
          <w:tcPr>
            <w:tcW w:w="562" w:type="pct"/>
            <w:tcBorders>
              <w:top w:val="nil"/>
              <w:left w:val="nil"/>
              <w:bottom w:val="nil"/>
              <w:right w:val="nil"/>
            </w:tcBorders>
            <w:shd w:val="clear" w:color="auto" w:fill="auto"/>
            <w:noWrap/>
            <w:vAlign w:val="bottom"/>
            <w:hideMark/>
          </w:tcPr>
          <w:p w14:paraId="10736B64"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-592</w:t>
            </w:r>
          </w:p>
        </w:tc>
      </w:tr>
      <w:tr w:rsidR="004567F7" w:rsidRPr="00BF4B27" w14:paraId="1CD9B539" w14:textId="77777777" w:rsidTr="002C09C6">
        <w:trPr>
          <w:trHeight w:val="300"/>
        </w:trPr>
        <w:tc>
          <w:tcPr>
            <w:tcW w:w="2593" w:type="pct"/>
            <w:tcBorders>
              <w:top w:val="nil"/>
              <w:left w:val="nil"/>
              <w:bottom w:val="nil"/>
              <w:right w:val="nil"/>
            </w:tcBorders>
            <w:shd w:val="clear" w:color="auto" w:fill="auto"/>
            <w:noWrap/>
            <w:vAlign w:val="bottom"/>
            <w:hideMark/>
          </w:tcPr>
          <w:p w14:paraId="09617D84" w14:textId="77777777" w:rsidR="004567F7" w:rsidRPr="00BF4B27" w:rsidRDefault="004567F7" w:rsidP="00144775">
            <w:pPr>
              <w:spacing w:after="0" w:line="240" w:lineRule="auto"/>
              <w:jc w:val="left"/>
              <w:rPr>
                <w:rFonts w:eastAsia="Times New Roman" w:cs="Times New Roman"/>
                <w:b/>
                <w:bCs/>
                <w:sz w:val="20"/>
                <w:szCs w:val="20"/>
                <w:lang w:eastAsia="sk-SK"/>
              </w:rPr>
            </w:pPr>
            <w:r w:rsidRPr="00BF4B27">
              <w:rPr>
                <w:rFonts w:eastAsia="Times New Roman" w:cs="Times New Roman"/>
                <w:b/>
                <w:bCs/>
                <w:sz w:val="20"/>
                <w:szCs w:val="20"/>
                <w:lang w:eastAsia="sk-SK"/>
              </w:rPr>
              <w:t>Verejná správa spolu</w:t>
            </w:r>
          </w:p>
        </w:tc>
        <w:tc>
          <w:tcPr>
            <w:tcW w:w="615" w:type="pct"/>
            <w:tcBorders>
              <w:top w:val="nil"/>
              <w:left w:val="nil"/>
              <w:bottom w:val="nil"/>
              <w:right w:val="nil"/>
            </w:tcBorders>
            <w:shd w:val="clear" w:color="auto" w:fill="auto"/>
            <w:noWrap/>
            <w:vAlign w:val="bottom"/>
            <w:hideMark/>
          </w:tcPr>
          <w:p w14:paraId="7C18E1F4" w14:textId="77777777" w:rsidR="004567F7" w:rsidRPr="00BF4B27" w:rsidRDefault="004567F7" w:rsidP="00144775">
            <w:pPr>
              <w:spacing w:after="0" w:line="240" w:lineRule="auto"/>
              <w:jc w:val="right"/>
              <w:rPr>
                <w:rFonts w:eastAsia="Times New Roman" w:cs="Times New Roman"/>
                <w:b/>
                <w:bCs/>
                <w:sz w:val="20"/>
                <w:szCs w:val="20"/>
                <w:lang w:eastAsia="sk-SK"/>
              </w:rPr>
            </w:pPr>
            <w:r w:rsidRPr="00BF4B27">
              <w:rPr>
                <w:rFonts w:eastAsia="Times New Roman" w:cs="Times New Roman"/>
                <w:b/>
                <w:bCs/>
                <w:sz w:val="20"/>
                <w:szCs w:val="20"/>
                <w:lang w:eastAsia="sk-SK"/>
              </w:rPr>
              <w:t>43 644 853</w:t>
            </w:r>
          </w:p>
        </w:tc>
        <w:tc>
          <w:tcPr>
            <w:tcW w:w="615" w:type="pct"/>
            <w:tcBorders>
              <w:top w:val="nil"/>
              <w:left w:val="nil"/>
              <w:bottom w:val="nil"/>
              <w:right w:val="nil"/>
            </w:tcBorders>
            <w:shd w:val="clear" w:color="auto" w:fill="auto"/>
            <w:noWrap/>
            <w:vAlign w:val="bottom"/>
            <w:hideMark/>
          </w:tcPr>
          <w:p w14:paraId="61A145E6" w14:textId="0F059B11" w:rsidR="004567F7" w:rsidRPr="00BF4B27" w:rsidRDefault="004567F7" w:rsidP="00F93905">
            <w:pPr>
              <w:spacing w:after="0" w:line="240" w:lineRule="auto"/>
              <w:jc w:val="right"/>
              <w:rPr>
                <w:rFonts w:eastAsia="Times New Roman" w:cs="Times New Roman"/>
                <w:b/>
                <w:bCs/>
                <w:sz w:val="20"/>
                <w:szCs w:val="20"/>
                <w:lang w:eastAsia="sk-SK"/>
              </w:rPr>
            </w:pPr>
            <w:r w:rsidRPr="00BF4B27">
              <w:rPr>
                <w:rFonts w:eastAsia="Times New Roman" w:cs="Times New Roman"/>
                <w:b/>
                <w:bCs/>
                <w:sz w:val="20"/>
                <w:szCs w:val="20"/>
                <w:lang w:eastAsia="sk-SK"/>
              </w:rPr>
              <w:t xml:space="preserve">44 </w:t>
            </w:r>
            <w:r w:rsidR="00F93905" w:rsidRPr="00BF4B27">
              <w:rPr>
                <w:rFonts w:eastAsia="Times New Roman" w:cs="Times New Roman"/>
                <w:b/>
                <w:bCs/>
                <w:sz w:val="20"/>
                <w:szCs w:val="20"/>
                <w:lang w:eastAsia="sk-SK"/>
              </w:rPr>
              <w:t>712</w:t>
            </w:r>
            <w:r w:rsidRPr="00BF4B27">
              <w:rPr>
                <w:rFonts w:eastAsia="Times New Roman" w:cs="Times New Roman"/>
                <w:b/>
                <w:bCs/>
                <w:sz w:val="20"/>
                <w:szCs w:val="20"/>
                <w:lang w:eastAsia="sk-SK"/>
              </w:rPr>
              <w:t xml:space="preserve"> </w:t>
            </w:r>
            <w:r w:rsidR="00F93905" w:rsidRPr="00BF4B27">
              <w:rPr>
                <w:rFonts w:eastAsia="Times New Roman" w:cs="Times New Roman"/>
                <w:b/>
                <w:bCs/>
                <w:sz w:val="20"/>
                <w:szCs w:val="20"/>
                <w:lang w:eastAsia="sk-SK"/>
              </w:rPr>
              <w:t>013</w:t>
            </w:r>
          </w:p>
        </w:tc>
        <w:tc>
          <w:tcPr>
            <w:tcW w:w="615" w:type="pct"/>
            <w:tcBorders>
              <w:top w:val="nil"/>
              <w:left w:val="nil"/>
              <w:bottom w:val="nil"/>
              <w:right w:val="nil"/>
            </w:tcBorders>
            <w:shd w:val="clear" w:color="auto" w:fill="auto"/>
            <w:noWrap/>
            <w:vAlign w:val="bottom"/>
            <w:hideMark/>
          </w:tcPr>
          <w:p w14:paraId="030376EE" w14:textId="77777777" w:rsidR="004567F7" w:rsidRPr="00BF4B27" w:rsidRDefault="004567F7" w:rsidP="00144775">
            <w:pPr>
              <w:spacing w:after="0" w:line="240" w:lineRule="auto"/>
              <w:jc w:val="right"/>
              <w:rPr>
                <w:rFonts w:eastAsia="Times New Roman" w:cs="Times New Roman"/>
                <w:b/>
                <w:bCs/>
                <w:sz w:val="20"/>
                <w:szCs w:val="20"/>
                <w:lang w:eastAsia="sk-SK"/>
              </w:rPr>
            </w:pPr>
            <w:r w:rsidRPr="00BF4B27">
              <w:rPr>
                <w:rFonts w:eastAsia="Times New Roman" w:cs="Times New Roman"/>
                <w:b/>
                <w:bCs/>
                <w:sz w:val="20"/>
                <w:szCs w:val="20"/>
                <w:lang w:eastAsia="sk-SK"/>
              </w:rPr>
              <w:t>45 566 071</w:t>
            </w:r>
          </w:p>
        </w:tc>
        <w:tc>
          <w:tcPr>
            <w:tcW w:w="562" w:type="pct"/>
            <w:tcBorders>
              <w:top w:val="nil"/>
              <w:left w:val="nil"/>
              <w:bottom w:val="nil"/>
              <w:right w:val="nil"/>
            </w:tcBorders>
            <w:shd w:val="clear" w:color="auto" w:fill="auto"/>
            <w:noWrap/>
            <w:vAlign w:val="bottom"/>
            <w:hideMark/>
          </w:tcPr>
          <w:p w14:paraId="36F62AEE" w14:textId="461BF722" w:rsidR="004567F7" w:rsidRPr="00BF4B27" w:rsidRDefault="004567F7" w:rsidP="00F93905">
            <w:pPr>
              <w:spacing w:after="0" w:line="240" w:lineRule="auto"/>
              <w:jc w:val="right"/>
              <w:rPr>
                <w:rFonts w:eastAsia="Times New Roman" w:cs="Times New Roman"/>
                <w:b/>
                <w:bCs/>
                <w:sz w:val="20"/>
                <w:szCs w:val="20"/>
                <w:lang w:eastAsia="sk-SK"/>
              </w:rPr>
            </w:pPr>
            <w:r w:rsidRPr="00BF4B27">
              <w:rPr>
                <w:rFonts w:eastAsia="Times New Roman" w:cs="Times New Roman"/>
                <w:b/>
                <w:bCs/>
                <w:sz w:val="20"/>
                <w:szCs w:val="20"/>
                <w:lang w:eastAsia="sk-SK"/>
              </w:rPr>
              <w:t xml:space="preserve">854 </w:t>
            </w:r>
            <w:r w:rsidR="00F93905" w:rsidRPr="00BF4B27">
              <w:rPr>
                <w:rFonts w:eastAsia="Times New Roman" w:cs="Times New Roman"/>
                <w:b/>
                <w:bCs/>
                <w:sz w:val="20"/>
                <w:szCs w:val="20"/>
                <w:lang w:eastAsia="sk-SK"/>
              </w:rPr>
              <w:t>058</w:t>
            </w:r>
          </w:p>
        </w:tc>
      </w:tr>
      <w:tr w:rsidR="004567F7" w:rsidRPr="00BF4B27" w14:paraId="045E0ED5" w14:textId="77777777" w:rsidTr="002C09C6">
        <w:trPr>
          <w:trHeight w:val="300"/>
        </w:trPr>
        <w:tc>
          <w:tcPr>
            <w:tcW w:w="2593" w:type="pct"/>
            <w:tcBorders>
              <w:top w:val="nil"/>
              <w:left w:val="nil"/>
              <w:bottom w:val="nil"/>
              <w:right w:val="nil"/>
            </w:tcBorders>
            <w:shd w:val="clear" w:color="auto" w:fill="auto"/>
            <w:noWrap/>
            <w:vAlign w:val="bottom"/>
            <w:hideMark/>
          </w:tcPr>
          <w:p w14:paraId="6709FE22" w14:textId="77777777" w:rsidR="004567F7" w:rsidRPr="00BF4B27" w:rsidRDefault="004567F7" w:rsidP="00144775">
            <w:pPr>
              <w:spacing w:after="0" w:line="240" w:lineRule="auto"/>
              <w:ind w:firstLineChars="200" w:firstLine="400"/>
              <w:jc w:val="left"/>
              <w:rPr>
                <w:rFonts w:eastAsia="Times New Roman" w:cs="Times New Roman"/>
                <w:i/>
                <w:iCs/>
                <w:sz w:val="20"/>
                <w:szCs w:val="20"/>
                <w:lang w:eastAsia="sk-SK"/>
              </w:rPr>
            </w:pPr>
            <w:r w:rsidRPr="00BF4B27">
              <w:rPr>
                <w:rFonts w:eastAsia="Times New Roman" w:cs="Times New Roman"/>
                <w:i/>
                <w:iCs/>
                <w:sz w:val="20"/>
                <w:szCs w:val="20"/>
                <w:lang w:eastAsia="sk-SK"/>
              </w:rPr>
              <w:t>Konsolidácia</w:t>
            </w:r>
          </w:p>
        </w:tc>
        <w:tc>
          <w:tcPr>
            <w:tcW w:w="615" w:type="pct"/>
            <w:tcBorders>
              <w:top w:val="nil"/>
              <w:left w:val="nil"/>
              <w:bottom w:val="nil"/>
              <w:right w:val="nil"/>
            </w:tcBorders>
            <w:shd w:val="clear" w:color="auto" w:fill="auto"/>
            <w:noWrap/>
            <w:vAlign w:val="bottom"/>
            <w:hideMark/>
          </w:tcPr>
          <w:p w14:paraId="0567418F"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1 591 610</w:t>
            </w:r>
          </w:p>
        </w:tc>
        <w:tc>
          <w:tcPr>
            <w:tcW w:w="615" w:type="pct"/>
            <w:tcBorders>
              <w:top w:val="nil"/>
              <w:left w:val="nil"/>
              <w:bottom w:val="nil"/>
              <w:right w:val="nil"/>
            </w:tcBorders>
            <w:shd w:val="clear" w:color="auto" w:fill="auto"/>
            <w:noWrap/>
            <w:vAlign w:val="bottom"/>
            <w:hideMark/>
          </w:tcPr>
          <w:p w14:paraId="654AD14E"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1 480 870</w:t>
            </w:r>
          </w:p>
        </w:tc>
        <w:tc>
          <w:tcPr>
            <w:tcW w:w="615" w:type="pct"/>
            <w:tcBorders>
              <w:top w:val="nil"/>
              <w:left w:val="nil"/>
              <w:bottom w:val="nil"/>
              <w:right w:val="nil"/>
            </w:tcBorders>
            <w:shd w:val="clear" w:color="auto" w:fill="auto"/>
            <w:noWrap/>
            <w:vAlign w:val="bottom"/>
            <w:hideMark/>
          </w:tcPr>
          <w:p w14:paraId="024C8CAF" w14:textId="190CE3FA" w:rsidR="004567F7" w:rsidRPr="00BF4B27" w:rsidRDefault="004567F7" w:rsidP="00F9390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 xml:space="preserve">1 </w:t>
            </w:r>
            <w:r w:rsidR="00F93905" w:rsidRPr="00BF4B27">
              <w:rPr>
                <w:rFonts w:eastAsia="Times New Roman" w:cs="Times New Roman"/>
                <w:sz w:val="20"/>
                <w:szCs w:val="20"/>
                <w:lang w:eastAsia="sk-SK"/>
              </w:rPr>
              <w:t>421</w:t>
            </w:r>
            <w:r w:rsidRPr="00BF4B27">
              <w:rPr>
                <w:rFonts w:eastAsia="Times New Roman" w:cs="Times New Roman"/>
                <w:sz w:val="20"/>
                <w:szCs w:val="20"/>
                <w:lang w:eastAsia="sk-SK"/>
              </w:rPr>
              <w:t xml:space="preserve"> </w:t>
            </w:r>
            <w:r w:rsidR="00F93905" w:rsidRPr="00BF4B27">
              <w:rPr>
                <w:rFonts w:eastAsia="Times New Roman" w:cs="Times New Roman"/>
                <w:sz w:val="20"/>
                <w:szCs w:val="20"/>
                <w:lang w:eastAsia="sk-SK"/>
              </w:rPr>
              <w:t>569</w:t>
            </w:r>
          </w:p>
        </w:tc>
        <w:tc>
          <w:tcPr>
            <w:tcW w:w="562" w:type="pct"/>
            <w:tcBorders>
              <w:top w:val="nil"/>
              <w:left w:val="nil"/>
              <w:bottom w:val="nil"/>
              <w:right w:val="nil"/>
            </w:tcBorders>
            <w:shd w:val="clear" w:color="auto" w:fill="auto"/>
            <w:noWrap/>
            <w:vAlign w:val="bottom"/>
            <w:hideMark/>
          </w:tcPr>
          <w:p w14:paraId="4DBDC5E7" w14:textId="17D3D3F8" w:rsidR="004567F7" w:rsidRPr="00BF4B27" w:rsidRDefault="004567F7" w:rsidP="00F9390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-5</w:t>
            </w:r>
            <w:r w:rsidR="00F93905" w:rsidRPr="00BF4B27">
              <w:rPr>
                <w:rFonts w:eastAsia="Times New Roman" w:cs="Times New Roman"/>
                <w:sz w:val="20"/>
                <w:szCs w:val="20"/>
                <w:lang w:eastAsia="sk-SK"/>
              </w:rPr>
              <w:t>9</w:t>
            </w:r>
            <w:r w:rsidRPr="00BF4B27">
              <w:rPr>
                <w:rFonts w:eastAsia="Times New Roman" w:cs="Times New Roman"/>
                <w:sz w:val="20"/>
                <w:szCs w:val="20"/>
                <w:lang w:eastAsia="sk-SK"/>
              </w:rPr>
              <w:t xml:space="preserve"> </w:t>
            </w:r>
            <w:r w:rsidR="00F93905" w:rsidRPr="00BF4B27">
              <w:rPr>
                <w:rFonts w:eastAsia="Times New Roman" w:cs="Times New Roman"/>
                <w:sz w:val="20"/>
                <w:szCs w:val="20"/>
                <w:lang w:eastAsia="sk-SK"/>
              </w:rPr>
              <w:t>301</w:t>
            </w:r>
          </w:p>
        </w:tc>
      </w:tr>
      <w:tr w:rsidR="004567F7" w:rsidRPr="00BF4B27" w14:paraId="691F6BD9" w14:textId="77777777" w:rsidTr="002C09C6">
        <w:trPr>
          <w:trHeight w:val="300"/>
        </w:trPr>
        <w:tc>
          <w:tcPr>
            <w:tcW w:w="2593" w:type="pct"/>
            <w:tcBorders>
              <w:top w:val="nil"/>
              <w:left w:val="nil"/>
              <w:bottom w:val="nil"/>
              <w:right w:val="nil"/>
            </w:tcBorders>
            <w:shd w:val="clear" w:color="auto" w:fill="auto"/>
            <w:noWrap/>
            <w:vAlign w:val="bottom"/>
            <w:hideMark/>
          </w:tcPr>
          <w:p w14:paraId="276BB8AE" w14:textId="77777777" w:rsidR="004567F7" w:rsidRPr="00BF4B27" w:rsidRDefault="004567F7" w:rsidP="00144775">
            <w:pPr>
              <w:spacing w:after="0" w:line="240" w:lineRule="auto"/>
              <w:ind w:firstLineChars="200" w:firstLine="400"/>
              <w:jc w:val="left"/>
              <w:rPr>
                <w:rFonts w:eastAsia="Times New Roman" w:cs="Times New Roman"/>
                <w:sz w:val="20"/>
                <w:szCs w:val="20"/>
                <w:lang w:eastAsia="sk-SK"/>
              </w:rPr>
            </w:pPr>
            <w:r w:rsidRPr="00BF4B27">
              <w:rPr>
                <w:rFonts w:eastAsia="Times New Roman" w:cs="Times New Roman"/>
                <w:sz w:val="20"/>
                <w:szCs w:val="20"/>
                <w:lang w:eastAsia="sk-SK"/>
              </w:rPr>
              <w:t>z toho: konsolidácia v skupine miestnej samosprávy</w:t>
            </w:r>
          </w:p>
        </w:tc>
        <w:tc>
          <w:tcPr>
            <w:tcW w:w="615" w:type="pct"/>
            <w:tcBorders>
              <w:top w:val="nil"/>
              <w:left w:val="nil"/>
              <w:bottom w:val="nil"/>
              <w:right w:val="nil"/>
            </w:tcBorders>
            <w:shd w:val="clear" w:color="auto" w:fill="auto"/>
            <w:noWrap/>
            <w:vAlign w:val="bottom"/>
            <w:hideMark/>
          </w:tcPr>
          <w:p w14:paraId="6A98A0A2"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744 036</w:t>
            </w:r>
          </w:p>
        </w:tc>
        <w:tc>
          <w:tcPr>
            <w:tcW w:w="615" w:type="pct"/>
            <w:tcBorders>
              <w:top w:val="nil"/>
              <w:left w:val="nil"/>
              <w:bottom w:val="nil"/>
              <w:right w:val="nil"/>
            </w:tcBorders>
            <w:shd w:val="clear" w:color="auto" w:fill="auto"/>
            <w:noWrap/>
            <w:vAlign w:val="bottom"/>
            <w:hideMark/>
          </w:tcPr>
          <w:p w14:paraId="7C57543E"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750 213</w:t>
            </w:r>
          </w:p>
        </w:tc>
        <w:tc>
          <w:tcPr>
            <w:tcW w:w="615" w:type="pct"/>
            <w:tcBorders>
              <w:top w:val="nil"/>
              <w:left w:val="nil"/>
              <w:bottom w:val="nil"/>
              <w:right w:val="nil"/>
            </w:tcBorders>
            <w:shd w:val="clear" w:color="auto" w:fill="auto"/>
            <w:noWrap/>
            <w:vAlign w:val="bottom"/>
            <w:hideMark/>
          </w:tcPr>
          <w:p w14:paraId="3D47D638"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775 960</w:t>
            </w:r>
          </w:p>
        </w:tc>
        <w:tc>
          <w:tcPr>
            <w:tcW w:w="562" w:type="pct"/>
            <w:tcBorders>
              <w:top w:val="nil"/>
              <w:left w:val="nil"/>
              <w:bottom w:val="nil"/>
              <w:right w:val="nil"/>
            </w:tcBorders>
            <w:shd w:val="clear" w:color="auto" w:fill="auto"/>
            <w:noWrap/>
            <w:vAlign w:val="bottom"/>
            <w:hideMark/>
          </w:tcPr>
          <w:p w14:paraId="07F1FA63"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25 747</w:t>
            </w:r>
          </w:p>
        </w:tc>
      </w:tr>
      <w:tr w:rsidR="004567F7" w:rsidRPr="00BF4B27" w14:paraId="42A4282F" w14:textId="77777777" w:rsidTr="002C09C6">
        <w:trPr>
          <w:trHeight w:val="300"/>
        </w:trPr>
        <w:tc>
          <w:tcPr>
            <w:tcW w:w="2593" w:type="pct"/>
            <w:tcBorders>
              <w:top w:val="single" w:sz="4" w:space="0" w:color="auto"/>
              <w:left w:val="nil"/>
              <w:bottom w:val="nil"/>
              <w:right w:val="nil"/>
            </w:tcBorders>
            <w:shd w:val="clear" w:color="000000" w:fill="BFBFBF"/>
            <w:noWrap/>
            <w:vAlign w:val="bottom"/>
            <w:hideMark/>
          </w:tcPr>
          <w:p w14:paraId="75795366" w14:textId="77777777" w:rsidR="004567F7" w:rsidRPr="00BF4B27" w:rsidRDefault="004567F7" w:rsidP="00144775">
            <w:pPr>
              <w:spacing w:after="0" w:line="240" w:lineRule="auto"/>
              <w:jc w:val="left"/>
              <w:rPr>
                <w:rFonts w:eastAsia="Times New Roman" w:cs="Times New Roman"/>
                <w:b/>
                <w:bCs/>
                <w:sz w:val="20"/>
                <w:szCs w:val="20"/>
                <w:lang w:eastAsia="sk-SK"/>
              </w:rPr>
            </w:pPr>
            <w:r w:rsidRPr="00BF4B27">
              <w:rPr>
                <w:rFonts w:eastAsia="Times New Roman" w:cs="Times New Roman"/>
                <w:b/>
                <w:bCs/>
                <w:sz w:val="20"/>
                <w:szCs w:val="20"/>
                <w:lang w:eastAsia="sk-SK"/>
              </w:rPr>
              <w:t>Verejná správa spolu konsolidovaná</w:t>
            </w:r>
          </w:p>
        </w:tc>
        <w:tc>
          <w:tcPr>
            <w:tcW w:w="615" w:type="pct"/>
            <w:tcBorders>
              <w:top w:val="single" w:sz="4" w:space="0" w:color="auto"/>
              <w:left w:val="nil"/>
              <w:bottom w:val="nil"/>
              <w:right w:val="nil"/>
            </w:tcBorders>
            <w:shd w:val="clear" w:color="000000" w:fill="BFBFBF"/>
            <w:noWrap/>
            <w:vAlign w:val="bottom"/>
            <w:hideMark/>
          </w:tcPr>
          <w:p w14:paraId="4A815BA7" w14:textId="77777777" w:rsidR="004567F7" w:rsidRPr="00BF4B27" w:rsidRDefault="004567F7" w:rsidP="00144775">
            <w:pPr>
              <w:spacing w:after="0" w:line="240" w:lineRule="auto"/>
              <w:jc w:val="right"/>
              <w:rPr>
                <w:rFonts w:eastAsia="Times New Roman" w:cs="Times New Roman"/>
                <w:b/>
                <w:bCs/>
                <w:sz w:val="20"/>
                <w:szCs w:val="20"/>
                <w:lang w:eastAsia="sk-SK"/>
              </w:rPr>
            </w:pPr>
            <w:r w:rsidRPr="00BF4B27">
              <w:rPr>
                <w:rFonts w:eastAsia="Times New Roman" w:cs="Times New Roman"/>
                <w:b/>
                <w:bCs/>
                <w:sz w:val="20"/>
                <w:szCs w:val="20"/>
                <w:lang w:eastAsia="sk-SK"/>
              </w:rPr>
              <w:t>42 053 243</w:t>
            </w:r>
          </w:p>
        </w:tc>
        <w:tc>
          <w:tcPr>
            <w:tcW w:w="615" w:type="pct"/>
            <w:tcBorders>
              <w:top w:val="single" w:sz="4" w:space="0" w:color="auto"/>
              <w:left w:val="nil"/>
              <w:bottom w:val="nil"/>
              <w:right w:val="nil"/>
            </w:tcBorders>
            <w:shd w:val="clear" w:color="000000" w:fill="BFBFBF"/>
            <w:noWrap/>
            <w:vAlign w:val="bottom"/>
            <w:hideMark/>
          </w:tcPr>
          <w:p w14:paraId="5FA5E936" w14:textId="6E156B64" w:rsidR="004567F7" w:rsidRPr="00BF4B27" w:rsidRDefault="004567F7" w:rsidP="00F93905">
            <w:pPr>
              <w:spacing w:after="0" w:line="240" w:lineRule="auto"/>
              <w:jc w:val="right"/>
              <w:rPr>
                <w:rFonts w:eastAsia="Times New Roman" w:cs="Times New Roman"/>
                <w:b/>
                <w:bCs/>
                <w:sz w:val="20"/>
                <w:szCs w:val="20"/>
                <w:lang w:eastAsia="sk-SK"/>
              </w:rPr>
            </w:pPr>
            <w:r w:rsidRPr="00BF4B27">
              <w:rPr>
                <w:rFonts w:eastAsia="Times New Roman" w:cs="Times New Roman"/>
                <w:b/>
                <w:bCs/>
                <w:sz w:val="20"/>
                <w:szCs w:val="20"/>
                <w:lang w:eastAsia="sk-SK"/>
              </w:rPr>
              <w:t xml:space="preserve">43 </w:t>
            </w:r>
            <w:r w:rsidR="00F93905" w:rsidRPr="00BF4B27">
              <w:rPr>
                <w:rFonts w:eastAsia="Times New Roman" w:cs="Times New Roman"/>
                <w:b/>
                <w:bCs/>
                <w:sz w:val="20"/>
                <w:szCs w:val="20"/>
                <w:lang w:eastAsia="sk-SK"/>
              </w:rPr>
              <w:t>231</w:t>
            </w:r>
            <w:r w:rsidRPr="00BF4B27">
              <w:rPr>
                <w:rFonts w:eastAsia="Times New Roman" w:cs="Times New Roman"/>
                <w:b/>
                <w:bCs/>
                <w:sz w:val="20"/>
                <w:szCs w:val="20"/>
                <w:lang w:eastAsia="sk-SK"/>
              </w:rPr>
              <w:t xml:space="preserve"> </w:t>
            </w:r>
            <w:r w:rsidR="00F93905" w:rsidRPr="00BF4B27">
              <w:rPr>
                <w:rFonts w:eastAsia="Times New Roman" w:cs="Times New Roman"/>
                <w:b/>
                <w:bCs/>
                <w:sz w:val="20"/>
                <w:szCs w:val="20"/>
                <w:lang w:eastAsia="sk-SK"/>
              </w:rPr>
              <w:t>143</w:t>
            </w:r>
          </w:p>
        </w:tc>
        <w:tc>
          <w:tcPr>
            <w:tcW w:w="615" w:type="pct"/>
            <w:tcBorders>
              <w:top w:val="single" w:sz="4" w:space="0" w:color="auto"/>
              <w:left w:val="nil"/>
              <w:bottom w:val="nil"/>
              <w:right w:val="nil"/>
            </w:tcBorders>
            <w:shd w:val="clear" w:color="000000" w:fill="BFBFBF"/>
            <w:noWrap/>
            <w:vAlign w:val="bottom"/>
            <w:hideMark/>
          </w:tcPr>
          <w:p w14:paraId="7AF0AAC2" w14:textId="71E6973F" w:rsidR="004567F7" w:rsidRPr="00BF4B27" w:rsidRDefault="004567F7" w:rsidP="00F93905">
            <w:pPr>
              <w:spacing w:after="0" w:line="240" w:lineRule="auto"/>
              <w:jc w:val="right"/>
              <w:rPr>
                <w:rFonts w:eastAsia="Times New Roman" w:cs="Times New Roman"/>
                <w:b/>
                <w:bCs/>
                <w:sz w:val="20"/>
                <w:szCs w:val="20"/>
                <w:lang w:eastAsia="sk-SK"/>
              </w:rPr>
            </w:pPr>
            <w:r w:rsidRPr="00BF4B27">
              <w:rPr>
                <w:rFonts w:eastAsia="Times New Roman" w:cs="Times New Roman"/>
                <w:b/>
                <w:bCs/>
                <w:sz w:val="20"/>
                <w:szCs w:val="20"/>
                <w:lang w:eastAsia="sk-SK"/>
              </w:rPr>
              <w:t xml:space="preserve">44 </w:t>
            </w:r>
            <w:r w:rsidR="00F93905" w:rsidRPr="00BF4B27">
              <w:rPr>
                <w:rFonts w:eastAsia="Times New Roman" w:cs="Times New Roman"/>
                <w:b/>
                <w:bCs/>
                <w:sz w:val="20"/>
                <w:szCs w:val="20"/>
                <w:lang w:eastAsia="sk-SK"/>
              </w:rPr>
              <w:t>144</w:t>
            </w:r>
            <w:r w:rsidRPr="00BF4B27">
              <w:rPr>
                <w:rFonts w:eastAsia="Times New Roman" w:cs="Times New Roman"/>
                <w:b/>
                <w:bCs/>
                <w:sz w:val="20"/>
                <w:szCs w:val="20"/>
                <w:lang w:eastAsia="sk-SK"/>
              </w:rPr>
              <w:t xml:space="preserve"> </w:t>
            </w:r>
            <w:r w:rsidR="00F93905" w:rsidRPr="00BF4B27">
              <w:rPr>
                <w:rFonts w:eastAsia="Times New Roman" w:cs="Times New Roman"/>
                <w:b/>
                <w:bCs/>
                <w:sz w:val="20"/>
                <w:szCs w:val="20"/>
                <w:lang w:eastAsia="sk-SK"/>
              </w:rPr>
              <w:t>502</w:t>
            </w:r>
          </w:p>
        </w:tc>
        <w:tc>
          <w:tcPr>
            <w:tcW w:w="562" w:type="pct"/>
            <w:tcBorders>
              <w:top w:val="single" w:sz="4" w:space="0" w:color="auto"/>
              <w:left w:val="nil"/>
              <w:bottom w:val="nil"/>
              <w:right w:val="nil"/>
            </w:tcBorders>
            <w:shd w:val="clear" w:color="000000" w:fill="BFBFBF"/>
            <w:noWrap/>
            <w:vAlign w:val="bottom"/>
            <w:hideMark/>
          </w:tcPr>
          <w:p w14:paraId="7DD3D520" w14:textId="64CB87D4" w:rsidR="004567F7" w:rsidRPr="00BF4B27" w:rsidRDefault="00F93905" w:rsidP="00F93905">
            <w:pPr>
              <w:spacing w:after="0" w:line="240" w:lineRule="auto"/>
              <w:jc w:val="right"/>
              <w:rPr>
                <w:rFonts w:eastAsia="Times New Roman" w:cs="Times New Roman"/>
                <w:b/>
                <w:bCs/>
                <w:sz w:val="20"/>
                <w:szCs w:val="20"/>
                <w:lang w:eastAsia="sk-SK"/>
              </w:rPr>
            </w:pPr>
            <w:r w:rsidRPr="00BF4B27">
              <w:rPr>
                <w:rFonts w:eastAsia="Times New Roman" w:cs="Times New Roman"/>
                <w:b/>
                <w:bCs/>
                <w:sz w:val="20"/>
                <w:szCs w:val="20"/>
                <w:lang w:eastAsia="sk-SK"/>
              </w:rPr>
              <w:t>913</w:t>
            </w:r>
            <w:r w:rsidR="004567F7" w:rsidRPr="00BF4B27">
              <w:rPr>
                <w:rFonts w:eastAsia="Times New Roman" w:cs="Times New Roman"/>
                <w:b/>
                <w:bCs/>
                <w:sz w:val="20"/>
                <w:szCs w:val="20"/>
                <w:lang w:eastAsia="sk-SK"/>
              </w:rPr>
              <w:t xml:space="preserve"> </w:t>
            </w:r>
            <w:r w:rsidRPr="00BF4B27">
              <w:rPr>
                <w:rFonts w:eastAsia="Times New Roman" w:cs="Times New Roman"/>
                <w:b/>
                <w:bCs/>
                <w:sz w:val="20"/>
                <w:szCs w:val="20"/>
                <w:lang w:eastAsia="sk-SK"/>
              </w:rPr>
              <w:t>359</w:t>
            </w:r>
          </w:p>
        </w:tc>
      </w:tr>
      <w:tr w:rsidR="004567F7" w:rsidRPr="00BF4B27" w14:paraId="45D12205" w14:textId="77777777" w:rsidTr="002C09C6">
        <w:trPr>
          <w:trHeight w:val="300"/>
        </w:trPr>
        <w:tc>
          <w:tcPr>
            <w:tcW w:w="2593" w:type="pct"/>
            <w:tcBorders>
              <w:top w:val="nil"/>
              <w:left w:val="nil"/>
              <w:bottom w:val="single" w:sz="4" w:space="0" w:color="auto"/>
              <w:right w:val="nil"/>
            </w:tcBorders>
            <w:shd w:val="clear" w:color="000000" w:fill="BFBFBF"/>
            <w:noWrap/>
            <w:vAlign w:val="bottom"/>
            <w:hideMark/>
          </w:tcPr>
          <w:p w14:paraId="2EA65AC8" w14:textId="77777777" w:rsidR="004567F7" w:rsidRPr="00BF4B27" w:rsidRDefault="004567F7" w:rsidP="00144775">
            <w:pPr>
              <w:spacing w:after="0" w:line="240" w:lineRule="auto"/>
              <w:ind w:firstLineChars="200" w:firstLine="402"/>
              <w:jc w:val="left"/>
              <w:rPr>
                <w:rFonts w:eastAsia="Times New Roman" w:cs="Times New Roman"/>
                <w:b/>
                <w:bCs/>
                <w:sz w:val="20"/>
                <w:szCs w:val="20"/>
                <w:lang w:eastAsia="sk-SK"/>
              </w:rPr>
            </w:pPr>
            <w:r w:rsidRPr="00BF4B27">
              <w:rPr>
                <w:rFonts w:eastAsia="Times New Roman" w:cs="Times New Roman"/>
                <w:b/>
                <w:bCs/>
                <w:sz w:val="20"/>
                <w:szCs w:val="20"/>
                <w:lang w:eastAsia="sk-SK"/>
              </w:rPr>
              <w:t>% z HDP</w:t>
            </w:r>
          </w:p>
        </w:tc>
        <w:tc>
          <w:tcPr>
            <w:tcW w:w="615" w:type="pct"/>
            <w:tcBorders>
              <w:top w:val="nil"/>
              <w:left w:val="nil"/>
              <w:bottom w:val="single" w:sz="4" w:space="0" w:color="auto"/>
              <w:right w:val="nil"/>
            </w:tcBorders>
            <w:shd w:val="clear" w:color="000000" w:fill="BFBFBF"/>
            <w:noWrap/>
            <w:vAlign w:val="bottom"/>
            <w:hideMark/>
          </w:tcPr>
          <w:p w14:paraId="3EF57DFA" w14:textId="77777777" w:rsidR="004567F7" w:rsidRPr="00BF4B27" w:rsidRDefault="004567F7" w:rsidP="00144775">
            <w:pPr>
              <w:spacing w:after="0" w:line="240" w:lineRule="auto"/>
              <w:jc w:val="right"/>
              <w:rPr>
                <w:rFonts w:eastAsia="Times New Roman" w:cs="Times New Roman"/>
                <w:b/>
                <w:bCs/>
                <w:sz w:val="20"/>
                <w:szCs w:val="20"/>
                <w:lang w:eastAsia="sk-SK"/>
              </w:rPr>
            </w:pPr>
            <w:r w:rsidRPr="00BF4B27">
              <w:rPr>
                <w:rFonts w:eastAsia="Times New Roman" w:cs="Times New Roman"/>
                <w:b/>
                <w:bCs/>
                <w:sz w:val="20"/>
                <w:szCs w:val="20"/>
                <w:lang w:eastAsia="sk-SK"/>
              </w:rPr>
              <w:t>51,8</w:t>
            </w:r>
          </w:p>
        </w:tc>
        <w:tc>
          <w:tcPr>
            <w:tcW w:w="615" w:type="pct"/>
            <w:tcBorders>
              <w:top w:val="nil"/>
              <w:left w:val="nil"/>
              <w:bottom w:val="single" w:sz="4" w:space="0" w:color="auto"/>
              <w:right w:val="nil"/>
            </w:tcBorders>
            <w:shd w:val="clear" w:color="000000" w:fill="BFBFBF"/>
            <w:noWrap/>
            <w:vAlign w:val="bottom"/>
            <w:hideMark/>
          </w:tcPr>
          <w:p w14:paraId="6AEEB90F" w14:textId="77777777" w:rsidR="004567F7" w:rsidRPr="00BF4B27" w:rsidRDefault="004567F7" w:rsidP="00144775">
            <w:pPr>
              <w:spacing w:after="0" w:line="240" w:lineRule="auto"/>
              <w:jc w:val="right"/>
              <w:rPr>
                <w:rFonts w:eastAsia="Times New Roman" w:cs="Times New Roman"/>
                <w:b/>
                <w:bCs/>
                <w:sz w:val="20"/>
                <w:szCs w:val="20"/>
                <w:lang w:eastAsia="sk-SK"/>
              </w:rPr>
            </w:pPr>
            <w:r w:rsidRPr="00BF4B27">
              <w:rPr>
                <w:rFonts w:eastAsia="Times New Roman" w:cs="Times New Roman"/>
                <w:b/>
                <w:bCs/>
                <w:sz w:val="20"/>
                <w:szCs w:val="20"/>
                <w:lang w:eastAsia="sk-SK"/>
              </w:rPr>
              <w:t>50,9</w:t>
            </w:r>
          </w:p>
        </w:tc>
        <w:tc>
          <w:tcPr>
            <w:tcW w:w="615" w:type="pct"/>
            <w:tcBorders>
              <w:top w:val="nil"/>
              <w:left w:val="nil"/>
              <w:bottom w:val="single" w:sz="4" w:space="0" w:color="auto"/>
              <w:right w:val="nil"/>
            </w:tcBorders>
            <w:shd w:val="clear" w:color="000000" w:fill="BFBFBF"/>
            <w:noWrap/>
            <w:vAlign w:val="bottom"/>
            <w:hideMark/>
          </w:tcPr>
          <w:p w14:paraId="633E5B19" w14:textId="77777777" w:rsidR="004567F7" w:rsidRPr="00BF4B27" w:rsidRDefault="004567F7" w:rsidP="00144775">
            <w:pPr>
              <w:spacing w:after="0" w:line="240" w:lineRule="auto"/>
              <w:jc w:val="right"/>
              <w:rPr>
                <w:rFonts w:eastAsia="Times New Roman" w:cs="Times New Roman"/>
                <w:b/>
                <w:bCs/>
                <w:sz w:val="20"/>
                <w:szCs w:val="20"/>
                <w:lang w:eastAsia="sk-SK"/>
              </w:rPr>
            </w:pPr>
            <w:r w:rsidRPr="00BF4B27">
              <w:rPr>
                <w:rFonts w:eastAsia="Times New Roman" w:cs="Times New Roman"/>
                <w:b/>
                <w:bCs/>
                <w:sz w:val="20"/>
                <w:szCs w:val="20"/>
                <w:lang w:eastAsia="sk-SK"/>
              </w:rPr>
              <w:t>48,9</w:t>
            </w:r>
          </w:p>
        </w:tc>
        <w:tc>
          <w:tcPr>
            <w:tcW w:w="562" w:type="pct"/>
            <w:tcBorders>
              <w:top w:val="nil"/>
              <w:left w:val="nil"/>
              <w:bottom w:val="single" w:sz="4" w:space="0" w:color="auto"/>
              <w:right w:val="nil"/>
            </w:tcBorders>
            <w:shd w:val="clear" w:color="000000" w:fill="BFBFBF"/>
            <w:noWrap/>
            <w:vAlign w:val="bottom"/>
            <w:hideMark/>
          </w:tcPr>
          <w:p w14:paraId="6A39C896" w14:textId="77777777" w:rsidR="004567F7" w:rsidRPr="00BF4B27" w:rsidRDefault="004567F7" w:rsidP="00144775">
            <w:pPr>
              <w:spacing w:after="0" w:line="240" w:lineRule="auto"/>
              <w:jc w:val="right"/>
              <w:rPr>
                <w:rFonts w:eastAsia="Times New Roman" w:cs="Times New Roman"/>
                <w:b/>
                <w:bCs/>
                <w:sz w:val="20"/>
                <w:szCs w:val="20"/>
                <w:lang w:eastAsia="sk-SK"/>
              </w:rPr>
            </w:pPr>
            <w:r w:rsidRPr="00BF4B27">
              <w:rPr>
                <w:rFonts w:eastAsia="Times New Roman" w:cs="Times New Roman"/>
                <w:b/>
                <w:bCs/>
                <w:sz w:val="20"/>
                <w:szCs w:val="20"/>
                <w:lang w:eastAsia="sk-SK"/>
              </w:rPr>
              <w:t>-2,0</w:t>
            </w:r>
          </w:p>
        </w:tc>
      </w:tr>
    </w:tbl>
    <w:p w14:paraId="0312F981" w14:textId="77777777" w:rsidR="004567F7" w:rsidRPr="003075C9" w:rsidRDefault="004567F7" w:rsidP="004567F7">
      <w:pPr>
        <w:spacing w:after="0" w:line="240" w:lineRule="auto"/>
        <w:jc w:val="right"/>
        <w:rPr>
          <w:color w:val="000000"/>
          <w:sz w:val="20"/>
          <w:szCs w:val="20"/>
          <w:lang w:eastAsia="sk-SK"/>
        </w:rPr>
      </w:pPr>
      <w:r w:rsidRPr="003075C9">
        <w:rPr>
          <w:color w:val="000000"/>
          <w:sz w:val="20"/>
          <w:szCs w:val="20"/>
          <w:lang w:eastAsia="sk-SK"/>
        </w:rPr>
        <w:t>Zdroj: MF SR</w:t>
      </w:r>
    </w:p>
    <w:p w14:paraId="09FA7B9F" w14:textId="77777777" w:rsidR="004567F7" w:rsidRPr="00DC0257" w:rsidRDefault="004567F7" w:rsidP="004567F7">
      <w:pPr>
        <w:spacing w:before="120"/>
      </w:pPr>
      <w:r w:rsidRPr="00DC0257">
        <w:t xml:space="preserve">Na náraste nominálneho dlhu v roku 2018 sa v najvyššej miere podieľal </w:t>
      </w:r>
      <w:r w:rsidRPr="00DC0257">
        <w:rPr>
          <w:b/>
        </w:rPr>
        <w:t xml:space="preserve">hotovostný schodok štátneho rozpočtu </w:t>
      </w:r>
      <w:r w:rsidRPr="00DC0257">
        <w:t xml:space="preserve">vo výške 1 182 242 tis. eur. Zvýšenie maastrichtského dlhu oproti roku 2017 </w:t>
      </w:r>
      <w:r w:rsidRPr="00DC0257">
        <w:rPr>
          <w:b/>
        </w:rPr>
        <w:t>negatívne</w:t>
      </w:r>
      <w:r w:rsidRPr="00DC0257">
        <w:t xml:space="preserve"> ovplyvnili najmä nasledovné skutočnosti:</w:t>
      </w:r>
    </w:p>
    <w:p w14:paraId="69652740" w14:textId="77777777" w:rsidR="004567F7" w:rsidRPr="00DC0257" w:rsidRDefault="004567F7" w:rsidP="004567F7">
      <w:pPr>
        <w:pStyle w:val="Odsekzoznamu"/>
        <w:numPr>
          <w:ilvl w:val="0"/>
          <w:numId w:val="21"/>
        </w:numPr>
        <w:spacing w:after="120" w:line="336" w:lineRule="auto"/>
        <w:jc w:val="both"/>
        <w:rPr>
          <w:rFonts w:ascii="Times New Roman" w:hAnsi="Times New Roman"/>
        </w:rPr>
      </w:pPr>
      <w:r w:rsidRPr="00DC0257">
        <w:rPr>
          <w:rFonts w:ascii="Times New Roman" w:hAnsi="Times New Roman"/>
        </w:rPr>
        <w:t>schodok štátneho rozpočtu na hotovostnej báze a ďalšie požiadavky na cudzie zdroje vyplývajúce z riadenia dlhu a likvidity v priebehu uplynulého roka, ktoré vyvolali potrebu emitovať štátne pokladničné poukážky v menovitej hodnote 800 000 tis. eur a štátne dlhopisy v menovitej hodnote 3 100 500 tis. eur,</w:t>
      </w:r>
    </w:p>
    <w:p w14:paraId="689FC4B0" w14:textId="77777777" w:rsidR="004567F7" w:rsidRPr="00DC0257" w:rsidRDefault="004567F7" w:rsidP="004567F7">
      <w:pPr>
        <w:pStyle w:val="Odsekzoznamu"/>
        <w:numPr>
          <w:ilvl w:val="0"/>
          <w:numId w:val="21"/>
        </w:numPr>
        <w:spacing w:after="120" w:line="336" w:lineRule="auto"/>
        <w:jc w:val="both"/>
        <w:rPr>
          <w:rFonts w:ascii="Times New Roman" w:hAnsi="Times New Roman"/>
        </w:rPr>
      </w:pPr>
      <w:r w:rsidRPr="00DC0257">
        <w:rPr>
          <w:rFonts w:ascii="Times New Roman" w:hAnsi="Times New Roman"/>
        </w:rPr>
        <w:t>nárast konsolidovaného dlhu obcí o 66 191 tis. eur,</w:t>
      </w:r>
    </w:p>
    <w:p w14:paraId="54498DEB" w14:textId="3C994257" w:rsidR="004567F7" w:rsidRPr="00DC0257" w:rsidRDefault="004567F7" w:rsidP="004567F7">
      <w:pPr>
        <w:pStyle w:val="Odsekzoznamu"/>
        <w:numPr>
          <w:ilvl w:val="0"/>
          <w:numId w:val="21"/>
        </w:numPr>
        <w:spacing w:after="120" w:line="336" w:lineRule="auto"/>
        <w:jc w:val="both"/>
        <w:rPr>
          <w:rFonts w:ascii="Times New Roman" w:hAnsi="Times New Roman"/>
        </w:rPr>
      </w:pPr>
      <w:r w:rsidRPr="00DC0257">
        <w:rPr>
          <w:rFonts w:ascii="Times New Roman" w:hAnsi="Times New Roman"/>
        </w:rPr>
        <w:t>zvýšenie konsolidovaného dlhu zdravotníckych zariadení patriacich do ústrednej správy o 36 </w:t>
      </w:r>
      <w:r w:rsidR="00F93905">
        <w:rPr>
          <w:rFonts w:ascii="Times New Roman" w:hAnsi="Times New Roman"/>
        </w:rPr>
        <w:t>062</w:t>
      </w:r>
      <w:r w:rsidRPr="00DC0257">
        <w:rPr>
          <w:rFonts w:ascii="Times New Roman" w:hAnsi="Times New Roman"/>
        </w:rPr>
        <w:t> tis. eur,</w:t>
      </w:r>
    </w:p>
    <w:p w14:paraId="24D6657C" w14:textId="77777777" w:rsidR="004567F7" w:rsidRPr="00DC0257" w:rsidRDefault="004567F7" w:rsidP="004567F7">
      <w:pPr>
        <w:pStyle w:val="Odsekzoznamu"/>
        <w:numPr>
          <w:ilvl w:val="0"/>
          <w:numId w:val="21"/>
        </w:numPr>
        <w:spacing w:after="120" w:line="336" w:lineRule="auto"/>
        <w:jc w:val="both"/>
        <w:rPr>
          <w:rFonts w:ascii="Times New Roman" w:hAnsi="Times New Roman"/>
        </w:rPr>
      </w:pPr>
      <w:r w:rsidRPr="00DC0257">
        <w:rPr>
          <w:rFonts w:ascii="Times New Roman" w:hAnsi="Times New Roman"/>
        </w:rPr>
        <w:t>nárast dlhu Železničnej spoločnosti Slovensko, a. s. o 34 484 tis. eur,</w:t>
      </w:r>
    </w:p>
    <w:p w14:paraId="50001C37" w14:textId="1714EC8B" w:rsidR="004567F7" w:rsidRPr="00DC0257" w:rsidRDefault="004567F7" w:rsidP="004567F7">
      <w:pPr>
        <w:pStyle w:val="Odsekzoznamu"/>
        <w:numPr>
          <w:ilvl w:val="0"/>
          <w:numId w:val="21"/>
        </w:numPr>
        <w:spacing w:after="120" w:line="336" w:lineRule="auto"/>
        <w:jc w:val="both"/>
        <w:rPr>
          <w:rFonts w:ascii="Times New Roman" w:hAnsi="Times New Roman"/>
        </w:rPr>
      </w:pPr>
      <w:r w:rsidRPr="00DC0257">
        <w:rPr>
          <w:rFonts w:ascii="Times New Roman" w:hAnsi="Times New Roman"/>
        </w:rPr>
        <w:t>nárast konsolidovaného dlhu zdravotníckych zariadení patriacich do miestnej samosprávy o 2 </w:t>
      </w:r>
      <w:r w:rsidR="0092407C">
        <w:rPr>
          <w:rFonts w:ascii="Times New Roman" w:hAnsi="Times New Roman"/>
        </w:rPr>
        <w:t>416</w:t>
      </w:r>
      <w:r w:rsidRPr="00DC0257">
        <w:rPr>
          <w:rFonts w:ascii="Times New Roman" w:hAnsi="Times New Roman"/>
        </w:rPr>
        <w:t> tis. eur.</w:t>
      </w:r>
    </w:p>
    <w:p w14:paraId="2F473F7A" w14:textId="4E712F0B" w:rsidR="004567F7" w:rsidRPr="00DC0257" w:rsidRDefault="004567F7" w:rsidP="006933D7">
      <w:pPr>
        <w:spacing w:after="160" w:line="259" w:lineRule="auto"/>
        <w:jc w:val="left"/>
      </w:pPr>
      <w:r w:rsidRPr="00DC0257">
        <w:rPr>
          <w:b/>
        </w:rPr>
        <w:t xml:space="preserve">Pozitívny </w:t>
      </w:r>
      <w:r w:rsidRPr="00DC0257">
        <w:t>vplyv na vývoj maastrichtského dlhu oproti jeho stavu v roku 2017 mali najmä tieto skutočnosti:</w:t>
      </w:r>
    </w:p>
    <w:p w14:paraId="5B5AE876" w14:textId="77777777" w:rsidR="004567F7" w:rsidRPr="00DC0257" w:rsidRDefault="004567F7" w:rsidP="004567F7">
      <w:pPr>
        <w:pStyle w:val="Odsekzoznamu"/>
        <w:numPr>
          <w:ilvl w:val="0"/>
          <w:numId w:val="22"/>
        </w:numPr>
        <w:spacing w:after="120" w:line="336" w:lineRule="auto"/>
        <w:jc w:val="both"/>
      </w:pPr>
      <w:r w:rsidRPr="00DC0257">
        <w:rPr>
          <w:rFonts w:ascii="Times New Roman" w:hAnsi="Times New Roman"/>
        </w:rPr>
        <w:t>splátky záväzkov zo štátnych dlhopisov v menovitej hodnote 3 200 864 tis. eur,</w:t>
      </w:r>
    </w:p>
    <w:p w14:paraId="4994D919" w14:textId="77777777" w:rsidR="004567F7" w:rsidRPr="00DC0257" w:rsidRDefault="004567F7" w:rsidP="004567F7">
      <w:pPr>
        <w:pStyle w:val="Odsekzoznamu"/>
        <w:numPr>
          <w:ilvl w:val="0"/>
          <w:numId w:val="22"/>
        </w:numPr>
        <w:spacing w:after="120" w:line="336" w:lineRule="auto"/>
        <w:jc w:val="both"/>
      </w:pPr>
      <w:r w:rsidRPr="00DC0257">
        <w:rPr>
          <w:rFonts w:ascii="Times New Roman" w:hAnsi="Times New Roman"/>
        </w:rPr>
        <w:t>splátky úverov v štátnom dlhu v hodnote 15 169 tis. eur,</w:t>
      </w:r>
    </w:p>
    <w:p w14:paraId="6E5972F0" w14:textId="77777777" w:rsidR="004567F7" w:rsidRPr="00DC0257" w:rsidRDefault="004567F7" w:rsidP="004567F7">
      <w:pPr>
        <w:pStyle w:val="Odsekzoznamu"/>
        <w:numPr>
          <w:ilvl w:val="0"/>
          <w:numId w:val="22"/>
        </w:numPr>
        <w:spacing w:after="120" w:line="336" w:lineRule="auto"/>
        <w:jc w:val="both"/>
        <w:rPr>
          <w:rFonts w:ascii="Times New Roman" w:hAnsi="Times New Roman"/>
        </w:rPr>
      </w:pPr>
      <w:r w:rsidRPr="00DC0257">
        <w:rPr>
          <w:rFonts w:ascii="Times New Roman" w:hAnsi="Times New Roman"/>
        </w:rPr>
        <w:t>pokles zadlženosti Národnej diaľničnej spoločnosti, a. s. o 37 578 tis. eur z dôvodu splácania úverov,</w:t>
      </w:r>
    </w:p>
    <w:p w14:paraId="789B5FBD" w14:textId="77777777" w:rsidR="004567F7" w:rsidRPr="00DC0257" w:rsidRDefault="004567F7" w:rsidP="004567F7">
      <w:pPr>
        <w:pStyle w:val="Odsekzoznamu"/>
        <w:numPr>
          <w:ilvl w:val="0"/>
          <w:numId w:val="22"/>
        </w:numPr>
        <w:spacing w:after="120" w:line="336" w:lineRule="auto"/>
        <w:jc w:val="both"/>
        <w:rPr>
          <w:rFonts w:ascii="Times New Roman" w:hAnsi="Times New Roman"/>
        </w:rPr>
      </w:pPr>
      <w:r w:rsidRPr="00DC0257">
        <w:rPr>
          <w:rFonts w:ascii="Times New Roman" w:hAnsi="Times New Roman"/>
        </w:rPr>
        <w:t>pokles konsolidovaného dlhu vyšších územných celkov o 6 909 tis. eur,</w:t>
      </w:r>
    </w:p>
    <w:p w14:paraId="7BB4CDEB" w14:textId="77777777" w:rsidR="004567F7" w:rsidRPr="00DC0257" w:rsidRDefault="004567F7" w:rsidP="004567F7">
      <w:pPr>
        <w:pStyle w:val="Odsekzoznamu"/>
        <w:numPr>
          <w:ilvl w:val="0"/>
          <w:numId w:val="22"/>
        </w:numPr>
        <w:spacing w:after="120" w:line="336" w:lineRule="auto"/>
        <w:jc w:val="both"/>
        <w:rPr>
          <w:rFonts w:ascii="Times New Roman" w:hAnsi="Times New Roman"/>
        </w:rPr>
      </w:pPr>
      <w:r w:rsidRPr="00DC0257">
        <w:rPr>
          <w:rFonts w:ascii="Times New Roman" w:hAnsi="Times New Roman"/>
        </w:rPr>
        <w:t>pokles zadlženosti dopravných podnikov územnej samosprávy 3 941 tis. eur.</w:t>
      </w:r>
    </w:p>
    <w:p w14:paraId="3072A7EE" w14:textId="4BD55F8A" w:rsidR="004567F7" w:rsidRPr="00DC0257" w:rsidRDefault="004567F7" w:rsidP="004567F7">
      <w:r w:rsidRPr="00DC0257">
        <w:rPr>
          <w:b/>
        </w:rPr>
        <w:t xml:space="preserve">Maastrichtský dlh verejnej správy bol k 31.12.2018 financovaný predovšetkým cennými papiermi </w:t>
      </w:r>
      <w:r w:rsidRPr="00DC0257">
        <w:t xml:space="preserve">v menovitej hodnote 37 747 726 tis. eur (85,5 %). Z toho podstatnú časť tvorili </w:t>
      </w:r>
      <w:r>
        <w:t xml:space="preserve">štátne </w:t>
      </w:r>
      <w:r w:rsidRPr="00DC0257">
        <w:t xml:space="preserve">dlhopisy v menovitej hodnote </w:t>
      </w:r>
      <w:r>
        <w:t>36 937 291</w:t>
      </w:r>
      <w:r w:rsidRPr="00DC0257">
        <w:t xml:space="preserve"> tis. eur</w:t>
      </w:r>
      <w:r w:rsidR="00F56C03">
        <w:t>, štátne</w:t>
      </w:r>
      <w:r w:rsidR="00F56C03" w:rsidRPr="00F56C03">
        <w:t xml:space="preserve"> </w:t>
      </w:r>
      <w:r w:rsidR="00F56C03">
        <w:t>pokladničné poukážky v menovitej hodnote 800 000 tis. eur,</w:t>
      </w:r>
      <w:r w:rsidR="00922C86">
        <w:t xml:space="preserve"> </w:t>
      </w:r>
      <w:r w:rsidR="0092407C">
        <w:t>b</w:t>
      </w:r>
      <w:r>
        <w:t xml:space="preserve">ankové úvery a </w:t>
      </w:r>
      <w:r w:rsidRPr="00DC0257">
        <w:t xml:space="preserve">iné záväzky dosiahli hodnotu </w:t>
      </w:r>
      <w:r>
        <w:t>6 063 083 </w:t>
      </w:r>
      <w:r w:rsidRPr="00DC0257">
        <w:t>tis. eur (13,7</w:t>
      </w:r>
      <w:r>
        <w:t> </w:t>
      </w:r>
      <w:r w:rsidRPr="00DC0257">
        <w:t>%), z čoho 1 880</w:t>
      </w:r>
      <w:r>
        <w:t> </w:t>
      </w:r>
      <w:r w:rsidRPr="00DC0257">
        <w:t>640</w:t>
      </w:r>
      <w:r>
        <w:t> </w:t>
      </w:r>
      <w:r w:rsidRPr="00DC0257">
        <w:t>tis.</w:t>
      </w:r>
      <w:r>
        <w:t> </w:t>
      </w:r>
      <w:r w:rsidRPr="00DC0257">
        <w:t>eur predstavuje záväzok pripadajúci na Slovenskú republiku z EFSF. Výška záväzku sa oproti stavu v predchádzajúcom roku nezmenila. Osobitnou súčasťou maastrichtského dlhu sú záväzky z vkladov peňažných prostriedkov v Štátnej pokladnici tých klientov, ktorí nie sú súčasťou verejnej správy; tieto záväzky dosiahli hodnotu 290 855 tis. eur (0,7</w:t>
      </w:r>
      <w:r>
        <w:t> </w:t>
      </w:r>
      <w:r w:rsidRPr="00DC0257">
        <w:t>%).</w:t>
      </w:r>
    </w:p>
    <w:p w14:paraId="39A1252F" w14:textId="1FC54D7A" w:rsidR="004567F7" w:rsidRPr="00DC0257" w:rsidRDefault="004567F7" w:rsidP="004567F7">
      <w:r w:rsidRPr="00DC0257">
        <w:rPr>
          <w:b/>
        </w:rPr>
        <w:t xml:space="preserve">Z pohľadu meny </w:t>
      </w:r>
      <w:r w:rsidRPr="00DC0257">
        <w:t>bol maastrichtský dlh v roku 2018 tvorený z 95,0</w:t>
      </w:r>
      <w:r>
        <w:t xml:space="preserve"> % dlhom v eurách a </w:t>
      </w:r>
      <w:r w:rsidRPr="00DC0257">
        <w:t>5,0</w:t>
      </w:r>
      <w:r>
        <w:t> </w:t>
      </w:r>
      <w:r w:rsidRPr="00DC0257">
        <w:t>% dlhu pripadlo na iné meny, ktoré sú najmä v štátnom dlhu pri emitovaných dlhopisoch denominovaných v amerických dolároch, japonských jenoch, švajčiarskych frankoch a</w:t>
      </w:r>
      <w:r>
        <w:t xml:space="preserve"> </w:t>
      </w:r>
      <w:r w:rsidRPr="00DC0257">
        <w:t>nórskych korunách.</w:t>
      </w:r>
    </w:p>
    <w:p w14:paraId="761C601A" w14:textId="7602745D" w:rsidR="004567F7" w:rsidRPr="00DC0257" w:rsidRDefault="004567F7" w:rsidP="004567F7">
      <w:r w:rsidRPr="00DC0257">
        <w:rPr>
          <w:b/>
        </w:rPr>
        <w:t xml:space="preserve">Z hľadiska pôvodnej splatnosti </w:t>
      </w:r>
      <w:r w:rsidRPr="00DC0257">
        <w:t>(dohodnutej pri vzniku dlhu</w:t>
      </w:r>
      <w:r w:rsidRPr="004567F7">
        <w:t>) je</w:t>
      </w:r>
      <w:r w:rsidRPr="00DC0257">
        <w:t xml:space="preserve"> maastrichtský dlh tvorený z 3,0 % (1 313 123 tis. eur) krátkodobým dlhom, pričom 1,8 % (</w:t>
      </w:r>
      <w:r w:rsidRPr="00A265D6">
        <w:t>800 000 tis. eur</w:t>
      </w:r>
      <w:r w:rsidRPr="00DC0257">
        <w:t xml:space="preserve">) pripadá na štátne pokladničné poukážky. </w:t>
      </w:r>
      <w:r>
        <w:t>D</w:t>
      </w:r>
      <w:r w:rsidRPr="00DC0257">
        <w:t xml:space="preserve">lh s pôvodnou splatnosťou vyššou ako jeden rok </w:t>
      </w:r>
      <w:r>
        <w:t xml:space="preserve">predstavuje </w:t>
      </w:r>
      <w:r w:rsidRPr="00DC0257">
        <w:t>97,0</w:t>
      </w:r>
      <w:r>
        <w:t> </w:t>
      </w:r>
      <w:r w:rsidRPr="00DC0257">
        <w:t>% (42 </w:t>
      </w:r>
      <w:r w:rsidR="0092407C">
        <w:t>831</w:t>
      </w:r>
      <w:r>
        <w:t> </w:t>
      </w:r>
      <w:r w:rsidR="0092407C">
        <w:t>379</w:t>
      </w:r>
      <w:r>
        <w:t> </w:t>
      </w:r>
      <w:r w:rsidRPr="00DC0257">
        <w:t>tis.</w:t>
      </w:r>
      <w:r>
        <w:t> </w:t>
      </w:r>
      <w:r w:rsidRPr="00DC0257">
        <w:t>eur).</w:t>
      </w:r>
    </w:p>
    <w:p w14:paraId="399FB218" w14:textId="73FF2608" w:rsidR="004567F7" w:rsidRPr="00DC0257" w:rsidRDefault="004567F7" w:rsidP="004567F7">
      <w:r w:rsidRPr="00DC0257">
        <w:rPr>
          <w:b/>
        </w:rPr>
        <w:t>Z hľadiska teritoriálnej štruktúry</w:t>
      </w:r>
      <w:r w:rsidRPr="00DC0257">
        <w:t xml:space="preserve"> majú v držbe väčšinu maastrichtského dlhu verejnej správy SR zahraniční veritelia, a to 57,5 % (25 398</w:t>
      </w:r>
      <w:r>
        <w:t> </w:t>
      </w:r>
      <w:r w:rsidRPr="00DC0257">
        <w:t>697</w:t>
      </w:r>
      <w:r>
        <w:t> tis. </w:t>
      </w:r>
      <w:r w:rsidRPr="00DC0257">
        <w:t>eur). V portfóliu tuzemských veriteľov je 42,5 % (18 </w:t>
      </w:r>
      <w:r w:rsidR="0092407C">
        <w:t>745</w:t>
      </w:r>
      <w:r w:rsidRPr="00DC0257">
        <w:t> </w:t>
      </w:r>
      <w:r w:rsidR="0092407C">
        <w:t>805</w:t>
      </w:r>
      <w:r w:rsidRPr="00DC0257">
        <w:t> tis. eur) maastrichtského dlhu, pričom ide o tuzemské bankové inštitúcie a</w:t>
      </w:r>
      <w:r>
        <w:t xml:space="preserve"> </w:t>
      </w:r>
      <w:r w:rsidRPr="00DC0257">
        <w:t>obchodníkov s cennými papiermi.</w:t>
      </w:r>
    </w:p>
    <w:p w14:paraId="5C590873" w14:textId="77777777" w:rsidR="005F5B88" w:rsidRDefault="005F5B88" w:rsidP="00C34E95">
      <w:pPr>
        <w:pStyle w:val="Nadpis3"/>
      </w:pPr>
      <w:bookmarkStart w:id="25" w:name="_Toc6415637"/>
      <w:bookmarkStart w:id="26" w:name="_Toc7502829"/>
      <w:r>
        <w:t>Maastrichtský dlh štátnych rozpočtových organizácií</w:t>
      </w:r>
      <w:bookmarkEnd w:id="25"/>
      <w:bookmarkEnd w:id="26"/>
    </w:p>
    <w:p w14:paraId="1391FD7B" w14:textId="77777777" w:rsidR="004567F7" w:rsidRPr="00DC0257" w:rsidRDefault="004567F7" w:rsidP="004567F7">
      <w:r w:rsidRPr="00DC0257">
        <w:t xml:space="preserve">Štátny dlh, ktorého nositeľom sú </w:t>
      </w:r>
      <w:r w:rsidRPr="00DC0257">
        <w:rPr>
          <w:b/>
        </w:rPr>
        <w:t>štátne rozpočtové organizácie</w:t>
      </w:r>
      <w:r w:rsidRPr="00DC0257">
        <w:t>, a</w:t>
      </w:r>
      <w:r>
        <w:t xml:space="preserve"> </w:t>
      </w:r>
      <w:r w:rsidRPr="00DC0257">
        <w:t>ktorý je v správe Ministerstva financií SR, dosiahol v menovitej hodnote ku koncu roka 2018 výšku 42 555</w:t>
      </w:r>
      <w:r>
        <w:t> </w:t>
      </w:r>
      <w:r w:rsidRPr="00DC0257">
        <w:t>764</w:t>
      </w:r>
      <w:r>
        <w:t> tis. </w:t>
      </w:r>
      <w:r w:rsidRPr="00DC0257">
        <w:t>eur. V porovnaní s predchádzajúcim rokom vzrástol o 790 258 tis.</w:t>
      </w:r>
      <w:r>
        <w:t> </w:t>
      </w:r>
      <w:r w:rsidRPr="00DC0257">
        <w:t>eur (o 1,9 %). Hlavnou príčinou zvyšovania štátneho dlhu je v prípade deficitného hospodárenia hotovostný schodok štátneho rozpočtu, ktorý je nutné v priebehu roka financovať externými zdrojmi.</w:t>
      </w:r>
    </w:p>
    <w:p w14:paraId="62B60F0E" w14:textId="77777777" w:rsidR="004567F7" w:rsidRDefault="004567F7" w:rsidP="004567F7">
      <w:r w:rsidRPr="00DC0257">
        <w:t>Štátny dlh je v rozhodujúcej miere tvorený záväzkami z emisie štátnych dlhopisov (86,8 %), úverov (5,4 %) a záväzkami z EFSF (4,4 %).</w:t>
      </w:r>
    </w:p>
    <w:tbl>
      <w:tblPr>
        <w:tblW w:w="5000" w:type="pct"/>
        <w:tblCellMar>
          <w:left w:w="70" w:type="dxa"/>
          <w:right w:w="70" w:type="dxa"/>
        </w:tblCellMar>
        <w:tblLook w:val="04A0" w:firstRow="1" w:lastRow="0" w:firstColumn="1" w:lastColumn="0" w:noHBand="0" w:noVBand="1"/>
      </w:tblPr>
      <w:tblGrid>
        <w:gridCol w:w="4228"/>
        <w:gridCol w:w="1083"/>
        <w:gridCol w:w="1083"/>
        <w:gridCol w:w="1085"/>
        <w:gridCol w:w="1024"/>
      </w:tblGrid>
      <w:tr w:rsidR="004567F7" w:rsidRPr="00BF4B27" w14:paraId="46BEC605" w14:textId="77777777" w:rsidTr="00144775">
        <w:trPr>
          <w:trHeight w:val="330"/>
        </w:trPr>
        <w:tc>
          <w:tcPr>
            <w:tcW w:w="4397" w:type="pct"/>
            <w:gridSpan w:val="4"/>
            <w:tcBorders>
              <w:top w:val="single" w:sz="4" w:space="0" w:color="auto"/>
              <w:left w:val="nil"/>
              <w:bottom w:val="single" w:sz="4" w:space="0" w:color="auto"/>
              <w:right w:val="nil"/>
            </w:tcBorders>
            <w:shd w:val="clear" w:color="000000" w:fill="000000"/>
            <w:noWrap/>
            <w:vAlign w:val="center"/>
            <w:hideMark/>
          </w:tcPr>
          <w:p w14:paraId="7D6C6ED7" w14:textId="77777777" w:rsidR="004567F7" w:rsidRPr="00BF4B27" w:rsidRDefault="004567F7" w:rsidP="00144775">
            <w:pPr>
              <w:spacing w:after="0" w:line="240" w:lineRule="auto"/>
              <w:jc w:val="left"/>
              <w:rPr>
                <w:rFonts w:eastAsia="Times New Roman" w:cs="Times New Roman"/>
                <w:b/>
                <w:bCs/>
                <w:color w:val="FFFFFF"/>
                <w:sz w:val="20"/>
                <w:szCs w:val="20"/>
                <w:lang w:eastAsia="sk-SK"/>
              </w:rPr>
            </w:pPr>
            <w:r w:rsidRPr="00BF4B27">
              <w:rPr>
                <w:rFonts w:eastAsia="Times New Roman" w:cs="Times New Roman"/>
                <w:b/>
                <w:bCs/>
                <w:color w:val="FFFFFF"/>
                <w:sz w:val="20"/>
                <w:szCs w:val="20"/>
                <w:lang w:eastAsia="sk-SK"/>
              </w:rPr>
              <w:t>Štátny dlh podľa dlhových nástrojov</w:t>
            </w:r>
          </w:p>
        </w:tc>
        <w:tc>
          <w:tcPr>
            <w:tcW w:w="603" w:type="pct"/>
            <w:tcBorders>
              <w:top w:val="single" w:sz="4" w:space="0" w:color="auto"/>
              <w:left w:val="nil"/>
              <w:bottom w:val="single" w:sz="4" w:space="0" w:color="auto"/>
              <w:right w:val="nil"/>
            </w:tcBorders>
            <w:shd w:val="clear" w:color="000000" w:fill="000000"/>
            <w:noWrap/>
            <w:vAlign w:val="center"/>
            <w:hideMark/>
          </w:tcPr>
          <w:p w14:paraId="43E51761" w14:textId="77777777" w:rsidR="004567F7" w:rsidRPr="00BF4B27" w:rsidRDefault="004567F7" w:rsidP="00144775">
            <w:pPr>
              <w:spacing w:after="0" w:line="240" w:lineRule="auto"/>
              <w:jc w:val="right"/>
              <w:rPr>
                <w:rFonts w:eastAsia="Times New Roman" w:cs="Times New Roman"/>
                <w:b/>
                <w:bCs/>
                <w:color w:val="FFFFFF"/>
                <w:sz w:val="20"/>
                <w:szCs w:val="20"/>
                <w:lang w:eastAsia="sk-SK"/>
              </w:rPr>
            </w:pPr>
            <w:r w:rsidRPr="00BF4B27">
              <w:rPr>
                <w:rFonts w:eastAsia="Times New Roman" w:cs="Times New Roman"/>
                <w:b/>
                <w:bCs/>
                <w:color w:val="FFFFFF"/>
                <w:sz w:val="20"/>
                <w:szCs w:val="20"/>
                <w:lang w:eastAsia="sk-SK"/>
              </w:rPr>
              <w:t>v tis. eur</w:t>
            </w:r>
          </w:p>
        </w:tc>
      </w:tr>
      <w:tr w:rsidR="004567F7" w:rsidRPr="00BF4B27" w14:paraId="35DF6892" w14:textId="77777777" w:rsidTr="00144775">
        <w:trPr>
          <w:trHeight w:val="300"/>
        </w:trPr>
        <w:tc>
          <w:tcPr>
            <w:tcW w:w="2486" w:type="pct"/>
            <w:tcBorders>
              <w:top w:val="single" w:sz="4" w:space="0" w:color="auto"/>
              <w:left w:val="nil"/>
              <w:bottom w:val="nil"/>
              <w:right w:val="nil"/>
            </w:tcBorders>
            <w:shd w:val="clear" w:color="000000" w:fill="BFBFBF"/>
            <w:vAlign w:val="center"/>
            <w:hideMark/>
          </w:tcPr>
          <w:p w14:paraId="1FBF893B" w14:textId="77777777" w:rsidR="004567F7" w:rsidRPr="00BF4B27" w:rsidRDefault="004567F7" w:rsidP="00144775">
            <w:pPr>
              <w:spacing w:after="0" w:line="240" w:lineRule="auto"/>
              <w:rPr>
                <w:rFonts w:eastAsia="Times New Roman" w:cs="Times New Roman"/>
                <w:b/>
                <w:bCs/>
                <w:sz w:val="20"/>
                <w:szCs w:val="20"/>
                <w:lang w:eastAsia="sk-SK"/>
              </w:rPr>
            </w:pPr>
            <w:r w:rsidRPr="00BF4B27">
              <w:rPr>
                <w:rFonts w:eastAsia="Times New Roman" w:cs="Times New Roman"/>
                <w:b/>
                <w:bCs/>
                <w:sz w:val="20"/>
                <w:szCs w:val="20"/>
                <w:lang w:eastAsia="sk-SK"/>
              </w:rPr>
              <w:t> </w:t>
            </w:r>
          </w:p>
        </w:tc>
        <w:tc>
          <w:tcPr>
            <w:tcW w:w="637" w:type="pct"/>
            <w:tcBorders>
              <w:top w:val="single" w:sz="4" w:space="0" w:color="auto"/>
              <w:left w:val="nil"/>
              <w:bottom w:val="nil"/>
              <w:right w:val="nil"/>
            </w:tcBorders>
            <w:shd w:val="clear" w:color="000000" w:fill="BFBFBF"/>
            <w:vAlign w:val="center"/>
            <w:hideMark/>
          </w:tcPr>
          <w:p w14:paraId="120066FE" w14:textId="77777777" w:rsidR="004567F7" w:rsidRPr="00BF4B27" w:rsidRDefault="004567F7" w:rsidP="00144775">
            <w:pPr>
              <w:spacing w:after="0" w:line="240" w:lineRule="auto"/>
              <w:jc w:val="center"/>
              <w:rPr>
                <w:rFonts w:eastAsia="Times New Roman" w:cs="Times New Roman"/>
                <w:b/>
                <w:bCs/>
                <w:sz w:val="20"/>
                <w:szCs w:val="20"/>
                <w:lang w:eastAsia="sk-SK"/>
              </w:rPr>
            </w:pPr>
            <w:r w:rsidRPr="00BF4B27">
              <w:rPr>
                <w:rFonts w:eastAsia="Times New Roman" w:cs="Times New Roman"/>
                <w:b/>
                <w:bCs/>
                <w:sz w:val="20"/>
                <w:szCs w:val="20"/>
                <w:lang w:eastAsia="sk-SK"/>
              </w:rPr>
              <w:t>k 31.12.2016</w:t>
            </w:r>
          </w:p>
        </w:tc>
        <w:tc>
          <w:tcPr>
            <w:tcW w:w="637" w:type="pct"/>
            <w:tcBorders>
              <w:top w:val="single" w:sz="4" w:space="0" w:color="auto"/>
              <w:left w:val="nil"/>
              <w:bottom w:val="nil"/>
              <w:right w:val="nil"/>
            </w:tcBorders>
            <w:shd w:val="clear" w:color="000000" w:fill="BFBFBF"/>
            <w:vAlign w:val="center"/>
            <w:hideMark/>
          </w:tcPr>
          <w:p w14:paraId="347BC77C" w14:textId="77777777" w:rsidR="004567F7" w:rsidRPr="00BF4B27" w:rsidRDefault="004567F7" w:rsidP="00144775">
            <w:pPr>
              <w:spacing w:after="0" w:line="240" w:lineRule="auto"/>
              <w:jc w:val="center"/>
              <w:rPr>
                <w:rFonts w:eastAsia="Times New Roman" w:cs="Times New Roman"/>
                <w:b/>
                <w:bCs/>
                <w:sz w:val="20"/>
                <w:szCs w:val="20"/>
                <w:lang w:eastAsia="sk-SK"/>
              </w:rPr>
            </w:pPr>
            <w:r w:rsidRPr="00BF4B27">
              <w:rPr>
                <w:rFonts w:eastAsia="Times New Roman" w:cs="Times New Roman"/>
                <w:b/>
                <w:bCs/>
                <w:sz w:val="20"/>
                <w:szCs w:val="20"/>
                <w:lang w:eastAsia="sk-SK"/>
              </w:rPr>
              <w:t>k 31.12.2017</w:t>
            </w:r>
          </w:p>
        </w:tc>
        <w:tc>
          <w:tcPr>
            <w:tcW w:w="638" w:type="pct"/>
            <w:tcBorders>
              <w:top w:val="single" w:sz="4" w:space="0" w:color="auto"/>
              <w:left w:val="nil"/>
              <w:bottom w:val="nil"/>
              <w:right w:val="nil"/>
            </w:tcBorders>
            <w:shd w:val="clear" w:color="000000" w:fill="BFBFBF"/>
            <w:vAlign w:val="center"/>
            <w:hideMark/>
          </w:tcPr>
          <w:p w14:paraId="0BA0B625" w14:textId="77777777" w:rsidR="004567F7" w:rsidRPr="00BF4B27" w:rsidRDefault="004567F7" w:rsidP="00144775">
            <w:pPr>
              <w:spacing w:after="0" w:line="240" w:lineRule="auto"/>
              <w:jc w:val="center"/>
              <w:rPr>
                <w:rFonts w:eastAsia="Times New Roman" w:cs="Times New Roman"/>
                <w:b/>
                <w:bCs/>
                <w:sz w:val="20"/>
                <w:szCs w:val="20"/>
                <w:lang w:eastAsia="sk-SK"/>
              </w:rPr>
            </w:pPr>
            <w:r w:rsidRPr="00BF4B27">
              <w:rPr>
                <w:rFonts w:eastAsia="Times New Roman" w:cs="Times New Roman"/>
                <w:b/>
                <w:bCs/>
                <w:sz w:val="20"/>
                <w:szCs w:val="20"/>
                <w:lang w:eastAsia="sk-SK"/>
              </w:rPr>
              <w:t>k 31.12.2018</w:t>
            </w:r>
          </w:p>
        </w:tc>
        <w:tc>
          <w:tcPr>
            <w:tcW w:w="603" w:type="pct"/>
            <w:tcBorders>
              <w:top w:val="single" w:sz="4" w:space="0" w:color="auto"/>
              <w:left w:val="nil"/>
              <w:bottom w:val="nil"/>
              <w:right w:val="nil"/>
            </w:tcBorders>
            <w:shd w:val="clear" w:color="000000" w:fill="BFBFBF"/>
            <w:vAlign w:val="center"/>
            <w:hideMark/>
          </w:tcPr>
          <w:p w14:paraId="2F78519B" w14:textId="77777777" w:rsidR="004567F7" w:rsidRPr="00BF4B27" w:rsidRDefault="004567F7" w:rsidP="00144775">
            <w:pPr>
              <w:spacing w:after="0" w:line="240" w:lineRule="auto"/>
              <w:jc w:val="center"/>
              <w:rPr>
                <w:rFonts w:eastAsia="Times New Roman" w:cs="Times New Roman"/>
                <w:b/>
                <w:bCs/>
                <w:sz w:val="20"/>
                <w:szCs w:val="20"/>
                <w:lang w:eastAsia="sk-SK"/>
              </w:rPr>
            </w:pPr>
            <w:r w:rsidRPr="00BF4B27">
              <w:rPr>
                <w:rFonts w:eastAsia="Times New Roman" w:cs="Times New Roman"/>
                <w:b/>
                <w:bCs/>
                <w:sz w:val="20"/>
                <w:szCs w:val="20"/>
                <w:lang w:eastAsia="sk-SK"/>
              </w:rPr>
              <w:t>Zmena</w:t>
            </w:r>
          </w:p>
        </w:tc>
      </w:tr>
      <w:tr w:rsidR="004567F7" w:rsidRPr="00BF4B27" w14:paraId="35BD5DC2" w14:textId="77777777" w:rsidTr="00144775">
        <w:trPr>
          <w:trHeight w:val="300"/>
        </w:trPr>
        <w:tc>
          <w:tcPr>
            <w:tcW w:w="2486" w:type="pct"/>
            <w:tcBorders>
              <w:top w:val="nil"/>
              <w:left w:val="nil"/>
              <w:bottom w:val="single" w:sz="4" w:space="0" w:color="auto"/>
              <w:right w:val="nil"/>
            </w:tcBorders>
            <w:shd w:val="clear" w:color="000000" w:fill="BFBFBF"/>
            <w:vAlign w:val="center"/>
            <w:hideMark/>
          </w:tcPr>
          <w:p w14:paraId="56BB8AE5" w14:textId="77777777" w:rsidR="004567F7" w:rsidRPr="00BF4B27" w:rsidRDefault="004567F7" w:rsidP="00144775">
            <w:pPr>
              <w:spacing w:after="0" w:line="240" w:lineRule="auto"/>
              <w:rPr>
                <w:rFonts w:eastAsia="Times New Roman" w:cs="Times New Roman"/>
                <w:b/>
                <w:bCs/>
                <w:sz w:val="20"/>
                <w:szCs w:val="20"/>
                <w:lang w:eastAsia="sk-SK"/>
              </w:rPr>
            </w:pPr>
            <w:r w:rsidRPr="00BF4B27">
              <w:rPr>
                <w:rFonts w:eastAsia="Times New Roman" w:cs="Times New Roman"/>
                <w:b/>
                <w:bCs/>
                <w:sz w:val="20"/>
                <w:szCs w:val="20"/>
                <w:lang w:eastAsia="sk-SK"/>
              </w:rPr>
              <w:t> </w:t>
            </w:r>
          </w:p>
        </w:tc>
        <w:tc>
          <w:tcPr>
            <w:tcW w:w="637" w:type="pct"/>
            <w:tcBorders>
              <w:top w:val="nil"/>
              <w:left w:val="nil"/>
              <w:bottom w:val="single" w:sz="4" w:space="0" w:color="auto"/>
              <w:right w:val="nil"/>
            </w:tcBorders>
            <w:shd w:val="clear" w:color="000000" w:fill="BFBFBF"/>
            <w:vAlign w:val="center"/>
            <w:hideMark/>
          </w:tcPr>
          <w:p w14:paraId="73CC5592" w14:textId="77777777" w:rsidR="004567F7" w:rsidRPr="00BF4B27" w:rsidRDefault="004567F7" w:rsidP="00144775">
            <w:pPr>
              <w:spacing w:after="0" w:line="240" w:lineRule="auto"/>
              <w:jc w:val="center"/>
              <w:rPr>
                <w:rFonts w:eastAsia="Times New Roman" w:cs="Times New Roman"/>
                <w:b/>
                <w:bCs/>
                <w:sz w:val="20"/>
                <w:szCs w:val="20"/>
                <w:lang w:eastAsia="sk-SK"/>
              </w:rPr>
            </w:pPr>
            <w:r w:rsidRPr="00BF4B27">
              <w:rPr>
                <w:rFonts w:eastAsia="Times New Roman" w:cs="Times New Roman"/>
                <w:b/>
                <w:bCs/>
                <w:sz w:val="20"/>
                <w:szCs w:val="20"/>
                <w:lang w:eastAsia="sk-SK"/>
              </w:rPr>
              <w:t>1</w:t>
            </w:r>
          </w:p>
        </w:tc>
        <w:tc>
          <w:tcPr>
            <w:tcW w:w="637" w:type="pct"/>
            <w:tcBorders>
              <w:top w:val="nil"/>
              <w:left w:val="nil"/>
              <w:bottom w:val="single" w:sz="4" w:space="0" w:color="auto"/>
              <w:right w:val="nil"/>
            </w:tcBorders>
            <w:shd w:val="clear" w:color="000000" w:fill="BFBFBF"/>
            <w:vAlign w:val="center"/>
            <w:hideMark/>
          </w:tcPr>
          <w:p w14:paraId="00FBAED7" w14:textId="77777777" w:rsidR="004567F7" w:rsidRPr="00BF4B27" w:rsidRDefault="004567F7" w:rsidP="00144775">
            <w:pPr>
              <w:spacing w:after="0" w:line="240" w:lineRule="auto"/>
              <w:jc w:val="center"/>
              <w:rPr>
                <w:rFonts w:eastAsia="Times New Roman" w:cs="Times New Roman"/>
                <w:b/>
                <w:bCs/>
                <w:sz w:val="20"/>
                <w:szCs w:val="20"/>
                <w:lang w:eastAsia="sk-SK"/>
              </w:rPr>
            </w:pPr>
            <w:r w:rsidRPr="00BF4B27">
              <w:rPr>
                <w:rFonts w:eastAsia="Times New Roman" w:cs="Times New Roman"/>
                <w:b/>
                <w:bCs/>
                <w:sz w:val="20"/>
                <w:szCs w:val="20"/>
                <w:lang w:eastAsia="sk-SK"/>
              </w:rPr>
              <w:t>2</w:t>
            </w:r>
          </w:p>
        </w:tc>
        <w:tc>
          <w:tcPr>
            <w:tcW w:w="638" w:type="pct"/>
            <w:tcBorders>
              <w:top w:val="nil"/>
              <w:left w:val="nil"/>
              <w:bottom w:val="single" w:sz="4" w:space="0" w:color="auto"/>
              <w:right w:val="nil"/>
            </w:tcBorders>
            <w:shd w:val="clear" w:color="000000" w:fill="BFBFBF"/>
            <w:vAlign w:val="center"/>
            <w:hideMark/>
          </w:tcPr>
          <w:p w14:paraId="526F17B1" w14:textId="77777777" w:rsidR="004567F7" w:rsidRPr="00BF4B27" w:rsidRDefault="004567F7" w:rsidP="00144775">
            <w:pPr>
              <w:spacing w:after="0" w:line="240" w:lineRule="auto"/>
              <w:jc w:val="center"/>
              <w:rPr>
                <w:rFonts w:eastAsia="Times New Roman" w:cs="Times New Roman"/>
                <w:b/>
                <w:bCs/>
                <w:sz w:val="20"/>
                <w:szCs w:val="20"/>
                <w:lang w:eastAsia="sk-SK"/>
              </w:rPr>
            </w:pPr>
            <w:r w:rsidRPr="00BF4B27">
              <w:rPr>
                <w:rFonts w:eastAsia="Times New Roman" w:cs="Times New Roman"/>
                <w:b/>
                <w:bCs/>
                <w:sz w:val="20"/>
                <w:szCs w:val="20"/>
                <w:lang w:eastAsia="sk-SK"/>
              </w:rPr>
              <w:t>3</w:t>
            </w:r>
          </w:p>
        </w:tc>
        <w:tc>
          <w:tcPr>
            <w:tcW w:w="603" w:type="pct"/>
            <w:tcBorders>
              <w:top w:val="nil"/>
              <w:left w:val="nil"/>
              <w:bottom w:val="single" w:sz="4" w:space="0" w:color="auto"/>
              <w:right w:val="nil"/>
            </w:tcBorders>
            <w:shd w:val="clear" w:color="000000" w:fill="BFBFBF"/>
            <w:vAlign w:val="center"/>
            <w:hideMark/>
          </w:tcPr>
          <w:p w14:paraId="0AECB3E0" w14:textId="77777777" w:rsidR="004567F7" w:rsidRPr="00BF4B27" w:rsidRDefault="004567F7" w:rsidP="00144775">
            <w:pPr>
              <w:spacing w:after="0" w:line="240" w:lineRule="auto"/>
              <w:jc w:val="center"/>
              <w:rPr>
                <w:rFonts w:eastAsia="Times New Roman" w:cs="Times New Roman"/>
                <w:b/>
                <w:bCs/>
                <w:sz w:val="20"/>
                <w:szCs w:val="20"/>
                <w:lang w:eastAsia="sk-SK"/>
              </w:rPr>
            </w:pPr>
            <w:r w:rsidRPr="00BF4B27">
              <w:rPr>
                <w:rFonts w:eastAsia="Times New Roman" w:cs="Times New Roman"/>
                <w:b/>
                <w:bCs/>
                <w:sz w:val="20"/>
                <w:szCs w:val="20"/>
                <w:lang w:eastAsia="sk-SK"/>
              </w:rPr>
              <w:t>4=(3-2)</w:t>
            </w:r>
          </w:p>
        </w:tc>
      </w:tr>
      <w:tr w:rsidR="004567F7" w:rsidRPr="00BF4B27" w14:paraId="4191F573" w14:textId="77777777" w:rsidTr="00144775">
        <w:trPr>
          <w:trHeight w:val="300"/>
        </w:trPr>
        <w:tc>
          <w:tcPr>
            <w:tcW w:w="2486" w:type="pct"/>
            <w:tcBorders>
              <w:top w:val="nil"/>
              <w:left w:val="nil"/>
              <w:bottom w:val="nil"/>
              <w:right w:val="nil"/>
            </w:tcBorders>
            <w:shd w:val="clear" w:color="auto" w:fill="auto"/>
            <w:noWrap/>
            <w:vAlign w:val="bottom"/>
            <w:hideMark/>
          </w:tcPr>
          <w:p w14:paraId="3CC2BCF5" w14:textId="77777777" w:rsidR="004567F7" w:rsidRPr="00BF4B27" w:rsidRDefault="004567F7" w:rsidP="00144775">
            <w:pPr>
              <w:spacing w:after="0" w:line="240" w:lineRule="auto"/>
              <w:jc w:val="left"/>
              <w:rPr>
                <w:rFonts w:eastAsia="Times New Roman" w:cs="Times New Roman"/>
                <w:sz w:val="20"/>
                <w:szCs w:val="20"/>
                <w:lang w:eastAsia="sk-SK"/>
              </w:rPr>
            </w:pPr>
            <w:r w:rsidRPr="00BF4B27">
              <w:rPr>
                <w:rFonts w:eastAsia="Times New Roman" w:cs="Times New Roman"/>
                <w:sz w:val="20"/>
                <w:szCs w:val="20"/>
                <w:lang w:eastAsia="sk-SK"/>
              </w:rPr>
              <w:t>Štátne dlhopisy</w:t>
            </w:r>
          </w:p>
        </w:tc>
        <w:tc>
          <w:tcPr>
            <w:tcW w:w="637" w:type="pct"/>
            <w:tcBorders>
              <w:top w:val="nil"/>
              <w:left w:val="nil"/>
              <w:bottom w:val="nil"/>
              <w:right w:val="nil"/>
            </w:tcBorders>
            <w:shd w:val="clear" w:color="auto" w:fill="auto"/>
            <w:noWrap/>
            <w:vAlign w:val="bottom"/>
            <w:hideMark/>
          </w:tcPr>
          <w:p w14:paraId="15D7E8E9"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35 468 549</w:t>
            </w:r>
          </w:p>
        </w:tc>
        <w:tc>
          <w:tcPr>
            <w:tcW w:w="637" w:type="pct"/>
            <w:tcBorders>
              <w:top w:val="nil"/>
              <w:left w:val="nil"/>
              <w:bottom w:val="nil"/>
              <w:right w:val="nil"/>
            </w:tcBorders>
            <w:shd w:val="clear" w:color="auto" w:fill="auto"/>
            <w:noWrap/>
            <w:vAlign w:val="bottom"/>
            <w:hideMark/>
          </w:tcPr>
          <w:p w14:paraId="170EE752"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37 037 655</w:t>
            </w:r>
          </w:p>
        </w:tc>
        <w:tc>
          <w:tcPr>
            <w:tcW w:w="638" w:type="pct"/>
            <w:tcBorders>
              <w:top w:val="nil"/>
              <w:left w:val="nil"/>
              <w:bottom w:val="nil"/>
              <w:right w:val="nil"/>
            </w:tcBorders>
            <w:shd w:val="clear" w:color="auto" w:fill="auto"/>
            <w:noWrap/>
            <w:vAlign w:val="bottom"/>
            <w:hideMark/>
          </w:tcPr>
          <w:p w14:paraId="31CD02DE"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36 937 291</w:t>
            </w:r>
          </w:p>
        </w:tc>
        <w:tc>
          <w:tcPr>
            <w:tcW w:w="603" w:type="pct"/>
            <w:tcBorders>
              <w:top w:val="nil"/>
              <w:left w:val="nil"/>
              <w:bottom w:val="nil"/>
              <w:right w:val="nil"/>
            </w:tcBorders>
            <w:shd w:val="clear" w:color="auto" w:fill="auto"/>
            <w:noWrap/>
            <w:vAlign w:val="bottom"/>
            <w:hideMark/>
          </w:tcPr>
          <w:p w14:paraId="20F3BC77"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-100 364</w:t>
            </w:r>
          </w:p>
        </w:tc>
      </w:tr>
      <w:tr w:rsidR="004567F7" w:rsidRPr="00BF4B27" w14:paraId="56A22B2E" w14:textId="77777777" w:rsidTr="00144775">
        <w:trPr>
          <w:trHeight w:val="300"/>
        </w:trPr>
        <w:tc>
          <w:tcPr>
            <w:tcW w:w="2486" w:type="pct"/>
            <w:tcBorders>
              <w:top w:val="nil"/>
              <w:left w:val="nil"/>
              <w:bottom w:val="nil"/>
              <w:right w:val="nil"/>
            </w:tcBorders>
            <w:shd w:val="clear" w:color="auto" w:fill="auto"/>
            <w:noWrap/>
            <w:vAlign w:val="bottom"/>
            <w:hideMark/>
          </w:tcPr>
          <w:p w14:paraId="17821CEA" w14:textId="77777777" w:rsidR="004567F7" w:rsidRPr="00BF4B27" w:rsidRDefault="004567F7" w:rsidP="00144775">
            <w:pPr>
              <w:spacing w:after="0" w:line="240" w:lineRule="auto"/>
              <w:jc w:val="left"/>
              <w:rPr>
                <w:rFonts w:eastAsia="Times New Roman" w:cs="Times New Roman"/>
                <w:sz w:val="20"/>
                <w:szCs w:val="20"/>
                <w:lang w:eastAsia="sk-SK"/>
              </w:rPr>
            </w:pPr>
            <w:r w:rsidRPr="00BF4B27">
              <w:rPr>
                <w:rFonts w:eastAsia="Times New Roman" w:cs="Times New Roman"/>
                <w:sz w:val="20"/>
                <w:szCs w:val="20"/>
                <w:lang w:eastAsia="sk-SK"/>
              </w:rPr>
              <w:t>Štátne pokladničné poukážky</w:t>
            </w:r>
          </w:p>
        </w:tc>
        <w:tc>
          <w:tcPr>
            <w:tcW w:w="637" w:type="pct"/>
            <w:tcBorders>
              <w:top w:val="nil"/>
              <w:left w:val="nil"/>
              <w:bottom w:val="nil"/>
              <w:right w:val="nil"/>
            </w:tcBorders>
            <w:shd w:val="clear" w:color="auto" w:fill="auto"/>
            <w:noWrap/>
            <w:vAlign w:val="bottom"/>
            <w:hideMark/>
          </w:tcPr>
          <w:p w14:paraId="759BF234"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400 000</w:t>
            </w:r>
          </w:p>
        </w:tc>
        <w:tc>
          <w:tcPr>
            <w:tcW w:w="637" w:type="pct"/>
            <w:tcBorders>
              <w:top w:val="nil"/>
              <w:left w:val="nil"/>
              <w:bottom w:val="nil"/>
              <w:right w:val="nil"/>
            </w:tcBorders>
            <w:shd w:val="clear" w:color="auto" w:fill="auto"/>
            <w:noWrap/>
            <w:vAlign w:val="bottom"/>
            <w:hideMark/>
          </w:tcPr>
          <w:p w14:paraId="7AA7B3BE"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0</w:t>
            </w:r>
          </w:p>
        </w:tc>
        <w:tc>
          <w:tcPr>
            <w:tcW w:w="638" w:type="pct"/>
            <w:tcBorders>
              <w:top w:val="nil"/>
              <w:left w:val="nil"/>
              <w:bottom w:val="nil"/>
              <w:right w:val="nil"/>
            </w:tcBorders>
            <w:shd w:val="clear" w:color="auto" w:fill="auto"/>
            <w:noWrap/>
            <w:vAlign w:val="bottom"/>
            <w:hideMark/>
          </w:tcPr>
          <w:p w14:paraId="0EA76DCC"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800 000</w:t>
            </w:r>
          </w:p>
        </w:tc>
        <w:tc>
          <w:tcPr>
            <w:tcW w:w="603" w:type="pct"/>
            <w:tcBorders>
              <w:top w:val="nil"/>
              <w:left w:val="nil"/>
              <w:bottom w:val="nil"/>
              <w:right w:val="nil"/>
            </w:tcBorders>
            <w:shd w:val="clear" w:color="auto" w:fill="auto"/>
            <w:noWrap/>
            <w:vAlign w:val="bottom"/>
            <w:hideMark/>
          </w:tcPr>
          <w:p w14:paraId="482BE2A2"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800 000</w:t>
            </w:r>
          </w:p>
        </w:tc>
      </w:tr>
      <w:tr w:rsidR="004567F7" w:rsidRPr="00BF4B27" w14:paraId="7588338E" w14:textId="77777777" w:rsidTr="00144775">
        <w:trPr>
          <w:trHeight w:val="300"/>
        </w:trPr>
        <w:tc>
          <w:tcPr>
            <w:tcW w:w="2486" w:type="pct"/>
            <w:tcBorders>
              <w:top w:val="nil"/>
              <w:left w:val="nil"/>
              <w:bottom w:val="nil"/>
              <w:right w:val="nil"/>
            </w:tcBorders>
            <w:shd w:val="clear" w:color="auto" w:fill="auto"/>
            <w:noWrap/>
            <w:vAlign w:val="bottom"/>
            <w:hideMark/>
          </w:tcPr>
          <w:p w14:paraId="265F64BF" w14:textId="77777777" w:rsidR="004567F7" w:rsidRPr="00BF4B27" w:rsidRDefault="004567F7" w:rsidP="00144775">
            <w:pPr>
              <w:spacing w:after="0" w:line="240" w:lineRule="auto"/>
              <w:jc w:val="left"/>
              <w:rPr>
                <w:rFonts w:eastAsia="Times New Roman" w:cs="Times New Roman"/>
                <w:sz w:val="20"/>
                <w:szCs w:val="20"/>
                <w:lang w:eastAsia="sk-SK"/>
              </w:rPr>
            </w:pPr>
            <w:r w:rsidRPr="00BF4B27">
              <w:rPr>
                <w:rFonts w:eastAsia="Times New Roman" w:cs="Times New Roman"/>
                <w:sz w:val="20"/>
                <w:szCs w:val="20"/>
                <w:lang w:eastAsia="sk-SK"/>
              </w:rPr>
              <w:t>Bankové úvery a iné pôžičky</w:t>
            </w:r>
          </w:p>
        </w:tc>
        <w:tc>
          <w:tcPr>
            <w:tcW w:w="637" w:type="pct"/>
            <w:tcBorders>
              <w:top w:val="nil"/>
              <w:left w:val="nil"/>
              <w:bottom w:val="nil"/>
              <w:right w:val="nil"/>
            </w:tcBorders>
            <w:shd w:val="clear" w:color="auto" w:fill="auto"/>
            <w:noWrap/>
            <w:vAlign w:val="bottom"/>
            <w:hideMark/>
          </w:tcPr>
          <w:p w14:paraId="34A8AF7B"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2 236 407</w:t>
            </w:r>
          </w:p>
        </w:tc>
        <w:tc>
          <w:tcPr>
            <w:tcW w:w="637" w:type="pct"/>
            <w:tcBorders>
              <w:top w:val="nil"/>
              <w:left w:val="nil"/>
              <w:bottom w:val="nil"/>
              <w:right w:val="nil"/>
            </w:tcBorders>
            <w:shd w:val="clear" w:color="auto" w:fill="auto"/>
            <w:noWrap/>
            <w:vAlign w:val="bottom"/>
            <w:hideMark/>
          </w:tcPr>
          <w:p w14:paraId="4660CF16"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2 293 234</w:t>
            </w:r>
          </w:p>
        </w:tc>
        <w:tc>
          <w:tcPr>
            <w:tcW w:w="638" w:type="pct"/>
            <w:tcBorders>
              <w:top w:val="nil"/>
              <w:left w:val="nil"/>
              <w:bottom w:val="nil"/>
              <w:right w:val="nil"/>
            </w:tcBorders>
            <w:shd w:val="clear" w:color="auto" w:fill="auto"/>
            <w:noWrap/>
            <w:vAlign w:val="bottom"/>
            <w:hideMark/>
          </w:tcPr>
          <w:p w14:paraId="0AF54AD3"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2 280 118</w:t>
            </w:r>
          </w:p>
        </w:tc>
        <w:tc>
          <w:tcPr>
            <w:tcW w:w="603" w:type="pct"/>
            <w:tcBorders>
              <w:top w:val="nil"/>
              <w:left w:val="nil"/>
              <w:bottom w:val="nil"/>
              <w:right w:val="nil"/>
            </w:tcBorders>
            <w:shd w:val="clear" w:color="auto" w:fill="auto"/>
            <w:noWrap/>
            <w:vAlign w:val="bottom"/>
            <w:hideMark/>
          </w:tcPr>
          <w:p w14:paraId="7F442D3B"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-13 116</w:t>
            </w:r>
          </w:p>
        </w:tc>
      </w:tr>
      <w:tr w:rsidR="004567F7" w:rsidRPr="00BF4B27" w14:paraId="2A76AF27" w14:textId="77777777" w:rsidTr="00144775">
        <w:trPr>
          <w:trHeight w:val="300"/>
        </w:trPr>
        <w:tc>
          <w:tcPr>
            <w:tcW w:w="2486" w:type="pct"/>
            <w:tcBorders>
              <w:top w:val="nil"/>
              <w:left w:val="nil"/>
              <w:bottom w:val="nil"/>
              <w:right w:val="nil"/>
            </w:tcBorders>
            <w:shd w:val="clear" w:color="auto" w:fill="auto"/>
            <w:noWrap/>
            <w:vAlign w:val="bottom"/>
            <w:hideMark/>
          </w:tcPr>
          <w:p w14:paraId="052EC9FF" w14:textId="77777777" w:rsidR="004567F7" w:rsidRPr="00BF4B27" w:rsidRDefault="004567F7" w:rsidP="00144775">
            <w:pPr>
              <w:spacing w:after="0" w:line="240" w:lineRule="auto"/>
              <w:jc w:val="left"/>
              <w:rPr>
                <w:rFonts w:eastAsia="Times New Roman" w:cs="Times New Roman"/>
                <w:sz w:val="20"/>
                <w:szCs w:val="20"/>
                <w:lang w:eastAsia="sk-SK"/>
              </w:rPr>
            </w:pPr>
            <w:r w:rsidRPr="00BF4B27">
              <w:rPr>
                <w:rFonts w:eastAsia="Times New Roman" w:cs="Times New Roman"/>
                <w:sz w:val="20"/>
                <w:szCs w:val="20"/>
                <w:lang w:eastAsia="sk-SK"/>
              </w:rPr>
              <w:t>Záväzky z vkladov v Štátnej pokladnici</w:t>
            </w:r>
          </w:p>
        </w:tc>
        <w:tc>
          <w:tcPr>
            <w:tcW w:w="637" w:type="pct"/>
            <w:tcBorders>
              <w:top w:val="nil"/>
              <w:left w:val="nil"/>
              <w:bottom w:val="nil"/>
              <w:right w:val="nil"/>
            </w:tcBorders>
            <w:shd w:val="clear" w:color="auto" w:fill="auto"/>
            <w:noWrap/>
            <w:vAlign w:val="bottom"/>
            <w:hideMark/>
          </w:tcPr>
          <w:p w14:paraId="6F07F567"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104 564</w:t>
            </w:r>
          </w:p>
        </w:tc>
        <w:tc>
          <w:tcPr>
            <w:tcW w:w="637" w:type="pct"/>
            <w:tcBorders>
              <w:top w:val="nil"/>
              <w:left w:val="nil"/>
              <w:bottom w:val="nil"/>
              <w:right w:val="nil"/>
            </w:tcBorders>
            <w:shd w:val="clear" w:color="auto" w:fill="auto"/>
            <w:noWrap/>
            <w:vAlign w:val="bottom"/>
            <w:hideMark/>
          </w:tcPr>
          <w:p w14:paraId="1F5E7259"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197 977</w:t>
            </w:r>
          </w:p>
        </w:tc>
        <w:tc>
          <w:tcPr>
            <w:tcW w:w="638" w:type="pct"/>
            <w:tcBorders>
              <w:top w:val="nil"/>
              <w:left w:val="nil"/>
              <w:bottom w:val="nil"/>
              <w:right w:val="nil"/>
            </w:tcBorders>
            <w:shd w:val="clear" w:color="auto" w:fill="auto"/>
            <w:noWrap/>
            <w:vAlign w:val="bottom"/>
            <w:hideMark/>
          </w:tcPr>
          <w:p w14:paraId="0555729D"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290 855</w:t>
            </w:r>
          </w:p>
        </w:tc>
        <w:tc>
          <w:tcPr>
            <w:tcW w:w="603" w:type="pct"/>
            <w:tcBorders>
              <w:top w:val="nil"/>
              <w:left w:val="nil"/>
              <w:bottom w:val="nil"/>
              <w:right w:val="nil"/>
            </w:tcBorders>
            <w:shd w:val="clear" w:color="auto" w:fill="auto"/>
            <w:noWrap/>
            <w:vAlign w:val="bottom"/>
            <w:hideMark/>
          </w:tcPr>
          <w:p w14:paraId="3A1A9FF1"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92 878</w:t>
            </w:r>
          </w:p>
        </w:tc>
      </w:tr>
      <w:tr w:rsidR="004567F7" w:rsidRPr="00BF4B27" w14:paraId="30A7E4D8" w14:textId="77777777" w:rsidTr="00144775">
        <w:trPr>
          <w:trHeight w:val="300"/>
        </w:trPr>
        <w:tc>
          <w:tcPr>
            <w:tcW w:w="2486" w:type="pct"/>
            <w:tcBorders>
              <w:top w:val="nil"/>
              <w:left w:val="nil"/>
              <w:bottom w:val="nil"/>
              <w:right w:val="nil"/>
            </w:tcBorders>
            <w:shd w:val="clear" w:color="auto" w:fill="auto"/>
            <w:noWrap/>
            <w:vAlign w:val="bottom"/>
            <w:hideMark/>
          </w:tcPr>
          <w:p w14:paraId="262A3367" w14:textId="77777777" w:rsidR="004567F7" w:rsidRPr="00BF4B27" w:rsidRDefault="004567F7" w:rsidP="00144775">
            <w:pPr>
              <w:spacing w:after="0" w:line="240" w:lineRule="auto"/>
              <w:jc w:val="left"/>
              <w:rPr>
                <w:rFonts w:eastAsia="Times New Roman" w:cs="Times New Roman"/>
                <w:sz w:val="20"/>
                <w:szCs w:val="20"/>
                <w:lang w:eastAsia="sk-SK"/>
              </w:rPr>
            </w:pPr>
            <w:r w:rsidRPr="00BF4B27">
              <w:rPr>
                <w:rFonts w:eastAsia="Times New Roman" w:cs="Times New Roman"/>
                <w:sz w:val="20"/>
                <w:szCs w:val="20"/>
                <w:lang w:eastAsia="sk-SK"/>
              </w:rPr>
              <w:t>Zábezpeky</w:t>
            </w:r>
          </w:p>
        </w:tc>
        <w:tc>
          <w:tcPr>
            <w:tcW w:w="637" w:type="pct"/>
            <w:tcBorders>
              <w:top w:val="nil"/>
              <w:left w:val="nil"/>
              <w:bottom w:val="nil"/>
              <w:right w:val="nil"/>
            </w:tcBorders>
            <w:shd w:val="clear" w:color="auto" w:fill="auto"/>
            <w:noWrap/>
            <w:vAlign w:val="bottom"/>
            <w:hideMark/>
          </w:tcPr>
          <w:p w14:paraId="3C02ADCA"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235 271</w:t>
            </w:r>
          </w:p>
        </w:tc>
        <w:tc>
          <w:tcPr>
            <w:tcW w:w="637" w:type="pct"/>
            <w:tcBorders>
              <w:top w:val="nil"/>
              <w:left w:val="nil"/>
              <w:bottom w:val="nil"/>
              <w:right w:val="nil"/>
            </w:tcBorders>
            <w:shd w:val="clear" w:color="auto" w:fill="auto"/>
            <w:noWrap/>
            <w:vAlign w:val="bottom"/>
            <w:hideMark/>
          </w:tcPr>
          <w:p w14:paraId="4DD20123"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94 083</w:t>
            </w:r>
          </w:p>
        </w:tc>
        <w:tc>
          <w:tcPr>
            <w:tcW w:w="638" w:type="pct"/>
            <w:tcBorders>
              <w:top w:val="nil"/>
              <w:left w:val="nil"/>
              <w:bottom w:val="nil"/>
              <w:right w:val="nil"/>
            </w:tcBorders>
            <w:shd w:val="clear" w:color="auto" w:fill="auto"/>
            <w:noWrap/>
            <w:vAlign w:val="bottom"/>
            <w:hideMark/>
          </w:tcPr>
          <w:p w14:paraId="0C8284FE"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139 028</w:t>
            </w:r>
          </w:p>
        </w:tc>
        <w:tc>
          <w:tcPr>
            <w:tcW w:w="603" w:type="pct"/>
            <w:tcBorders>
              <w:top w:val="nil"/>
              <w:left w:val="nil"/>
              <w:bottom w:val="nil"/>
              <w:right w:val="nil"/>
            </w:tcBorders>
            <w:shd w:val="clear" w:color="auto" w:fill="auto"/>
            <w:noWrap/>
            <w:vAlign w:val="bottom"/>
            <w:hideMark/>
          </w:tcPr>
          <w:p w14:paraId="0634BF9F"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44 945</w:t>
            </w:r>
          </w:p>
        </w:tc>
      </w:tr>
      <w:tr w:rsidR="004567F7" w:rsidRPr="00BF4B27" w14:paraId="0A684CF5" w14:textId="77777777" w:rsidTr="00144775">
        <w:trPr>
          <w:trHeight w:val="300"/>
        </w:trPr>
        <w:tc>
          <w:tcPr>
            <w:tcW w:w="2486" w:type="pct"/>
            <w:tcBorders>
              <w:top w:val="nil"/>
              <w:left w:val="nil"/>
              <w:bottom w:val="nil"/>
              <w:right w:val="nil"/>
            </w:tcBorders>
            <w:shd w:val="clear" w:color="auto" w:fill="auto"/>
            <w:noWrap/>
            <w:vAlign w:val="bottom"/>
            <w:hideMark/>
          </w:tcPr>
          <w:p w14:paraId="34030125" w14:textId="77777777" w:rsidR="004567F7" w:rsidRPr="00BF4B27" w:rsidRDefault="004567F7" w:rsidP="00144775">
            <w:pPr>
              <w:spacing w:after="0" w:line="240" w:lineRule="auto"/>
              <w:jc w:val="left"/>
              <w:rPr>
                <w:rFonts w:eastAsia="Times New Roman" w:cs="Times New Roman"/>
                <w:sz w:val="20"/>
                <w:szCs w:val="20"/>
                <w:lang w:eastAsia="sk-SK"/>
              </w:rPr>
            </w:pPr>
            <w:r w:rsidRPr="00BF4B27">
              <w:rPr>
                <w:rFonts w:eastAsia="Times New Roman" w:cs="Times New Roman"/>
                <w:sz w:val="20"/>
                <w:szCs w:val="20"/>
                <w:lang w:eastAsia="sk-SK"/>
              </w:rPr>
              <w:t>Záväzky z EFSF</w:t>
            </w:r>
          </w:p>
        </w:tc>
        <w:tc>
          <w:tcPr>
            <w:tcW w:w="637" w:type="pct"/>
            <w:tcBorders>
              <w:top w:val="nil"/>
              <w:left w:val="nil"/>
              <w:bottom w:val="nil"/>
              <w:right w:val="nil"/>
            </w:tcBorders>
            <w:shd w:val="clear" w:color="auto" w:fill="auto"/>
            <w:noWrap/>
            <w:vAlign w:val="bottom"/>
            <w:hideMark/>
          </w:tcPr>
          <w:p w14:paraId="724FB7A3"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1 880 640</w:t>
            </w:r>
          </w:p>
        </w:tc>
        <w:tc>
          <w:tcPr>
            <w:tcW w:w="637" w:type="pct"/>
            <w:tcBorders>
              <w:top w:val="nil"/>
              <w:left w:val="nil"/>
              <w:bottom w:val="nil"/>
              <w:right w:val="nil"/>
            </w:tcBorders>
            <w:shd w:val="clear" w:color="auto" w:fill="auto"/>
            <w:noWrap/>
            <w:vAlign w:val="bottom"/>
            <w:hideMark/>
          </w:tcPr>
          <w:p w14:paraId="7744E830"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1 880 640</w:t>
            </w:r>
          </w:p>
        </w:tc>
        <w:tc>
          <w:tcPr>
            <w:tcW w:w="638" w:type="pct"/>
            <w:tcBorders>
              <w:top w:val="nil"/>
              <w:left w:val="nil"/>
              <w:bottom w:val="nil"/>
              <w:right w:val="nil"/>
            </w:tcBorders>
            <w:shd w:val="clear" w:color="auto" w:fill="auto"/>
            <w:noWrap/>
            <w:vAlign w:val="bottom"/>
            <w:hideMark/>
          </w:tcPr>
          <w:p w14:paraId="298C82EF"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1 880 640</w:t>
            </w:r>
          </w:p>
        </w:tc>
        <w:tc>
          <w:tcPr>
            <w:tcW w:w="603" w:type="pct"/>
            <w:tcBorders>
              <w:top w:val="nil"/>
              <w:left w:val="nil"/>
              <w:bottom w:val="nil"/>
              <w:right w:val="nil"/>
            </w:tcBorders>
            <w:shd w:val="clear" w:color="auto" w:fill="auto"/>
            <w:noWrap/>
            <w:vAlign w:val="bottom"/>
            <w:hideMark/>
          </w:tcPr>
          <w:p w14:paraId="0E87CA4B"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0</w:t>
            </w:r>
          </w:p>
        </w:tc>
      </w:tr>
      <w:tr w:rsidR="004567F7" w:rsidRPr="00BF4B27" w14:paraId="5418A06B" w14:textId="77777777" w:rsidTr="00144775">
        <w:trPr>
          <w:trHeight w:val="300"/>
        </w:trPr>
        <w:tc>
          <w:tcPr>
            <w:tcW w:w="2486" w:type="pct"/>
            <w:tcBorders>
              <w:top w:val="nil"/>
              <w:left w:val="nil"/>
              <w:bottom w:val="nil"/>
              <w:right w:val="nil"/>
            </w:tcBorders>
            <w:shd w:val="clear" w:color="auto" w:fill="auto"/>
            <w:noWrap/>
            <w:vAlign w:val="bottom"/>
            <w:hideMark/>
          </w:tcPr>
          <w:p w14:paraId="5E5CFED6" w14:textId="77777777" w:rsidR="004567F7" w:rsidRPr="00BF4B27" w:rsidRDefault="004567F7" w:rsidP="00144775">
            <w:pPr>
              <w:spacing w:after="0" w:line="240" w:lineRule="auto"/>
              <w:jc w:val="left"/>
              <w:rPr>
                <w:rFonts w:eastAsia="Times New Roman" w:cs="Times New Roman"/>
                <w:sz w:val="20"/>
                <w:szCs w:val="20"/>
                <w:lang w:eastAsia="sk-SK"/>
              </w:rPr>
            </w:pPr>
            <w:proofErr w:type="spellStart"/>
            <w:r w:rsidRPr="00BF4B27">
              <w:rPr>
                <w:rFonts w:eastAsia="Times New Roman" w:cs="Times New Roman"/>
                <w:sz w:val="20"/>
                <w:szCs w:val="20"/>
                <w:lang w:eastAsia="sk-SK"/>
              </w:rPr>
              <w:t>Imput</w:t>
            </w:r>
            <w:proofErr w:type="spellEnd"/>
            <w:r w:rsidRPr="00BF4B27">
              <w:rPr>
                <w:rFonts w:eastAsia="Times New Roman" w:cs="Times New Roman"/>
                <w:sz w:val="20"/>
                <w:szCs w:val="20"/>
                <w:lang w:eastAsia="sk-SK"/>
              </w:rPr>
              <w:t xml:space="preserve"> pôžičky z EOSA</w:t>
            </w:r>
          </w:p>
        </w:tc>
        <w:tc>
          <w:tcPr>
            <w:tcW w:w="637" w:type="pct"/>
            <w:tcBorders>
              <w:top w:val="nil"/>
              <w:left w:val="nil"/>
              <w:bottom w:val="nil"/>
              <w:right w:val="nil"/>
            </w:tcBorders>
            <w:shd w:val="clear" w:color="auto" w:fill="auto"/>
            <w:noWrap/>
            <w:vAlign w:val="bottom"/>
            <w:hideMark/>
          </w:tcPr>
          <w:p w14:paraId="30A93B8C"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318 383</w:t>
            </w:r>
          </w:p>
        </w:tc>
        <w:tc>
          <w:tcPr>
            <w:tcW w:w="637" w:type="pct"/>
            <w:tcBorders>
              <w:top w:val="nil"/>
              <w:left w:val="nil"/>
              <w:bottom w:val="nil"/>
              <w:right w:val="nil"/>
            </w:tcBorders>
            <w:shd w:val="clear" w:color="auto" w:fill="auto"/>
            <w:noWrap/>
            <w:vAlign w:val="bottom"/>
            <w:hideMark/>
          </w:tcPr>
          <w:p w14:paraId="675E4199"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261 917</w:t>
            </w:r>
          </w:p>
        </w:tc>
        <w:tc>
          <w:tcPr>
            <w:tcW w:w="638" w:type="pct"/>
            <w:tcBorders>
              <w:top w:val="nil"/>
              <w:left w:val="nil"/>
              <w:bottom w:val="nil"/>
              <w:right w:val="nil"/>
            </w:tcBorders>
            <w:shd w:val="clear" w:color="auto" w:fill="auto"/>
            <w:noWrap/>
            <w:vAlign w:val="bottom"/>
            <w:hideMark/>
          </w:tcPr>
          <w:p w14:paraId="26077F52"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227 832</w:t>
            </w:r>
          </w:p>
        </w:tc>
        <w:tc>
          <w:tcPr>
            <w:tcW w:w="603" w:type="pct"/>
            <w:tcBorders>
              <w:top w:val="nil"/>
              <w:left w:val="nil"/>
              <w:bottom w:val="nil"/>
              <w:right w:val="nil"/>
            </w:tcBorders>
            <w:shd w:val="clear" w:color="auto" w:fill="auto"/>
            <w:noWrap/>
            <w:vAlign w:val="bottom"/>
            <w:hideMark/>
          </w:tcPr>
          <w:p w14:paraId="08AC467B" w14:textId="77777777" w:rsidR="004567F7" w:rsidRPr="00BF4B27" w:rsidRDefault="004567F7" w:rsidP="00144775">
            <w:pPr>
              <w:spacing w:after="0" w:line="240" w:lineRule="auto"/>
              <w:jc w:val="right"/>
              <w:rPr>
                <w:rFonts w:eastAsia="Times New Roman" w:cs="Times New Roman"/>
                <w:sz w:val="20"/>
                <w:szCs w:val="20"/>
                <w:lang w:eastAsia="sk-SK"/>
              </w:rPr>
            </w:pPr>
            <w:r w:rsidRPr="00BF4B27">
              <w:rPr>
                <w:rFonts w:eastAsia="Times New Roman" w:cs="Times New Roman"/>
                <w:sz w:val="20"/>
                <w:szCs w:val="20"/>
                <w:lang w:eastAsia="sk-SK"/>
              </w:rPr>
              <w:t>-34 085</w:t>
            </w:r>
          </w:p>
        </w:tc>
      </w:tr>
      <w:tr w:rsidR="004567F7" w:rsidRPr="00BF4B27" w14:paraId="3D3E4DC4" w14:textId="77777777" w:rsidTr="00144775">
        <w:trPr>
          <w:trHeight w:val="300"/>
        </w:trPr>
        <w:tc>
          <w:tcPr>
            <w:tcW w:w="2486" w:type="pct"/>
            <w:tcBorders>
              <w:top w:val="nil"/>
              <w:left w:val="nil"/>
              <w:bottom w:val="single" w:sz="4" w:space="0" w:color="auto"/>
              <w:right w:val="nil"/>
            </w:tcBorders>
            <w:shd w:val="clear" w:color="auto" w:fill="auto"/>
            <w:noWrap/>
            <w:vAlign w:val="bottom"/>
            <w:hideMark/>
          </w:tcPr>
          <w:p w14:paraId="4FCF0A81" w14:textId="77777777" w:rsidR="004567F7" w:rsidRPr="00BF4B27" w:rsidRDefault="004567F7" w:rsidP="00144775">
            <w:pPr>
              <w:spacing w:after="0" w:line="240" w:lineRule="auto"/>
              <w:jc w:val="left"/>
              <w:rPr>
                <w:rFonts w:eastAsia="Times New Roman" w:cs="Times New Roman"/>
                <w:b/>
                <w:bCs/>
                <w:sz w:val="20"/>
                <w:szCs w:val="20"/>
                <w:lang w:eastAsia="sk-SK"/>
              </w:rPr>
            </w:pPr>
            <w:r w:rsidRPr="00BF4B27">
              <w:rPr>
                <w:rFonts w:eastAsia="Times New Roman" w:cs="Times New Roman"/>
                <w:b/>
                <w:bCs/>
                <w:sz w:val="20"/>
                <w:szCs w:val="20"/>
                <w:lang w:eastAsia="sk-SK"/>
              </w:rPr>
              <w:t>Spolu dlh</w:t>
            </w:r>
          </w:p>
        </w:tc>
        <w:tc>
          <w:tcPr>
            <w:tcW w:w="637" w:type="pct"/>
            <w:tcBorders>
              <w:top w:val="nil"/>
              <w:left w:val="nil"/>
              <w:bottom w:val="single" w:sz="4" w:space="0" w:color="auto"/>
              <w:right w:val="nil"/>
            </w:tcBorders>
            <w:shd w:val="clear" w:color="auto" w:fill="auto"/>
            <w:noWrap/>
            <w:vAlign w:val="bottom"/>
            <w:hideMark/>
          </w:tcPr>
          <w:p w14:paraId="54D2C457" w14:textId="77777777" w:rsidR="004567F7" w:rsidRPr="00BF4B27" w:rsidRDefault="004567F7" w:rsidP="00144775">
            <w:pPr>
              <w:spacing w:after="0" w:line="240" w:lineRule="auto"/>
              <w:jc w:val="right"/>
              <w:rPr>
                <w:rFonts w:eastAsia="Times New Roman" w:cs="Times New Roman"/>
                <w:b/>
                <w:bCs/>
                <w:sz w:val="20"/>
                <w:szCs w:val="20"/>
                <w:lang w:eastAsia="sk-SK"/>
              </w:rPr>
            </w:pPr>
            <w:r w:rsidRPr="00BF4B27">
              <w:rPr>
                <w:rFonts w:eastAsia="Times New Roman" w:cs="Times New Roman"/>
                <w:b/>
                <w:bCs/>
                <w:sz w:val="20"/>
                <w:szCs w:val="20"/>
                <w:lang w:eastAsia="sk-SK"/>
              </w:rPr>
              <w:t>40 643 814</w:t>
            </w:r>
          </w:p>
        </w:tc>
        <w:tc>
          <w:tcPr>
            <w:tcW w:w="637" w:type="pct"/>
            <w:tcBorders>
              <w:top w:val="nil"/>
              <w:left w:val="nil"/>
              <w:bottom w:val="single" w:sz="4" w:space="0" w:color="auto"/>
              <w:right w:val="nil"/>
            </w:tcBorders>
            <w:shd w:val="clear" w:color="auto" w:fill="auto"/>
            <w:noWrap/>
            <w:vAlign w:val="bottom"/>
            <w:hideMark/>
          </w:tcPr>
          <w:p w14:paraId="34C31067" w14:textId="77777777" w:rsidR="004567F7" w:rsidRPr="00BF4B27" w:rsidRDefault="004567F7" w:rsidP="00144775">
            <w:pPr>
              <w:spacing w:after="0" w:line="240" w:lineRule="auto"/>
              <w:jc w:val="right"/>
              <w:rPr>
                <w:rFonts w:eastAsia="Times New Roman" w:cs="Times New Roman"/>
                <w:b/>
                <w:bCs/>
                <w:sz w:val="20"/>
                <w:szCs w:val="20"/>
                <w:lang w:eastAsia="sk-SK"/>
              </w:rPr>
            </w:pPr>
            <w:r w:rsidRPr="00BF4B27">
              <w:rPr>
                <w:rFonts w:eastAsia="Times New Roman" w:cs="Times New Roman"/>
                <w:b/>
                <w:bCs/>
                <w:sz w:val="20"/>
                <w:szCs w:val="20"/>
                <w:lang w:eastAsia="sk-SK"/>
              </w:rPr>
              <w:t>41 765 506</w:t>
            </w:r>
          </w:p>
        </w:tc>
        <w:tc>
          <w:tcPr>
            <w:tcW w:w="638" w:type="pct"/>
            <w:tcBorders>
              <w:top w:val="nil"/>
              <w:left w:val="nil"/>
              <w:bottom w:val="single" w:sz="4" w:space="0" w:color="auto"/>
              <w:right w:val="nil"/>
            </w:tcBorders>
            <w:shd w:val="clear" w:color="auto" w:fill="auto"/>
            <w:noWrap/>
            <w:vAlign w:val="bottom"/>
            <w:hideMark/>
          </w:tcPr>
          <w:p w14:paraId="3A590E3E" w14:textId="77777777" w:rsidR="004567F7" w:rsidRPr="00BF4B27" w:rsidRDefault="004567F7" w:rsidP="00144775">
            <w:pPr>
              <w:spacing w:after="0" w:line="240" w:lineRule="auto"/>
              <w:jc w:val="right"/>
              <w:rPr>
                <w:rFonts w:eastAsia="Times New Roman" w:cs="Times New Roman"/>
                <w:b/>
                <w:bCs/>
                <w:sz w:val="20"/>
                <w:szCs w:val="20"/>
                <w:lang w:eastAsia="sk-SK"/>
              </w:rPr>
            </w:pPr>
            <w:r w:rsidRPr="00BF4B27">
              <w:rPr>
                <w:rFonts w:eastAsia="Times New Roman" w:cs="Times New Roman"/>
                <w:b/>
                <w:bCs/>
                <w:sz w:val="20"/>
                <w:szCs w:val="20"/>
                <w:lang w:eastAsia="sk-SK"/>
              </w:rPr>
              <w:t>42 555 764</w:t>
            </w:r>
          </w:p>
        </w:tc>
        <w:tc>
          <w:tcPr>
            <w:tcW w:w="603" w:type="pct"/>
            <w:tcBorders>
              <w:top w:val="nil"/>
              <w:left w:val="nil"/>
              <w:bottom w:val="single" w:sz="4" w:space="0" w:color="auto"/>
              <w:right w:val="nil"/>
            </w:tcBorders>
            <w:shd w:val="clear" w:color="auto" w:fill="auto"/>
            <w:noWrap/>
            <w:vAlign w:val="bottom"/>
            <w:hideMark/>
          </w:tcPr>
          <w:p w14:paraId="05843DAA" w14:textId="77777777" w:rsidR="004567F7" w:rsidRPr="00BF4B27" w:rsidRDefault="004567F7" w:rsidP="00144775">
            <w:pPr>
              <w:spacing w:after="0" w:line="240" w:lineRule="auto"/>
              <w:jc w:val="right"/>
              <w:rPr>
                <w:rFonts w:eastAsia="Times New Roman" w:cs="Times New Roman"/>
                <w:b/>
                <w:bCs/>
                <w:sz w:val="20"/>
                <w:szCs w:val="20"/>
                <w:lang w:eastAsia="sk-SK"/>
              </w:rPr>
            </w:pPr>
            <w:r w:rsidRPr="00BF4B27">
              <w:rPr>
                <w:rFonts w:eastAsia="Times New Roman" w:cs="Times New Roman"/>
                <w:b/>
                <w:bCs/>
                <w:sz w:val="20"/>
                <w:szCs w:val="20"/>
                <w:lang w:eastAsia="sk-SK"/>
              </w:rPr>
              <w:t>790 258</w:t>
            </w:r>
          </w:p>
        </w:tc>
      </w:tr>
    </w:tbl>
    <w:p w14:paraId="1A3A3C16" w14:textId="77777777" w:rsidR="004567F7" w:rsidRPr="007E5EA0" w:rsidRDefault="004567F7" w:rsidP="004567F7">
      <w:pPr>
        <w:ind w:left="6372"/>
        <w:jc w:val="right"/>
        <w:rPr>
          <w:sz w:val="18"/>
          <w:szCs w:val="18"/>
        </w:rPr>
      </w:pPr>
      <w:r w:rsidRPr="007E5EA0">
        <w:rPr>
          <w:sz w:val="18"/>
          <w:szCs w:val="18"/>
        </w:rPr>
        <w:t>Zdroj: MF SR, ARDAL</w:t>
      </w:r>
    </w:p>
    <w:p w14:paraId="2A8863DC" w14:textId="131C10D9" w:rsidR="004567F7" w:rsidRPr="002B3C9B" w:rsidRDefault="004567F7" w:rsidP="004567F7">
      <w:r w:rsidRPr="008B237B">
        <w:t xml:space="preserve">Ministerstvo financií SR v mene Slovenskej republiky prijíma úvery od medzinárodných finančných inštitúcií, a to na podporu národných projektov v oblasti budovania cestnej infraštruktúry, životného prostredia, poľnohospodárstva, informatizácie a podobne. Z prostriedkov sa spolufinancujú aj projekty financované európskymi štrukturálnymi fondmi a Kohéznym fondom. </w:t>
      </w:r>
      <w:r w:rsidRPr="00FB3580">
        <w:t xml:space="preserve">Z hodnoty týchto úverov predstavujú úvery od Európskej investičnej banky sumu </w:t>
      </w:r>
      <w:r w:rsidR="00FB3580" w:rsidRPr="00FB3580">
        <w:t>1 972 249</w:t>
      </w:r>
      <w:r w:rsidRPr="00FB3580">
        <w:t xml:space="preserve"> tis. eur, a úvery od Rozvojovej banky Rady Európy 302 711 tis. eur.</w:t>
      </w:r>
      <w:r w:rsidRPr="008B237B">
        <w:t xml:space="preserve"> V roku 201</w:t>
      </w:r>
      <w:r w:rsidR="008B237B">
        <w:t>8</w:t>
      </w:r>
      <w:r w:rsidRPr="008B237B">
        <w:t xml:space="preserve"> </w:t>
      </w:r>
      <w:r w:rsidR="008B237B">
        <w:t>ne</w:t>
      </w:r>
      <w:r w:rsidRPr="008B237B">
        <w:t xml:space="preserve">boli prijaté </w:t>
      </w:r>
      <w:r w:rsidR="008B237B">
        <w:t xml:space="preserve">žiadne </w:t>
      </w:r>
      <w:r w:rsidRPr="008B237B">
        <w:t xml:space="preserve">prostriedky z ďalších úverových </w:t>
      </w:r>
      <w:proofErr w:type="spellStart"/>
      <w:r w:rsidRPr="008B237B">
        <w:t>tranží</w:t>
      </w:r>
      <w:proofErr w:type="spellEnd"/>
      <w:r w:rsidR="008B237B">
        <w:t>.</w:t>
      </w:r>
    </w:p>
    <w:p w14:paraId="4D6BC8FC" w14:textId="3666D80C" w:rsidR="006E7698" w:rsidRDefault="004567F7" w:rsidP="004567F7">
      <w:r w:rsidRPr="00DC0257">
        <w:rPr>
          <w:b/>
        </w:rPr>
        <w:t>Z hľadiska pôvodnej splatnosti</w:t>
      </w:r>
      <w:r w:rsidRPr="00DC0257">
        <w:t xml:space="preserve"> je štátny dlh z 97,1 % dlhodobý (41 325</w:t>
      </w:r>
      <w:r>
        <w:t> </w:t>
      </w:r>
      <w:r w:rsidRPr="00DC0257">
        <w:t>926</w:t>
      </w:r>
      <w:r>
        <w:t> tis. </w:t>
      </w:r>
      <w:r w:rsidRPr="00DC0257">
        <w:t>eur). Krátkodobý štátny dlh, ktorý predstavuje len 2,9 % je tvorený štátnymi pokladničnými poukážkami v menovitej hodnote 800</w:t>
      </w:r>
      <w:r w:rsidR="0031292B">
        <w:t> </w:t>
      </w:r>
      <w:r w:rsidRPr="00DC0257">
        <w:t>00</w:t>
      </w:r>
      <w:r w:rsidR="0031292B">
        <w:t>0 </w:t>
      </w:r>
      <w:r w:rsidRPr="00DC0257">
        <w:t>tis. eur, zábezpekami vo výške 139</w:t>
      </w:r>
      <w:r>
        <w:t> </w:t>
      </w:r>
      <w:r w:rsidRPr="00DC0257">
        <w:t>028</w:t>
      </w:r>
      <w:r>
        <w:t> tis. </w:t>
      </w:r>
      <w:r w:rsidRPr="00DC0257">
        <w:t xml:space="preserve">eur (z toho 35 220 tis. eur tvorí pasívny </w:t>
      </w:r>
      <w:proofErr w:type="spellStart"/>
      <w:r w:rsidRPr="00DC0257">
        <w:t>kolaterál</w:t>
      </w:r>
      <w:proofErr w:type="spellEnd"/>
      <w:r w:rsidRPr="00DC0257">
        <w:t xml:space="preserve"> z derivátových operácií uskutočnených na zabezpečenie dlhu v cudzej mene proti kurzovému riziku) a</w:t>
      </w:r>
      <w:r>
        <w:t xml:space="preserve"> </w:t>
      </w:r>
      <w:r w:rsidRPr="00DC0257">
        <w:t>záväzkami z vkladov tých klientov Štátnej pokladnice, ktorí nie sú zaradení v sektore verejnej správy, v hodnote 290</w:t>
      </w:r>
      <w:r>
        <w:t> </w:t>
      </w:r>
      <w:r w:rsidRPr="00DC0257">
        <w:t>855</w:t>
      </w:r>
      <w:r>
        <w:t> tis. </w:t>
      </w:r>
      <w:r w:rsidRPr="00DC0257">
        <w:t>eur. Podrobnú štruktúru štátneho dlhu podľa pôvodnej splatnosti poskytuje nasledujúci prehľad v percentách.</w:t>
      </w:r>
    </w:p>
    <w:p w14:paraId="227B1F53" w14:textId="77777777" w:rsidR="006E7698" w:rsidRDefault="006E7698">
      <w:pPr>
        <w:spacing w:after="160" w:line="259" w:lineRule="auto"/>
        <w:jc w:val="left"/>
      </w:pPr>
      <w:r>
        <w:br w:type="page"/>
      </w:r>
    </w:p>
    <w:tbl>
      <w:tblPr>
        <w:tblW w:w="5000" w:type="pct"/>
        <w:tblCellMar>
          <w:left w:w="70" w:type="dxa"/>
          <w:right w:w="70" w:type="dxa"/>
        </w:tblCellMar>
        <w:tblLook w:val="04A0" w:firstRow="1" w:lastRow="0" w:firstColumn="1" w:lastColumn="0" w:noHBand="0" w:noVBand="1"/>
      </w:tblPr>
      <w:tblGrid>
        <w:gridCol w:w="2649"/>
        <w:gridCol w:w="1464"/>
        <w:gridCol w:w="1480"/>
        <w:gridCol w:w="1447"/>
        <w:gridCol w:w="1463"/>
      </w:tblGrid>
      <w:tr w:rsidR="004567F7" w:rsidRPr="00C173C5" w14:paraId="34BE7005" w14:textId="77777777" w:rsidTr="00144775">
        <w:trPr>
          <w:trHeight w:val="300"/>
        </w:trPr>
        <w:tc>
          <w:tcPr>
            <w:tcW w:w="4140" w:type="pct"/>
            <w:gridSpan w:val="4"/>
            <w:tcBorders>
              <w:top w:val="single" w:sz="4" w:space="0" w:color="auto"/>
              <w:left w:val="nil"/>
              <w:bottom w:val="single" w:sz="4" w:space="0" w:color="auto"/>
              <w:right w:val="nil"/>
            </w:tcBorders>
            <w:shd w:val="clear" w:color="000000" w:fill="000000"/>
            <w:noWrap/>
            <w:vAlign w:val="center"/>
            <w:hideMark/>
          </w:tcPr>
          <w:p w14:paraId="3B0A5220" w14:textId="77777777" w:rsidR="004567F7" w:rsidRPr="00C173C5" w:rsidRDefault="004567F7" w:rsidP="00144775">
            <w:pPr>
              <w:spacing w:after="0" w:line="240" w:lineRule="auto"/>
              <w:jc w:val="left"/>
              <w:rPr>
                <w:rFonts w:eastAsia="Times New Roman" w:cs="Times New Roman"/>
                <w:b/>
                <w:bCs/>
                <w:color w:val="FFFFFF"/>
                <w:sz w:val="20"/>
                <w:szCs w:val="20"/>
                <w:lang w:eastAsia="sk-SK"/>
              </w:rPr>
            </w:pPr>
            <w:r w:rsidRPr="00C173C5">
              <w:rPr>
                <w:rFonts w:eastAsia="Times New Roman" w:cs="Times New Roman"/>
                <w:b/>
                <w:bCs/>
                <w:color w:val="FFFFFF"/>
                <w:sz w:val="20"/>
                <w:szCs w:val="20"/>
                <w:lang w:eastAsia="sk-SK"/>
              </w:rPr>
              <w:t>Štátny dlh podľa pôvodnej splatnosti</w:t>
            </w:r>
          </w:p>
        </w:tc>
        <w:tc>
          <w:tcPr>
            <w:tcW w:w="860" w:type="pct"/>
            <w:tcBorders>
              <w:top w:val="single" w:sz="4" w:space="0" w:color="auto"/>
              <w:left w:val="nil"/>
              <w:bottom w:val="single" w:sz="4" w:space="0" w:color="auto"/>
              <w:right w:val="nil"/>
            </w:tcBorders>
            <w:shd w:val="clear" w:color="000000" w:fill="000000"/>
            <w:noWrap/>
            <w:vAlign w:val="center"/>
            <w:hideMark/>
          </w:tcPr>
          <w:p w14:paraId="15FD62A7" w14:textId="77777777" w:rsidR="004567F7" w:rsidRPr="00C173C5" w:rsidRDefault="004567F7" w:rsidP="00144775">
            <w:pPr>
              <w:spacing w:after="0" w:line="240" w:lineRule="auto"/>
              <w:jc w:val="right"/>
              <w:rPr>
                <w:rFonts w:eastAsia="Times New Roman" w:cs="Times New Roman"/>
                <w:b/>
                <w:bCs/>
                <w:color w:val="FFFFFF"/>
                <w:sz w:val="20"/>
                <w:szCs w:val="20"/>
                <w:lang w:eastAsia="sk-SK"/>
              </w:rPr>
            </w:pPr>
            <w:r w:rsidRPr="00C173C5">
              <w:rPr>
                <w:rFonts w:eastAsia="Times New Roman" w:cs="Times New Roman"/>
                <w:b/>
                <w:bCs/>
                <w:color w:val="FFFFFF"/>
                <w:sz w:val="20"/>
                <w:szCs w:val="20"/>
                <w:lang w:eastAsia="sk-SK"/>
              </w:rPr>
              <w:t>v %</w:t>
            </w:r>
          </w:p>
        </w:tc>
      </w:tr>
      <w:tr w:rsidR="004567F7" w:rsidRPr="00C173C5" w14:paraId="079A01B1" w14:textId="77777777" w:rsidTr="006E7698">
        <w:trPr>
          <w:trHeight w:val="300"/>
        </w:trPr>
        <w:tc>
          <w:tcPr>
            <w:tcW w:w="1558" w:type="pct"/>
            <w:tcBorders>
              <w:top w:val="single" w:sz="4" w:space="0" w:color="auto"/>
              <w:left w:val="nil"/>
              <w:bottom w:val="nil"/>
              <w:right w:val="nil"/>
            </w:tcBorders>
            <w:shd w:val="clear" w:color="000000" w:fill="BFBFBF"/>
            <w:vAlign w:val="center"/>
            <w:hideMark/>
          </w:tcPr>
          <w:p w14:paraId="08DC3102" w14:textId="77777777" w:rsidR="004567F7" w:rsidRPr="00C173C5" w:rsidRDefault="004567F7" w:rsidP="00144775">
            <w:pPr>
              <w:spacing w:after="0" w:line="240" w:lineRule="auto"/>
              <w:rPr>
                <w:rFonts w:eastAsia="Times New Roman" w:cs="Times New Roman"/>
                <w:b/>
                <w:bCs/>
                <w:sz w:val="20"/>
                <w:szCs w:val="20"/>
                <w:lang w:eastAsia="sk-SK"/>
              </w:rPr>
            </w:pPr>
            <w:r w:rsidRPr="00C173C5">
              <w:rPr>
                <w:rFonts w:eastAsia="Times New Roman" w:cs="Times New Roman"/>
                <w:b/>
                <w:bCs/>
                <w:sz w:val="20"/>
                <w:szCs w:val="20"/>
                <w:lang w:eastAsia="sk-SK"/>
              </w:rPr>
              <w:t> </w:t>
            </w:r>
          </w:p>
        </w:tc>
        <w:tc>
          <w:tcPr>
            <w:tcW w:w="861" w:type="pct"/>
            <w:vMerge w:val="restart"/>
            <w:tcBorders>
              <w:top w:val="single" w:sz="4" w:space="0" w:color="auto"/>
              <w:left w:val="nil"/>
              <w:bottom w:val="single" w:sz="4" w:space="0" w:color="000000"/>
              <w:right w:val="nil"/>
            </w:tcBorders>
            <w:shd w:val="clear" w:color="000000" w:fill="BFBFBF"/>
            <w:vAlign w:val="center"/>
            <w:hideMark/>
          </w:tcPr>
          <w:p w14:paraId="0250CE41" w14:textId="77777777" w:rsidR="004567F7" w:rsidRPr="00C173C5" w:rsidRDefault="004567F7" w:rsidP="00144775">
            <w:pPr>
              <w:spacing w:after="0" w:line="240" w:lineRule="auto"/>
              <w:jc w:val="center"/>
              <w:rPr>
                <w:rFonts w:eastAsia="Times New Roman" w:cs="Times New Roman"/>
                <w:b/>
                <w:bCs/>
                <w:sz w:val="20"/>
                <w:szCs w:val="20"/>
                <w:lang w:eastAsia="sk-SK"/>
              </w:rPr>
            </w:pPr>
            <w:r w:rsidRPr="00C173C5">
              <w:rPr>
                <w:rFonts w:eastAsia="Times New Roman" w:cs="Times New Roman"/>
                <w:b/>
                <w:bCs/>
                <w:sz w:val="20"/>
                <w:szCs w:val="20"/>
                <w:lang w:eastAsia="sk-SK"/>
              </w:rPr>
              <w:t>Štátne dlhopisy a ŠPP</w:t>
            </w:r>
          </w:p>
        </w:tc>
        <w:tc>
          <w:tcPr>
            <w:tcW w:w="870" w:type="pct"/>
            <w:vMerge w:val="restart"/>
            <w:tcBorders>
              <w:top w:val="single" w:sz="4" w:space="0" w:color="auto"/>
              <w:left w:val="nil"/>
              <w:bottom w:val="single" w:sz="4" w:space="0" w:color="000000"/>
              <w:right w:val="nil"/>
            </w:tcBorders>
            <w:shd w:val="clear" w:color="000000" w:fill="BFBFBF"/>
            <w:vAlign w:val="center"/>
            <w:hideMark/>
          </w:tcPr>
          <w:p w14:paraId="710553C0" w14:textId="77777777" w:rsidR="004567F7" w:rsidRPr="00C173C5" w:rsidRDefault="004567F7" w:rsidP="00144775">
            <w:pPr>
              <w:spacing w:after="0" w:line="240" w:lineRule="auto"/>
              <w:jc w:val="center"/>
              <w:rPr>
                <w:rFonts w:eastAsia="Times New Roman" w:cs="Times New Roman"/>
                <w:b/>
                <w:bCs/>
                <w:sz w:val="20"/>
                <w:szCs w:val="20"/>
                <w:lang w:eastAsia="sk-SK"/>
              </w:rPr>
            </w:pPr>
            <w:r w:rsidRPr="00C173C5">
              <w:rPr>
                <w:rFonts w:eastAsia="Times New Roman" w:cs="Times New Roman"/>
                <w:b/>
                <w:bCs/>
                <w:sz w:val="20"/>
                <w:szCs w:val="20"/>
                <w:lang w:eastAsia="sk-SK"/>
              </w:rPr>
              <w:t>Bankové úvery a iné pôžičky</w:t>
            </w:r>
          </w:p>
        </w:tc>
        <w:tc>
          <w:tcPr>
            <w:tcW w:w="851" w:type="pct"/>
            <w:vMerge w:val="restart"/>
            <w:tcBorders>
              <w:top w:val="single" w:sz="4" w:space="0" w:color="auto"/>
              <w:left w:val="nil"/>
              <w:bottom w:val="single" w:sz="4" w:space="0" w:color="000000"/>
              <w:right w:val="nil"/>
            </w:tcBorders>
            <w:shd w:val="clear" w:color="000000" w:fill="BFBFBF"/>
            <w:vAlign w:val="center"/>
            <w:hideMark/>
          </w:tcPr>
          <w:p w14:paraId="746AD92C" w14:textId="77777777" w:rsidR="004567F7" w:rsidRPr="00C173C5" w:rsidRDefault="004567F7" w:rsidP="00144775">
            <w:pPr>
              <w:spacing w:after="0" w:line="240" w:lineRule="auto"/>
              <w:jc w:val="center"/>
              <w:rPr>
                <w:rFonts w:eastAsia="Times New Roman" w:cs="Times New Roman"/>
                <w:b/>
                <w:bCs/>
                <w:sz w:val="20"/>
                <w:szCs w:val="20"/>
                <w:lang w:eastAsia="sk-SK"/>
              </w:rPr>
            </w:pPr>
            <w:r w:rsidRPr="00C173C5">
              <w:rPr>
                <w:rFonts w:eastAsia="Times New Roman" w:cs="Times New Roman"/>
                <w:b/>
                <w:bCs/>
                <w:sz w:val="20"/>
                <w:szCs w:val="20"/>
                <w:lang w:eastAsia="sk-SK"/>
              </w:rPr>
              <w:t>Ostatné záväzky</w:t>
            </w:r>
          </w:p>
        </w:tc>
        <w:tc>
          <w:tcPr>
            <w:tcW w:w="860" w:type="pct"/>
            <w:vMerge w:val="restart"/>
            <w:tcBorders>
              <w:top w:val="single" w:sz="4" w:space="0" w:color="auto"/>
              <w:left w:val="nil"/>
              <w:bottom w:val="single" w:sz="4" w:space="0" w:color="000000"/>
              <w:right w:val="nil"/>
            </w:tcBorders>
            <w:shd w:val="clear" w:color="000000" w:fill="BFBFBF"/>
            <w:vAlign w:val="center"/>
            <w:hideMark/>
          </w:tcPr>
          <w:p w14:paraId="421A5775" w14:textId="77777777" w:rsidR="004567F7" w:rsidRPr="00C173C5" w:rsidRDefault="004567F7" w:rsidP="00144775">
            <w:pPr>
              <w:spacing w:after="0" w:line="240" w:lineRule="auto"/>
              <w:jc w:val="center"/>
              <w:rPr>
                <w:rFonts w:eastAsia="Times New Roman" w:cs="Times New Roman"/>
                <w:b/>
                <w:bCs/>
                <w:sz w:val="20"/>
                <w:szCs w:val="20"/>
                <w:lang w:eastAsia="sk-SK"/>
              </w:rPr>
            </w:pPr>
            <w:r w:rsidRPr="00C173C5">
              <w:rPr>
                <w:rFonts w:eastAsia="Times New Roman" w:cs="Times New Roman"/>
                <w:b/>
                <w:bCs/>
                <w:sz w:val="20"/>
                <w:szCs w:val="20"/>
                <w:lang w:eastAsia="sk-SK"/>
              </w:rPr>
              <w:t>Spolu</w:t>
            </w:r>
          </w:p>
        </w:tc>
      </w:tr>
      <w:tr w:rsidR="004567F7" w:rsidRPr="00C173C5" w14:paraId="2922AEAC" w14:textId="77777777" w:rsidTr="006E7698">
        <w:trPr>
          <w:trHeight w:val="300"/>
        </w:trPr>
        <w:tc>
          <w:tcPr>
            <w:tcW w:w="1558" w:type="pct"/>
            <w:tcBorders>
              <w:top w:val="nil"/>
              <w:left w:val="nil"/>
              <w:bottom w:val="single" w:sz="4" w:space="0" w:color="auto"/>
              <w:right w:val="nil"/>
            </w:tcBorders>
            <w:shd w:val="clear" w:color="000000" w:fill="BFBFBF"/>
            <w:vAlign w:val="center"/>
            <w:hideMark/>
          </w:tcPr>
          <w:p w14:paraId="3A3FA324" w14:textId="77777777" w:rsidR="004567F7" w:rsidRPr="00C173C5" w:rsidRDefault="004567F7" w:rsidP="00144775">
            <w:pPr>
              <w:spacing w:after="0" w:line="240" w:lineRule="auto"/>
              <w:rPr>
                <w:rFonts w:eastAsia="Times New Roman" w:cs="Times New Roman"/>
                <w:b/>
                <w:bCs/>
                <w:sz w:val="20"/>
                <w:szCs w:val="20"/>
                <w:lang w:eastAsia="sk-SK"/>
              </w:rPr>
            </w:pPr>
            <w:r w:rsidRPr="00C173C5">
              <w:rPr>
                <w:rFonts w:eastAsia="Times New Roman" w:cs="Times New Roman"/>
                <w:b/>
                <w:bCs/>
                <w:sz w:val="20"/>
                <w:szCs w:val="20"/>
                <w:lang w:eastAsia="sk-SK"/>
              </w:rPr>
              <w:t> </w:t>
            </w:r>
          </w:p>
        </w:tc>
        <w:tc>
          <w:tcPr>
            <w:tcW w:w="861" w:type="pct"/>
            <w:vMerge/>
            <w:tcBorders>
              <w:top w:val="single" w:sz="4" w:space="0" w:color="auto"/>
              <w:left w:val="nil"/>
              <w:bottom w:val="single" w:sz="4" w:space="0" w:color="000000"/>
              <w:right w:val="nil"/>
            </w:tcBorders>
            <w:vAlign w:val="center"/>
            <w:hideMark/>
          </w:tcPr>
          <w:p w14:paraId="36626CA0" w14:textId="77777777" w:rsidR="004567F7" w:rsidRPr="00C173C5" w:rsidRDefault="004567F7" w:rsidP="00144775">
            <w:pPr>
              <w:spacing w:after="0" w:line="240" w:lineRule="auto"/>
              <w:jc w:val="left"/>
              <w:rPr>
                <w:rFonts w:eastAsia="Times New Roman" w:cs="Times New Roman"/>
                <w:b/>
                <w:bCs/>
                <w:sz w:val="20"/>
                <w:szCs w:val="20"/>
                <w:lang w:eastAsia="sk-SK"/>
              </w:rPr>
            </w:pPr>
          </w:p>
        </w:tc>
        <w:tc>
          <w:tcPr>
            <w:tcW w:w="870" w:type="pct"/>
            <w:vMerge/>
            <w:tcBorders>
              <w:top w:val="single" w:sz="4" w:space="0" w:color="auto"/>
              <w:left w:val="nil"/>
              <w:bottom w:val="single" w:sz="4" w:space="0" w:color="000000"/>
              <w:right w:val="nil"/>
            </w:tcBorders>
            <w:vAlign w:val="center"/>
            <w:hideMark/>
          </w:tcPr>
          <w:p w14:paraId="78EE1A14" w14:textId="77777777" w:rsidR="004567F7" w:rsidRPr="00C173C5" w:rsidRDefault="004567F7" w:rsidP="00144775">
            <w:pPr>
              <w:spacing w:after="0" w:line="240" w:lineRule="auto"/>
              <w:jc w:val="left"/>
              <w:rPr>
                <w:rFonts w:eastAsia="Times New Roman" w:cs="Times New Roman"/>
                <w:b/>
                <w:bCs/>
                <w:sz w:val="20"/>
                <w:szCs w:val="20"/>
                <w:lang w:eastAsia="sk-SK"/>
              </w:rPr>
            </w:pPr>
          </w:p>
        </w:tc>
        <w:tc>
          <w:tcPr>
            <w:tcW w:w="851" w:type="pct"/>
            <w:vMerge/>
            <w:tcBorders>
              <w:top w:val="single" w:sz="4" w:space="0" w:color="auto"/>
              <w:left w:val="nil"/>
              <w:bottom w:val="single" w:sz="4" w:space="0" w:color="000000"/>
              <w:right w:val="nil"/>
            </w:tcBorders>
            <w:vAlign w:val="center"/>
            <w:hideMark/>
          </w:tcPr>
          <w:p w14:paraId="616B56F1" w14:textId="77777777" w:rsidR="004567F7" w:rsidRPr="00C173C5" w:rsidRDefault="004567F7" w:rsidP="00144775">
            <w:pPr>
              <w:spacing w:after="0" w:line="240" w:lineRule="auto"/>
              <w:jc w:val="left"/>
              <w:rPr>
                <w:rFonts w:eastAsia="Times New Roman" w:cs="Times New Roman"/>
                <w:b/>
                <w:bCs/>
                <w:sz w:val="20"/>
                <w:szCs w:val="20"/>
                <w:lang w:eastAsia="sk-SK"/>
              </w:rPr>
            </w:pPr>
          </w:p>
        </w:tc>
        <w:tc>
          <w:tcPr>
            <w:tcW w:w="860" w:type="pct"/>
            <w:vMerge/>
            <w:tcBorders>
              <w:top w:val="single" w:sz="4" w:space="0" w:color="auto"/>
              <w:left w:val="nil"/>
              <w:bottom w:val="single" w:sz="4" w:space="0" w:color="000000"/>
              <w:right w:val="nil"/>
            </w:tcBorders>
            <w:vAlign w:val="center"/>
            <w:hideMark/>
          </w:tcPr>
          <w:p w14:paraId="6DF3481F" w14:textId="77777777" w:rsidR="004567F7" w:rsidRPr="00C173C5" w:rsidRDefault="004567F7" w:rsidP="00144775">
            <w:pPr>
              <w:spacing w:after="0" w:line="240" w:lineRule="auto"/>
              <w:jc w:val="left"/>
              <w:rPr>
                <w:rFonts w:eastAsia="Times New Roman" w:cs="Times New Roman"/>
                <w:b/>
                <w:bCs/>
                <w:sz w:val="20"/>
                <w:szCs w:val="20"/>
                <w:lang w:eastAsia="sk-SK"/>
              </w:rPr>
            </w:pPr>
          </w:p>
        </w:tc>
      </w:tr>
      <w:tr w:rsidR="004567F7" w:rsidRPr="00C173C5" w14:paraId="6FAC4962" w14:textId="77777777" w:rsidTr="006E7698">
        <w:trPr>
          <w:trHeight w:val="300"/>
        </w:trPr>
        <w:tc>
          <w:tcPr>
            <w:tcW w:w="1558" w:type="pct"/>
            <w:tcBorders>
              <w:top w:val="nil"/>
              <w:left w:val="nil"/>
              <w:bottom w:val="nil"/>
              <w:right w:val="nil"/>
            </w:tcBorders>
            <w:shd w:val="clear" w:color="auto" w:fill="auto"/>
            <w:noWrap/>
            <w:vAlign w:val="bottom"/>
            <w:hideMark/>
          </w:tcPr>
          <w:p w14:paraId="3293B50E" w14:textId="77777777" w:rsidR="004567F7" w:rsidRPr="00C173C5" w:rsidRDefault="004567F7" w:rsidP="00144775">
            <w:pPr>
              <w:spacing w:after="0" w:line="240" w:lineRule="auto"/>
              <w:jc w:val="left"/>
              <w:rPr>
                <w:rFonts w:eastAsia="Times New Roman" w:cs="Times New Roman"/>
                <w:sz w:val="20"/>
                <w:szCs w:val="20"/>
                <w:lang w:eastAsia="sk-SK"/>
              </w:rPr>
            </w:pPr>
            <w:r w:rsidRPr="00C173C5">
              <w:rPr>
                <w:rFonts w:eastAsia="Times New Roman" w:cs="Times New Roman"/>
                <w:sz w:val="20"/>
                <w:szCs w:val="20"/>
                <w:lang w:eastAsia="sk-SK"/>
              </w:rPr>
              <w:t>Do 1 roka</w:t>
            </w:r>
          </w:p>
        </w:tc>
        <w:tc>
          <w:tcPr>
            <w:tcW w:w="861" w:type="pct"/>
            <w:tcBorders>
              <w:top w:val="nil"/>
              <w:left w:val="nil"/>
              <w:bottom w:val="nil"/>
              <w:right w:val="nil"/>
            </w:tcBorders>
            <w:shd w:val="clear" w:color="auto" w:fill="auto"/>
            <w:noWrap/>
            <w:vAlign w:val="bottom"/>
            <w:hideMark/>
          </w:tcPr>
          <w:p w14:paraId="6795B93E" w14:textId="77777777" w:rsidR="004567F7" w:rsidRPr="00C173C5" w:rsidRDefault="004567F7" w:rsidP="00144775">
            <w:pPr>
              <w:spacing w:after="0" w:line="240" w:lineRule="auto"/>
              <w:jc w:val="right"/>
              <w:rPr>
                <w:rFonts w:eastAsia="Times New Roman" w:cs="Times New Roman"/>
                <w:sz w:val="20"/>
                <w:szCs w:val="20"/>
                <w:lang w:eastAsia="sk-SK"/>
              </w:rPr>
            </w:pPr>
            <w:r w:rsidRPr="00C173C5">
              <w:rPr>
                <w:rFonts w:eastAsia="Times New Roman" w:cs="Times New Roman"/>
                <w:sz w:val="20"/>
                <w:szCs w:val="20"/>
                <w:lang w:eastAsia="sk-SK"/>
              </w:rPr>
              <w:t>2,1</w:t>
            </w:r>
          </w:p>
        </w:tc>
        <w:tc>
          <w:tcPr>
            <w:tcW w:w="870" w:type="pct"/>
            <w:tcBorders>
              <w:top w:val="nil"/>
              <w:left w:val="nil"/>
              <w:bottom w:val="nil"/>
              <w:right w:val="nil"/>
            </w:tcBorders>
            <w:shd w:val="clear" w:color="auto" w:fill="auto"/>
            <w:noWrap/>
            <w:vAlign w:val="bottom"/>
            <w:hideMark/>
          </w:tcPr>
          <w:p w14:paraId="75F07396" w14:textId="77777777" w:rsidR="004567F7" w:rsidRPr="00C173C5" w:rsidRDefault="004567F7" w:rsidP="00144775">
            <w:pPr>
              <w:spacing w:after="0" w:line="240" w:lineRule="auto"/>
              <w:jc w:val="right"/>
              <w:rPr>
                <w:rFonts w:eastAsia="Times New Roman" w:cs="Times New Roman"/>
                <w:sz w:val="20"/>
                <w:szCs w:val="20"/>
                <w:lang w:eastAsia="sk-SK"/>
              </w:rPr>
            </w:pPr>
            <w:r w:rsidRPr="00C173C5">
              <w:rPr>
                <w:rFonts w:eastAsia="Times New Roman" w:cs="Times New Roman"/>
                <w:sz w:val="20"/>
                <w:szCs w:val="20"/>
                <w:lang w:eastAsia="sk-SK"/>
              </w:rPr>
              <w:t>0,0</w:t>
            </w:r>
          </w:p>
        </w:tc>
        <w:tc>
          <w:tcPr>
            <w:tcW w:w="851" w:type="pct"/>
            <w:tcBorders>
              <w:top w:val="nil"/>
              <w:left w:val="nil"/>
              <w:bottom w:val="nil"/>
              <w:right w:val="nil"/>
            </w:tcBorders>
            <w:shd w:val="clear" w:color="auto" w:fill="auto"/>
            <w:noWrap/>
            <w:vAlign w:val="bottom"/>
            <w:hideMark/>
          </w:tcPr>
          <w:p w14:paraId="248F2932" w14:textId="77777777" w:rsidR="004567F7" w:rsidRPr="00C173C5" w:rsidRDefault="004567F7" w:rsidP="00144775">
            <w:pPr>
              <w:spacing w:after="0" w:line="240" w:lineRule="auto"/>
              <w:jc w:val="right"/>
              <w:rPr>
                <w:rFonts w:eastAsia="Times New Roman" w:cs="Times New Roman"/>
                <w:sz w:val="20"/>
                <w:szCs w:val="20"/>
                <w:lang w:eastAsia="sk-SK"/>
              </w:rPr>
            </w:pPr>
            <w:r w:rsidRPr="00C173C5">
              <w:rPr>
                <w:rFonts w:eastAsia="Times New Roman" w:cs="Times New Roman"/>
                <w:sz w:val="20"/>
                <w:szCs w:val="20"/>
                <w:lang w:eastAsia="sk-SK"/>
              </w:rPr>
              <w:t>100,0</w:t>
            </w:r>
          </w:p>
        </w:tc>
        <w:tc>
          <w:tcPr>
            <w:tcW w:w="860" w:type="pct"/>
            <w:tcBorders>
              <w:top w:val="nil"/>
              <w:left w:val="nil"/>
              <w:bottom w:val="nil"/>
              <w:right w:val="nil"/>
            </w:tcBorders>
            <w:shd w:val="clear" w:color="000000" w:fill="BFBFBF"/>
            <w:noWrap/>
            <w:vAlign w:val="bottom"/>
            <w:hideMark/>
          </w:tcPr>
          <w:p w14:paraId="232C25A1" w14:textId="77777777" w:rsidR="004567F7" w:rsidRPr="00C173C5" w:rsidRDefault="004567F7" w:rsidP="00144775">
            <w:pPr>
              <w:spacing w:after="0" w:line="240" w:lineRule="auto"/>
              <w:jc w:val="right"/>
              <w:rPr>
                <w:rFonts w:eastAsia="Times New Roman" w:cs="Times New Roman"/>
                <w:sz w:val="20"/>
                <w:szCs w:val="20"/>
                <w:lang w:eastAsia="sk-SK"/>
              </w:rPr>
            </w:pPr>
            <w:r w:rsidRPr="00C173C5">
              <w:rPr>
                <w:rFonts w:eastAsia="Times New Roman" w:cs="Times New Roman"/>
                <w:sz w:val="20"/>
                <w:szCs w:val="20"/>
                <w:lang w:eastAsia="sk-SK"/>
              </w:rPr>
              <w:t>2,9</w:t>
            </w:r>
          </w:p>
        </w:tc>
      </w:tr>
      <w:tr w:rsidR="004567F7" w:rsidRPr="00C173C5" w14:paraId="186A94DA" w14:textId="77777777" w:rsidTr="006E7698">
        <w:trPr>
          <w:trHeight w:val="300"/>
        </w:trPr>
        <w:tc>
          <w:tcPr>
            <w:tcW w:w="1558" w:type="pct"/>
            <w:tcBorders>
              <w:top w:val="nil"/>
              <w:left w:val="nil"/>
              <w:bottom w:val="nil"/>
              <w:right w:val="nil"/>
            </w:tcBorders>
            <w:shd w:val="clear" w:color="auto" w:fill="auto"/>
            <w:noWrap/>
            <w:vAlign w:val="bottom"/>
            <w:hideMark/>
          </w:tcPr>
          <w:p w14:paraId="3F8821C6" w14:textId="77777777" w:rsidR="004567F7" w:rsidRPr="00C173C5" w:rsidRDefault="004567F7" w:rsidP="00144775">
            <w:pPr>
              <w:spacing w:after="0" w:line="240" w:lineRule="auto"/>
              <w:jc w:val="left"/>
              <w:rPr>
                <w:rFonts w:eastAsia="Times New Roman" w:cs="Times New Roman"/>
                <w:sz w:val="20"/>
                <w:szCs w:val="20"/>
                <w:lang w:eastAsia="sk-SK"/>
              </w:rPr>
            </w:pPr>
            <w:r w:rsidRPr="00C173C5">
              <w:rPr>
                <w:rFonts w:eastAsia="Times New Roman" w:cs="Times New Roman"/>
                <w:sz w:val="20"/>
                <w:szCs w:val="20"/>
                <w:lang w:eastAsia="sk-SK"/>
              </w:rPr>
              <w:t>Do 5 rokov</w:t>
            </w:r>
          </w:p>
        </w:tc>
        <w:tc>
          <w:tcPr>
            <w:tcW w:w="861" w:type="pct"/>
            <w:tcBorders>
              <w:top w:val="nil"/>
              <w:left w:val="nil"/>
              <w:bottom w:val="nil"/>
              <w:right w:val="nil"/>
            </w:tcBorders>
            <w:shd w:val="clear" w:color="auto" w:fill="auto"/>
            <w:noWrap/>
            <w:vAlign w:val="bottom"/>
            <w:hideMark/>
          </w:tcPr>
          <w:p w14:paraId="6484756E" w14:textId="77777777" w:rsidR="004567F7" w:rsidRPr="00C173C5" w:rsidRDefault="004567F7" w:rsidP="00144775">
            <w:pPr>
              <w:spacing w:after="0" w:line="240" w:lineRule="auto"/>
              <w:jc w:val="right"/>
              <w:rPr>
                <w:rFonts w:eastAsia="Times New Roman" w:cs="Times New Roman"/>
                <w:sz w:val="20"/>
                <w:szCs w:val="20"/>
                <w:lang w:eastAsia="sk-SK"/>
              </w:rPr>
            </w:pPr>
            <w:r w:rsidRPr="00C173C5">
              <w:rPr>
                <w:rFonts w:eastAsia="Times New Roman" w:cs="Times New Roman"/>
                <w:sz w:val="20"/>
                <w:szCs w:val="20"/>
                <w:lang w:eastAsia="sk-SK"/>
              </w:rPr>
              <w:t>0,0</w:t>
            </w:r>
          </w:p>
        </w:tc>
        <w:tc>
          <w:tcPr>
            <w:tcW w:w="870" w:type="pct"/>
            <w:tcBorders>
              <w:top w:val="nil"/>
              <w:left w:val="nil"/>
              <w:bottom w:val="nil"/>
              <w:right w:val="nil"/>
            </w:tcBorders>
            <w:shd w:val="clear" w:color="auto" w:fill="auto"/>
            <w:noWrap/>
            <w:vAlign w:val="bottom"/>
            <w:hideMark/>
          </w:tcPr>
          <w:p w14:paraId="4899E842" w14:textId="77777777" w:rsidR="004567F7" w:rsidRPr="00C173C5" w:rsidRDefault="004567F7" w:rsidP="00144775">
            <w:pPr>
              <w:spacing w:after="0" w:line="240" w:lineRule="auto"/>
              <w:jc w:val="right"/>
              <w:rPr>
                <w:rFonts w:eastAsia="Times New Roman" w:cs="Times New Roman"/>
                <w:sz w:val="20"/>
                <w:szCs w:val="20"/>
                <w:lang w:eastAsia="sk-SK"/>
              </w:rPr>
            </w:pPr>
            <w:r w:rsidRPr="00C173C5">
              <w:rPr>
                <w:rFonts w:eastAsia="Times New Roman" w:cs="Times New Roman"/>
                <w:sz w:val="20"/>
                <w:szCs w:val="20"/>
                <w:lang w:eastAsia="sk-SK"/>
              </w:rPr>
              <w:t>5,2</w:t>
            </w:r>
          </w:p>
        </w:tc>
        <w:tc>
          <w:tcPr>
            <w:tcW w:w="851" w:type="pct"/>
            <w:tcBorders>
              <w:top w:val="nil"/>
              <w:left w:val="nil"/>
              <w:bottom w:val="nil"/>
              <w:right w:val="nil"/>
            </w:tcBorders>
            <w:shd w:val="clear" w:color="auto" w:fill="auto"/>
            <w:noWrap/>
            <w:vAlign w:val="bottom"/>
            <w:hideMark/>
          </w:tcPr>
          <w:p w14:paraId="53700A03" w14:textId="77777777" w:rsidR="004567F7" w:rsidRPr="00C173C5" w:rsidRDefault="004567F7" w:rsidP="00144775">
            <w:pPr>
              <w:spacing w:after="0" w:line="240" w:lineRule="auto"/>
              <w:jc w:val="right"/>
              <w:rPr>
                <w:rFonts w:eastAsia="Times New Roman" w:cs="Times New Roman"/>
                <w:sz w:val="20"/>
                <w:szCs w:val="20"/>
                <w:lang w:eastAsia="sk-SK"/>
              </w:rPr>
            </w:pPr>
            <w:r w:rsidRPr="00C173C5">
              <w:rPr>
                <w:rFonts w:eastAsia="Times New Roman" w:cs="Times New Roman"/>
                <w:sz w:val="20"/>
                <w:szCs w:val="20"/>
                <w:lang w:eastAsia="sk-SK"/>
              </w:rPr>
              <w:t>0,0</w:t>
            </w:r>
          </w:p>
        </w:tc>
        <w:tc>
          <w:tcPr>
            <w:tcW w:w="860" w:type="pct"/>
            <w:tcBorders>
              <w:top w:val="nil"/>
              <w:left w:val="nil"/>
              <w:bottom w:val="nil"/>
              <w:right w:val="nil"/>
            </w:tcBorders>
            <w:shd w:val="clear" w:color="000000" w:fill="BFBFBF"/>
            <w:noWrap/>
            <w:vAlign w:val="bottom"/>
            <w:hideMark/>
          </w:tcPr>
          <w:p w14:paraId="0C3CED5C" w14:textId="77777777" w:rsidR="004567F7" w:rsidRPr="00C173C5" w:rsidRDefault="004567F7" w:rsidP="00144775">
            <w:pPr>
              <w:spacing w:after="0" w:line="240" w:lineRule="auto"/>
              <w:jc w:val="right"/>
              <w:rPr>
                <w:rFonts w:eastAsia="Times New Roman" w:cs="Times New Roman"/>
                <w:sz w:val="20"/>
                <w:szCs w:val="20"/>
                <w:lang w:eastAsia="sk-SK"/>
              </w:rPr>
            </w:pPr>
            <w:r w:rsidRPr="00C173C5">
              <w:rPr>
                <w:rFonts w:eastAsia="Times New Roman" w:cs="Times New Roman"/>
                <w:sz w:val="20"/>
                <w:szCs w:val="20"/>
                <w:lang w:eastAsia="sk-SK"/>
              </w:rPr>
              <w:t>0,5</w:t>
            </w:r>
          </w:p>
        </w:tc>
      </w:tr>
      <w:tr w:rsidR="004567F7" w:rsidRPr="00C173C5" w14:paraId="71EEDD53" w14:textId="77777777" w:rsidTr="006E7698">
        <w:trPr>
          <w:trHeight w:val="300"/>
        </w:trPr>
        <w:tc>
          <w:tcPr>
            <w:tcW w:w="1558" w:type="pct"/>
            <w:tcBorders>
              <w:top w:val="nil"/>
              <w:left w:val="nil"/>
              <w:bottom w:val="nil"/>
              <w:right w:val="nil"/>
            </w:tcBorders>
            <w:shd w:val="clear" w:color="auto" w:fill="auto"/>
            <w:noWrap/>
            <w:vAlign w:val="bottom"/>
            <w:hideMark/>
          </w:tcPr>
          <w:p w14:paraId="4BDD2C09" w14:textId="77777777" w:rsidR="004567F7" w:rsidRPr="00C173C5" w:rsidRDefault="004567F7" w:rsidP="00144775">
            <w:pPr>
              <w:spacing w:after="0" w:line="240" w:lineRule="auto"/>
              <w:jc w:val="left"/>
              <w:rPr>
                <w:rFonts w:eastAsia="Times New Roman" w:cs="Times New Roman"/>
                <w:sz w:val="20"/>
                <w:szCs w:val="20"/>
                <w:lang w:eastAsia="sk-SK"/>
              </w:rPr>
            </w:pPr>
            <w:r w:rsidRPr="00C173C5">
              <w:rPr>
                <w:rFonts w:eastAsia="Times New Roman" w:cs="Times New Roman"/>
                <w:sz w:val="20"/>
                <w:szCs w:val="20"/>
                <w:lang w:eastAsia="sk-SK"/>
              </w:rPr>
              <w:t>Do 7 rokov</w:t>
            </w:r>
          </w:p>
        </w:tc>
        <w:tc>
          <w:tcPr>
            <w:tcW w:w="861" w:type="pct"/>
            <w:tcBorders>
              <w:top w:val="nil"/>
              <w:left w:val="nil"/>
              <w:bottom w:val="nil"/>
              <w:right w:val="nil"/>
            </w:tcBorders>
            <w:shd w:val="clear" w:color="auto" w:fill="auto"/>
            <w:noWrap/>
            <w:vAlign w:val="bottom"/>
            <w:hideMark/>
          </w:tcPr>
          <w:p w14:paraId="7EEF41FD" w14:textId="77777777" w:rsidR="004567F7" w:rsidRPr="00C173C5" w:rsidRDefault="004567F7" w:rsidP="00144775">
            <w:pPr>
              <w:spacing w:after="0" w:line="240" w:lineRule="auto"/>
              <w:jc w:val="right"/>
              <w:rPr>
                <w:rFonts w:eastAsia="Times New Roman" w:cs="Times New Roman"/>
                <w:sz w:val="20"/>
                <w:szCs w:val="20"/>
                <w:lang w:eastAsia="sk-SK"/>
              </w:rPr>
            </w:pPr>
            <w:r w:rsidRPr="00C173C5">
              <w:rPr>
                <w:rFonts w:eastAsia="Times New Roman" w:cs="Times New Roman"/>
                <w:sz w:val="20"/>
                <w:szCs w:val="20"/>
                <w:lang w:eastAsia="sk-SK"/>
              </w:rPr>
              <w:t>0,9</w:t>
            </w:r>
          </w:p>
        </w:tc>
        <w:tc>
          <w:tcPr>
            <w:tcW w:w="870" w:type="pct"/>
            <w:tcBorders>
              <w:top w:val="nil"/>
              <w:left w:val="nil"/>
              <w:bottom w:val="nil"/>
              <w:right w:val="nil"/>
            </w:tcBorders>
            <w:shd w:val="clear" w:color="auto" w:fill="auto"/>
            <w:noWrap/>
            <w:vAlign w:val="bottom"/>
            <w:hideMark/>
          </w:tcPr>
          <w:p w14:paraId="3BC37641" w14:textId="77777777" w:rsidR="004567F7" w:rsidRPr="00C173C5" w:rsidRDefault="004567F7" w:rsidP="00144775">
            <w:pPr>
              <w:spacing w:after="0" w:line="240" w:lineRule="auto"/>
              <w:jc w:val="right"/>
              <w:rPr>
                <w:rFonts w:eastAsia="Times New Roman" w:cs="Times New Roman"/>
                <w:sz w:val="20"/>
                <w:szCs w:val="20"/>
                <w:lang w:eastAsia="sk-SK"/>
              </w:rPr>
            </w:pPr>
            <w:r w:rsidRPr="00C173C5">
              <w:rPr>
                <w:rFonts w:eastAsia="Times New Roman" w:cs="Times New Roman"/>
                <w:sz w:val="20"/>
                <w:szCs w:val="20"/>
                <w:lang w:eastAsia="sk-SK"/>
              </w:rPr>
              <w:t>1,7</w:t>
            </w:r>
          </w:p>
        </w:tc>
        <w:tc>
          <w:tcPr>
            <w:tcW w:w="851" w:type="pct"/>
            <w:tcBorders>
              <w:top w:val="nil"/>
              <w:left w:val="nil"/>
              <w:bottom w:val="nil"/>
              <w:right w:val="nil"/>
            </w:tcBorders>
            <w:shd w:val="clear" w:color="auto" w:fill="auto"/>
            <w:noWrap/>
            <w:vAlign w:val="bottom"/>
            <w:hideMark/>
          </w:tcPr>
          <w:p w14:paraId="549C7274" w14:textId="77777777" w:rsidR="004567F7" w:rsidRPr="00C173C5" w:rsidRDefault="004567F7" w:rsidP="00144775">
            <w:pPr>
              <w:spacing w:after="0" w:line="240" w:lineRule="auto"/>
              <w:jc w:val="right"/>
              <w:rPr>
                <w:rFonts w:eastAsia="Times New Roman" w:cs="Times New Roman"/>
                <w:sz w:val="20"/>
                <w:szCs w:val="20"/>
                <w:lang w:eastAsia="sk-SK"/>
              </w:rPr>
            </w:pPr>
            <w:r w:rsidRPr="00C173C5">
              <w:rPr>
                <w:rFonts w:eastAsia="Times New Roman" w:cs="Times New Roman"/>
                <w:sz w:val="20"/>
                <w:szCs w:val="20"/>
                <w:lang w:eastAsia="sk-SK"/>
              </w:rPr>
              <w:t>0,0</w:t>
            </w:r>
          </w:p>
        </w:tc>
        <w:tc>
          <w:tcPr>
            <w:tcW w:w="860" w:type="pct"/>
            <w:tcBorders>
              <w:top w:val="nil"/>
              <w:left w:val="nil"/>
              <w:bottom w:val="nil"/>
              <w:right w:val="nil"/>
            </w:tcBorders>
            <w:shd w:val="clear" w:color="000000" w:fill="BFBFBF"/>
            <w:noWrap/>
            <w:vAlign w:val="bottom"/>
            <w:hideMark/>
          </w:tcPr>
          <w:p w14:paraId="10DFB9FD" w14:textId="77777777" w:rsidR="004567F7" w:rsidRPr="00C173C5" w:rsidRDefault="004567F7" w:rsidP="00144775">
            <w:pPr>
              <w:spacing w:after="0" w:line="240" w:lineRule="auto"/>
              <w:jc w:val="right"/>
              <w:rPr>
                <w:rFonts w:eastAsia="Times New Roman" w:cs="Times New Roman"/>
                <w:sz w:val="20"/>
                <w:szCs w:val="20"/>
                <w:lang w:eastAsia="sk-SK"/>
              </w:rPr>
            </w:pPr>
            <w:r w:rsidRPr="00C173C5">
              <w:rPr>
                <w:rFonts w:eastAsia="Times New Roman" w:cs="Times New Roman"/>
                <w:sz w:val="20"/>
                <w:szCs w:val="20"/>
                <w:lang w:eastAsia="sk-SK"/>
              </w:rPr>
              <w:t>0,9</w:t>
            </w:r>
          </w:p>
        </w:tc>
      </w:tr>
      <w:tr w:rsidR="004567F7" w:rsidRPr="00C173C5" w14:paraId="3DA6EAAB" w14:textId="77777777" w:rsidTr="006E7698">
        <w:trPr>
          <w:trHeight w:val="300"/>
        </w:trPr>
        <w:tc>
          <w:tcPr>
            <w:tcW w:w="1558" w:type="pct"/>
            <w:tcBorders>
              <w:top w:val="nil"/>
              <w:left w:val="nil"/>
              <w:bottom w:val="nil"/>
              <w:right w:val="nil"/>
            </w:tcBorders>
            <w:shd w:val="clear" w:color="auto" w:fill="auto"/>
            <w:noWrap/>
            <w:vAlign w:val="bottom"/>
            <w:hideMark/>
          </w:tcPr>
          <w:p w14:paraId="73AD9EC1" w14:textId="77777777" w:rsidR="004567F7" w:rsidRPr="00C173C5" w:rsidRDefault="004567F7" w:rsidP="00144775">
            <w:pPr>
              <w:spacing w:after="0" w:line="240" w:lineRule="auto"/>
              <w:jc w:val="left"/>
              <w:rPr>
                <w:rFonts w:eastAsia="Times New Roman" w:cs="Times New Roman"/>
                <w:sz w:val="20"/>
                <w:szCs w:val="20"/>
                <w:lang w:eastAsia="sk-SK"/>
              </w:rPr>
            </w:pPr>
            <w:r w:rsidRPr="00C173C5">
              <w:rPr>
                <w:rFonts w:eastAsia="Times New Roman" w:cs="Times New Roman"/>
                <w:sz w:val="20"/>
                <w:szCs w:val="20"/>
                <w:lang w:eastAsia="sk-SK"/>
              </w:rPr>
              <w:t>Do 10 rokov</w:t>
            </w:r>
          </w:p>
        </w:tc>
        <w:tc>
          <w:tcPr>
            <w:tcW w:w="861" w:type="pct"/>
            <w:tcBorders>
              <w:top w:val="nil"/>
              <w:left w:val="nil"/>
              <w:bottom w:val="nil"/>
              <w:right w:val="nil"/>
            </w:tcBorders>
            <w:shd w:val="clear" w:color="auto" w:fill="auto"/>
            <w:noWrap/>
            <w:vAlign w:val="bottom"/>
            <w:hideMark/>
          </w:tcPr>
          <w:p w14:paraId="66B037A4" w14:textId="77777777" w:rsidR="004567F7" w:rsidRPr="00C173C5" w:rsidRDefault="004567F7" w:rsidP="00144775">
            <w:pPr>
              <w:spacing w:after="0" w:line="240" w:lineRule="auto"/>
              <w:jc w:val="right"/>
              <w:rPr>
                <w:rFonts w:eastAsia="Times New Roman" w:cs="Times New Roman"/>
                <w:sz w:val="20"/>
                <w:szCs w:val="20"/>
                <w:lang w:eastAsia="sk-SK"/>
              </w:rPr>
            </w:pPr>
            <w:r w:rsidRPr="00C173C5">
              <w:rPr>
                <w:rFonts w:eastAsia="Times New Roman" w:cs="Times New Roman"/>
                <w:sz w:val="20"/>
                <w:szCs w:val="20"/>
                <w:lang w:eastAsia="sk-SK"/>
              </w:rPr>
              <w:t>8,0</w:t>
            </w:r>
          </w:p>
        </w:tc>
        <w:tc>
          <w:tcPr>
            <w:tcW w:w="870" w:type="pct"/>
            <w:tcBorders>
              <w:top w:val="nil"/>
              <w:left w:val="nil"/>
              <w:bottom w:val="nil"/>
              <w:right w:val="nil"/>
            </w:tcBorders>
            <w:shd w:val="clear" w:color="auto" w:fill="auto"/>
            <w:noWrap/>
            <w:vAlign w:val="bottom"/>
            <w:hideMark/>
          </w:tcPr>
          <w:p w14:paraId="11536D37" w14:textId="77777777" w:rsidR="004567F7" w:rsidRPr="00C173C5" w:rsidRDefault="004567F7" w:rsidP="00144775">
            <w:pPr>
              <w:spacing w:after="0" w:line="240" w:lineRule="auto"/>
              <w:jc w:val="right"/>
              <w:rPr>
                <w:rFonts w:eastAsia="Times New Roman" w:cs="Times New Roman"/>
                <w:sz w:val="20"/>
                <w:szCs w:val="20"/>
                <w:lang w:eastAsia="sk-SK"/>
              </w:rPr>
            </w:pPr>
            <w:r w:rsidRPr="00C173C5">
              <w:rPr>
                <w:rFonts w:eastAsia="Times New Roman" w:cs="Times New Roman"/>
                <w:sz w:val="20"/>
                <w:szCs w:val="20"/>
                <w:lang w:eastAsia="sk-SK"/>
              </w:rPr>
              <w:t>0,0</w:t>
            </w:r>
          </w:p>
        </w:tc>
        <w:tc>
          <w:tcPr>
            <w:tcW w:w="851" w:type="pct"/>
            <w:tcBorders>
              <w:top w:val="nil"/>
              <w:left w:val="nil"/>
              <w:bottom w:val="nil"/>
              <w:right w:val="nil"/>
            </w:tcBorders>
            <w:shd w:val="clear" w:color="auto" w:fill="auto"/>
            <w:noWrap/>
            <w:vAlign w:val="bottom"/>
            <w:hideMark/>
          </w:tcPr>
          <w:p w14:paraId="48919A44" w14:textId="77777777" w:rsidR="004567F7" w:rsidRPr="00C173C5" w:rsidRDefault="004567F7" w:rsidP="00144775">
            <w:pPr>
              <w:spacing w:after="0" w:line="240" w:lineRule="auto"/>
              <w:jc w:val="right"/>
              <w:rPr>
                <w:rFonts w:eastAsia="Times New Roman" w:cs="Times New Roman"/>
                <w:sz w:val="20"/>
                <w:szCs w:val="20"/>
                <w:lang w:eastAsia="sk-SK"/>
              </w:rPr>
            </w:pPr>
            <w:r w:rsidRPr="00C173C5">
              <w:rPr>
                <w:rFonts w:eastAsia="Times New Roman" w:cs="Times New Roman"/>
                <w:sz w:val="20"/>
                <w:szCs w:val="20"/>
                <w:lang w:eastAsia="sk-SK"/>
              </w:rPr>
              <w:t>0,0</w:t>
            </w:r>
          </w:p>
        </w:tc>
        <w:tc>
          <w:tcPr>
            <w:tcW w:w="860" w:type="pct"/>
            <w:tcBorders>
              <w:top w:val="nil"/>
              <w:left w:val="nil"/>
              <w:bottom w:val="nil"/>
              <w:right w:val="nil"/>
            </w:tcBorders>
            <w:shd w:val="clear" w:color="000000" w:fill="BFBFBF"/>
            <w:noWrap/>
            <w:vAlign w:val="bottom"/>
            <w:hideMark/>
          </w:tcPr>
          <w:p w14:paraId="14D800E4" w14:textId="77777777" w:rsidR="004567F7" w:rsidRPr="00C173C5" w:rsidRDefault="004567F7" w:rsidP="00144775">
            <w:pPr>
              <w:spacing w:after="0" w:line="240" w:lineRule="auto"/>
              <w:jc w:val="right"/>
              <w:rPr>
                <w:rFonts w:eastAsia="Times New Roman" w:cs="Times New Roman"/>
                <w:sz w:val="20"/>
                <w:szCs w:val="20"/>
                <w:lang w:eastAsia="sk-SK"/>
              </w:rPr>
            </w:pPr>
            <w:r w:rsidRPr="00C173C5">
              <w:rPr>
                <w:rFonts w:eastAsia="Times New Roman" w:cs="Times New Roman"/>
                <w:sz w:val="20"/>
                <w:szCs w:val="20"/>
                <w:lang w:eastAsia="sk-SK"/>
              </w:rPr>
              <w:t>7,1</w:t>
            </w:r>
          </w:p>
        </w:tc>
      </w:tr>
      <w:tr w:rsidR="004567F7" w:rsidRPr="00C173C5" w14:paraId="40A3F759" w14:textId="77777777" w:rsidTr="006E7698">
        <w:trPr>
          <w:trHeight w:val="300"/>
        </w:trPr>
        <w:tc>
          <w:tcPr>
            <w:tcW w:w="1558" w:type="pct"/>
            <w:tcBorders>
              <w:top w:val="nil"/>
              <w:left w:val="nil"/>
              <w:bottom w:val="nil"/>
              <w:right w:val="nil"/>
            </w:tcBorders>
            <w:shd w:val="clear" w:color="auto" w:fill="auto"/>
            <w:noWrap/>
            <w:vAlign w:val="bottom"/>
            <w:hideMark/>
          </w:tcPr>
          <w:p w14:paraId="478572AB" w14:textId="77777777" w:rsidR="004567F7" w:rsidRPr="00C173C5" w:rsidRDefault="004567F7" w:rsidP="00144775">
            <w:pPr>
              <w:spacing w:after="0" w:line="240" w:lineRule="auto"/>
              <w:jc w:val="left"/>
              <w:rPr>
                <w:rFonts w:eastAsia="Times New Roman" w:cs="Times New Roman"/>
                <w:sz w:val="20"/>
                <w:szCs w:val="20"/>
                <w:lang w:eastAsia="sk-SK"/>
              </w:rPr>
            </w:pPr>
            <w:r w:rsidRPr="00C173C5">
              <w:rPr>
                <w:rFonts w:eastAsia="Times New Roman" w:cs="Times New Roman"/>
                <w:sz w:val="20"/>
                <w:szCs w:val="20"/>
                <w:lang w:eastAsia="sk-SK"/>
              </w:rPr>
              <w:t>Do 15 rokov</w:t>
            </w:r>
          </w:p>
        </w:tc>
        <w:tc>
          <w:tcPr>
            <w:tcW w:w="861" w:type="pct"/>
            <w:tcBorders>
              <w:top w:val="nil"/>
              <w:left w:val="nil"/>
              <w:bottom w:val="nil"/>
              <w:right w:val="nil"/>
            </w:tcBorders>
            <w:shd w:val="clear" w:color="auto" w:fill="auto"/>
            <w:noWrap/>
            <w:vAlign w:val="bottom"/>
            <w:hideMark/>
          </w:tcPr>
          <w:p w14:paraId="658CEE13" w14:textId="77777777" w:rsidR="004567F7" w:rsidRPr="00C173C5" w:rsidRDefault="004567F7" w:rsidP="00144775">
            <w:pPr>
              <w:spacing w:after="0" w:line="240" w:lineRule="auto"/>
              <w:jc w:val="right"/>
              <w:rPr>
                <w:rFonts w:eastAsia="Times New Roman" w:cs="Times New Roman"/>
                <w:sz w:val="20"/>
                <w:szCs w:val="20"/>
                <w:lang w:eastAsia="sk-SK"/>
              </w:rPr>
            </w:pPr>
            <w:r w:rsidRPr="00C173C5">
              <w:rPr>
                <w:rFonts w:eastAsia="Times New Roman" w:cs="Times New Roman"/>
                <w:sz w:val="20"/>
                <w:szCs w:val="20"/>
                <w:lang w:eastAsia="sk-SK"/>
              </w:rPr>
              <w:t>39,5</w:t>
            </w:r>
          </w:p>
        </w:tc>
        <w:tc>
          <w:tcPr>
            <w:tcW w:w="870" w:type="pct"/>
            <w:tcBorders>
              <w:top w:val="nil"/>
              <w:left w:val="nil"/>
              <w:bottom w:val="nil"/>
              <w:right w:val="nil"/>
            </w:tcBorders>
            <w:shd w:val="clear" w:color="auto" w:fill="auto"/>
            <w:noWrap/>
            <w:vAlign w:val="bottom"/>
            <w:hideMark/>
          </w:tcPr>
          <w:p w14:paraId="6A963494" w14:textId="77777777" w:rsidR="004567F7" w:rsidRPr="00C173C5" w:rsidRDefault="004567F7" w:rsidP="00144775">
            <w:pPr>
              <w:spacing w:after="0" w:line="240" w:lineRule="auto"/>
              <w:jc w:val="right"/>
              <w:rPr>
                <w:rFonts w:eastAsia="Times New Roman" w:cs="Times New Roman"/>
                <w:sz w:val="20"/>
                <w:szCs w:val="20"/>
                <w:lang w:eastAsia="sk-SK"/>
              </w:rPr>
            </w:pPr>
            <w:r w:rsidRPr="00C173C5">
              <w:rPr>
                <w:rFonts w:eastAsia="Times New Roman" w:cs="Times New Roman"/>
                <w:sz w:val="20"/>
                <w:szCs w:val="20"/>
                <w:lang w:eastAsia="sk-SK"/>
              </w:rPr>
              <w:t>8,3</w:t>
            </w:r>
          </w:p>
        </w:tc>
        <w:tc>
          <w:tcPr>
            <w:tcW w:w="851" w:type="pct"/>
            <w:tcBorders>
              <w:top w:val="nil"/>
              <w:left w:val="nil"/>
              <w:bottom w:val="nil"/>
              <w:right w:val="nil"/>
            </w:tcBorders>
            <w:shd w:val="clear" w:color="auto" w:fill="auto"/>
            <w:noWrap/>
            <w:vAlign w:val="bottom"/>
            <w:hideMark/>
          </w:tcPr>
          <w:p w14:paraId="1F6BFE44" w14:textId="77777777" w:rsidR="004567F7" w:rsidRPr="00C173C5" w:rsidRDefault="004567F7" w:rsidP="00144775">
            <w:pPr>
              <w:spacing w:after="0" w:line="240" w:lineRule="auto"/>
              <w:jc w:val="right"/>
              <w:rPr>
                <w:rFonts w:eastAsia="Times New Roman" w:cs="Times New Roman"/>
                <w:sz w:val="20"/>
                <w:szCs w:val="20"/>
                <w:lang w:eastAsia="sk-SK"/>
              </w:rPr>
            </w:pPr>
            <w:r w:rsidRPr="00C173C5">
              <w:rPr>
                <w:rFonts w:eastAsia="Times New Roman" w:cs="Times New Roman"/>
                <w:sz w:val="20"/>
                <w:szCs w:val="20"/>
                <w:lang w:eastAsia="sk-SK"/>
              </w:rPr>
              <w:t>0,0</w:t>
            </w:r>
          </w:p>
        </w:tc>
        <w:tc>
          <w:tcPr>
            <w:tcW w:w="860" w:type="pct"/>
            <w:tcBorders>
              <w:top w:val="nil"/>
              <w:left w:val="nil"/>
              <w:bottom w:val="nil"/>
              <w:right w:val="nil"/>
            </w:tcBorders>
            <w:shd w:val="clear" w:color="000000" w:fill="BFBFBF"/>
            <w:noWrap/>
            <w:vAlign w:val="bottom"/>
            <w:hideMark/>
          </w:tcPr>
          <w:p w14:paraId="0D062AC8" w14:textId="77777777" w:rsidR="004567F7" w:rsidRPr="00C173C5" w:rsidRDefault="004567F7" w:rsidP="00144775">
            <w:pPr>
              <w:spacing w:after="0" w:line="240" w:lineRule="auto"/>
              <w:jc w:val="right"/>
              <w:rPr>
                <w:rFonts w:eastAsia="Times New Roman" w:cs="Times New Roman"/>
                <w:sz w:val="20"/>
                <w:szCs w:val="20"/>
                <w:lang w:eastAsia="sk-SK"/>
              </w:rPr>
            </w:pPr>
            <w:r w:rsidRPr="00C173C5">
              <w:rPr>
                <w:rFonts w:eastAsia="Times New Roman" w:cs="Times New Roman"/>
                <w:sz w:val="20"/>
                <w:szCs w:val="20"/>
                <w:lang w:eastAsia="sk-SK"/>
              </w:rPr>
              <w:t>35,9</w:t>
            </w:r>
          </w:p>
        </w:tc>
      </w:tr>
      <w:tr w:rsidR="004567F7" w:rsidRPr="00C173C5" w14:paraId="0E39A675" w14:textId="77777777" w:rsidTr="006E7698">
        <w:trPr>
          <w:trHeight w:val="300"/>
        </w:trPr>
        <w:tc>
          <w:tcPr>
            <w:tcW w:w="1558" w:type="pct"/>
            <w:tcBorders>
              <w:top w:val="nil"/>
              <w:left w:val="nil"/>
              <w:bottom w:val="nil"/>
              <w:right w:val="nil"/>
            </w:tcBorders>
            <w:shd w:val="clear" w:color="auto" w:fill="auto"/>
            <w:noWrap/>
            <w:vAlign w:val="bottom"/>
            <w:hideMark/>
          </w:tcPr>
          <w:p w14:paraId="6D54F01D" w14:textId="77777777" w:rsidR="004567F7" w:rsidRPr="00C173C5" w:rsidRDefault="004567F7" w:rsidP="00144775">
            <w:pPr>
              <w:spacing w:after="0" w:line="240" w:lineRule="auto"/>
              <w:jc w:val="left"/>
              <w:rPr>
                <w:rFonts w:eastAsia="Times New Roman" w:cs="Times New Roman"/>
                <w:sz w:val="20"/>
                <w:szCs w:val="20"/>
                <w:lang w:eastAsia="sk-SK"/>
              </w:rPr>
            </w:pPr>
            <w:r w:rsidRPr="00C173C5">
              <w:rPr>
                <w:rFonts w:eastAsia="Times New Roman" w:cs="Times New Roman"/>
                <w:sz w:val="20"/>
                <w:szCs w:val="20"/>
                <w:lang w:eastAsia="sk-SK"/>
              </w:rPr>
              <w:t>Do 29 rokov</w:t>
            </w:r>
          </w:p>
        </w:tc>
        <w:tc>
          <w:tcPr>
            <w:tcW w:w="861" w:type="pct"/>
            <w:tcBorders>
              <w:top w:val="nil"/>
              <w:left w:val="nil"/>
              <w:bottom w:val="nil"/>
              <w:right w:val="nil"/>
            </w:tcBorders>
            <w:shd w:val="clear" w:color="auto" w:fill="auto"/>
            <w:noWrap/>
            <w:vAlign w:val="bottom"/>
            <w:hideMark/>
          </w:tcPr>
          <w:p w14:paraId="6E8C801E" w14:textId="77777777" w:rsidR="004567F7" w:rsidRPr="00C173C5" w:rsidRDefault="004567F7" w:rsidP="00144775">
            <w:pPr>
              <w:spacing w:after="0" w:line="240" w:lineRule="auto"/>
              <w:jc w:val="right"/>
              <w:rPr>
                <w:rFonts w:eastAsia="Times New Roman" w:cs="Times New Roman"/>
                <w:sz w:val="20"/>
                <w:szCs w:val="20"/>
                <w:lang w:eastAsia="sk-SK"/>
              </w:rPr>
            </w:pPr>
            <w:r w:rsidRPr="00C173C5">
              <w:rPr>
                <w:rFonts w:eastAsia="Times New Roman" w:cs="Times New Roman"/>
                <w:sz w:val="20"/>
                <w:szCs w:val="20"/>
                <w:lang w:eastAsia="sk-SK"/>
              </w:rPr>
              <w:t>44,9</w:t>
            </w:r>
          </w:p>
        </w:tc>
        <w:tc>
          <w:tcPr>
            <w:tcW w:w="870" w:type="pct"/>
            <w:tcBorders>
              <w:top w:val="nil"/>
              <w:left w:val="nil"/>
              <w:bottom w:val="nil"/>
              <w:right w:val="nil"/>
            </w:tcBorders>
            <w:shd w:val="clear" w:color="auto" w:fill="auto"/>
            <w:noWrap/>
            <w:vAlign w:val="bottom"/>
            <w:hideMark/>
          </w:tcPr>
          <w:p w14:paraId="1F1BFB35" w14:textId="77777777" w:rsidR="004567F7" w:rsidRPr="00C173C5" w:rsidRDefault="004567F7" w:rsidP="00144775">
            <w:pPr>
              <w:spacing w:after="0" w:line="240" w:lineRule="auto"/>
              <w:jc w:val="right"/>
              <w:rPr>
                <w:rFonts w:eastAsia="Times New Roman" w:cs="Times New Roman"/>
                <w:sz w:val="20"/>
                <w:szCs w:val="20"/>
                <w:lang w:eastAsia="sk-SK"/>
              </w:rPr>
            </w:pPr>
            <w:r w:rsidRPr="00C173C5">
              <w:rPr>
                <w:rFonts w:eastAsia="Times New Roman" w:cs="Times New Roman"/>
                <w:sz w:val="20"/>
                <w:szCs w:val="20"/>
                <w:lang w:eastAsia="sk-SK"/>
              </w:rPr>
              <w:t>41,9</w:t>
            </w:r>
          </w:p>
        </w:tc>
        <w:tc>
          <w:tcPr>
            <w:tcW w:w="851" w:type="pct"/>
            <w:tcBorders>
              <w:top w:val="nil"/>
              <w:left w:val="nil"/>
              <w:bottom w:val="nil"/>
              <w:right w:val="nil"/>
            </w:tcBorders>
            <w:shd w:val="clear" w:color="auto" w:fill="auto"/>
            <w:noWrap/>
            <w:vAlign w:val="bottom"/>
            <w:hideMark/>
          </w:tcPr>
          <w:p w14:paraId="0F80E0EC" w14:textId="77777777" w:rsidR="004567F7" w:rsidRPr="00C173C5" w:rsidRDefault="004567F7" w:rsidP="00144775">
            <w:pPr>
              <w:spacing w:after="0" w:line="240" w:lineRule="auto"/>
              <w:jc w:val="right"/>
              <w:rPr>
                <w:rFonts w:eastAsia="Times New Roman" w:cs="Times New Roman"/>
                <w:sz w:val="20"/>
                <w:szCs w:val="20"/>
                <w:lang w:eastAsia="sk-SK"/>
              </w:rPr>
            </w:pPr>
            <w:r w:rsidRPr="00C173C5">
              <w:rPr>
                <w:rFonts w:eastAsia="Times New Roman" w:cs="Times New Roman"/>
                <w:sz w:val="20"/>
                <w:szCs w:val="20"/>
                <w:lang w:eastAsia="sk-SK"/>
              </w:rPr>
              <w:t>0,0</w:t>
            </w:r>
          </w:p>
        </w:tc>
        <w:tc>
          <w:tcPr>
            <w:tcW w:w="860" w:type="pct"/>
            <w:tcBorders>
              <w:top w:val="nil"/>
              <w:left w:val="nil"/>
              <w:bottom w:val="nil"/>
              <w:right w:val="nil"/>
            </w:tcBorders>
            <w:shd w:val="clear" w:color="000000" w:fill="BFBFBF"/>
            <w:noWrap/>
            <w:vAlign w:val="bottom"/>
            <w:hideMark/>
          </w:tcPr>
          <w:p w14:paraId="5E4167D8" w14:textId="77777777" w:rsidR="004567F7" w:rsidRPr="00C173C5" w:rsidRDefault="004567F7" w:rsidP="00144775">
            <w:pPr>
              <w:spacing w:after="0" w:line="240" w:lineRule="auto"/>
              <w:jc w:val="right"/>
              <w:rPr>
                <w:rFonts w:eastAsia="Times New Roman" w:cs="Times New Roman"/>
                <w:sz w:val="20"/>
                <w:szCs w:val="20"/>
                <w:lang w:eastAsia="sk-SK"/>
              </w:rPr>
            </w:pPr>
            <w:r w:rsidRPr="00C173C5">
              <w:rPr>
                <w:rFonts w:eastAsia="Times New Roman" w:cs="Times New Roman"/>
                <w:sz w:val="20"/>
                <w:szCs w:val="20"/>
                <w:lang w:eastAsia="sk-SK"/>
              </w:rPr>
              <w:t>44,1</w:t>
            </w:r>
          </w:p>
        </w:tc>
      </w:tr>
      <w:tr w:rsidR="004567F7" w:rsidRPr="00C173C5" w14:paraId="61999164" w14:textId="77777777" w:rsidTr="006E7698">
        <w:trPr>
          <w:trHeight w:val="300"/>
        </w:trPr>
        <w:tc>
          <w:tcPr>
            <w:tcW w:w="1558" w:type="pct"/>
            <w:tcBorders>
              <w:top w:val="nil"/>
              <w:left w:val="nil"/>
              <w:bottom w:val="nil"/>
              <w:right w:val="nil"/>
            </w:tcBorders>
            <w:shd w:val="clear" w:color="auto" w:fill="auto"/>
            <w:noWrap/>
            <w:vAlign w:val="bottom"/>
            <w:hideMark/>
          </w:tcPr>
          <w:p w14:paraId="54B399F0" w14:textId="77777777" w:rsidR="004567F7" w:rsidRPr="00C173C5" w:rsidRDefault="004567F7" w:rsidP="00144775">
            <w:pPr>
              <w:spacing w:after="0" w:line="240" w:lineRule="auto"/>
              <w:jc w:val="left"/>
              <w:rPr>
                <w:rFonts w:eastAsia="Times New Roman" w:cs="Times New Roman"/>
                <w:sz w:val="20"/>
                <w:szCs w:val="20"/>
                <w:lang w:eastAsia="sk-SK"/>
              </w:rPr>
            </w:pPr>
            <w:r w:rsidRPr="00C173C5">
              <w:rPr>
                <w:rFonts w:eastAsia="Times New Roman" w:cs="Times New Roman"/>
                <w:sz w:val="20"/>
                <w:szCs w:val="20"/>
                <w:lang w:eastAsia="sk-SK"/>
              </w:rPr>
              <w:t>30 rokov a viac</w:t>
            </w:r>
          </w:p>
        </w:tc>
        <w:tc>
          <w:tcPr>
            <w:tcW w:w="861" w:type="pct"/>
            <w:tcBorders>
              <w:top w:val="nil"/>
              <w:left w:val="nil"/>
              <w:bottom w:val="nil"/>
              <w:right w:val="nil"/>
            </w:tcBorders>
            <w:shd w:val="clear" w:color="auto" w:fill="auto"/>
            <w:noWrap/>
            <w:vAlign w:val="bottom"/>
            <w:hideMark/>
          </w:tcPr>
          <w:p w14:paraId="09257850" w14:textId="77777777" w:rsidR="004567F7" w:rsidRPr="00C173C5" w:rsidRDefault="004567F7" w:rsidP="00144775">
            <w:pPr>
              <w:spacing w:after="0" w:line="240" w:lineRule="auto"/>
              <w:jc w:val="right"/>
              <w:rPr>
                <w:rFonts w:eastAsia="Times New Roman" w:cs="Times New Roman"/>
                <w:sz w:val="20"/>
                <w:szCs w:val="20"/>
                <w:lang w:eastAsia="sk-SK"/>
              </w:rPr>
            </w:pPr>
            <w:r w:rsidRPr="00C173C5">
              <w:rPr>
                <w:rFonts w:eastAsia="Times New Roman" w:cs="Times New Roman"/>
                <w:sz w:val="20"/>
                <w:szCs w:val="20"/>
                <w:lang w:eastAsia="sk-SK"/>
              </w:rPr>
              <w:t>4,7</w:t>
            </w:r>
          </w:p>
        </w:tc>
        <w:tc>
          <w:tcPr>
            <w:tcW w:w="870" w:type="pct"/>
            <w:tcBorders>
              <w:top w:val="nil"/>
              <w:left w:val="nil"/>
              <w:bottom w:val="nil"/>
              <w:right w:val="nil"/>
            </w:tcBorders>
            <w:shd w:val="clear" w:color="auto" w:fill="auto"/>
            <w:noWrap/>
            <w:vAlign w:val="bottom"/>
            <w:hideMark/>
          </w:tcPr>
          <w:p w14:paraId="7D854CA8" w14:textId="77777777" w:rsidR="004567F7" w:rsidRPr="00C173C5" w:rsidRDefault="004567F7" w:rsidP="00144775">
            <w:pPr>
              <w:spacing w:after="0" w:line="240" w:lineRule="auto"/>
              <w:jc w:val="right"/>
              <w:rPr>
                <w:rFonts w:eastAsia="Times New Roman" w:cs="Times New Roman"/>
                <w:sz w:val="20"/>
                <w:szCs w:val="20"/>
                <w:lang w:eastAsia="sk-SK"/>
              </w:rPr>
            </w:pPr>
            <w:r w:rsidRPr="00C173C5">
              <w:rPr>
                <w:rFonts w:eastAsia="Times New Roman" w:cs="Times New Roman"/>
                <w:sz w:val="20"/>
                <w:szCs w:val="20"/>
                <w:lang w:eastAsia="sk-SK"/>
              </w:rPr>
              <w:t>42,9</w:t>
            </w:r>
          </w:p>
        </w:tc>
        <w:tc>
          <w:tcPr>
            <w:tcW w:w="851" w:type="pct"/>
            <w:tcBorders>
              <w:top w:val="nil"/>
              <w:left w:val="nil"/>
              <w:bottom w:val="nil"/>
              <w:right w:val="nil"/>
            </w:tcBorders>
            <w:shd w:val="clear" w:color="auto" w:fill="auto"/>
            <w:noWrap/>
            <w:vAlign w:val="bottom"/>
            <w:hideMark/>
          </w:tcPr>
          <w:p w14:paraId="7DDAC0B0" w14:textId="77777777" w:rsidR="004567F7" w:rsidRPr="00C173C5" w:rsidRDefault="004567F7" w:rsidP="00144775">
            <w:pPr>
              <w:spacing w:after="0" w:line="240" w:lineRule="auto"/>
              <w:jc w:val="right"/>
              <w:rPr>
                <w:rFonts w:eastAsia="Times New Roman" w:cs="Times New Roman"/>
                <w:sz w:val="20"/>
                <w:szCs w:val="20"/>
                <w:lang w:eastAsia="sk-SK"/>
              </w:rPr>
            </w:pPr>
            <w:r w:rsidRPr="00C173C5">
              <w:rPr>
                <w:rFonts w:eastAsia="Times New Roman" w:cs="Times New Roman"/>
                <w:sz w:val="20"/>
                <w:szCs w:val="20"/>
                <w:lang w:eastAsia="sk-SK"/>
              </w:rPr>
              <w:t>0,0</w:t>
            </w:r>
          </w:p>
        </w:tc>
        <w:tc>
          <w:tcPr>
            <w:tcW w:w="860" w:type="pct"/>
            <w:tcBorders>
              <w:top w:val="nil"/>
              <w:left w:val="nil"/>
              <w:bottom w:val="nil"/>
              <w:right w:val="nil"/>
            </w:tcBorders>
            <w:shd w:val="clear" w:color="000000" w:fill="BFBFBF"/>
            <w:noWrap/>
            <w:vAlign w:val="bottom"/>
            <w:hideMark/>
          </w:tcPr>
          <w:p w14:paraId="4C1F2349" w14:textId="77777777" w:rsidR="004567F7" w:rsidRPr="00C173C5" w:rsidRDefault="004567F7" w:rsidP="00144775">
            <w:pPr>
              <w:spacing w:after="0" w:line="240" w:lineRule="auto"/>
              <w:jc w:val="right"/>
              <w:rPr>
                <w:rFonts w:eastAsia="Times New Roman" w:cs="Times New Roman"/>
                <w:sz w:val="20"/>
                <w:szCs w:val="20"/>
                <w:lang w:eastAsia="sk-SK"/>
              </w:rPr>
            </w:pPr>
            <w:r w:rsidRPr="00C173C5">
              <w:rPr>
                <w:rFonts w:eastAsia="Times New Roman" w:cs="Times New Roman"/>
                <w:sz w:val="20"/>
                <w:szCs w:val="20"/>
                <w:lang w:eastAsia="sk-SK"/>
              </w:rPr>
              <w:t>8,6</w:t>
            </w:r>
          </w:p>
        </w:tc>
      </w:tr>
      <w:tr w:rsidR="004567F7" w:rsidRPr="00C173C5" w14:paraId="55100B48" w14:textId="77777777" w:rsidTr="006E7698">
        <w:trPr>
          <w:trHeight w:val="300"/>
        </w:trPr>
        <w:tc>
          <w:tcPr>
            <w:tcW w:w="1558" w:type="pct"/>
            <w:tcBorders>
              <w:top w:val="nil"/>
              <w:left w:val="nil"/>
              <w:bottom w:val="single" w:sz="4" w:space="0" w:color="auto"/>
              <w:right w:val="nil"/>
            </w:tcBorders>
            <w:shd w:val="clear" w:color="auto" w:fill="auto"/>
            <w:noWrap/>
            <w:vAlign w:val="bottom"/>
            <w:hideMark/>
          </w:tcPr>
          <w:p w14:paraId="5B6B9C6B" w14:textId="77777777" w:rsidR="004567F7" w:rsidRPr="00C173C5" w:rsidRDefault="004567F7" w:rsidP="00144775">
            <w:pPr>
              <w:spacing w:after="0" w:line="240" w:lineRule="auto"/>
              <w:jc w:val="left"/>
              <w:rPr>
                <w:rFonts w:eastAsia="Times New Roman" w:cs="Times New Roman"/>
                <w:b/>
                <w:bCs/>
                <w:sz w:val="20"/>
                <w:szCs w:val="20"/>
                <w:lang w:eastAsia="sk-SK"/>
              </w:rPr>
            </w:pPr>
            <w:r w:rsidRPr="00C173C5">
              <w:rPr>
                <w:rFonts w:eastAsia="Times New Roman" w:cs="Times New Roman"/>
                <w:b/>
                <w:bCs/>
                <w:sz w:val="20"/>
                <w:szCs w:val="20"/>
                <w:lang w:eastAsia="sk-SK"/>
              </w:rPr>
              <w:t>Spolu</w:t>
            </w:r>
          </w:p>
        </w:tc>
        <w:tc>
          <w:tcPr>
            <w:tcW w:w="861" w:type="pct"/>
            <w:tcBorders>
              <w:top w:val="nil"/>
              <w:left w:val="nil"/>
              <w:bottom w:val="single" w:sz="4" w:space="0" w:color="auto"/>
              <w:right w:val="nil"/>
            </w:tcBorders>
            <w:shd w:val="clear" w:color="auto" w:fill="auto"/>
            <w:noWrap/>
            <w:vAlign w:val="bottom"/>
            <w:hideMark/>
          </w:tcPr>
          <w:p w14:paraId="4A5C8EB6" w14:textId="77777777" w:rsidR="004567F7" w:rsidRPr="00C173C5" w:rsidRDefault="004567F7" w:rsidP="00144775">
            <w:pPr>
              <w:spacing w:after="0" w:line="240" w:lineRule="auto"/>
              <w:jc w:val="right"/>
              <w:rPr>
                <w:rFonts w:eastAsia="Times New Roman" w:cs="Times New Roman"/>
                <w:b/>
                <w:bCs/>
                <w:sz w:val="20"/>
                <w:szCs w:val="20"/>
                <w:lang w:eastAsia="sk-SK"/>
              </w:rPr>
            </w:pPr>
            <w:r w:rsidRPr="00C173C5">
              <w:rPr>
                <w:rFonts w:eastAsia="Times New Roman" w:cs="Times New Roman"/>
                <w:b/>
                <w:bCs/>
                <w:sz w:val="20"/>
                <w:szCs w:val="20"/>
                <w:lang w:eastAsia="sk-SK"/>
              </w:rPr>
              <w:t>100,0</w:t>
            </w:r>
          </w:p>
        </w:tc>
        <w:tc>
          <w:tcPr>
            <w:tcW w:w="870" w:type="pct"/>
            <w:tcBorders>
              <w:top w:val="nil"/>
              <w:left w:val="nil"/>
              <w:bottom w:val="single" w:sz="4" w:space="0" w:color="auto"/>
              <w:right w:val="nil"/>
            </w:tcBorders>
            <w:shd w:val="clear" w:color="auto" w:fill="auto"/>
            <w:noWrap/>
            <w:vAlign w:val="bottom"/>
            <w:hideMark/>
          </w:tcPr>
          <w:p w14:paraId="5BDBADCA" w14:textId="77777777" w:rsidR="004567F7" w:rsidRPr="00C173C5" w:rsidRDefault="004567F7" w:rsidP="00144775">
            <w:pPr>
              <w:spacing w:after="0" w:line="240" w:lineRule="auto"/>
              <w:jc w:val="right"/>
              <w:rPr>
                <w:rFonts w:eastAsia="Times New Roman" w:cs="Times New Roman"/>
                <w:b/>
                <w:bCs/>
                <w:sz w:val="20"/>
                <w:szCs w:val="20"/>
                <w:lang w:eastAsia="sk-SK"/>
              </w:rPr>
            </w:pPr>
            <w:r w:rsidRPr="00C173C5">
              <w:rPr>
                <w:rFonts w:eastAsia="Times New Roman" w:cs="Times New Roman"/>
                <w:b/>
                <w:bCs/>
                <w:sz w:val="20"/>
                <w:szCs w:val="20"/>
                <w:lang w:eastAsia="sk-SK"/>
              </w:rPr>
              <w:t>100,0</w:t>
            </w:r>
          </w:p>
        </w:tc>
        <w:tc>
          <w:tcPr>
            <w:tcW w:w="851" w:type="pct"/>
            <w:tcBorders>
              <w:top w:val="nil"/>
              <w:left w:val="nil"/>
              <w:bottom w:val="single" w:sz="4" w:space="0" w:color="auto"/>
              <w:right w:val="nil"/>
            </w:tcBorders>
            <w:shd w:val="clear" w:color="auto" w:fill="auto"/>
            <w:noWrap/>
            <w:vAlign w:val="bottom"/>
            <w:hideMark/>
          </w:tcPr>
          <w:p w14:paraId="15A6F7C6" w14:textId="77777777" w:rsidR="004567F7" w:rsidRPr="00C173C5" w:rsidRDefault="004567F7" w:rsidP="00144775">
            <w:pPr>
              <w:spacing w:after="0" w:line="240" w:lineRule="auto"/>
              <w:jc w:val="right"/>
              <w:rPr>
                <w:rFonts w:eastAsia="Times New Roman" w:cs="Times New Roman"/>
                <w:b/>
                <w:bCs/>
                <w:sz w:val="20"/>
                <w:szCs w:val="20"/>
                <w:lang w:eastAsia="sk-SK"/>
              </w:rPr>
            </w:pPr>
            <w:r w:rsidRPr="00C173C5">
              <w:rPr>
                <w:rFonts w:eastAsia="Times New Roman" w:cs="Times New Roman"/>
                <w:b/>
                <w:bCs/>
                <w:sz w:val="20"/>
                <w:szCs w:val="20"/>
                <w:lang w:eastAsia="sk-SK"/>
              </w:rPr>
              <w:t>100,0</w:t>
            </w:r>
          </w:p>
        </w:tc>
        <w:tc>
          <w:tcPr>
            <w:tcW w:w="860" w:type="pct"/>
            <w:tcBorders>
              <w:top w:val="nil"/>
              <w:left w:val="nil"/>
              <w:bottom w:val="single" w:sz="4" w:space="0" w:color="auto"/>
              <w:right w:val="nil"/>
            </w:tcBorders>
            <w:shd w:val="clear" w:color="000000" w:fill="BFBFBF"/>
            <w:noWrap/>
            <w:vAlign w:val="bottom"/>
            <w:hideMark/>
          </w:tcPr>
          <w:p w14:paraId="417C3528" w14:textId="77777777" w:rsidR="004567F7" w:rsidRPr="00C173C5" w:rsidRDefault="004567F7" w:rsidP="00144775">
            <w:pPr>
              <w:spacing w:after="0" w:line="240" w:lineRule="auto"/>
              <w:jc w:val="right"/>
              <w:rPr>
                <w:rFonts w:eastAsia="Times New Roman" w:cs="Times New Roman"/>
                <w:b/>
                <w:bCs/>
                <w:sz w:val="20"/>
                <w:szCs w:val="20"/>
                <w:lang w:eastAsia="sk-SK"/>
              </w:rPr>
            </w:pPr>
            <w:r w:rsidRPr="00C173C5">
              <w:rPr>
                <w:rFonts w:eastAsia="Times New Roman" w:cs="Times New Roman"/>
                <w:b/>
                <w:bCs/>
                <w:sz w:val="20"/>
                <w:szCs w:val="20"/>
                <w:lang w:eastAsia="sk-SK"/>
              </w:rPr>
              <w:t>100,0</w:t>
            </w:r>
          </w:p>
        </w:tc>
      </w:tr>
    </w:tbl>
    <w:p w14:paraId="638DBB7F" w14:textId="77777777" w:rsidR="004567F7" w:rsidRPr="004567F7" w:rsidRDefault="004567F7" w:rsidP="004567F7">
      <w:pPr>
        <w:jc w:val="right"/>
        <w:rPr>
          <w:sz w:val="20"/>
          <w:szCs w:val="20"/>
        </w:rPr>
      </w:pPr>
      <w:r w:rsidRPr="004567F7">
        <w:rPr>
          <w:sz w:val="20"/>
          <w:szCs w:val="20"/>
        </w:rPr>
        <w:t>Zdroj: MF SR, ARDAL</w:t>
      </w:r>
    </w:p>
    <w:p w14:paraId="5EA60568" w14:textId="77777777" w:rsidR="005F5B88" w:rsidRDefault="005F5B88" w:rsidP="00C34E95">
      <w:pPr>
        <w:pStyle w:val="Nadpis3"/>
      </w:pPr>
      <w:bookmarkStart w:id="27" w:name="_Toc6415638"/>
      <w:bookmarkStart w:id="28" w:name="_Toc7502830"/>
      <w:r>
        <w:t>Maastrichtský dlh ostatných subjektov verejnej správy</w:t>
      </w:r>
      <w:bookmarkEnd w:id="27"/>
      <w:bookmarkEnd w:id="28"/>
    </w:p>
    <w:p w14:paraId="424D387F" w14:textId="77777777" w:rsidR="004567F7" w:rsidRPr="00EA5808" w:rsidRDefault="004567F7" w:rsidP="004567F7">
      <w:r w:rsidRPr="00DC0257">
        <w:t>Konsolidovaná hodnota maastrichtského dlhu ostatných subjektov verejnej správy k 31.12.2018 dosiahla 1 588 738</w:t>
      </w:r>
      <w:r>
        <w:t> tis. </w:t>
      </w:r>
      <w:r w:rsidRPr="00DC0257">
        <w:t>eur. Bez akýchkoľvek úverov a</w:t>
      </w:r>
      <w:r>
        <w:t xml:space="preserve"> </w:t>
      </w:r>
      <w:r w:rsidRPr="00DC0257">
        <w:t xml:space="preserve">pôžičiek boli ku koncu roka 2018 Slovenský pozemkový fond, Slovenská konsolidačná, a. s., Slovenské národné stredisko pre ľudské práva, Úrad pre dohľad nad zdravotnou starostlivosťou, Audiovizuálny fond, Úrad pre dohľad nad zdravotnou starostlivosťou, Úrad pre dohľad nad výkonom auditu, Tlačová agentúra Slovenskej republiky, </w:t>
      </w:r>
      <w:proofErr w:type="spellStart"/>
      <w:r w:rsidRPr="00DC0257">
        <w:t>Danubiana</w:t>
      </w:r>
      <w:proofErr w:type="spellEnd"/>
      <w:r w:rsidRPr="00DC0257">
        <w:t>, Recyklačný fond, Fond pre podporu vzdelávania, Fond na podporu umenia, Rada pre riešenie krízových situácií, Úrad komisára pre deti, Úrad komisára pre osoby so zdravotným postihnutím, Fond na podporu kultúry národnostných menšín</w:t>
      </w:r>
      <w:r>
        <w:t>, MH Invest,</w:t>
      </w:r>
      <w:r w:rsidRPr="00DC0257">
        <w:t xml:space="preserve"> s. r. o. a Slovenská reštrukturalizačná, s. r. o. Nasledujúci opis dlhu zložiek verejnej správy je na nekonsolidovanej báze.</w:t>
      </w:r>
    </w:p>
    <w:p w14:paraId="277D3B7A" w14:textId="13BB71DD" w:rsidR="004567F7" w:rsidRDefault="004567F7" w:rsidP="004567F7">
      <w:r>
        <w:t xml:space="preserve">Dlh </w:t>
      </w:r>
      <w:r w:rsidRPr="00C5066A">
        <w:rPr>
          <w:b/>
        </w:rPr>
        <w:t>štátnych príspevkových organizácií</w:t>
      </w:r>
      <w:r>
        <w:rPr>
          <w:b/>
        </w:rPr>
        <w:t xml:space="preserve"> </w:t>
      </w:r>
      <w:r w:rsidRPr="008A6739">
        <w:t>dosiahol v roku 201</w:t>
      </w:r>
      <w:r>
        <w:t>8</w:t>
      </w:r>
      <w:r w:rsidRPr="008A6739">
        <w:t xml:space="preserve"> hodnotu</w:t>
      </w:r>
      <w:r>
        <w:rPr>
          <w:b/>
        </w:rPr>
        <w:t xml:space="preserve"> </w:t>
      </w:r>
      <w:r w:rsidRPr="00EF19D4">
        <w:t>2</w:t>
      </w:r>
      <w:r w:rsidR="00144775">
        <w:t> </w:t>
      </w:r>
      <w:r>
        <w:t>259</w:t>
      </w:r>
      <w:r w:rsidR="00144775">
        <w:t> tis. </w:t>
      </w:r>
      <w:r>
        <w:t xml:space="preserve">eur. </w:t>
      </w:r>
      <w:r w:rsidRPr="00C5066A">
        <w:t xml:space="preserve">Podstatnú časť dlhu tvoria </w:t>
      </w:r>
      <w:r>
        <w:t>zábezpeky v hodnote 1 369 tis. eur, finančný lízing v hodnote 241 tis. eur a</w:t>
      </w:r>
      <w:r w:rsidR="005D5A2D">
        <w:t> </w:t>
      </w:r>
      <w:r w:rsidRPr="00C5066A">
        <w:t>návratné finančné výpomoci</w:t>
      </w:r>
      <w:r>
        <w:t xml:space="preserve"> v súhrnnej hodnote 650 tis. eur</w:t>
      </w:r>
      <w:r w:rsidRPr="00C5066A">
        <w:t xml:space="preserve">, </w:t>
      </w:r>
      <w:r w:rsidRPr="001A71DD">
        <w:t>ktoré poskytlo Ministerstvo pôdohospodárstva a rozvoja vidieka SR Agentúre pre rozvoj vidieka (200 tis. eur) a Národnému lesníckemu centru (450 tis. eur).</w:t>
      </w:r>
      <w:r>
        <w:t xml:space="preserve"> </w:t>
      </w:r>
      <w:r w:rsidRPr="00C5066A">
        <w:t xml:space="preserve">Dlh štátnych príspevkových organizácií </w:t>
      </w:r>
      <w:r>
        <w:t>vzrástol</w:t>
      </w:r>
      <w:r w:rsidRPr="00C5066A">
        <w:t xml:space="preserve"> oproti roku 201</w:t>
      </w:r>
      <w:r>
        <w:t>7</w:t>
      </w:r>
      <w:r w:rsidRPr="00C5066A">
        <w:t xml:space="preserve"> o </w:t>
      </w:r>
      <w:r>
        <w:t>254</w:t>
      </w:r>
      <w:r w:rsidRPr="00C5066A">
        <w:t xml:space="preserve"> tis. eur.</w:t>
      </w:r>
    </w:p>
    <w:p w14:paraId="0A5F7AE9" w14:textId="4F9BB719" w:rsidR="004567F7" w:rsidRDefault="004567F7" w:rsidP="004567F7">
      <w:r w:rsidRPr="005914E1">
        <w:rPr>
          <w:b/>
        </w:rPr>
        <w:t xml:space="preserve">Exportno-importná banka Slovenskej republiky </w:t>
      </w:r>
      <w:r w:rsidRPr="005914E1">
        <w:t>prispela k zvýšeniu maastrichtského dlhu v roku 2018 sumou 10</w:t>
      </w:r>
      <w:r>
        <w:t> </w:t>
      </w:r>
      <w:r w:rsidRPr="005914E1">
        <w:t>121</w:t>
      </w:r>
      <w:r>
        <w:t> </w:t>
      </w:r>
      <w:r w:rsidRPr="005914E1">
        <w:t>tis.</w:t>
      </w:r>
      <w:r>
        <w:t> </w:t>
      </w:r>
      <w:r w:rsidRPr="005914E1">
        <w:t>eur. Dlh subjektu je tvorený záväzkami voči bankám, ktorých stav z nulovej hodnoty v predchádzajúcom roku vzrástol na 5 373 tis. eur, záväzkami voč</w:t>
      </w:r>
      <w:r>
        <w:t xml:space="preserve">i klientom, ktorých stav oproti </w:t>
      </w:r>
      <w:r w:rsidRPr="005914E1">
        <w:t xml:space="preserve">predchádzajúcemu roku poklesol </w:t>
      </w:r>
      <w:r>
        <w:t>o </w:t>
      </w:r>
      <w:r w:rsidRPr="005914E1">
        <w:t>4 977 tis. eur na 4 300 tis. eur a zábezpekami vo výške 155</w:t>
      </w:r>
      <w:r>
        <w:t xml:space="preserve"> tis. eur. </w:t>
      </w:r>
      <w:r w:rsidR="00C173C5">
        <w:t>Celkovo d</w:t>
      </w:r>
      <w:r>
        <w:t>lh Exportno-importnej banky SR vzrástol oproti predchádzajúcemu roku o 579 tis. eur.</w:t>
      </w:r>
    </w:p>
    <w:p w14:paraId="0BFAE9FB" w14:textId="23CC0B62" w:rsidR="004567F7" w:rsidRPr="005914E1" w:rsidRDefault="004567F7" w:rsidP="004567F7">
      <w:r w:rsidRPr="005914E1">
        <w:rPr>
          <w:b/>
        </w:rPr>
        <w:t>Obchodné spoločnosti štátu</w:t>
      </w:r>
      <w:r w:rsidRPr="005914E1">
        <w:t xml:space="preserve"> (patriace do ústrednej správy) majú po štátnom dlhu najväčší podiel na konsolido</w:t>
      </w:r>
      <w:r>
        <w:t>vanom dlhu verejnej správy (1,4</w:t>
      </w:r>
      <w:r w:rsidRPr="005914E1">
        <w:t xml:space="preserve"> %). Do skupiny obchodných spoločností štátu sú zaradené spoločnosti </w:t>
      </w:r>
      <w:r w:rsidR="00C173C5">
        <w:t xml:space="preserve">ako napríklad </w:t>
      </w:r>
      <w:r w:rsidRPr="005914E1">
        <w:t>MH Manažment, a. s., MH Invest, s. r. o., MH Invest II, s. r. o., Jadrová a</w:t>
      </w:r>
      <w:r w:rsidR="005D5A2D">
        <w:t> </w:t>
      </w:r>
      <w:r w:rsidRPr="005914E1">
        <w:t>vyraďovacia spoločnosť, a. s., Železnice Slovenskej republiky, Železničná spoločnosť,</w:t>
      </w:r>
      <w:r w:rsidR="00144775">
        <w:t xml:space="preserve"> </w:t>
      </w:r>
      <w:r w:rsidRPr="005914E1">
        <w:t>a.</w:t>
      </w:r>
      <w:r w:rsidR="00144775">
        <w:t xml:space="preserve"> </w:t>
      </w:r>
      <w:r w:rsidRPr="005914E1">
        <w:t>s. a</w:t>
      </w:r>
      <w:r w:rsidR="005D5A2D">
        <w:t> </w:t>
      </w:r>
      <w:r w:rsidRPr="005914E1">
        <w:t>Národná diaľničná spoločnosť, a. s.</w:t>
      </w:r>
    </w:p>
    <w:p w14:paraId="33EEF18A" w14:textId="12BF3EB4" w:rsidR="004567F7" w:rsidRPr="003A6A05" w:rsidRDefault="004567F7" w:rsidP="004567F7">
      <w:r w:rsidRPr="003A6A05">
        <w:t xml:space="preserve">Dlh </w:t>
      </w:r>
      <w:r w:rsidRPr="003A6A05">
        <w:rPr>
          <w:b/>
        </w:rPr>
        <w:t>Železničnej spoločnosti Slovensko, a. s. (ŽSSK)</w:t>
      </w:r>
      <w:r w:rsidRPr="003A6A05">
        <w:t>, ktorý dosiahol v roku 201</w:t>
      </w:r>
      <w:r>
        <w:t>8</w:t>
      </w:r>
      <w:r w:rsidRPr="003A6A05">
        <w:t xml:space="preserve"> hodnotu </w:t>
      </w:r>
      <w:r>
        <w:t>386</w:t>
      </w:r>
      <w:r w:rsidRPr="003A6A05">
        <w:t> </w:t>
      </w:r>
      <w:r>
        <w:t>355</w:t>
      </w:r>
      <w:r w:rsidRPr="003A6A05">
        <w:t> tis. eur, medziročne vzrástol o</w:t>
      </w:r>
      <w:r>
        <w:t> 34 484</w:t>
      </w:r>
      <w:r w:rsidRPr="003A6A05">
        <w:t xml:space="preserve"> tis. eur</w:t>
      </w:r>
      <w:r>
        <w:t xml:space="preserve"> z dôvodu vyššieho čerpania úverov.</w:t>
      </w:r>
      <w:r w:rsidRPr="003A6A05">
        <w:t xml:space="preserve"> Dlh ŽSSK tvor</w:t>
      </w:r>
      <w:r>
        <w:t>ia v prevažnej miere tuzemské</w:t>
      </w:r>
      <w:r w:rsidRPr="003A6A05">
        <w:t xml:space="preserve"> bankové úvery vo výške </w:t>
      </w:r>
      <w:r>
        <w:t>361</w:t>
      </w:r>
      <w:r w:rsidRPr="003A6A05">
        <w:t> </w:t>
      </w:r>
      <w:r>
        <w:t>950</w:t>
      </w:r>
      <w:r w:rsidRPr="003A6A05">
        <w:t xml:space="preserve"> tis. eur, dlhodobé finančné výpomoci od medzinárodnej spoločnosti EUROFIMA, ktorých výška sa prostredníctvom splátok postupne zníži</w:t>
      </w:r>
      <w:r w:rsidR="00665CC5">
        <w:t xml:space="preserve">la na hodnotu 24 106 tis. eur a </w:t>
      </w:r>
      <w:r w:rsidRPr="003A6A05">
        <w:t xml:space="preserve">krátkodobé zábezpeky v hodnote </w:t>
      </w:r>
      <w:r>
        <w:t>299</w:t>
      </w:r>
      <w:r w:rsidRPr="003A6A05">
        <w:t xml:space="preserve"> tis. eur.</w:t>
      </w:r>
    </w:p>
    <w:p w14:paraId="70B50D2D" w14:textId="001946D6" w:rsidR="004567F7" w:rsidRPr="00EB6CFC" w:rsidRDefault="004567F7" w:rsidP="004567F7">
      <w:r w:rsidRPr="00EB6CFC">
        <w:t xml:space="preserve">Vývoj dlhu </w:t>
      </w:r>
      <w:r w:rsidRPr="00EB6CFC">
        <w:rPr>
          <w:b/>
        </w:rPr>
        <w:t>Národnej diaľničnej spoločnosti, a. s.</w:t>
      </w:r>
      <w:r w:rsidRPr="00EB6CFC">
        <w:t xml:space="preserve"> mal pozitívny vplyv na maastrichtský dlh verejnej správy. Medziročný pokles dlhu o</w:t>
      </w:r>
      <w:r>
        <w:t> 37 578</w:t>
      </w:r>
      <w:r w:rsidRPr="00EB6CFC">
        <w:t xml:space="preserve"> tis. eur na úroveň </w:t>
      </w:r>
      <w:r>
        <w:t>150</w:t>
      </w:r>
      <w:r w:rsidR="00665CC5">
        <w:t> </w:t>
      </w:r>
      <w:r>
        <w:t>801</w:t>
      </w:r>
      <w:r w:rsidR="00665CC5">
        <w:t> </w:t>
      </w:r>
      <w:r w:rsidRPr="00EB6CFC">
        <w:t>tis.</w:t>
      </w:r>
      <w:r w:rsidR="00665CC5">
        <w:t> </w:t>
      </w:r>
      <w:r w:rsidRPr="00EB6CFC">
        <w:t xml:space="preserve">eur bol spôsobený splácaním bankových úverov, ktoré tvoria podstatnú časť dlhu tohto subjektu. Dosiahli výšku </w:t>
      </w:r>
      <w:r>
        <w:t>148</w:t>
      </w:r>
      <w:r w:rsidRPr="00EB6CFC">
        <w:t> </w:t>
      </w:r>
      <w:r>
        <w:t>711</w:t>
      </w:r>
      <w:r w:rsidRPr="00EB6CFC">
        <w:t xml:space="preserve"> tis. eur. Zvyšných </w:t>
      </w:r>
      <w:r>
        <w:t>2 090 </w:t>
      </w:r>
      <w:r w:rsidRPr="00EB6CFC">
        <w:t>tis. eur pripadá na krátkodobé zábezpeky.</w:t>
      </w:r>
    </w:p>
    <w:p w14:paraId="6CC77394" w14:textId="74A7055A" w:rsidR="004567F7" w:rsidRPr="00EB6CFC" w:rsidRDefault="004567F7" w:rsidP="004567F7">
      <w:pPr>
        <w:rPr>
          <w:b/>
        </w:rPr>
      </w:pPr>
      <w:r w:rsidRPr="00EB6CFC">
        <w:t xml:space="preserve">Dlh </w:t>
      </w:r>
      <w:r w:rsidRPr="00EB6CFC">
        <w:rPr>
          <w:b/>
        </w:rPr>
        <w:t xml:space="preserve">Železníc Slovenskej republiky (ŽSR) </w:t>
      </w:r>
      <w:r w:rsidRPr="00EB6CFC">
        <w:t>dosiahol v roku 201</w:t>
      </w:r>
      <w:r>
        <w:t>8</w:t>
      </w:r>
      <w:r w:rsidRPr="00EB6CFC">
        <w:t xml:space="preserve"> hodnotu 63</w:t>
      </w:r>
      <w:r w:rsidR="00665CC5">
        <w:t> </w:t>
      </w:r>
      <w:r>
        <w:t>581</w:t>
      </w:r>
      <w:r w:rsidR="00665CC5">
        <w:t> </w:t>
      </w:r>
      <w:r w:rsidRPr="00EB6CFC">
        <w:t>tis.</w:t>
      </w:r>
      <w:r w:rsidR="00665CC5">
        <w:t> </w:t>
      </w:r>
      <w:r w:rsidRPr="00EB6CFC">
        <w:t>eur, čo je o </w:t>
      </w:r>
      <w:r>
        <w:t>198</w:t>
      </w:r>
      <w:r w:rsidRPr="00EB6CFC">
        <w:t> tis. eur viac ako v roku 201</w:t>
      </w:r>
      <w:r>
        <w:t>7</w:t>
      </w:r>
      <w:r w:rsidRPr="00EB6CFC">
        <w:t>. Tvoria ho prevažne dlhodobé bankové úvery od tuzemských bánk vo výške 62</w:t>
      </w:r>
      <w:r>
        <w:t> </w:t>
      </w:r>
      <w:r w:rsidRPr="00EB6CFC">
        <w:t>74</w:t>
      </w:r>
      <w:r>
        <w:t>1 </w:t>
      </w:r>
      <w:r w:rsidRPr="00EB6CFC">
        <w:t>tis. eur, ktorých výška sa oproti minu</w:t>
      </w:r>
      <w:r>
        <w:t>lému roku zmenila len minimálne a </w:t>
      </w:r>
      <w:r w:rsidRPr="00EB6CFC">
        <w:t xml:space="preserve">zábezpeky s dobou splatnosti </w:t>
      </w:r>
      <w:r>
        <w:t>do jedného</w:t>
      </w:r>
      <w:r w:rsidRPr="00EB6CFC">
        <w:t xml:space="preserve"> rok</w:t>
      </w:r>
      <w:r>
        <w:t>a</w:t>
      </w:r>
      <w:r w:rsidRPr="00EB6CFC">
        <w:t xml:space="preserve"> vo výške </w:t>
      </w:r>
      <w:r>
        <w:t>840</w:t>
      </w:r>
      <w:r w:rsidRPr="00EB6CFC">
        <w:t xml:space="preserve"> tis. eur.</w:t>
      </w:r>
    </w:p>
    <w:p w14:paraId="3AA9D4E6" w14:textId="77777777" w:rsidR="004567F7" w:rsidRPr="00391BEB" w:rsidRDefault="004567F7" w:rsidP="004567F7">
      <w:r w:rsidRPr="00391BEB">
        <w:t xml:space="preserve">Dlh spoločnosti </w:t>
      </w:r>
      <w:r w:rsidRPr="00391BEB">
        <w:rPr>
          <w:b/>
        </w:rPr>
        <w:t>MH Manažment, a. s.,</w:t>
      </w:r>
      <w:r w:rsidRPr="00391BEB">
        <w:t xml:space="preserve"> ktorý vznikol z emisie dlhopisov Fondu národného majetku</w:t>
      </w:r>
      <w:r>
        <w:t xml:space="preserve"> v roku 1996, predstavuje 15 214 tis. eur. Oproti roku 2017 sa dlh znížil o 2 </w:t>
      </w:r>
      <w:r w:rsidRPr="00391BEB">
        <w:t>tis.</w:t>
      </w:r>
      <w:r>
        <w:t> </w:t>
      </w:r>
      <w:r w:rsidRPr="00391BEB">
        <w:t>eur v dôsledku vyplatenia časti záväzkov vyplývajúcich dlhopisov.</w:t>
      </w:r>
    </w:p>
    <w:p w14:paraId="20595732" w14:textId="77777777" w:rsidR="004567F7" w:rsidRPr="005A30BB" w:rsidRDefault="004567F7" w:rsidP="004567F7">
      <w:r w:rsidRPr="005A30BB">
        <w:t>Dlh spoločnosti</w:t>
      </w:r>
      <w:r w:rsidRPr="005A30BB">
        <w:rPr>
          <w:b/>
        </w:rPr>
        <w:t xml:space="preserve"> MH Invest II, s. r. o</w:t>
      </w:r>
      <w:r w:rsidRPr="005A30BB">
        <w:t xml:space="preserve">. tvorí v prevažnej miere návratná finančná výpomoc poskytnutá zo štátneho rozpočtu vo výške 2 720 tis. eur, ktorá bola prevedená zo spoločnosti MH Invest, s. r. o. Krátkodobé zábezpeky v hodnote </w:t>
      </w:r>
      <w:r>
        <w:t>35</w:t>
      </w:r>
      <w:r w:rsidRPr="005A30BB">
        <w:t xml:space="preserve"> tis. eur predstavujú zvyšnú časť dlhu.</w:t>
      </w:r>
    </w:p>
    <w:p w14:paraId="1E72D243" w14:textId="01A2F28C" w:rsidR="004567F7" w:rsidRPr="005A30BB" w:rsidRDefault="004567F7" w:rsidP="004567F7">
      <w:r w:rsidRPr="005A30BB">
        <w:rPr>
          <w:b/>
        </w:rPr>
        <w:t xml:space="preserve">Jadrová a vyraďovacia spoločnosť, a. s., </w:t>
      </w:r>
      <w:r w:rsidRPr="005A30BB">
        <w:t>spôsobila zvýšenie maastrichtského dlhu verejnej správy o 1</w:t>
      </w:r>
      <w:r>
        <w:t> 339 </w:t>
      </w:r>
      <w:r w:rsidRPr="005A30BB">
        <w:t>tis.</w:t>
      </w:r>
      <w:r>
        <w:t> </w:t>
      </w:r>
      <w:r w:rsidRPr="005A30BB">
        <w:t>eur, z čoho 1 </w:t>
      </w:r>
      <w:r>
        <w:t>336</w:t>
      </w:r>
      <w:r w:rsidRPr="005A30BB">
        <w:t xml:space="preserve"> tis. eur predstavujú zábezpeky, zvyšné </w:t>
      </w:r>
      <w:r>
        <w:t>3 </w:t>
      </w:r>
      <w:r w:rsidR="00665CC5">
        <w:t>tis. </w:t>
      </w:r>
      <w:r w:rsidRPr="005A30BB">
        <w:t>eur tvorí bankový úver.</w:t>
      </w:r>
    </w:p>
    <w:p w14:paraId="35F9178D" w14:textId="77777777" w:rsidR="004567F7" w:rsidRPr="005A30BB" w:rsidRDefault="004567F7" w:rsidP="004567F7">
      <w:r w:rsidRPr="005A30BB">
        <w:t xml:space="preserve">Dlh </w:t>
      </w:r>
      <w:r w:rsidRPr="005A30BB">
        <w:rPr>
          <w:b/>
        </w:rPr>
        <w:t>verejných vysokých škôl</w:t>
      </w:r>
      <w:r w:rsidRPr="005A30BB">
        <w:t xml:space="preserve"> sa oproti predchádzajúcemu roku znížil o</w:t>
      </w:r>
      <w:r>
        <w:t> 2 140</w:t>
      </w:r>
      <w:r w:rsidRPr="005A30BB">
        <w:t xml:space="preserve"> tis. eur. Z celkovej výšky </w:t>
      </w:r>
      <w:r>
        <w:t>5 203</w:t>
      </w:r>
      <w:r w:rsidRPr="005A30BB">
        <w:t xml:space="preserve"> tis. eur, </w:t>
      </w:r>
      <w:r>
        <w:t>1 631 tis. </w:t>
      </w:r>
      <w:r w:rsidRPr="005A30BB">
        <w:t xml:space="preserve">eur pripadá na bankové úvery poskytnuté tuzemskými bankami, </w:t>
      </w:r>
      <w:r>
        <w:t>1 004</w:t>
      </w:r>
      <w:r w:rsidRPr="005A30BB">
        <w:t xml:space="preserve"> tis. eur tvoria prevažne krátkodobé zábezpeky, </w:t>
      </w:r>
      <w:r>
        <w:t>68 </w:t>
      </w:r>
      <w:r w:rsidRPr="005A30BB">
        <w:t>tis.</w:t>
      </w:r>
      <w:r>
        <w:t> </w:t>
      </w:r>
      <w:r w:rsidRPr="005A30BB">
        <w:t>eur predstavuje dlhodobý finančný prenájom a</w:t>
      </w:r>
      <w:r>
        <w:t xml:space="preserve"> 2 500</w:t>
      </w:r>
      <w:r w:rsidRPr="005A30BB">
        <w:t> tis. eur bolo poskytnutých zo štátneho rozpočtu ako návratná finančná výpomoc.</w:t>
      </w:r>
    </w:p>
    <w:p w14:paraId="30095371" w14:textId="396EF34C" w:rsidR="004567F7" w:rsidRPr="005A30BB" w:rsidRDefault="004567F7" w:rsidP="004567F7">
      <w:r w:rsidRPr="000912E5">
        <w:t xml:space="preserve">Dlh </w:t>
      </w:r>
      <w:r w:rsidRPr="000912E5">
        <w:rPr>
          <w:b/>
        </w:rPr>
        <w:t>ústredných zdravotníckych zariadení</w:t>
      </w:r>
      <w:r w:rsidRPr="000912E5">
        <w:t xml:space="preserve"> medziročne vzrástol o 36 </w:t>
      </w:r>
      <w:r w:rsidR="005D5A2D">
        <w:t>016</w:t>
      </w:r>
      <w:r w:rsidRPr="000912E5">
        <w:t xml:space="preserve"> tis. eur. Dlh vo výške 58 708 tis. eur z rozhodujúcej časti tvoria </w:t>
      </w:r>
      <w:r>
        <w:t xml:space="preserve">pôžičky od nebankových subjektov vo výške 32 136 tis. eur. Ich stav oproti minulému roku vrástol o 31 997 tis. eur, čo bolo spôsobené vykázaním </w:t>
      </w:r>
      <w:r w:rsidR="00C33790">
        <w:t xml:space="preserve">pôvodných </w:t>
      </w:r>
      <w:r>
        <w:t xml:space="preserve">záväzkov voči dodávateľom </w:t>
      </w:r>
      <w:r w:rsidR="00C33790">
        <w:t>v hodnote 32 103 tis. eur ako ostatné pôžičky voči finančným spoločnostiam, ktoré odkúpili pohľadávky voči zdravotníckym zariadeniam</w:t>
      </w:r>
      <w:r>
        <w:t>. Dlh ústredných zdravotníckych zariadení ďalej tvoria bankové úvery, k</w:t>
      </w:r>
      <w:r w:rsidRPr="000912E5">
        <w:t xml:space="preserve">torých stav medziročne </w:t>
      </w:r>
      <w:r>
        <w:t xml:space="preserve">vzrástol </w:t>
      </w:r>
      <w:r w:rsidRPr="000912E5">
        <w:t>o</w:t>
      </w:r>
      <w:r>
        <w:t> 4 121 </w:t>
      </w:r>
      <w:r w:rsidRPr="000912E5">
        <w:t xml:space="preserve">tis. eur na úroveň </w:t>
      </w:r>
      <w:r>
        <w:t>22 341 tis. eur,</w:t>
      </w:r>
      <w:r w:rsidRPr="000912E5">
        <w:t xml:space="preserve"> zábezpeky vo výške 2 </w:t>
      </w:r>
      <w:r>
        <w:t>425</w:t>
      </w:r>
      <w:r w:rsidRPr="000912E5">
        <w:t> tis. eur a návratné finančné výpomoci, ktorých výška sa prostredníctvom splácania znížila na súčasných 1</w:t>
      </w:r>
      <w:r>
        <w:t> 756 </w:t>
      </w:r>
      <w:r w:rsidRPr="000912E5">
        <w:t>tis.</w:t>
      </w:r>
      <w:r>
        <w:t> </w:t>
      </w:r>
      <w:r w:rsidRPr="000912E5">
        <w:t xml:space="preserve">eur. Finančný lízing dosiahol výšku </w:t>
      </w:r>
      <w:r>
        <w:t>50 tis. eur.</w:t>
      </w:r>
    </w:p>
    <w:p w14:paraId="70D2DA02" w14:textId="26D0B90F" w:rsidR="004567F7" w:rsidRPr="008266E7" w:rsidRDefault="004567F7" w:rsidP="004567F7">
      <w:r w:rsidRPr="008266E7">
        <w:rPr>
          <w:b/>
        </w:rPr>
        <w:t xml:space="preserve">Ostatné </w:t>
      </w:r>
      <w:r w:rsidRPr="00A265D6">
        <w:rPr>
          <w:b/>
        </w:rPr>
        <w:t xml:space="preserve">subjekty </w:t>
      </w:r>
      <w:r w:rsidR="00662B40" w:rsidRPr="00A265D6">
        <w:rPr>
          <w:b/>
        </w:rPr>
        <w:t>verejnej</w:t>
      </w:r>
      <w:r w:rsidRPr="00A265D6">
        <w:rPr>
          <w:b/>
        </w:rPr>
        <w:t xml:space="preserve"> správy</w:t>
      </w:r>
      <w:r w:rsidRPr="008266E7">
        <w:t xml:space="preserve"> vykazujú dlh vo výške </w:t>
      </w:r>
      <w:r>
        <w:t>412</w:t>
      </w:r>
      <w:r w:rsidRPr="008266E7">
        <w:t> </w:t>
      </w:r>
      <w:r>
        <w:t>248</w:t>
      </w:r>
      <w:r w:rsidRPr="008266E7">
        <w:t> tis. eur, pričom takmer celú hodnot</w:t>
      </w:r>
      <w:r w:rsidR="009C703E">
        <w:t>u</w:t>
      </w:r>
      <w:r w:rsidRPr="008266E7">
        <w:t xml:space="preserve"> tvorí dlh </w:t>
      </w:r>
      <w:r w:rsidRPr="008266E7">
        <w:rPr>
          <w:b/>
        </w:rPr>
        <w:t xml:space="preserve">Agentúry pre núdzové zásoby ropy a ropných výrobkov </w:t>
      </w:r>
      <w:r w:rsidRPr="008266E7">
        <w:t>v podobe návratnej finančnej výpomoci zo štátn</w:t>
      </w:r>
      <w:r>
        <w:t>ych finančných aktív vo výške 41</w:t>
      </w:r>
      <w:r w:rsidRPr="008266E7">
        <w:t>0 000 tis. eur. Jej úroveň oproti stavu v roku 201</w:t>
      </w:r>
      <w:r>
        <w:t>7 klesla o 5</w:t>
      </w:r>
      <w:r w:rsidRPr="008266E7">
        <w:t>0 000 tis. eur, z dôvodu úhrady splátky. Finančná výpomoc je na úrovni celej verejnej správy predmetom konsolidácie.</w:t>
      </w:r>
    </w:p>
    <w:p w14:paraId="64027543" w14:textId="77777777" w:rsidR="004567F7" w:rsidRDefault="004567F7" w:rsidP="00E65D14">
      <w:r w:rsidRPr="00E97162">
        <w:t xml:space="preserve">Dlh </w:t>
      </w:r>
      <w:r w:rsidRPr="00E97162">
        <w:rPr>
          <w:b/>
        </w:rPr>
        <w:t>obcí</w:t>
      </w:r>
      <w:r>
        <w:rPr>
          <w:b/>
        </w:rPr>
        <w:t xml:space="preserve"> </w:t>
      </w:r>
      <w:r w:rsidRPr="00E97162">
        <w:t>(vrátane ich rozpočtových organizácií)</w:t>
      </w:r>
      <w:r w:rsidRPr="00E97162">
        <w:rPr>
          <w:b/>
        </w:rPr>
        <w:t xml:space="preserve"> </w:t>
      </w:r>
      <w:r w:rsidRPr="00E97162">
        <w:t>dosiahol v roku 201</w:t>
      </w:r>
      <w:r>
        <w:t>8</w:t>
      </w:r>
      <w:r w:rsidRPr="00E97162">
        <w:t xml:space="preserve"> výšku 1</w:t>
      </w:r>
      <w:r>
        <w:t> 455 000 </w:t>
      </w:r>
      <w:r w:rsidRPr="00E97162">
        <w:t>tis.</w:t>
      </w:r>
      <w:r>
        <w:t xml:space="preserve"> eur. Oproti </w:t>
      </w:r>
      <w:r w:rsidRPr="00E97162">
        <w:t>stavu v roku 201</w:t>
      </w:r>
      <w:r>
        <w:t>7</w:t>
      </w:r>
      <w:r w:rsidRPr="00E97162">
        <w:t xml:space="preserve"> bol vyšší o </w:t>
      </w:r>
      <w:r>
        <w:t>92</w:t>
      </w:r>
      <w:r w:rsidRPr="00E97162">
        <w:t xml:space="preserve"> </w:t>
      </w:r>
      <w:r>
        <w:t>021</w:t>
      </w:r>
      <w:r w:rsidRPr="00E97162">
        <w:t> tis. eur. Rozhodujúcu časť d</w:t>
      </w:r>
      <w:r>
        <w:t xml:space="preserve">lhu obcí tvoria bankové úvery a </w:t>
      </w:r>
      <w:r w:rsidRPr="00E97162">
        <w:t>iné pôžičky vo výške 1</w:t>
      </w:r>
      <w:r>
        <w:t> 452 161 tis. </w:t>
      </w:r>
      <w:r w:rsidRPr="00E97162">
        <w:t>eur, pričom</w:t>
      </w:r>
      <w:r>
        <w:t xml:space="preserve"> 728 099 tis. </w:t>
      </w:r>
      <w:r w:rsidRPr="00E97162">
        <w:t>eur poskyto</w:t>
      </w:r>
      <w:r>
        <w:t xml:space="preserve">l Štátny fond rozvoja bývania a </w:t>
      </w:r>
      <w:r w:rsidRPr="00E97162">
        <w:t>1 </w:t>
      </w:r>
      <w:r>
        <w:t>111</w:t>
      </w:r>
      <w:r w:rsidRPr="00E97162">
        <w:t> tis. eur Environmentálny fond. Mestám Košice (</w:t>
      </w:r>
      <w:r>
        <w:t>31 500 tis. </w:t>
      </w:r>
      <w:r w:rsidRPr="00E97162">
        <w:t>eur), Bratislava</w:t>
      </w:r>
      <w:r>
        <w:t xml:space="preserve"> (10 000 tis. </w:t>
      </w:r>
      <w:r w:rsidRPr="00E97162">
        <w:t xml:space="preserve">eur), </w:t>
      </w:r>
      <w:r>
        <w:t xml:space="preserve">Bratislava časť Staré Mesto (2 000 tis. eur), </w:t>
      </w:r>
      <w:r w:rsidRPr="00E97162">
        <w:t>Martin</w:t>
      </w:r>
      <w:r>
        <w:t xml:space="preserve"> (2 00</w:t>
      </w:r>
      <w:r w:rsidRPr="00E97162">
        <w:t>0 tis.</w:t>
      </w:r>
      <w:r>
        <w:t> eur), Ľubotice (1</w:t>
      </w:r>
      <w:r w:rsidRPr="00E97162">
        <w:t>5</w:t>
      </w:r>
      <w:r>
        <w:t> </w:t>
      </w:r>
      <w:r w:rsidRPr="00E97162">
        <w:t>tis.</w:t>
      </w:r>
      <w:r>
        <w:t> </w:t>
      </w:r>
      <w:r w:rsidRPr="00E97162">
        <w:t>eur)</w:t>
      </w:r>
      <w:r>
        <w:t xml:space="preserve"> a Bardejov (800 tis. eur)</w:t>
      </w:r>
      <w:r w:rsidRPr="00E97162">
        <w:t xml:space="preserve"> boli v predchádzajúcich rokoch poskytnuté návratné finančné výpomoci zo štátnych finančných aktív. Úvery poskytnuté zo Štátneho fondu rozvoja býva</w:t>
      </w:r>
      <w:r>
        <w:t xml:space="preserve">nia, z Environmentálneho fondu, </w:t>
      </w:r>
      <w:r w:rsidRPr="00E97162">
        <w:t>zo štátneho rozpočtu a</w:t>
      </w:r>
      <w:r>
        <w:t xml:space="preserve"> </w:t>
      </w:r>
      <w:r w:rsidRPr="00E97162">
        <w:t>návratné finančné výpomoci podliehajú konsolidácii. Z hľadiska splatnosti má dlh obcí prevažne dlhodobý charakter (9</w:t>
      </w:r>
      <w:r>
        <w:t>7</w:t>
      </w:r>
      <w:r w:rsidRPr="00E97162">
        <w:t>,</w:t>
      </w:r>
      <w:r>
        <w:t>1 </w:t>
      </w:r>
      <w:r w:rsidRPr="00E97162">
        <w:t>%) a prevažná časť dlhu obcí je v rukách domácich veriteľov (9</w:t>
      </w:r>
      <w:r>
        <w:t>6</w:t>
      </w:r>
      <w:r w:rsidRPr="00E97162">
        <w:t>,</w:t>
      </w:r>
      <w:r>
        <w:t>3</w:t>
      </w:r>
      <w:r w:rsidRPr="00E97162">
        <w:t xml:space="preserve"> %) v podobe bankových inštitúcií.</w:t>
      </w:r>
    </w:p>
    <w:tbl>
      <w:tblPr>
        <w:tblW w:w="5000" w:type="pct"/>
        <w:tblLayout w:type="fixed"/>
        <w:tblCellMar>
          <w:left w:w="70" w:type="dxa"/>
          <w:right w:w="70" w:type="dxa"/>
        </w:tblCellMar>
        <w:tblLook w:val="04A0" w:firstRow="1" w:lastRow="0" w:firstColumn="1" w:lastColumn="0" w:noHBand="0" w:noVBand="1"/>
      </w:tblPr>
      <w:tblGrid>
        <w:gridCol w:w="4702"/>
        <w:gridCol w:w="1104"/>
        <w:gridCol w:w="993"/>
        <w:gridCol w:w="993"/>
        <w:gridCol w:w="711"/>
      </w:tblGrid>
      <w:tr w:rsidR="00BA12C0" w:rsidRPr="007E0108" w14:paraId="36A60FE0" w14:textId="77777777" w:rsidTr="007E0108">
        <w:trPr>
          <w:trHeight w:val="300"/>
        </w:trPr>
        <w:tc>
          <w:tcPr>
            <w:tcW w:w="5000" w:type="pct"/>
            <w:gridSpan w:val="5"/>
            <w:tcBorders>
              <w:top w:val="single" w:sz="4" w:space="0" w:color="auto"/>
              <w:left w:val="nil"/>
              <w:bottom w:val="single" w:sz="4" w:space="0" w:color="auto"/>
              <w:right w:val="nil"/>
            </w:tcBorders>
            <w:shd w:val="clear" w:color="000000" w:fill="000000"/>
            <w:noWrap/>
            <w:vAlign w:val="center"/>
            <w:hideMark/>
          </w:tcPr>
          <w:p w14:paraId="7B9C4F95" w14:textId="261F0843" w:rsidR="00BA12C0" w:rsidRPr="007E0108" w:rsidRDefault="00BA12C0" w:rsidP="00BA12C0">
            <w:pPr>
              <w:spacing w:after="0" w:line="240" w:lineRule="auto"/>
              <w:jc w:val="left"/>
              <w:rPr>
                <w:rFonts w:eastAsia="Times New Roman" w:cs="Times New Roman"/>
                <w:b/>
                <w:bCs/>
                <w:color w:val="FFFFFF"/>
                <w:sz w:val="18"/>
                <w:szCs w:val="18"/>
                <w:lang w:eastAsia="sk-SK"/>
              </w:rPr>
            </w:pPr>
            <w:r w:rsidRPr="007E0108">
              <w:rPr>
                <w:rFonts w:eastAsia="Times New Roman" w:cs="Times New Roman"/>
                <w:b/>
                <w:bCs/>
                <w:color w:val="FFFFFF"/>
                <w:sz w:val="18"/>
                <w:szCs w:val="18"/>
                <w:lang w:eastAsia="sk-SK"/>
              </w:rPr>
              <w:t xml:space="preserve">Dlh obcí podľa dlhového nástroja                                                                                              </w:t>
            </w:r>
            <w:r w:rsidR="003A0A95">
              <w:rPr>
                <w:rFonts w:eastAsia="Times New Roman" w:cs="Times New Roman"/>
                <w:b/>
                <w:bCs/>
                <w:color w:val="FFFFFF"/>
                <w:sz w:val="18"/>
                <w:szCs w:val="18"/>
                <w:lang w:eastAsia="sk-SK"/>
              </w:rPr>
              <w:t xml:space="preserve">               </w:t>
            </w:r>
            <w:r w:rsidRPr="007E0108">
              <w:rPr>
                <w:rFonts w:eastAsia="Times New Roman" w:cs="Times New Roman"/>
                <w:b/>
                <w:bCs/>
                <w:color w:val="FFFFFF"/>
                <w:sz w:val="18"/>
                <w:szCs w:val="18"/>
                <w:lang w:eastAsia="sk-SK"/>
              </w:rPr>
              <w:t xml:space="preserve"> v tis. eur</w:t>
            </w:r>
          </w:p>
        </w:tc>
      </w:tr>
      <w:tr w:rsidR="004567F7" w:rsidRPr="007E0108" w14:paraId="0ACBA411" w14:textId="77777777" w:rsidTr="007E0108">
        <w:trPr>
          <w:trHeight w:val="300"/>
        </w:trPr>
        <w:tc>
          <w:tcPr>
            <w:tcW w:w="2765" w:type="pct"/>
            <w:tcBorders>
              <w:top w:val="single" w:sz="4" w:space="0" w:color="auto"/>
              <w:left w:val="nil"/>
              <w:bottom w:val="nil"/>
              <w:right w:val="nil"/>
            </w:tcBorders>
            <w:shd w:val="clear" w:color="000000" w:fill="BFBFBF"/>
            <w:vAlign w:val="center"/>
            <w:hideMark/>
          </w:tcPr>
          <w:p w14:paraId="1BBBCAE3" w14:textId="77777777" w:rsidR="004567F7" w:rsidRPr="007E0108" w:rsidRDefault="004567F7" w:rsidP="00144775">
            <w:pPr>
              <w:spacing w:after="0" w:line="240" w:lineRule="auto"/>
              <w:rPr>
                <w:rFonts w:eastAsia="Times New Roman" w:cs="Times New Roman"/>
                <w:b/>
                <w:bCs/>
                <w:sz w:val="18"/>
                <w:szCs w:val="18"/>
                <w:lang w:eastAsia="sk-SK"/>
              </w:rPr>
            </w:pPr>
            <w:r w:rsidRPr="007E0108">
              <w:rPr>
                <w:rFonts w:eastAsia="Times New Roman" w:cs="Times New Roman"/>
                <w:b/>
                <w:bCs/>
                <w:sz w:val="18"/>
                <w:szCs w:val="18"/>
                <w:lang w:eastAsia="sk-SK"/>
              </w:rPr>
              <w:t> </w:t>
            </w:r>
          </w:p>
        </w:tc>
        <w:tc>
          <w:tcPr>
            <w:tcW w:w="649" w:type="pct"/>
            <w:tcBorders>
              <w:top w:val="single" w:sz="4" w:space="0" w:color="auto"/>
              <w:left w:val="nil"/>
              <w:bottom w:val="nil"/>
              <w:right w:val="nil"/>
            </w:tcBorders>
            <w:shd w:val="clear" w:color="000000" w:fill="BFBFBF"/>
            <w:vAlign w:val="center"/>
            <w:hideMark/>
          </w:tcPr>
          <w:p w14:paraId="2C68973C" w14:textId="77777777" w:rsidR="007E0108" w:rsidRDefault="004567F7" w:rsidP="00144775">
            <w:pPr>
              <w:spacing w:after="0" w:line="240" w:lineRule="auto"/>
              <w:jc w:val="center"/>
              <w:rPr>
                <w:rFonts w:eastAsia="Times New Roman" w:cs="Times New Roman"/>
                <w:b/>
                <w:bCs/>
                <w:sz w:val="18"/>
                <w:szCs w:val="18"/>
                <w:lang w:eastAsia="sk-SK"/>
              </w:rPr>
            </w:pPr>
            <w:r w:rsidRPr="007E0108">
              <w:rPr>
                <w:rFonts w:eastAsia="Times New Roman" w:cs="Times New Roman"/>
                <w:b/>
                <w:bCs/>
                <w:sz w:val="18"/>
                <w:szCs w:val="18"/>
                <w:lang w:eastAsia="sk-SK"/>
              </w:rPr>
              <w:t xml:space="preserve">k </w:t>
            </w:r>
          </w:p>
          <w:p w14:paraId="0E631706" w14:textId="437EA42D" w:rsidR="004567F7" w:rsidRPr="007E0108" w:rsidRDefault="004567F7" w:rsidP="00144775">
            <w:pPr>
              <w:spacing w:after="0" w:line="240" w:lineRule="auto"/>
              <w:jc w:val="center"/>
              <w:rPr>
                <w:rFonts w:eastAsia="Times New Roman" w:cs="Times New Roman"/>
                <w:b/>
                <w:bCs/>
                <w:sz w:val="18"/>
                <w:szCs w:val="18"/>
                <w:lang w:eastAsia="sk-SK"/>
              </w:rPr>
            </w:pPr>
            <w:r w:rsidRPr="007E0108">
              <w:rPr>
                <w:rFonts w:eastAsia="Times New Roman" w:cs="Times New Roman"/>
                <w:b/>
                <w:bCs/>
                <w:sz w:val="18"/>
                <w:szCs w:val="18"/>
                <w:lang w:eastAsia="sk-SK"/>
              </w:rPr>
              <w:t>31.12.2016</w:t>
            </w:r>
          </w:p>
        </w:tc>
        <w:tc>
          <w:tcPr>
            <w:tcW w:w="584" w:type="pct"/>
            <w:tcBorders>
              <w:top w:val="single" w:sz="4" w:space="0" w:color="auto"/>
              <w:left w:val="nil"/>
              <w:bottom w:val="nil"/>
              <w:right w:val="nil"/>
            </w:tcBorders>
            <w:shd w:val="clear" w:color="000000" w:fill="BFBFBF"/>
            <w:vAlign w:val="center"/>
            <w:hideMark/>
          </w:tcPr>
          <w:p w14:paraId="0A76E945" w14:textId="77777777" w:rsidR="004567F7" w:rsidRPr="007E0108" w:rsidRDefault="004567F7" w:rsidP="00144775">
            <w:pPr>
              <w:spacing w:after="0" w:line="240" w:lineRule="auto"/>
              <w:jc w:val="center"/>
              <w:rPr>
                <w:rFonts w:eastAsia="Times New Roman" w:cs="Times New Roman"/>
                <w:b/>
                <w:bCs/>
                <w:sz w:val="18"/>
                <w:szCs w:val="18"/>
                <w:lang w:eastAsia="sk-SK"/>
              </w:rPr>
            </w:pPr>
            <w:r w:rsidRPr="007E0108">
              <w:rPr>
                <w:rFonts w:eastAsia="Times New Roman" w:cs="Times New Roman"/>
                <w:b/>
                <w:bCs/>
                <w:sz w:val="18"/>
                <w:szCs w:val="18"/>
                <w:lang w:eastAsia="sk-SK"/>
              </w:rPr>
              <w:t>k 31.12.2017</w:t>
            </w:r>
          </w:p>
        </w:tc>
        <w:tc>
          <w:tcPr>
            <w:tcW w:w="584" w:type="pct"/>
            <w:tcBorders>
              <w:top w:val="single" w:sz="4" w:space="0" w:color="auto"/>
              <w:left w:val="nil"/>
              <w:bottom w:val="nil"/>
              <w:right w:val="nil"/>
            </w:tcBorders>
            <w:shd w:val="clear" w:color="000000" w:fill="BFBFBF"/>
            <w:vAlign w:val="center"/>
            <w:hideMark/>
          </w:tcPr>
          <w:p w14:paraId="0EDFB65D" w14:textId="77777777" w:rsidR="004567F7" w:rsidRPr="007E0108" w:rsidRDefault="004567F7" w:rsidP="00144775">
            <w:pPr>
              <w:spacing w:after="0" w:line="240" w:lineRule="auto"/>
              <w:jc w:val="center"/>
              <w:rPr>
                <w:rFonts w:eastAsia="Times New Roman" w:cs="Times New Roman"/>
                <w:b/>
                <w:bCs/>
                <w:sz w:val="18"/>
                <w:szCs w:val="18"/>
                <w:lang w:eastAsia="sk-SK"/>
              </w:rPr>
            </w:pPr>
            <w:r w:rsidRPr="007E0108">
              <w:rPr>
                <w:rFonts w:eastAsia="Times New Roman" w:cs="Times New Roman"/>
                <w:b/>
                <w:bCs/>
                <w:sz w:val="18"/>
                <w:szCs w:val="18"/>
                <w:lang w:eastAsia="sk-SK"/>
              </w:rPr>
              <w:t>k 31.12.2018</w:t>
            </w:r>
          </w:p>
        </w:tc>
        <w:tc>
          <w:tcPr>
            <w:tcW w:w="417" w:type="pct"/>
            <w:tcBorders>
              <w:top w:val="single" w:sz="4" w:space="0" w:color="auto"/>
              <w:left w:val="nil"/>
              <w:bottom w:val="nil"/>
              <w:right w:val="nil"/>
            </w:tcBorders>
            <w:shd w:val="clear" w:color="000000" w:fill="BFBFBF"/>
            <w:vAlign w:val="center"/>
            <w:hideMark/>
          </w:tcPr>
          <w:p w14:paraId="3763CD66" w14:textId="77777777" w:rsidR="004567F7" w:rsidRPr="007E0108" w:rsidRDefault="004567F7" w:rsidP="00144775">
            <w:pPr>
              <w:spacing w:after="0" w:line="240" w:lineRule="auto"/>
              <w:jc w:val="center"/>
              <w:rPr>
                <w:rFonts w:eastAsia="Times New Roman" w:cs="Times New Roman"/>
                <w:b/>
                <w:bCs/>
                <w:sz w:val="18"/>
                <w:szCs w:val="18"/>
                <w:lang w:eastAsia="sk-SK"/>
              </w:rPr>
            </w:pPr>
            <w:r w:rsidRPr="007E0108">
              <w:rPr>
                <w:rFonts w:eastAsia="Times New Roman" w:cs="Times New Roman"/>
                <w:b/>
                <w:bCs/>
                <w:sz w:val="18"/>
                <w:szCs w:val="18"/>
                <w:lang w:eastAsia="sk-SK"/>
              </w:rPr>
              <w:t>Zmena</w:t>
            </w:r>
          </w:p>
        </w:tc>
      </w:tr>
      <w:tr w:rsidR="004567F7" w:rsidRPr="007E0108" w14:paraId="0A2E2273" w14:textId="77777777" w:rsidTr="007E0108">
        <w:trPr>
          <w:trHeight w:val="300"/>
        </w:trPr>
        <w:tc>
          <w:tcPr>
            <w:tcW w:w="2765" w:type="pct"/>
            <w:tcBorders>
              <w:top w:val="nil"/>
              <w:left w:val="nil"/>
              <w:bottom w:val="single" w:sz="4" w:space="0" w:color="auto"/>
              <w:right w:val="nil"/>
            </w:tcBorders>
            <w:shd w:val="clear" w:color="000000" w:fill="BFBFBF"/>
            <w:vAlign w:val="center"/>
            <w:hideMark/>
          </w:tcPr>
          <w:p w14:paraId="4161C3C4" w14:textId="77777777" w:rsidR="004567F7" w:rsidRPr="007E0108" w:rsidRDefault="004567F7" w:rsidP="00144775">
            <w:pPr>
              <w:spacing w:after="0" w:line="240" w:lineRule="auto"/>
              <w:rPr>
                <w:rFonts w:eastAsia="Times New Roman" w:cs="Times New Roman"/>
                <w:b/>
                <w:bCs/>
                <w:sz w:val="18"/>
                <w:szCs w:val="18"/>
                <w:lang w:eastAsia="sk-SK"/>
              </w:rPr>
            </w:pPr>
            <w:r w:rsidRPr="007E0108">
              <w:rPr>
                <w:rFonts w:eastAsia="Times New Roman" w:cs="Times New Roman"/>
                <w:b/>
                <w:bCs/>
                <w:sz w:val="18"/>
                <w:szCs w:val="18"/>
                <w:lang w:eastAsia="sk-SK"/>
              </w:rPr>
              <w:t> </w:t>
            </w:r>
          </w:p>
        </w:tc>
        <w:tc>
          <w:tcPr>
            <w:tcW w:w="649" w:type="pct"/>
            <w:tcBorders>
              <w:top w:val="nil"/>
              <w:left w:val="nil"/>
              <w:bottom w:val="single" w:sz="4" w:space="0" w:color="auto"/>
              <w:right w:val="nil"/>
            </w:tcBorders>
            <w:shd w:val="clear" w:color="000000" w:fill="BFBFBF"/>
            <w:vAlign w:val="center"/>
            <w:hideMark/>
          </w:tcPr>
          <w:p w14:paraId="5EA01AC1" w14:textId="77777777" w:rsidR="004567F7" w:rsidRPr="007E0108" w:rsidRDefault="004567F7" w:rsidP="00144775">
            <w:pPr>
              <w:spacing w:after="0" w:line="240" w:lineRule="auto"/>
              <w:jc w:val="center"/>
              <w:rPr>
                <w:rFonts w:eastAsia="Times New Roman" w:cs="Times New Roman"/>
                <w:b/>
                <w:bCs/>
                <w:sz w:val="18"/>
                <w:szCs w:val="18"/>
                <w:lang w:eastAsia="sk-SK"/>
              </w:rPr>
            </w:pPr>
            <w:r w:rsidRPr="007E0108">
              <w:rPr>
                <w:rFonts w:eastAsia="Times New Roman" w:cs="Times New Roman"/>
                <w:b/>
                <w:bCs/>
                <w:sz w:val="18"/>
                <w:szCs w:val="18"/>
                <w:lang w:eastAsia="sk-SK"/>
              </w:rPr>
              <w:t>1</w:t>
            </w:r>
          </w:p>
        </w:tc>
        <w:tc>
          <w:tcPr>
            <w:tcW w:w="584" w:type="pct"/>
            <w:tcBorders>
              <w:top w:val="nil"/>
              <w:left w:val="nil"/>
              <w:bottom w:val="single" w:sz="4" w:space="0" w:color="auto"/>
              <w:right w:val="nil"/>
            </w:tcBorders>
            <w:shd w:val="clear" w:color="000000" w:fill="BFBFBF"/>
            <w:vAlign w:val="center"/>
            <w:hideMark/>
          </w:tcPr>
          <w:p w14:paraId="3F2F552D" w14:textId="77777777" w:rsidR="004567F7" w:rsidRPr="007E0108" w:rsidRDefault="004567F7" w:rsidP="00144775">
            <w:pPr>
              <w:spacing w:after="0" w:line="240" w:lineRule="auto"/>
              <w:jc w:val="center"/>
              <w:rPr>
                <w:rFonts w:eastAsia="Times New Roman" w:cs="Times New Roman"/>
                <w:b/>
                <w:bCs/>
                <w:sz w:val="18"/>
                <w:szCs w:val="18"/>
                <w:lang w:eastAsia="sk-SK"/>
              </w:rPr>
            </w:pPr>
            <w:r w:rsidRPr="007E0108">
              <w:rPr>
                <w:rFonts w:eastAsia="Times New Roman" w:cs="Times New Roman"/>
                <w:b/>
                <w:bCs/>
                <w:sz w:val="18"/>
                <w:szCs w:val="18"/>
                <w:lang w:eastAsia="sk-SK"/>
              </w:rPr>
              <w:t>2</w:t>
            </w:r>
          </w:p>
        </w:tc>
        <w:tc>
          <w:tcPr>
            <w:tcW w:w="584" w:type="pct"/>
            <w:tcBorders>
              <w:top w:val="nil"/>
              <w:left w:val="nil"/>
              <w:bottom w:val="single" w:sz="4" w:space="0" w:color="auto"/>
              <w:right w:val="nil"/>
            </w:tcBorders>
            <w:shd w:val="clear" w:color="000000" w:fill="BFBFBF"/>
            <w:vAlign w:val="center"/>
            <w:hideMark/>
          </w:tcPr>
          <w:p w14:paraId="15E36AE1" w14:textId="77777777" w:rsidR="004567F7" w:rsidRPr="007E0108" w:rsidRDefault="004567F7" w:rsidP="00144775">
            <w:pPr>
              <w:spacing w:after="0" w:line="240" w:lineRule="auto"/>
              <w:jc w:val="center"/>
              <w:rPr>
                <w:rFonts w:eastAsia="Times New Roman" w:cs="Times New Roman"/>
                <w:b/>
                <w:bCs/>
                <w:sz w:val="18"/>
                <w:szCs w:val="18"/>
                <w:lang w:eastAsia="sk-SK"/>
              </w:rPr>
            </w:pPr>
            <w:r w:rsidRPr="007E0108">
              <w:rPr>
                <w:rFonts w:eastAsia="Times New Roman" w:cs="Times New Roman"/>
                <w:b/>
                <w:bCs/>
                <w:sz w:val="18"/>
                <w:szCs w:val="18"/>
                <w:lang w:eastAsia="sk-SK"/>
              </w:rPr>
              <w:t>3</w:t>
            </w:r>
          </w:p>
        </w:tc>
        <w:tc>
          <w:tcPr>
            <w:tcW w:w="417" w:type="pct"/>
            <w:tcBorders>
              <w:top w:val="nil"/>
              <w:left w:val="nil"/>
              <w:bottom w:val="single" w:sz="4" w:space="0" w:color="auto"/>
              <w:right w:val="nil"/>
            </w:tcBorders>
            <w:shd w:val="clear" w:color="000000" w:fill="BFBFBF"/>
            <w:vAlign w:val="center"/>
            <w:hideMark/>
          </w:tcPr>
          <w:p w14:paraId="5087F0CF" w14:textId="77777777" w:rsidR="004567F7" w:rsidRPr="007E0108" w:rsidRDefault="004567F7" w:rsidP="00144775">
            <w:pPr>
              <w:spacing w:after="0" w:line="240" w:lineRule="auto"/>
              <w:jc w:val="center"/>
              <w:rPr>
                <w:rFonts w:eastAsia="Times New Roman" w:cs="Times New Roman"/>
                <w:b/>
                <w:bCs/>
                <w:sz w:val="18"/>
                <w:szCs w:val="18"/>
                <w:lang w:eastAsia="sk-SK"/>
              </w:rPr>
            </w:pPr>
            <w:r w:rsidRPr="007E0108">
              <w:rPr>
                <w:rFonts w:eastAsia="Times New Roman" w:cs="Times New Roman"/>
                <w:b/>
                <w:bCs/>
                <w:sz w:val="18"/>
                <w:szCs w:val="18"/>
                <w:lang w:eastAsia="sk-SK"/>
              </w:rPr>
              <w:t>4=(3-2)</w:t>
            </w:r>
          </w:p>
        </w:tc>
      </w:tr>
      <w:tr w:rsidR="004567F7" w:rsidRPr="007E0108" w14:paraId="64BB083A" w14:textId="77777777" w:rsidTr="007E0108">
        <w:trPr>
          <w:trHeight w:val="300"/>
        </w:trPr>
        <w:tc>
          <w:tcPr>
            <w:tcW w:w="2765" w:type="pct"/>
            <w:tcBorders>
              <w:top w:val="nil"/>
              <w:left w:val="nil"/>
              <w:bottom w:val="nil"/>
              <w:right w:val="nil"/>
            </w:tcBorders>
            <w:shd w:val="clear" w:color="auto" w:fill="auto"/>
            <w:noWrap/>
            <w:vAlign w:val="bottom"/>
            <w:hideMark/>
          </w:tcPr>
          <w:p w14:paraId="26EC42D0" w14:textId="77777777" w:rsidR="004567F7" w:rsidRPr="007E0108" w:rsidRDefault="004567F7" w:rsidP="00144775">
            <w:pPr>
              <w:spacing w:after="0" w:line="240" w:lineRule="auto"/>
              <w:jc w:val="left"/>
              <w:rPr>
                <w:rFonts w:eastAsia="Times New Roman" w:cs="Times New Roman"/>
                <w:sz w:val="18"/>
                <w:szCs w:val="18"/>
                <w:lang w:eastAsia="sk-SK"/>
              </w:rPr>
            </w:pPr>
            <w:r w:rsidRPr="007E0108">
              <w:rPr>
                <w:rFonts w:eastAsia="Times New Roman" w:cs="Times New Roman"/>
                <w:sz w:val="18"/>
                <w:szCs w:val="18"/>
                <w:lang w:eastAsia="sk-SK"/>
              </w:rPr>
              <w:t>Cenné papiere</w:t>
            </w:r>
          </w:p>
        </w:tc>
        <w:tc>
          <w:tcPr>
            <w:tcW w:w="649" w:type="pct"/>
            <w:tcBorders>
              <w:top w:val="nil"/>
              <w:left w:val="nil"/>
              <w:bottom w:val="nil"/>
              <w:right w:val="nil"/>
            </w:tcBorders>
            <w:shd w:val="clear" w:color="auto" w:fill="auto"/>
            <w:noWrap/>
            <w:vAlign w:val="bottom"/>
            <w:hideMark/>
          </w:tcPr>
          <w:p w14:paraId="50CBDF68" w14:textId="77777777" w:rsidR="004567F7" w:rsidRPr="007E0108" w:rsidRDefault="004567F7" w:rsidP="00144775">
            <w:pPr>
              <w:spacing w:after="0" w:line="240" w:lineRule="auto"/>
              <w:jc w:val="right"/>
              <w:rPr>
                <w:rFonts w:eastAsia="Times New Roman" w:cs="Times New Roman"/>
                <w:sz w:val="18"/>
                <w:szCs w:val="18"/>
                <w:lang w:eastAsia="sk-SK"/>
              </w:rPr>
            </w:pPr>
            <w:r w:rsidRPr="007E0108">
              <w:rPr>
                <w:rFonts w:eastAsia="Times New Roman" w:cs="Times New Roman"/>
                <w:sz w:val="18"/>
                <w:szCs w:val="18"/>
                <w:lang w:eastAsia="sk-SK"/>
              </w:rPr>
              <w:t>2 846</w:t>
            </w:r>
          </w:p>
        </w:tc>
        <w:tc>
          <w:tcPr>
            <w:tcW w:w="584" w:type="pct"/>
            <w:tcBorders>
              <w:top w:val="nil"/>
              <w:left w:val="nil"/>
              <w:bottom w:val="nil"/>
              <w:right w:val="nil"/>
            </w:tcBorders>
            <w:shd w:val="clear" w:color="auto" w:fill="auto"/>
            <w:noWrap/>
            <w:vAlign w:val="bottom"/>
            <w:hideMark/>
          </w:tcPr>
          <w:p w14:paraId="38467B50" w14:textId="77777777" w:rsidR="004567F7" w:rsidRPr="007E0108" w:rsidRDefault="004567F7" w:rsidP="00144775">
            <w:pPr>
              <w:spacing w:after="0" w:line="240" w:lineRule="auto"/>
              <w:jc w:val="right"/>
              <w:rPr>
                <w:rFonts w:eastAsia="Times New Roman" w:cs="Times New Roman"/>
                <w:sz w:val="18"/>
                <w:szCs w:val="18"/>
                <w:lang w:eastAsia="sk-SK"/>
              </w:rPr>
            </w:pPr>
            <w:r w:rsidRPr="007E0108">
              <w:rPr>
                <w:rFonts w:eastAsia="Times New Roman" w:cs="Times New Roman"/>
                <w:sz w:val="18"/>
                <w:szCs w:val="18"/>
                <w:lang w:eastAsia="sk-SK"/>
              </w:rPr>
              <w:t>3 014</w:t>
            </w:r>
          </w:p>
        </w:tc>
        <w:tc>
          <w:tcPr>
            <w:tcW w:w="584" w:type="pct"/>
            <w:tcBorders>
              <w:top w:val="nil"/>
              <w:left w:val="nil"/>
              <w:bottom w:val="nil"/>
              <w:right w:val="nil"/>
            </w:tcBorders>
            <w:shd w:val="clear" w:color="000000" w:fill="BFBFBF"/>
            <w:noWrap/>
            <w:vAlign w:val="bottom"/>
            <w:hideMark/>
          </w:tcPr>
          <w:p w14:paraId="02F58070" w14:textId="77777777" w:rsidR="004567F7" w:rsidRPr="007E0108" w:rsidRDefault="004567F7" w:rsidP="00144775">
            <w:pPr>
              <w:spacing w:after="0" w:line="240" w:lineRule="auto"/>
              <w:jc w:val="right"/>
              <w:rPr>
                <w:rFonts w:eastAsia="Times New Roman" w:cs="Times New Roman"/>
                <w:sz w:val="18"/>
                <w:szCs w:val="18"/>
                <w:lang w:eastAsia="sk-SK"/>
              </w:rPr>
            </w:pPr>
            <w:r w:rsidRPr="007E0108">
              <w:rPr>
                <w:rFonts w:eastAsia="Times New Roman" w:cs="Times New Roman"/>
                <w:sz w:val="18"/>
                <w:szCs w:val="18"/>
                <w:lang w:eastAsia="sk-SK"/>
              </w:rPr>
              <w:t>2 839</w:t>
            </w:r>
          </w:p>
        </w:tc>
        <w:tc>
          <w:tcPr>
            <w:tcW w:w="417" w:type="pct"/>
            <w:tcBorders>
              <w:top w:val="nil"/>
              <w:left w:val="nil"/>
              <w:bottom w:val="nil"/>
              <w:right w:val="nil"/>
            </w:tcBorders>
            <w:shd w:val="clear" w:color="auto" w:fill="auto"/>
            <w:noWrap/>
            <w:vAlign w:val="bottom"/>
            <w:hideMark/>
          </w:tcPr>
          <w:p w14:paraId="1F4CEA08" w14:textId="77777777" w:rsidR="004567F7" w:rsidRPr="007E0108" w:rsidRDefault="004567F7" w:rsidP="00144775">
            <w:pPr>
              <w:spacing w:after="0" w:line="240" w:lineRule="auto"/>
              <w:jc w:val="right"/>
              <w:rPr>
                <w:rFonts w:eastAsia="Times New Roman" w:cs="Times New Roman"/>
                <w:sz w:val="18"/>
                <w:szCs w:val="18"/>
                <w:lang w:eastAsia="sk-SK"/>
              </w:rPr>
            </w:pPr>
            <w:r w:rsidRPr="007E0108">
              <w:rPr>
                <w:rFonts w:eastAsia="Times New Roman" w:cs="Times New Roman"/>
                <w:sz w:val="18"/>
                <w:szCs w:val="18"/>
                <w:lang w:eastAsia="sk-SK"/>
              </w:rPr>
              <w:t>-175</w:t>
            </w:r>
          </w:p>
        </w:tc>
      </w:tr>
      <w:tr w:rsidR="004567F7" w:rsidRPr="007E0108" w14:paraId="5D2EE804" w14:textId="77777777" w:rsidTr="007E0108">
        <w:trPr>
          <w:trHeight w:val="300"/>
        </w:trPr>
        <w:tc>
          <w:tcPr>
            <w:tcW w:w="2765" w:type="pct"/>
            <w:tcBorders>
              <w:top w:val="nil"/>
              <w:left w:val="nil"/>
              <w:bottom w:val="nil"/>
              <w:right w:val="nil"/>
            </w:tcBorders>
            <w:shd w:val="clear" w:color="auto" w:fill="auto"/>
            <w:noWrap/>
            <w:vAlign w:val="bottom"/>
            <w:hideMark/>
          </w:tcPr>
          <w:p w14:paraId="7637894F" w14:textId="77777777" w:rsidR="004567F7" w:rsidRPr="007E0108" w:rsidRDefault="004567F7" w:rsidP="00144775">
            <w:pPr>
              <w:spacing w:after="0" w:line="240" w:lineRule="auto"/>
              <w:jc w:val="left"/>
              <w:rPr>
                <w:rFonts w:eastAsia="Times New Roman" w:cs="Times New Roman"/>
                <w:sz w:val="18"/>
                <w:szCs w:val="18"/>
                <w:lang w:eastAsia="sk-SK"/>
              </w:rPr>
            </w:pPr>
            <w:r w:rsidRPr="007E0108">
              <w:rPr>
                <w:rFonts w:eastAsia="Times New Roman" w:cs="Times New Roman"/>
                <w:sz w:val="18"/>
                <w:szCs w:val="18"/>
                <w:lang w:eastAsia="sk-SK"/>
              </w:rPr>
              <w:t>Bankové úvery</w:t>
            </w:r>
          </w:p>
        </w:tc>
        <w:tc>
          <w:tcPr>
            <w:tcW w:w="649" w:type="pct"/>
            <w:tcBorders>
              <w:top w:val="nil"/>
              <w:left w:val="nil"/>
              <w:bottom w:val="nil"/>
              <w:right w:val="nil"/>
            </w:tcBorders>
            <w:shd w:val="clear" w:color="auto" w:fill="auto"/>
            <w:noWrap/>
            <w:vAlign w:val="bottom"/>
            <w:hideMark/>
          </w:tcPr>
          <w:p w14:paraId="4B9B9FA6" w14:textId="77777777" w:rsidR="004567F7" w:rsidRPr="007E0108" w:rsidRDefault="004567F7" w:rsidP="00144775">
            <w:pPr>
              <w:spacing w:after="0" w:line="240" w:lineRule="auto"/>
              <w:jc w:val="right"/>
              <w:rPr>
                <w:rFonts w:eastAsia="Times New Roman" w:cs="Times New Roman"/>
                <w:sz w:val="18"/>
                <w:szCs w:val="18"/>
                <w:lang w:eastAsia="sk-SK"/>
              </w:rPr>
            </w:pPr>
            <w:r w:rsidRPr="007E0108">
              <w:rPr>
                <w:rFonts w:eastAsia="Times New Roman" w:cs="Times New Roman"/>
                <w:sz w:val="18"/>
                <w:szCs w:val="18"/>
                <w:lang w:eastAsia="sk-SK"/>
              </w:rPr>
              <w:t>560 969</w:t>
            </w:r>
          </w:p>
        </w:tc>
        <w:tc>
          <w:tcPr>
            <w:tcW w:w="584" w:type="pct"/>
            <w:tcBorders>
              <w:top w:val="nil"/>
              <w:left w:val="nil"/>
              <w:bottom w:val="nil"/>
              <w:right w:val="nil"/>
            </w:tcBorders>
            <w:shd w:val="clear" w:color="auto" w:fill="auto"/>
            <w:noWrap/>
            <w:vAlign w:val="bottom"/>
            <w:hideMark/>
          </w:tcPr>
          <w:p w14:paraId="2C487833" w14:textId="77777777" w:rsidR="004567F7" w:rsidRPr="007E0108" w:rsidRDefault="004567F7" w:rsidP="00144775">
            <w:pPr>
              <w:spacing w:after="0" w:line="240" w:lineRule="auto"/>
              <w:jc w:val="right"/>
              <w:rPr>
                <w:rFonts w:eastAsia="Times New Roman" w:cs="Times New Roman"/>
                <w:sz w:val="18"/>
                <w:szCs w:val="18"/>
                <w:lang w:eastAsia="sk-SK"/>
              </w:rPr>
            </w:pPr>
            <w:r w:rsidRPr="007E0108">
              <w:rPr>
                <w:rFonts w:eastAsia="Times New Roman" w:cs="Times New Roman"/>
                <w:sz w:val="18"/>
                <w:szCs w:val="18"/>
                <w:lang w:eastAsia="sk-SK"/>
              </w:rPr>
              <w:t>575 211</w:t>
            </w:r>
          </w:p>
        </w:tc>
        <w:tc>
          <w:tcPr>
            <w:tcW w:w="584" w:type="pct"/>
            <w:tcBorders>
              <w:top w:val="nil"/>
              <w:left w:val="nil"/>
              <w:bottom w:val="nil"/>
              <w:right w:val="nil"/>
            </w:tcBorders>
            <w:shd w:val="clear" w:color="000000" w:fill="BFBFBF"/>
            <w:noWrap/>
            <w:vAlign w:val="bottom"/>
            <w:hideMark/>
          </w:tcPr>
          <w:p w14:paraId="73380EA5" w14:textId="77777777" w:rsidR="004567F7" w:rsidRPr="007E0108" w:rsidRDefault="004567F7" w:rsidP="00144775">
            <w:pPr>
              <w:spacing w:after="0" w:line="240" w:lineRule="auto"/>
              <w:jc w:val="right"/>
              <w:rPr>
                <w:rFonts w:eastAsia="Times New Roman" w:cs="Times New Roman"/>
                <w:sz w:val="18"/>
                <w:szCs w:val="18"/>
                <w:lang w:eastAsia="sk-SK"/>
              </w:rPr>
            </w:pPr>
            <w:r w:rsidRPr="007E0108">
              <w:rPr>
                <w:rFonts w:eastAsia="Times New Roman" w:cs="Times New Roman"/>
                <w:sz w:val="18"/>
                <w:szCs w:val="18"/>
                <w:lang w:eastAsia="sk-SK"/>
              </w:rPr>
              <w:t>628 608</w:t>
            </w:r>
          </w:p>
        </w:tc>
        <w:tc>
          <w:tcPr>
            <w:tcW w:w="417" w:type="pct"/>
            <w:tcBorders>
              <w:top w:val="nil"/>
              <w:left w:val="nil"/>
              <w:bottom w:val="nil"/>
              <w:right w:val="nil"/>
            </w:tcBorders>
            <w:shd w:val="clear" w:color="auto" w:fill="auto"/>
            <w:noWrap/>
            <w:vAlign w:val="bottom"/>
            <w:hideMark/>
          </w:tcPr>
          <w:p w14:paraId="4896D324" w14:textId="77777777" w:rsidR="004567F7" w:rsidRPr="007E0108" w:rsidRDefault="004567F7" w:rsidP="00144775">
            <w:pPr>
              <w:spacing w:after="0" w:line="240" w:lineRule="auto"/>
              <w:jc w:val="right"/>
              <w:rPr>
                <w:rFonts w:eastAsia="Times New Roman" w:cs="Times New Roman"/>
                <w:sz w:val="18"/>
                <w:szCs w:val="18"/>
                <w:lang w:eastAsia="sk-SK"/>
              </w:rPr>
            </w:pPr>
            <w:r w:rsidRPr="007E0108">
              <w:rPr>
                <w:rFonts w:eastAsia="Times New Roman" w:cs="Times New Roman"/>
                <w:sz w:val="18"/>
                <w:szCs w:val="18"/>
                <w:lang w:eastAsia="sk-SK"/>
              </w:rPr>
              <w:t>53 397</w:t>
            </w:r>
          </w:p>
        </w:tc>
      </w:tr>
      <w:tr w:rsidR="004567F7" w:rsidRPr="007E0108" w14:paraId="10DEC0BA" w14:textId="77777777" w:rsidTr="007E0108">
        <w:trPr>
          <w:trHeight w:val="300"/>
        </w:trPr>
        <w:tc>
          <w:tcPr>
            <w:tcW w:w="2765" w:type="pct"/>
            <w:tcBorders>
              <w:top w:val="nil"/>
              <w:left w:val="nil"/>
              <w:bottom w:val="nil"/>
              <w:right w:val="nil"/>
            </w:tcBorders>
            <w:shd w:val="clear" w:color="auto" w:fill="auto"/>
            <w:noWrap/>
            <w:vAlign w:val="bottom"/>
            <w:hideMark/>
          </w:tcPr>
          <w:p w14:paraId="6B87B66B" w14:textId="77777777" w:rsidR="004567F7" w:rsidRPr="007E0108" w:rsidRDefault="004567F7" w:rsidP="00144775">
            <w:pPr>
              <w:spacing w:after="0" w:line="240" w:lineRule="auto"/>
              <w:jc w:val="left"/>
              <w:rPr>
                <w:rFonts w:eastAsia="Times New Roman" w:cs="Times New Roman"/>
                <w:sz w:val="18"/>
                <w:szCs w:val="18"/>
                <w:lang w:eastAsia="sk-SK"/>
              </w:rPr>
            </w:pPr>
            <w:r w:rsidRPr="007E0108">
              <w:rPr>
                <w:rFonts w:eastAsia="Times New Roman" w:cs="Times New Roman"/>
                <w:sz w:val="18"/>
                <w:szCs w:val="18"/>
                <w:lang w:eastAsia="sk-SK"/>
              </w:rPr>
              <w:t>Pôžičky zo ŠFRB (konsoliduje sa)</w:t>
            </w:r>
          </w:p>
        </w:tc>
        <w:tc>
          <w:tcPr>
            <w:tcW w:w="649" w:type="pct"/>
            <w:tcBorders>
              <w:top w:val="nil"/>
              <w:left w:val="nil"/>
              <w:bottom w:val="nil"/>
              <w:right w:val="nil"/>
            </w:tcBorders>
            <w:shd w:val="clear" w:color="auto" w:fill="auto"/>
            <w:noWrap/>
            <w:vAlign w:val="bottom"/>
            <w:hideMark/>
          </w:tcPr>
          <w:p w14:paraId="506E2653" w14:textId="77777777" w:rsidR="004567F7" w:rsidRPr="007E0108" w:rsidRDefault="004567F7" w:rsidP="00144775">
            <w:pPr>
              <w:spacing w:after="0" w:line="240" w:lineRule="auto"/>
              <w:jc w:val="right"/>
              <w:rPr>
                <w:rFonts w:eastAsia="Times New Roman" w:cs="Times New Roman"/>
                <w:sz w:val="18"/>
                <w:szCs w:val="18"/>
                <w:lang w:eastAsia="sk-SK"/>
              </w:rPr>
            </w:pPr>
            <w:r w:rsidRPr="007E0108">
              <w:rPr>
                <w:rFonts w:eastAsia="Times New Roman" w:cs="Times New Roman"/>
                <w:sz w:val="18"/>
                <w:szCs w:val="18"/>
                <w:lang w:eastAsia="sk-SK"/>
              </w:rPr>
              <w:t>707 506</w:t>
            </w:r>
          </w:p>
        </w:tc>
        <w:tc>
          <w:tcPr>
            <w:tcW w:w="584" w:type="pct"/>
            <w:tcBorders>
              <w:top w:val="nil"/>
              <w:left w:val="nil"/>
              <w:bottom w:val="nil"/>
              <w:right w:val="nil"/>
            </w:tcBorders>
            <w:shd w:val="clear" w:color="auto" w:fill="auto"/>
            <w:noWrap/>
            <w:vAlign w:val="bottom"/>
            <w:hideMark/>
          </w:tcPr>
          <w:p w14:paraId="2CC116F2" w14:textId="77777777" w:rsidR="004567F7" w:rsidRPr="007E0108" w:rsidRDefault="004567F7" w:rsidP="00144775">
            <w:pPr>
              <w:spacing w:after="0" w:line="240" w:lineRule="auto"/>
              <w:jc w:val="right"/>
              <w:rPr>
                <w:rFonts w:eastAsia="Times New Roman" w:cs="Times New Roman"/>
                <w:sz w:val="18"/>
                <w:szCs w:val="18"/>
                <w:lang w:eastAsia="sk-SK"/>
              </w:rPr>
            </w:pPr>
            <w:r w:rsidRPr="007E0108">
              <w:rPr>
                <w:rFonts w:eastAsia="Times New Roman" w:cs="Times New Roman"/>
                <w:sz w:val="18"/>
                <w:szCs w:val="18"/>
                <w:lang w:eastAsia="sk-SK"/>
              </w:rPr>
              <w:t>715 340</w:t>
            </w:r>
          </w:p>
        </w:tc>
        <w:tc>
          <w:tcPr>
            <w:tcW w:w="584" w:type="pct"/>
            <w:tcBorders>
              <w:top w:val="nil"/>
              <w:left w:val="nil"/>
              <w:bottom w:val="nil"/>
              <w:right w:val="nil"/>
            </w:tcBorders>
            <w:shd w:val="clear" w:color="000000" w:fill="BFBFBF"/>
            <w:noWrap/>
            <w:vAlign w:val="bottom"/>
            <w:hideMark/>
          </w:tcPr>
          <w:p w14:paraId="0699FEC2" w14:textId="77777777" w:rsidR="004567F7" w:rsidRPr="007E0108" w:rsidRDefault="004567F7" w:rsidP="00144775">
            <w:pPr>
              <w:spacing w:after="0" w:line="240" w:lineRule="auto"/>
              <w:jc w:val="right"/>
              <w:rPr>
                <w:rFonts w:eastAsia="Times New Roman" w:cs="Times New Roman"/>
                <w:sz w:val="18"/>
                <w:szCs w:val="18"/>
                <w:lang w:eastAsia="sk-SK"/>
              </w:rPr>
            </w:pPr>
            <w:r w:rsidRPr="007E0108">
              <w:rPr>
                <w:rFonts w:eastAsia="Times New Roman" w:cs="Times New Roman"/>
                <w:sz w:val="18"/>
                <w:szCs w:val="18"/>
                <w:lang w:eastAsia="sk-SK"/>
              </w:rPr>
              <w:t>728 099</w:t>
            </w:r>
          </w:p>
        </w:tc>
        <w:tc>
          <w:tcPr>
            <w:tcW w:w="417" w:type="pct"/>
            <w:tcBorders>
              <w:top w:val="nil"/>
              <w:left w:val="nil"/>
              <w:bottom w:val="nil"/>
              <w:right w:val="nil"/>
            </w:tcBorders>
            <w:shd w:val="clear" w:color="auto" w:fill="auto"/>
            <w:noWrap/>
            <w:vAlign w:val="bottom"/>
            <w:hideMark/>
          </w:tcPr>
          <w:p w14:paraId="5CCF1ED5" w14:textId="77777777" w:rsidR="004567F7" w:rsidRPr="007E0108" w:rsidRDefault="004567F7" w:rsidP="00144775">
            <w:pPr>
              <w:spacing w:after="0" w:line="240" w:lineRule="auto"/>
              <w:jc w:val="right"/>
              <w:rPr>
                <w:rFonts w:eastAsia="Times New Roman" w:cs="Times New Roman"/>
                <w:sz w:val="18"/>
                <w:szCs w:val="18"/>
                <w:lang w:eastAsia="sk-SK"/>
              </w:rPr>
            </w:pPr>
            <w:r w:rsidRPr="007E0108">
              <w:rPr>
                <w:rFonts w:eastAsia="Times New Roman" w:cs="Times New Roman"/>
                <w:sz w:val="18"/>
                <w:szCs w:val="18"/>
                <w:lang w:eastAsia="sk-SK"/>
              </w:rPr>
              <w:t>12 759</w:t>
            </w:r>
          </w:p>
        </w:tc>
      </w:tr>
      <w:tr w:rsidR="004567F7" w:rsidRPr="007E0108" w14:paraId="3B5116EF" w14:textId="77777777" w:rsidTr="007E0108">
        <w:trPr>
          <w:trHeight w:val="300"/>
        </w:trPr>
        <w:tc>
          <w:tcPr>
            <w:tcW w:w="2765" w:type="pct"/>
            <w:tcBorders>
              <w:top w:val="nil"/>
              <w:left w:val="nil"/>
              <w:bottom w:val="nil"/>
              <w:right w:val="nil"/>
            </w:tcBorders>
            <w:shd w:val="clear" w:color="auto" w:fill="auto"/>
            <w:noWrap/>
            <w:vAlign w:val="bottom"/>
            <w:hideMark/>
          </w:tcPr>
          <w:p w14:paraId="4C944FE6" w14:textId="77777777" w:rsidR="004567F7" w:rsidRPr="007E0108" w:rsidRDefault="004567F7" w:rsidP="00144775">
            <w:pPr>
              <w:spacing w:after="0" w:line="240" w:lineRule="auto"/>
              <w:jc w:val="left"/>
              <w:rPr>
                <w:rFonts w:eastAsia="Times New Roman" w:cs="Times New Roman"/>
                <w:sz w:val="18"/>
                <w:szCs w:val="18"/>
                <w:lang w:eastAsia="sk-SK"/>
              </w:rPr>
            </w:pPr>
            <w:r w:rsidRPr="007E0108">
              <w:rPr>
                <w:rFonts w:eastAsia="Times New Roman" w:cs="Times New Roman"/>
                <w:sz w:val="18"/>
                <w:szCs w:val="18"/>
                <w:lang w:eastAsia="sk-SK"/>
              </w:rPr>
              <w:t>Pôžičky z ENVF (konsoliduje sa)</w:t>
            </w:r>
          </w:p>
        </w:tc>
        <w:tc>
          <w:tcPr>
            <w:tcW w:w="649" w:type="pct"/>
            <w:tcBorders>
              <w:top w:val="nil"/>
              <w:left w:val="nil"/>
              <w:bottom w:val="nil"/>
              <w:right w:val="nil"/>
            </w:tcBorders>
            <w:shd w:val="clear" w:color="auto" w:fill="auto"/>
            <w:noWrap/>
            <w:vAlign w:val="bottom"/>
            <w:hideMark/>
          </w:tcPr>
          <w:p w14:paraId="70CA0A76" w14:textId="77777777" w:rsidR="004567F7" w:rsidRPr="007E0108" w:rsidRDefault="004567F7" w:rsidP="00144775">
            <w:pPr>
              <w:spacing w:after="0" w:line="240" w:lineRule="auto"/>
              <w:jc w:val="right"/>
              <w:rPr>
                <w:rFonts w:eastAsia="Times New Roman" w:cs="Times New Roman"/>
                <w:sz w:val="18"/>
                <w:szCs w:val="18"/>
                <w:lang w:eastAsia="sk-SK"/>
              </w:rPr>
            </w:pPr>
            <w:r w:rsidRPr="007E0108">
              <w:rPr>
                <w:rFonts w:eastAsia="Times New Roman" w:cs="Times New Roman"/>
                <w:sz w:val="18"/>
                <w:szCs w:val="18"/>
                <w:lang w:eastAsia="sk-SK"/>
              </w:rPr>
              <w:t>1 441</w:t>
            </w:r>
          </w:p>
        </w:tc>
        <w:tc>
          <w:tcPr>
            <w:tcW w:w="584" w:type="pct"/>
            <w:tcBorders>
              <w:top w:val="nil"/>
              <w:left w:val="nil"/>
              <w:bottom w:val="nil"/>
              <w:right w:val="nil"/>
            </w:tcBorders>
            <w:shd w:val="clear" w:color="auto" w:fill="auto"/>
            <w:noWrap/>
            <w:vAlign w:val="bottom"/>
            <w:hideMark/>
          </w:tcPr>
          <w:p w14:paraId="12003DE4" w14:textId="77777777" w:rsidR="004567F7" w:rsidRPr="007E0108" w:rsidRDefault="004567F7" w:rsidP="00144775">
            <w:pPr>
              <w:spacing w:after="0" w:line="240" w:lineRule="auto"/>
              <w:jc w:val="right"/>
              <w:rPr>
                <w:rFonts w:eastAsia="Times New Roman" w:cs="Times New Roman"/>
                <w:sz w:val="18"/>
                <w:szCs w:val="18"/>
                <w:lang w:eastAsia="sk-SK"/>
              </w:rPr>
            </w:pPr>
            <w:r w:rsidRPr="007E0108">
              <w:rPr>
                <w:rFonts w:eastAsia="Times New Roman" w:cs="Times New Roman"/>
                <w:sz w:val="18"/>
                <w:szCs w:val="18"/>
                <w:lang w:eastAsia="sk-SK"/>
              </w:rPr>
              <w:t>1 276</w:t>
            </w:r>
          </w:p>
        </w:tc>
        <w:tc>
          <w:tcPr>
            <w:tcW w:w="584" w:type="pct"/>
            <w:tcBorders>
              <w:top w:val="nil"/>
              <w:left w:val="nil"/>
              <w:bottom w:val="nil"/>
              <w:right w:val="nil"/>
            </w:tcBorders>
            <w:shd w:val="clear" w:color="000000" w:fill="BFBFBF"/>
            <w:noWrap/>
            <w:vAlign w:val="bottom"/>
            <w:hideMark/>
          </w:tcPr>
          <w:p w14:paraId="2E531265" w14:textId="77777777" w:rsidR="004567F7" w:rsidRPr="007E0108" w:rsidRDefault="004567F7" w:rsidP="00144775">
            <w:pPr>
              <w:spacing w:after="0" w:line="240" w:lineRule="auto"/>
              <w:jc w:val="right"/>
              <w:rPr>
                <w:rFonts w:eastAsia="Times New Roman" w:cs="Times New Roman"/>
                <w:sz w:val="18"/>
                <w:szCs w:val="18"/>
                <w:lang w:eastAsia="sk-SK"/>
              </w:rPr>
            </w:pPr>
            <w:r w:rsidRPr="007E0108">
              <w:rPr>
                <w:rFonts w:eastAsia="Times New Roman" w:cs="Times New Roman"/>
                <w:sz w:val="18"/>
                <w:szCs w:val="18"/>
                <w:lang w:eastAsia="sk-SK"/>
              </w:rPr>
              <w:t>1 111</w:t>
            </w:r>
          </w:p>
        </w:tc>
        <w:tc>
          <w:tcPr>
            <w:tcW w:w="417" w:type="pct"/>
            <w:tcBorders>
              <w:top w:val="nil"/>
              <w:left w:val="nil"/>
              <w:bottom w:val="nil"/>
              <w:right w:val="nil"/>
            </w:tcBorders>
            <w:shd w:val="clear" w:color="auto" w:fill="auto"/>
            <w:noWrap/>
            <w:vAlign w:val="bottom"/>
            <w:hideMark/>
          </w:tcPr>
          <w:p w14:paraId="43F579DE" w14:textId="77777777" w:rsidR="004567F7" w:rsidRPr="007E0108" w:rsidRDefault="004567F7" w:rsidP="00144775">
            <w:pPr>
              <w:spacing w:after="0" w:line="240" w:lineRule="auto"/>
              <w:jc w:val="right"/>
              <w:rPr>
                <w:rFonts w:eastAsia="Times New Roman" w:cs="Times New Roman"/>
                <w:sz w:val="18"/>
                <w:szCs w:val="18"/>
                <w:lang w:eastAsia="sk-SK"/>
              </w:rPr>
            </w:pPr>
            <w:r w:rsidRPr="007E0108">
              <w:rPr>
                <w:rFonts w:eastAsia="Times New Roman" w:cs="Times New Roman"/>
                <w:sz w:val="18"/>
                <w:szCs w:val="18"/>
                <w:lang w:eastAsia="sk-SK"/>
              </w:rPr>
              <w:t>-165</w:t>
            </w:r>
          </w:p>
        </w:tc>
      </w:tr>
      <w:tr w:rsidR="004567F7" w:rsidRPr="007E0108" w14:paraId="303F068F" w14:textId="77777777" w:rsidTr="007E0108">
        <w:trPr>
          <w:trHeight w:val="300"/>
        </w:trPr>
        <w:tc>
          <w:tcPr>
            <w:tcW w:w="2765" w:type="pct"/>
            <w:tcBorders>
              <w:top w:val="nil"/>
              <w:left w:val="nil"/>
              <w:bottom w:val="nil"/>
              <w:right w:val="nil"/>
            </w:tcBorders>
            <w:shd w:val="clear" w:color="auto" w:fill="auto"/>
            <w:noWrap/>
            <w:vAlign w:val="bottom"/>
            <w:hideMark/>
          </w:tcPr>
          <w:p w14:paraId="30E9AE22" w14:textId="77777777" w:rsidR="004567F7" w:rsidRPr="007E0108" w:rsidRDefault="004567F7" w:rsidP="00144775">
            <w:pPr>
              <w:spacing w:after="0" w:line="240" w:lineRule="auto"/>
              <w:jc w:val="left"/>
              <w:rPr>
                <w:rFonts w:eastAsia="Times New Roman" w:cs="Times New Roman"/>
                <w:sz w:val="18"/>
                <w:szCs w:val="18"/>
                <w:lang w:eastAsia="sk-SK"/>
              </w:rPr>
            </w:pPr>
            <w:r w:rsidRPr="007E0108">
              <w:rPr>
                <w:rFonts w:eastAsia="Times New Roman" w:cs="Times New Roman"/>
                <w:sz w:val="18"/>
                <w:szCs w:val="18"/>
                <w:lang w:eastAsia="sk-SK"/>
              </w:rPr>
              <w:t>Finančné výpomoci</w:t>
            </w:r>
          </w:p>
        </w:tc>
        <w:tc>
          <w:tcPr>
            <w:tcW w:w="649" w:type="pct"/>
            <w:tcBorders>
              <w:top w:val="nil"/>
              <w:left w:val="nil"/>
              <w:bottom w:val="nil"/>
              <w:right w:val="nil"/>
            </w:tcBorders>
            <w:shd w:val="clear" w:color="auto" w:fill="auto"/>
            <w:noWrap/>
            <w:vAlign w:val="bottom"/>
            <w:hideMark/>
          </w:tcPr>
          <w:p w14:paraId="0FCA29FE" w14:textId="77777777" w:rsidR="004567F7" w:rsidRPr="007E0108" w:rsidRDefault="004567F7" w:rsidP="00144775">
            <w:pPr>
              <w:spacing w:after="0" w:line="240" w:lineRule="auto"/>
              <w:jc w:val="right"/>
              <w:rPr>
                <w:rFonts w:eastAsia="Times New Roman" w:cs="Times New Roman"/>
                <w:sz w:val="18"/>
                <w:szCs w:val="18"/>
                <w:lang w:eastAsia="sk-SK"/>
              </w:rPr>
            </w:pPr>
            <w:r w:rsidRPr="007E0108">
              <w:rPr>
                <w:rFonts w:eastAsia="Times New Roman" w:cs="Times New Roman"/>
                <w:sz w:val="18"/>
                <w:szCs w:val="18"/>
                <w:lang w:eastAsia="sk-SK"/>
              </w:rPr>
              <w:t>35 762</w:t>
            </w:r>
          </w:p>
        </w:tc>
        <w:tc>
          <w:tcPr>
            <w:tcW w:w="584" w:type="pct"/>
            <w:tcBorders>
              <w:top w:val="nil"/>
              <w:left w:val="nil"/>
              <w:bottom w:val="nil"/>
              <w:right w:val="nil"/>
            </w:tcBorders>
            <w:shd w:val="clear" w:color="auto" w:fill="auto"/>
            <w:noWrap/>
            <w:vAlign w:val="bottom"/>
            <w:hideMark/>
          </w:tcPr>
          <w:p w14:paraId="59B9AE5E" w14:textId="77777777" w:rsidR="004567F7" w:rsidRPr="007E0108" w:rsidRDefault="004567F7" w:rsidP="00144775">
            <w:pPr>
              <w:spacing w:after="0" w:line="240" w:lineRule="auto"/>
              <w:jc w:val="right"/>
              <w:rPr>
                <w:rFonts w:eastAsia="Times New Roman" w:cs="Times New Roman"/>
                <w:sz w:val="18"/>
                <w:szCs w:val="18"/>
                <w:lang w:eastAsia="sk-SK"/>
              </w:rPr>
            </w:pPr>
            <w:r w:rsidRPr="007E0108">
              <w:rPr>
                <w:rFonts w:eastAsia="Times New Roman" w:cs="Times New Roman"/>
                <w:sz w:val="18"/>
                <w:szCs w:val="18"/>
                <w:lang w:eastAsia="sk-SK"/>
              </w:rPr>
              <w:t>34 221</w:t>
            </w:r>
          </w:p>
        </w:tc>
        <w:tc>
          <w:tcPr>
            <w:tcW w:w="584" w:type="pct"/>
            <w:tcBorders>
              <w:top w:val="nil"/>
              <w:left w:val="nil"/>
              <w:bottom w:val="nil"/>
              <w:right w:val="nil"/>
            </w:tcBorders>
            <w:shd w:val="clear" w:color="000000" w:fill="BFBFBF"/>
            <w:noWrap/>
            <w:vAlign w:val="bottom"/>
            <w:hideMark/>
          </w:tcPr>
          <w:p w14:paraId="436335B9" w14:textId="77777777" w:rsidR="004567F7" w:rsidRPr="007E0108" w:rsidRDefault="004567F7" w:rsidP="00144775">
            <w:pPr>
              <w:spacing w:after="0" w:line="240" w:lineRule="auto"/>
              <w:jc w:val="right"/>
              <w:rPr>
                <w:rFonts w:eastAsia="Times New Roman" w:cs="Times New Roman"/>
                <w:sz w:val="18"/>
                <w:szCs w:val="18"/>
                <w:lang w:eastAsia="sk-SK"/>
              </w:rPr>
            </w:pPr>
            <w:r w:rsidRPr="007E0108">
              <w:rPr>
                <w:rFonts w:eastAsia="Times New Roman" w:cs="Times New Roman"/>
                <w:sz w:val="18"/>
                <w:szCs w:val="18"/>
                <w:lang w:eastAsia="sk-SK"/>
              </w:rPr>
              <w:t>46 549</w:t>
            </w:r>
          </w:p>
        </w:tc>
        <w:tc>
          <w:tcPr>
            <w:tcW w:w="417" w:type="pct"/>
            <w:tcBorders>
              <w:top w:val="nil"/>
              <w:left w:val="nil"/>
              <w:bottom w:val="nil"/>
              <w:right w:val="nil"/>
            </w:tcBorders>
            <w:shd w:val="clear" w:color="auto" w:fill="auto"/>
            <w:noWrap/>
            <w:vAlign w:val="bottom"/>
            <w:hideMark/>
          </w:tcPr>
          <w:p w14:paraId="5010D16C" w14:textId="77777777" w:rsidR="004567F7" w:rsidRPr="007E0108" w:rsidRDefault="004567F7" w:rsidP="00144775">
            <w:pPr>
              <w:spacing w:after="0" w:line="240" w:lineRule="auto"/>
              <w:jc w:val="right"/>
              <w:rPr>
                <w:rFonts w:eastAsia="Times New Roman" w:cs="Times New Roman"/>
                <w:sz w:val="18"/>
                <w:szCs w:val="18"/>
                <w:lang w:eastAsia="sk-SK"/>
              </w:rPr>
            </w:pPr>
            <w:r w:rsidRPr="007E0108">
              <w:rPr>
                <w:rFonts w:eastAsia="Times New Roman" w:cs="Times New Roman"/>
                <w:sz w:val="18"/>
                <w:szCs w:val="18"/>
                <w:lang w:eastAsia="sk-SK"/>
              </w:rPr>
              <w:t>12 328</w:t>
            </w:r>
          </w:p>
        </w:tc>
      </w:tr>
      <w:tr w:rsidR="004567F7" w:rsidRPr="007E0108" w14:paraId="3D2F732E" w14:textId="77777777" w:rsidTr="007E0108">
        <w:trPr>
          <w:trHeight w:val="300"/>
        </w:trPr>
        <w:tc>
          <w:tcPr>
            <w:tcW w:w="2765" w:type="pct"/>
            <w:tcBorders>
              <w:top w:val="nil"/>
              <w:left w:val="nil"/>
              <w:bottom w:val="nil"/>
              <w:right w:val="nil"/>
            </w:tcBorders>
            <w:shd w:val="clear" w:color="auto" w:fill="auto"/>
            <w:noWrap/>
            <w:vAlign w:val="bottom"/>
            <w:hideMark/>
          </w:tcPr>
          <w:p w14:paraId="7CEB6C1E" w14:textId="77777777" w:rsidR="004567F7" w:rsidRPr="007E0108" w:rsidRDefault="004567F7" w:rsidP="00144775">
            <w:pPr>
              <w:spacing w:after="0" w:line="240" w:lineRule="auto"/>
              <w:ind w:firstLineChars="200" w:firstLine="360"/>
              <w:jc w:val="left"/>
              <w:rPr>
                <w:rFonts w:eastAsia="Times New Roman" w:cs="Times New Roman"/>
                <w:sz w:val="18"/>
                <w:szCs w:val="18"/>
                <w:lang w:eastAsia="sk-SK"/>
              </w:rPr>
            </w:pPr>
            <w:r w:rsidRPr="007E0108">
              <w:rPr>
                <w:rFonts w:eastAsia="Times New Roman" w:cs="Times New Roman"/>
                <w:sz w:val="18"/>
                <w:szCs w:val="18"/>
                <w:lang w:eastAsia="sk-SK"/>
              </w:rPr>
              <w:t>z toho: NFV Žiline (konsoliduje sa)</w:t>
            </w:r>
          </w:p>
        </w:tc>
        <w:tc>
          <w:tcPr>
            <w:tcW w:w="649" w:type="pct"/>
            <w:tcBorders>
              <w:top w:val="nil"/>
              <w:left w:val="nil"/>
              <w:bottom w:val="nil"/>
              <w:right w:val="nil"/>
            </w:tcBorders>
            <w:shd w:val="clear" w:color="auto" w:fill="auto"/>
            <w:noWrap/>
            <w:vAlign w:val="bottom"/>
            <w:hideMark/>
          </w:tcPr>
          <w:p w14:paraId="6E9FC8BC" w14:textId="77777777" w:rsidR="004567F7" w:rsidRPr="007E0108" w:rsidRDefault="004567F7" w:rsidP="00144775">
            <w:pPr>
              <w:spacing w:after="0" w:line="240" w:lineRule="auto"/>
              <w:jc w:val="right"/>
              <w:rPr>
                <w:rFonts w:eastAsia="Times New Roman" w:cs="Times New Roman"/>
                <w:sz w:val="18"/>
                <w:szCs w:val="18"/>
                <w:lang w:eastAsia="sk-SK"/>
              </w:rPr>
            </w:pPr>
            <w:r w:rsidRPr="007E0108">
              <w:rPr>
                <w:rFonts w:eastAsia="Times New Roman" w:cs="Times New Roman"/>
                <w:sz w:val="18"/>
                <w:szCs w:val="18"/>
                <w:lang w:eastAsia="sk-SK"/>
              </w:rPr>
              <w:t>0</w:t>
            </w:r>
          </w:p>
        </w:tc>
        <w:tc>
          <w:tcPr>
            <w:tcW w:w="584" w:type="pct"/>
            <w:tcBorders>
              <w:top w:val="nil"/>
              <w:left w:val="nil"/>
              <w:bottom w:val="nil"/>
              <w:right w:val="nil"/>
            </w:tcBorders>
            <w:shd w:val="clear" w:color="auto" w:fill="auto"/>
            <w:noWrap/>
            <w:vAlign w:val="bottom"/>
            <w:hideMark/>
          </w:tcPr>
          <w:p w14:paraId="02E4CEA9" w14:textId="77777777" w:rsidR="004567F7" w:rsidRPr="007E0108" w:rsidRDefault="004567F7" w:rsidP="00144775">
            <w:pPr>
              <w:spacing w:after="0" w:line="240" w:lineRule="auto"/>
              <w:jc w:val="right"/>
              <w:rPr>
                <w:rFonts w:eastAsia="Times New Roman" w:cs="Times New Roman"/>
                <w:sz w:val="18"/>
                <w:szCs w:val="18"/>
                <w:lang w:eastAsia="sk-SK"/>
              </w:rPr>
            </w:pPr>
            <w:r w:rsidRPr="007E0108">
              <w:rPr>
                <w:rFonts w:eastAsia="Times New Roman" w:cs="Times New Roman"/>
                <w:sz w:val="18"/>
                <w:szCs w:val="18"/>
                <w:lang w:eastAsia="sk-SK"/>
              </w:rPr>
              <w:t>0</w:t>
            </w:r>
          </w:p>
        </w:tc>
        <w:tc>
          <w:tcPr>
            <w:tcW w:w="584" w:type="pct"/>
            <w:tcBorders>
              <w:top w:val="nil"/>
              <w:left w:val="nil"/>
              <w:bottom w:val="nil"/>
              <w:right w:val="nil"/>
            </w:tcBorders>
            <w:shd w:val="clear" w:color="000000" w:fill="BFBFBF"/>
            <w:noWrap/>
            <w:vAlign w:val="bottom"/>
            <w:hideMark/>
          </w:tcPr>
          <w:p w14:paraId="1ED8CE56" w14:textId="77777777" w:rsidR="004567F7" w:rsidRPr="007E0108" w:rsidRDefault="004567F7" w:rsidP="00144775">
            <w:pPr>
              <w:spacing w:after="0" w:line="240" w:lineRule="auto"/>
              <w:jc w:val="right"/>
              <w:rPr>
                <w:rFonts w:eastAsia="Times New Roman" w:cs="Times New Roman"/>
                <w:sz w:val="18"/>
                <w:szCs w:val="18"/>
                <w:lang w:eastAsia="sk-SK"/>
              </w:rPr>
            </w:pPr>
            <w:r w:rsidRPr="007E0108">
              <w:rPr>
                <w:rFonts w:eastAsia="Times New Roman" w:cs="Times New Roman"/>
                <w:sz w:val="18"/>
                <w:szCs w:val="18"/>
                <w:lang w:eastAsia="sk-SK"/>
              </w:rPr>
              <w:t>0</w:t>
            </w:r>
          </w:p>
        </w:tc>
        <w:tc>
          <w:tcPr>
            <w:tcW w:w="417" w:type="pct"/>
            <w:tcBorders>
              <w:top w:val="nil"/>
              <w:left w:val="nil"/>
              <w:bottom w:val="nil"/>
              <w:right w:val="nil"/>
            </w:tcBorders>
            <w:shd w:val="clear" w:color="auto" w:fill="auto"/>
            <w:noWrap/>
            <w:vAlign w:val="bottom"/>
            <w:hideMark/>
          </w:tcPr>
          <w:p w14:paraId="7E7081C6" w14:textId="77777777" w:rsidR="004567F7" w:rsidRPr="007E0108" w:rsidRDefault="004567F7" w:rsidP="00144775">
            <w:pPr>
              <w:spacing w:after="0" w:line="240" w:lineRule="auto"/>
              <w:jc w:val="right"/>
              <w:rPr>
                <w:rFonts w:eastAsia="Times New Roman" w:cs="Times New Roman"/>
                <w:sz w:val="18"/>
                <w:szCs w:val="18"/>
                <w:lang w:eastAsia="sk-SK"/>
              </w:rPr>
            </w:pPr>
            <w:r w:rsidRPr="007E0108">
              <w:rPr>
                <w:rFonts w:eastAsia="Times New Roman" w:cs="Times New Roman"/>
                <w:sz w:val="18"/>
                <w:szCs w:val="18"/>
                <w:lang w:eastAsia="sk-SK"/>
              </w:rPr>
              <w:t>0</w:t>
            </w:r>
          </w:p>
        </w:tc>
      </w:tr>
      <w:tr w:rsidR="004567F7" w:rsidRPr="007E0108" w14:paraId="4D99A51F" w14:textId="77777777" w:rsidTr="007E0108">
        <w:trPr>
          <w:trHeight w:val="300"/>
        </w:trPr>
        <w:tc>
          <w:tcPr>
            <w:tcW w:w="2765" w:type="pct"/>
            <w:tcBorders>
              <w:top w:val="nil"/>
              <w:left w:val="nil"/>
              <w:bottom w:val="nil"/>
              <w:right w:val="nil"/>
            </w:tcBorders>
            <w:shd w:val="clear" w:color="auto" w:fill="auto"/>
            <w:noWrap/>
            <w:vAlign w:val="bottom"/>
            <w:hideMark/>
          </w:tcPr>
          <w:p w14:paraId="60627510" w14:textId="77777777" w:rsidR="004567F7" w:rsidRPr="007E0108" w:rsidRDefault="004567F7" w:rsidP="00144775">
            <w:pPr>
              <w:spacing w:after="0" w:line="240" w:lineRule="auto"/>
              <w:ind w:firstLineChars="600" w:firstLine="1080"/>
              <w:jc w:val="left"/>
              <w:rPr>
                <w:rFonts w:eastAsia="Times New Roman" w:cs="Times New Roman"/>
                <w:sz w:val="18"/>
                <w:szCs w:val="18"/>
                <w:lang w:eastAsia="sk-SK"/>
              </w:rPr>
            </w:pPr>
            <w:r w:rsidRPr="007E0108">
              <w:rPr>
                <w:rFonts w:eastAsia="Times New Roman" w:cs="Times New Roman"/>
                <w:sz w:val="18"/>
                <w:szCs w:val="18"/>
                <w:lang w:eastAsia="sk-SK"/>
              </w:rPr>
              <w:t xml:space="preserve">od </w:t>
            </w:r>
            <w:proofErr w:type="spellStart"/>
            <w:r w:rsidRPr="007E0108">
              <w:rPr>
                <w:rFonts w:eastAsia="Times New Roman" w:cs="Times New Roman"/>
                <w:sz w:val="18"/>
                <w:szCs w:val="18"/>
                <w:lang w:eastAsia="sk-SK"/>
              </w:rPr>
              <w:t>ostat</w:t>
            </w:r>
            <w:proofErr w:type="spellEnd"/>
            <w:r w:rsidRPr="007E0108">
              <w:rPr>
                <w:rFonts w:eastAsia="Times New Roman" w:cs="Times New Roman"/>
                <w:sz w:val="18"/>
                <w:szCs w:val="18"/>
                <w:lang w:eastAsia="sk-SK"/>
              </w:rPr>
              <w:t xml:space="preserve">. </w:t>
            </w:r>
            <w:proofErr w:type="spellStart"/>
            <w:r w:rsidRPr="007E0108">
              <w:rPr>
                <w:rFonts w:eastAsia="Times New Roman" w:cs="Times New Roman"/>
                <w:sz w:val="18"/>
                <w:szCs w:val="18"/>
                <w:lang w:eastAsia="sk-SK"/>
              </w:rPr>
              <w:t>subj</w:t>
            </w:r>
            <w:proofErr w:type="spellEnd"/>
            <w:r w:rsidRPr="007E0108">
              <w:rPr>
                <w:rFonts w:eastAsia="Times New Roman" w:cs="Times New Roman"/>
                <w:sz w:val="18"/>
                <w:szCs w:val="18"/>
                <w:lang w:eastAsia="sk-SK"/>
              </w:rPr>
              <w:t>. verejnej správy (konsoliduje sa)</w:t>
            </w:r>
          </w:p>
        </w:tc>
        <w:tc>
          <w:tcPr>
            <w:tcW w:w="649" w:type="pct"/>
            <w:tcBorders>
              <w:top w:val="nil"/>
              <w:left w:val="nil"/>
              <w:bottom w:val="nil"/>
              <w:right w:val="nil"/>
            </w:tcBorders>
            <w:shd w:val="clear" w:color="auto" w:fill="auto"/>
            <w:noWrap/>
            <w:vAlign w:val="bottom"/>
            <w:hideMark/>
          </w:tcPr>
          <w:p w14:paraId="3C31E059" w14:textId="77777777" w:rsidR="004567F7" w:rsidRPr="007E0108" w:rsidRDefault="004567F7" w:rsidP="00144775">
            <w:pPr>
              <w:spacing w:after="0" w:line="240" w:lineRule="auto"/>
              <w:jc w:val="right"/>
              <w:rPr>
                <w:rFonts w:eastAsia="Times New Roman" w:cs="Times New Roman"/>
                <w:sz w:val="18"/>
                <w:szCs w:val="18"/>
                <w:lang w:eastAsia="sk-SK"/>
              </w:rPr>
            </w:pPr>
            <w:r w:rsidRPr="007E0108">
              <w:rPr>
                <w:rFonts w:eastAsia="Times New Roman" w:cs="Times New Roman"/>
                <w:sz w:val="18"/>
                <w:szCs w:val="18"/>
                <w:lang w:eastAsia="sk-SK"/>
              </w:rPr>
              <w:t>34 759</w:t>
            </w:r>
          </w:p>
        </w:tc>
        <w:tc>
          <w:tcPr>
            <w:tcW w:w="584" w:type="pct"/>
            <w:tcBorders>
              <w:top w:val="nil"/>
              <w:left w:val="nil"/>
              <w:bottom w:val="nil"/>
              <w:right w:val="nil"/>
            </w:tcBorders>
            <w:shd w:val="clear" w:color="auto" w:fill="auto"/>
            <w:noWrap/>
            <w:vAlign w:val="bottom"/>
            <w:hideMark/>
          </w:tcPr>
          <w:p w14:paraId="607881A2" w14:textId="77777777" w:rsidR="004567F7" w:rsidRPr="007E0108" w:rsidRDefault="004567F7" w:rsidP="00144775">
            <w:pPr>
              <w:spacing w:after="0" w:line="240" w:lineRule="auto"/>
              <w:jc w:val="right"/>
              <w:rPr>
                <w:rFonts w:eastAsia="Times New Roman" w:cs="Times New Roman"/>
                <w:sz w:val="18"/>
                <w:szCs w:val="18"/>
                <w:lang w:eastAsia="sk-SK"/>
              </w:rPr>
            </w:pPr>
            <w:r w:rsidRPr="007E0108">
              <w:rPr>
                <w:rFonts w:eastAsia="Times New Roman" w:cs="Times New Roman"/>
                <w:sz w:val="18"/>
                <w:szCs w:val="18"/>
                <w:lang w:eastAsia="sk-SK"/>
              </w:rPr>
              <w:t>33 313</w:t>
            </w:r>
          </w:p>
        </w:tc>
        <w:tc>
          <w:tcPr>
            <w:tcW w:w="584" w:type="pct"/>
            <w:tcBorders>
              <w:top w:val="nil"/>
              <w:left w:val="nil"/>
              <w:bottom w:val="nil"/>
              <w:right w:val="nil"/>
            </w:tcBorders>
            <w:shd w:val="clear" w:color="000000" w:fill="BFBFBF"/>
            <w:noWrap/>
            <w:vAlign w:val="bottom"/>
            <w:hideMark/>
          </w:tcPr>
          <w:p w14:paraId="0A1212C0" w14:textId="77777777" w:rsidR="004567F7" w:rsidRPr="007E0108" w:rsidRDefault="004567F7" w:rsidP="00144775">
            <w:pPr>
              <w:spacing w:after="0" w:line="240" w:lineRule="auto"/>
              <w:jc w:val="right"/>
              <w:rPr>
                <w:rFonts w:eastAsia="Times New Roman" w:cs="Times New Roman"/>
                <w:sz w:val="18"/>
                <w:szCs w:val="18"/>
                <w:lang w:eastAsia="sk-SK"/>
              </w:rPr>
            </w:pPr>
            <w:r w:rsidRPr="007E0108">
              <w:rPr>
                <w:rFonts w:eastAsia="Times New Roman" w:cs="Times New Roman"/>
                <w:sz w:val="18"/>
                <w:szCs w:val="18"/>
                <w:lang w:eastAsia="sk-SK"/>
              </w:rPr>
              <w:t>46 549</w:t>
            </w:r>
          </w:p>
        </w:tc>
        <w:tc>
          <w:tcPr>
            <w:tcW w:w="417" w:type="pct"/>
            <w:tcBorders>
              <w:top w:val="nil"/>
              <w:left w:val="nil"/>
              <w:bottom w:val="nil"/>
              <w:right w:val="nil"/>
            </w:tcBorders>
            <w:shd w:val="clear" w:color="auto" w:fill="auto"/>
            <w:noWrap/>
            <w:vAlign w:val="bottom"/>
            <w:hideMark/>
          </w:tcPr>
          <w:p w14:paraId="7265FCA1" w14:textId="77777777" w:rsidR="004567F7" w:rsidRPr="007E0108" w:rsidRDefault="004567F7" w:rsidP="00144775">
            <w:pPr>
              <w:spacing w:after="0" w:line="240" w:lineRule="auto"/>
              <w:jc w:val="right"/>
              <w:rPr>
                <w:rFonts w:eastAsia="Times New Roman" w:cs="Times New Roman"/>
                <w:sz w:val="18"/>
                <w:szCs w:val="18"/>
                <w:lang w:eastAsia="sk-SK"/>
              </w:rPr>
            </w:pPr>
            <w:r w:rsidRPr="007E0108">
              <w:rPr>
                <w:rFonts w:eastAsia="Times New Roman" w:cs="Times New Roman"/>
                <w:sz w:val="18"/>
                <w:szCs w:val="18"/>
                <w:lang w:eastAsia="sk-SK"/>
              </w:rPr>
              <w:t>13 236</w:t>
            </w:r>
          </w:p>
        </w:tc>
      </w:tr>
      <w:tr w:rsidR="004567F7" w:rsidRPr="007E0108" w14:paraId="6528E40A" w14:textId="77777777" w:rsidTr="007E0108">
        <w:trPr>
          <w:trHeight w:val="300"/>
        </w:trPr>
        <w:tc>
          <w:tcPr>
            <w:tcW w:w="2765" w:type="pct"/>
            <w:tcBorders>
              <w:top w:val="nil"/>
              <w:left w:val="nil"/>
              <w:bottom w:val="nil"/>
              <w:right w:val="nil"/>
            </w:tcBorders>
            <w:shd w:val="clear" w:color="auto" w:fill="auto"/>
            <w:noWrap/>
            <w:vAlign w:val="bottom"/>
            <w:hideMark/>
          </w:tcPr>
          <w:p w14:paraId="1A608130" w14:textId="77777777" w:rsidR="004567F7" w:rsidRPr="007E0108" w:rsidRDefault="004567F7" w:rsidP="00144775">
            <w:pPr>
              <w:spacing w:after="0" w:line="240" w:lineRule="auto"/>
              <w:jc w:val="left"/>
              <w:rPr>
                <w:rFonts w:eastAsia="Times New Roman" w:cs="Times New Roman"/>
                <w:sz w:val="18"/>
                <w:szCs w:val="18"/>
                <w:lang w:eastAsia="sk-SK"/>
              </w:rPr>
            </w:pPr>
            <w:r w:rsidRPr="007E0108">
              <w:rPr>
                <w:rFonts w:eastAsia="Times New Roman" w:cs="Times New Roman"/>
                <w:sz w:val="18"/>
                <w:szCs w:val="18"/>
                <w:lang w:eastAsia="sk-SK"/>
              </w:rPr>
              <w:t>Investičné dodávateľské úvery a dodávateľské úvery</w:t>
            </w:r>
          </w:p>
        </w:tc>
        <w:tc>
          <w:tcPr>
            <w:tcW w:w="649" w:type="pct"/>
            <w:tcBorders>
              <w:top w:val="nil"/>
              <w:left w:val="nil"/>
              <w:bottom w:val="nil"/>
              <w:right w:val="nil"/>
            </w:tcBorders>
            <w:shd w:val="clear" w:color="auto" w:fill="auto"/>
            <w:noWrap/>
            <w:vAlign w:val="bottom"/>
            <w:hideMark/>
          </w:tcPr>
          <w:p w14:paraId="0348C9A3" w14:textId="77777777" w:rsidR="004567F7" w:rsidRPr="007E0108" w:rsidRDefault="004567F7" w:rsidP="00144775">
            <w:pPr>
              <w:spacing w:after="0" w:line="240" w:lineRule="auto"/>
              <w:jc w:val="right"/>
              <w:rPr>
                <w:rFonts w:eastAsia="Times New Roman" w:cs="Times New Roman"/>
                <w:sz w:val="18"/>
                <w:szCs w:val="18"/>
                <w:lang w:eastAsia="sk-SK"/>
              </w:rPr>
            </w:pPr>
            <w:r w:rsidRPr="007E0108">
              <w:rPr>
                <w:rFonts w:eastAsia="Times New Roman" w:cs="Times New Roman"/>
                <w:sz w:val="18"/>
                <w:szCs w:val="18"/>
                <w:lang w:eastAsia="sk-SK"/>
              </w:rPr>
              <w:t>5 040</w:t>
            </w:r>
          </w:p>
        </w:tc>
        <w:tc>
          <w:tcPr>
            <w:tcW w:w="584" w:type="pct"/>
            <w:tcBorders>
              <w:top w:val="nil"/>
              <w:left w:val="nil"/>
              <w:bottom w:val="nil"/>
              <w:right w:val="nil"/>
            </w:tcBorders>
            <w:shd w:val="clear" w:color="auto" w:fill="auto"/>
            <w:noWrap/>
            <w:vAlign w:val="bottom"/>
            <w:hideMark/>
          </w:tcPr>
          <w:p w14:paraId="1A6C125D" w14:textId="77777777" w:rsidR="004567F7" w:rsidRPr="007E0108" w:rsidRDefault="004567F7" w:rsidP="00144775">
            <w:pPr>
              <w:spacing w:after="0" w:line="240" w:lineRule="auto"/>
              <w:jc w:val="right"/>
              <w:rPr>
                <w:rFonts w:eastAsia="Times New Roman" w:cs="Times New Roman"/>
                <w:sz w:val="18"/>
                <w:szCs w:val="18"/>
                <w:lang w:eastAsia="sk-SK"/>
              </w:rPr>
            </w:pPr>
            <w:r w:rsidRPr="007E0108">
              <w:rPr>
                <w:rFonts w:eastAsia="Times New Roman" w:cs="Times New Roman"/>
                <w:sz w:val="18"/>
                <w:szCs w:val="18"/>
                <w:lang w:eastAsia="sk-SK"/>
              </w:rPr>
              <w:t>9 542</w:t>
            </w:r>
          </w:p>
        </w:tc>
        <w:tc>
          <w:tcPr>
            <w:tcW w:w="584" w:type="pct"/>
            <w:tcBorders>
              <w:top w:val="nil"/>
              <w:left w:val="nil"/>
              <w:bottom w:val="nil"/>
              <w:right w:val="nil"/>
            </w:tcBorders>
            <w:shd w:val="clear" w:color="000000" w:fill="BFBFBF"/>
            <w:noWrap/>
            <w:vAlign w:val="bottom"/>
            <w:hideMark/>
          </w:tcPr>
          <w:p w14:paraId="3F092A57" w14:textId="77777777" w:rsidR="004567F7" w:rsidRPr="007E0108" w:rsidRDefault="004567F7" w:rsidP="00144775">
            <w:pPr>
              <w:spacing w:after="0" w:line="240" w:lineRule="auto"/>
              <w:jc w:val="right"/>
              <w:rPr>
                <w:rFonts w:eastAsia="Times New Roman" w:cs="Times New Roman"/>
                <w:sz w:val="18"/>
                <w:szCs w:val="18"/>
                <w:lang w:eastAsia="sk-SK"/>
              </w:rPr>
            </w:pPr>
            <w:r w:rsidRPr="007E0108">
              <w:rPr>
                <w:rFonts w:eastAsia="Times New Roman" w:cs="Times New Roman"/>
                <w:sz w:val="18"/>
                <w:szCs w:val="18"/>
                <w:lang w:eastAsia="sk-SK"/>
              </w:rPr>
              <w:t>17 610</w:t>
            </w:r>
          </w:p>
        </w:tc>
        <w:tc>
          <w:tcPr>
            <w:tcW w:w="417" w:type="pct"/>
            <w:tcBorders>
              <w:top w:val="nil"/>
              <w:left w:val="nil"/>
              <w:bottom w:val="nil"/>
              <w:right w:val="nil"/>
            </w:tcBorders>
            <w:shd w:val="clear" w:color="auto" w:fill="auto"/>
            <w:noWrap/>
            <w:vAlign w:val="bottom"/>
            <w:hideMark/>
          </w:tcPr>
          <w:p w14:paraId="5DAA310F" w14:textId="77777777" w:rsidR="004567F7" w:rsidRPr="007E0108" w:rsidRDefault="004567F7" w:rsidP="00144775">
            <w:pPr>
              <w:spacing w:after="0" w:line="240" w:lineRule="auto"/>
              <w:jc w:val="right"/>
              <w:rPr>
                <w:rFonts w:eastAsia="Times New Roman" w:cs="Times New Roman"/>
                <w:sz w:val="18"/>
                <w:szCs w:val="18"/>
                <w:lang w:eastAsia="sk-SK"/>
              </w:rPr>
            </w:pPr>
            <w:r w:rsidRPr="007E0108">
              <w:rPr>
                <w:rFonts w:eastAsia="Times New Roman" w:cs="Times New Roman"/>
                <w:sz w:val="18"/>
                <w:szCs w:val="18"/>
                <w:lang w:eastAsia="sk-SK"/>
              </w:rPr>
              <w:t>8 068</w:t>
            </w:r>
          </w:p>
        </w:tc>
      </w:tr>
      <w:tr w:rsidR="004567F7" w:rsidRPr="007E0108" w14:paraId="7B3D710A" w14:textId="77777777" w:rsidTr="007E0108">
        <w:trPr>
          <w:trHeight w:val="300"/>
        </w:trPr>
        <w:tc>
          <w:tcPr>
            <w:tcW w:w="2765" w:type="pct"/>
            <w:tcBorders>
              <w:top w:val="nil"/>
              <w:left w:val="nil"/>
              <w:bottom w:val="nil"/>
              <w:right w:val="nil"/>
            </w:tcBorders>
            <w:shd w:val="clear" w:color="auto" w:fill="auto"/>
            <w:noWrap/>
            <w:vAlign w:val="bottom"/>
            <w:hideMark/>
          </w:tcPr>
          <w:p w14:paraId="6CC13A6F" w14:textId="77777777" w:rsidR="004567F7" w:rsidRPr="007E0108" w:rsidRDefault="004567F7" w:rsidP="00144775">
            <w:pPr>
              <w:spacing w:after="0" w:line="240" w:lineRule="auto"/>
              <w:jc w:val="left"/>
              <w:rPr>
                <w:rFonts w:eastAsia="Times New Roman" w:cs="Times New Roman"/>
                <w:sz w:val="18"/>
                <w:szCs w:val="18"/>
                <w:lang w:eastAsia="sk-SK"/>
              </w:rPr>
            </w:pPr>
            <w:r w:rsidRPr="007E0108">
              <w:rPr>
                <w:rFonts w:eastAsia="Times New Roman" w:cs="Times New Roman"/>
                <w:sz w:val="18"/>
                <w:szCs w:val="18"/>
                <w:lang w:eastAsia="sk-SK"/>
              </w:rPr>
              <w:t>Finančný prenájom</w:t>
            </w:r>
          </w:p>
        </w:tc>
        <w:tc>
          <w:tcPr>
            <w:tcW w:w="649" w:type="pct"/>
            <w:tcBorders>
              <w:top w:val="nil"/>
              <w:left w:val="nil"/>
              <w:bottom w:val="nil"/>
              <w:right w:val="nil"/>
            </w:tcBorders>
            <w:shd w:val="clear" w:color="auto" w:fill="auto"/>
            <w:noWrap/>
            <w:vAlign w:val="bottom"/>
            <w:hideMark/>
          </w:tcPr>
          <w:p w14:paraId="4BEB9641" w14:textId="77777777" w:rsidR="004567F7" w:rsidRPr="007E0108" w:rsidRDefault="004567F7" w:rsidP="00144775">
            <w:pPr>
              <w:spacing w:after="0" w:line="240" w:lineRule="auto"/>
              <w:jc w:val="right"/>
              <w:rPr>
                <w:rFonts w:eastAsia="Times New Roman" w:cs="Times New Roman"/>
                <w:sz w:val="18"/>
                <w:szCs w:val="18"/>
                <w:lang w:eastAsia="sk-SK"/>
              </w:rPr>
            </w:pPr>
            <w:r w:rsidRPr="007E0108">
              <w:rPr>
                <w:rFonts w:eastAsia="Times New Roman" w:cs="Times New Roman"/>
                <w:sz w:val="18"/>
                <w:szCs w:val="18"/>
                <w:lang w:eastAsia="sk-SK"/>
              </w:rPr>
              <w:t>6 236</w:t>
            </w:r>
          </w:p>
        </w:tc>
        <w:tc>
          <w:tcPr>
            <w:tcW w:w="584" w:type="pct"/>
            <w:tcBorders>
              <w:top w:val="nil"/>
              <w:left w:val="nil"/>
              <w:bottom w:val="nil"/>
              <w:right w:val="nil"/>
            </w:tcBorders>
            <w:shd w:val="clear" w:color="auto" w:fill="auto"/>
            <w:noWrap/>
            <w:vAlign w:val="bottom"/>
            <w:hideMark/>
          </w:tcPr>
          <w:p w14:paraId="27F0250A" w14:textId="77777777" w:rsidR="004567F7" w:rsidRPr="007E0108" w:rsidRDefault="004567F7" w:rsidP="00144775">
            <w:pPr>
              <w:spacing w:after="0" w:line="240" w:lineRule="auto"/>
              <w:jc w:val="right"/>
              <w:rPr>
                <w:rFonts w:eastAsia="Times New Roman" w:cs="Times New Roman"/>
                <w:sz w:val="18"/>
                <w:szCs w:val="18"/>
                <w:lang w:eastAsia="sk-SK"/>
              </w:rPr>
            </w:pPr>
            <w:r w:rsidRPr="007E0108">
              <w:rPr>
                <w:rFonts w:eastAsia="Times New Roman" w:cs="Times New Roman"/>
                <w:sz w:val="18"/>
                <w:szCs w:val="18"/>
                <w:lang w:eastAsia="sk-SK"/>
              </w:rPr>
              <w:t>5 701</w:t>
            </w:r>
          </w:p>
        </w:tc>
        <w:tc>
          <w:tcPr>
            <w:tcW w:w="584" w:type="pct"/>
            <w:tcBorders>
              <w:top w:val="nil"/>
              <w:left w:val="nil"/>
              <w:bottom w:val="nil"/>
              <w:right w:val="nil"/>
            </w:tcBorders>
            <w:shd w:val="clear" w:color="000000" w:fill="BFBFBF"/>
            <w:noWrap/>
            <w:vAlign w:val="bottom"/>
            <w:hideMark/>
          </w:tcPr>
          <w:p w14:paraId="42C9B9EA" w14:textId="77777777" w:rsidR="004567F7" w:rsidRPr="007E0108" w:rsidRDefault="004567F7" w:rsidP="00144775">
            <w:pPr>
              <w:spacing w:after="0" w:line="240" w:lineRule="auto"/>
              <w:jc w:val="right"/>
              <w:rPr>
                <w:rFonts w:eastAsia="Times New Roman" w:cs="Times New Roman"/>
                <w:sz w:val="18"/>
                <w:szCs w:val="18"/>
                <w:lang w:eastAsia="sk-SK"/>
              </w:rPr>
            </w:pPr>
            <w:r w:rsidRPr="007E0108">
              <w:rPr>
                <w:rFonts w:eastAsia="Times New Roman" w:cs="Times New Roman"/>
                <w:sz w:val="18"/>
                <w:szCs w:val="18"/>
                <w:lang w:eastAsia="sk-SK"/>
              </w:rPr>
              <w:t>5 343</w:t>
            </w:r>
          </w:p>
        </w:tc>
        <w:tc>
          <w:tcPr>
            <w:tcW w:w="417" w:type="pct"/>
            <w:tcBorders>
              <w:top w:val="nil"/>
              <w:left w:val="nil"/>
              <w:bottom w:val="nil"/>
              <w:right w:val="nil"/>
            </w:tcBorders>
            <w:shd w:val="clear" w:color="auto" w:fill="auto"/>
            <w:noWrap/>
            <w:vAlign w:val="bottom"/>
            <w:hideMark/>
          </w:tcPr>
          <w:p w14:paraId="4FEE1236" w14:textId="77777777" w:rsidR="004567F7" w:rsidRPr="007E0108" w:rsidRDefault="004567F7" w:rsidP="00144775">
            <w:pPr>
              <w:spacing w:after="0" w:line="240" w:lineRule="auto"/>
              <w:jc w:val="right"/>
              <w:rPr>
                <w:rFonts w:eastAsia="Times New Roman" w:cs="Times New Roman"/>
                <w:sz w:val="18"/>
                <w:szCs w:val="18"/>
                <w:lang w:eastAsia="sk-SK"/>
              </w:rPr>
            </w:pPr>
            <w:r w:rsidRPr="007E0108">
              <w:rPr>
                <w:rFonts w:eastAsia="Times New Roman" w:cs="Times New Roman"/>
                <w:sz w:val="18"/>
                <w:szCs w:val="18"/>
                <w:lang w:eastAsia="sk-SK"/>
              </w:rPr>
              <w:t>-358</w:t>
            </w:r>
          </w:p>
        </w:tc>
      </w:tr>
      <w:tr w:rsidR="004567F7" w:rsidRPr="007E0108" w14:paraId="42077112" w14:textId="77777777" w:rsidTr="007E0108">
        <w:trPr>
          <w:trHeight w:val="300"/>
        </w:trPr>
        <w:tc>
          <w:tcPr>
            <w:tcW w:w="2765" w:type="pct"/>
            <w:tcBorders>
              <w:top w:val="nil"/>
              <w:left w:val="nil"/>
              <w:bottom w:val="nil"/>
              <w:right w:val="nil"/>
            </w:tcBorders>
            <w:shd w:val="clear" w:color="auto" w:fill="auto"/>
            <w:noWrap/>
            <w:vAlign w:val="bottom"/>
            <w:hideMark/>
          </w:tcPr>
          <w:p w14:paraId="7F267B26" w14:textId="77777777" w:rsidR="004567F7" w:rsidRPr="007E0108" w:rsidRDefault="004567F7" w:rsidP="00144775">
            <w:pPr>
              <w:spacing w:after="0" w:line="240" w:lineRule="auto"/>
              <w:jc w:val="left"/>
              <w:rPr>
                <w:rFonts w:eastAsia="Times New Roman" w:cs="Times New Roman"/>
                <w:sz w:val="18"/>
                <w:szCs w:val="18"/>
                <w:lang w:eastAsia="sk-SK"/>
              </w:rPr>
            </w:pPr>
            <w:r w:rsidRPr="007E0108">
              <w:rPr>
                <w:rFonts w:eastAsia="Times New Roman" w:cs="Times New Roman"/>
                <w:sz w:val="18"/>
                <w:szCs w:val="18"/>
                <w:lang w:eastAsia="sk-SK"/>
              </w:rPr>
              <w:t>Zábezpeky</w:t>
            </w:r>
          </w:p>
        </w:tc>
        <w:tc>
          <w:tcPr>
            <w:tcW w:w="649" w:type="pct"/>
            <w:tcBorders>
              <w:top w:val="nil"/>
              <w:left w:val="nil"/>
              <w:bottom w:val="nil"/>
              <w:right w:val="nil"/>
            </w:tcBorders>
            <w:shd w:val="clear" w:color="auto" w:fill="auto"/>
            <w:noWrap/>
            <w:vAlign w:val="bottom"/>
            <w:hideMark/>
          </w:tcPr>
          <w:p w14:paraId="024F5E04" w14:textId="77777777" w:rsidR="004567F7" w:rsidRPr="007E0108" w:rsidRDefault="004567F7" w:rsidP="00144775">
            <w:pPr>
              <w:spacing w:after="0" w:line="240" w:lineRule="auto"/>
              <w:jc w:val="right"/>
              <w:rPr>
                <w:rFonts w:eastAsia="Times New Roman" w:cs="Times New Roman"/>
                <w:sz w:val="18"/>
                <w:szCs w:val="18"/>
                <w:lang w:eastAsia="sk-SK"/>
              </w:rPr>
            </w:pPr>
            <w:r w:rsidRPr="007E0108">
              <w:rPr>
                <w:rFonts w:eastAsia="Times New Roman" w:cs="Times New Roman"/>
                <w:sz w:val="18"/>
                <w:szCs w:val="18"/>
                <w:lang w:eastAsia="sk-SK"/>
              </w:rPr>
              <w:t>11 739</w:t>
            </w:r>
          </w:p>
        </w:tc>
        <w:tc>
          <w:tcPr>
            <w:tcW w:w="584" w:type="pct"/>
            <w:tcBorders>
              <w:top w:val="nil"/>
              <w:left w:val="nil"/>
              <w:bottom w:val="nil"/>
              <w:right w:val="nil"/>
            </w:tcBorders>
            <w:shd w:val="clear" w:color="auto" w:fill="auto"/>
            <w:noWrap/>
            <w:vAlign w:val="bottom"/>
            <w:hideMark/>
          </w:tcPr>
          <w:p w14:paraId="39D660A6" w14:textId="77777777" w:rsidR="004567F7" w:rsidRPr="007E0108" w:rsidRDefault="004567F7" w:rsidP="00144775">
            <w:pPr>
              <w:spacing w:after="0" w:line="240" w:lineRule="auto"/>
              <w:jc w:val="right"/>
              <w:rPr>
                <w:rFonts w:eastAsia="Times New Roman" w:cs="Times New Roman"/>
                <w:sz w:val="18"/>
                <w:szCs w:val="18"/>
                <w:lang w:eastAsia="sk-SK"/>
              </w:rPr>
            </w:pPr>
            <w:r w:rsidRPr="007E0108">
              <w:rPr>
                <w:rFonts w:eastAsia="Times New Roman" w:cs="Times New Roman"/>
                <w:sz w:val="18"/>
                <w:szCs w:val="18"/>
                <w:lang w:eastAsia="sk-SK"/>
              </w:rPr>
              <w:t>15 323</w:t>
            </w:r>
          </w:p>
        </w:tc>
        <w:tc>
          <w:tcPr>
            <w:tcW w:w="584" w:type="pct"/>
            <w:tcBorders>
              <w:top w:val="nil"/>
              <w:left w:val="nil"/>
              <w:bottom w:val="nil"/>
              <w:right w:val="nil"/>
            </w:tcBorders>
            <w:shd w:val="clear" w:color="000000" w:fill="BFBFBF"/>
            <w:noWrap/>
            <w:vAlign w:val="bottom"/>
            <w:hideMark/>
          </w:tcPr>
          <w:p w14:paraId="704685B0" w14:textId="77777777" w:rsidR="004567F7" w:rsidRPr="007E0108" w:rsidRDefault="004567F7" w:rsidP="00144775">
            <w:pPr>
              <w:spacing w:after="0" w:line="240" w:lineRule="auto"/>
              <w:jc w:val="right"/>
              <w:rPr>
                <w:rFonts w:eastAsia="Times New Roman" w:cs="Times New Roman"/>
                <w:sz w:val="18"/>
                <w:szCs w:val="18"/>
                <w:lang w:eastAsia="sk-SK"/>
              </w:rPr>
            </w:pPr>
            <w:r w:rsidRPr="007E0108">
              <w:rPr>
                <w:rFonts w:eastAsia="Times New Roman" w:cs="Times New Roman"/>
                <w:sz w:val="18"/>
                <w:szCs w:val="18"/>
                <w:lang w:eastAsia="sk-SK"/>
              </w:rPr>
              <w:t>20 940</w:t>
            </w:r>
          </w:p>
        </w:tc>
        <w:tc>
          <w:tcPr>
            <w:tcW w:w="417" w:type="pct"/>
            <w:tcBorders>
              <w:top w:val="nil"/>
              <w:left w:val="nil"/>
              <w:bottom w:val="nil"/>
              <w:right w:val="nil"/>
            </w:tcBorders>
            <w:shd w:val="clear" w:color="auto" w:fill="auto"/>
            <w:noWrap/>
            <w:vAlign w:val="bottom"/>
            <w:hideMark/>
          </w:tcPr>
          <w:p w14:paraId="5C83A96C" w14:textId="77777777" w:rsidR="004567F7" w:rsidRPr="007E0108" w:rsidRDefault="004567F7" w:rsidP="00144775">
            <w:pPr>
              <w:spacing w:after="0" w:line="240" w:lineRule="auto"/>
              <w:jc w:val="right"/>
              <w:rPr>
                <w:rFonts w:eastAsia="Times New Roman" w:cs="Times New Roman"/>
                <w:sz w:val="18"/>
                <w:szCs w:val="18"/>
                <w:lang w:eastAsia="sk-SK"/>
              </w:rPr>
            </w:pPr>
            <w:r w:rsidRPr="007E0108">
              <w:rPr>
                <w:rFonts w:eastAsia="Times New Roman" w:cs="Times New Roman"/>
                <w:sz w:val="18"/>
                <w:szCs w:val="18"/>
                <w:lang w:eastAsia="sk-SK"/>
              </w:rPr>
              <w:t>5 617</w:t>
            </w:r>
          </w:p>
        </w:tc>
      </w:tr>
      <w:tr w:rsidR="004567F7" w:rsidRPr="007E0108" w14:paraId="37193E48" w14:textId="77777777" w:rsidTr="007E0108">
        <w:trPr>
          <w:trHeight w:val="300"/>
        </w:trPr>
        <w:tc>
          <w:tcPr>
            <w:tcW w:w="2765" w:type="pct"/>
            <w:tcBorders>
              <w:top w:val="nil"/>
              <w:left w:val="nil"/>
              <w:bottom w:val="nil"/>
              <w:right w:val="nil"/>
            </w:tcBorders>
            <w:shd w:val="clear" w:color="auto" w:fill="auto"/>
            <w:noWrap/>
            <w:vAlign w:val="bottom"/>
            <w:hideMark/>
          </w:tcPr>
          <w:p w14:paraId="32899B67" w14:textId="77777777" w:rsidR="004567F7" w:rsidRPr="007E0108" w:rsidRDefault="004567F7" w:rsidP="00144775">
            <w:pPr>
              <w:spacing w:after="0" w:line="240" w:lineRule="auto"/>
              <w:jc w:val="left"/>
              <w:rPr>
                <w:rFonts w:eastAsia="Times New Roman" w:cs="Times New Roman"/>
                <w:sz w:val="18"/>
                <w:szCs w:val="18"/>
                <w:lang w:eastAsia="sk-SK"/>
              </w:rPr>
            </w:pPr>
            <w:r w:rsidRPr="007E0108">
              <w:rPr>
                <w:rFonts w:eastAsia="Times New Roman" w:cs="Times New Roman"/>
                <w:sz w:val="18"/>
                <w:szCs w:val="18"/>
                <w:lang w:eastAsia="sk-SK"/>
              </w:rPr>
              <w:t>Ostatné nebankové pôžičky</w:t>
            </w:r>
          </w:p>
        </w:tc>
        <w:tc>
          <w:tcPr>
            <w:tcW w:w="649" w:type="pct"/>
            <w:tcBorders>
              <w:top w:val="nil"/>
              <w:left w:val="nil"/>
              <w:bottom w:val="nil"/>
              <w:right w:val="nil"/>
            </w:tcBorders>
            <w:shd w:val="clear" w:color="auto" w:fill="auto"/>
            <w:noWrap/>
            <w:vAlign w:val="bottom"/>
            <w:hideMark/>
          </w:tcPr>
          <w:p w14:paraId="641B8C6B" w14:textId="77777777" w:rsidR="004567F7" w:rsidRPr="007E0108" w:rsidRDefault="004567F7" w:rsidP="00144775">
            <w:pPr>
              <w:spacing w:after="0" w:line="240" w:lineRule="auto"/>
              <w:jc w:val="right"/>
              <w:rPr>
                <w:rFonts w:eastAsia="Times New Roman" w:cs="Times New Roman"/>
                <w:sz w:val="18"/>
                <w:szCs w:val="18"/>
                <w:lang w:eastAsia="sk-SK"/>
              </w:rPr>
            </w:pPr>
            <w:r w:rsidRPr="007E0108">
              <w:rPr>
                <w:rFonts w:eastAsia="Times New Roman" w:cs="Times New Roman"/>
                <w:sz w:val="18"/>
                <w:szCs w:val="18"/>
                <w:lang w:eastAsia="sk-SK"/>
              </w:rPr>
              <w:t>3 180</w:t>
            </w:r>
          </w:p>
        </w:tc>
        <w:tc>
          <w:tcPr>
            <w:tcW w:w="584" w:type="pct"/>
            <w:tcBorders>
              <w:top w:val="nil"/>
              <w:left w:val="nil"/>
              <w:bottom w:val="nil"/>
              <w:right w:val="nil"/>
            </w:tcBorders>
            <w:shd w:val="clear" w:color="auto" w:fill="auto"/>
            <w:noWrap/>
            <w:vAlign w:val="bottom"/>
            <w:hideMark/>
          </w:tcPr>
          <w:p w14:paraId="0FE6C216" w14:textId="77777777" w:rsidR="004567F7" w:rsidRPr="007E0108" w:rsidRDefault="004567F7" w:rsidP="00144775">
            <w:pPr>
              <w:spacing w:after="0" w:line="240" w:lineRule="auto"/>
              <w:jc w:val="right"/>
              <w:rPr>
                <w:rFonts w:eastAsia="Times New Roman" w:cs="Times New Roman"/>
                <w:sz w:val="18"/>
                <w:szCs w:val="18"/>
                <w:lang w:eastAsia="sk-SK"/>
              </w:rPr>
            </w:pPr>
            <w:r w:rsidRPr="007E0108">
              <w:rPr>
                <w:rFonts w:eastAsia="Times New Roman" w:cs="Times New Roman"/>
                <w:sz w:val="18"/>
                <w:szCs w:val="18"/>
                <w:lang w:eastAsia="sk-SK"/>
              </w:rPr>
              <w:t>3 351</w:t>
            </w:r>
          </w:p>
        </w:tc>
        <w:tc>
          <w:tcPr>
            <w:tcW w:w="584" w:type="pct"/>
            <w:tcBorders>
              <w:top w:val="nil"/>
              <w:left w:val="nil"/>
              <w:bottom w:val="nil"/>
              <w:right w:val="nil"/>
            </w:tcBorders>
            <w:shd w:val="clear" w:color="000000" w:fill="BFBFBF"/>
            <w:noWrap/>
            <w:vAlign w:val="bottom"/>
            <w:hideMark/>
          </w:tcPr>
          <w:p w14:paraId="22B077F9" w14:textId="77777777" w:rsidR="004567F7" w:rsidRPr="007E0108" w:rsidRDefault="004567F7" w:rsidP="00144775">
            <w:pPr>
              <w:spacing w:after="0" w:line="240" w:lineRule="auto"/>
              <w:jc w:val="right"/>
              <w:rPr>
                <w:rFonts w:eastAsia="Times New Roman" w:cs="Times New Roman"/>
                <w:sz w:val="18"/>
                <w:szCs w:val="18"/>
                <w:lang w:eastAsia="sk-SK"/>
              </w:rPr>
            </w:pPr>
            <w:r w:rsidRPr="007E0108">
              <w:rPr>
                <w:rFonts w:eastAsia="Times New Roman" w:cs="Times New Roman"/>
                <w:sz w:val="18"/>
                <w:szCs w:val="18"/>
                <w:lang w:eastAsia="sk-SK"/>
              </w:rPr>
              <w:t>3 901</w:t>
            </w:r>
          </w:p>
        </w:tc>
        <w:tc>
          <w:tcPr>
            <w:tcW w:w="417" w:type="pct"/>
            <w:tcBorders>
              <w:top w:val="nil"/>
              <w:left w:val="nil"/>
              <w:bottom w:val="nil"/>
              <w:right w:val="nil"/>
            </w:tcBorders>
            <w:shd w:val="clear" w:color="auto" w:fill="auto"/>
            <w:noWrap/>
            <w:vAlign w:val="bottom"/>
            <w:hideMark/>
          </w:tcPr>
          <w:p w14:paraId="66F744DA" w14:textId="77777777" w:rsidR="004567F7" w:rsidRPr="007E0108" w:rsidRDefault="004567F7" w:rsidP="00144775">
            <w:pPr>
              <w:spacing w:after="0" w:line="240" w:lineRule="auto"/>
              <w:jc w:val="right"/>
              <w:rPr>
                <w:rFonts w:eastAsia="Times New Roman" w:cs="Times New Roman"/>
                <w:sz w:val="18"/>
                <w:szCs w:val="18"/>
                <w:lang w:eastAsia="sk-SK"/>
              </w:rPr>
            </w:pPr>
            <w:r w:rsidRPr="007E0108">
              <w:rPr>
                <w:rFonts w:eastAsia="Times New Roman" w:cs="Times New Roman"/>
                <w:sz w:val="18"/>
                <w:szCs w:val="18"/>
                <w:lang w:eastAsia="sk-SK"/>
              </w:rPr>
              <w:t>550</w:t>
            </w:r>
          </w:p>
        </w:tc>
      </w:tr>
      <w:tr w:rsidR="004567F7" w:rsidRPr="007E0108" w14:paraId="00FD54D0" w14:textId="77777777" w:rsidTr="007E0108">
        <w:trPr>
          <w:trHeight w:val="300"/>
        </w:trPr>
        <w:tc>
          <w:tcPr>
            <w:tcW w:w="2765" w:type="pct"/>
            <w:tcBorders>
              <w:top w:val="nil"/>
              <w:left w:val="nil"/>
              <w:bottom w:val="nil"/>
              <w:right w:val="nil"/>
            </w:tcBorders>
            <w:shd w:val="clear" w:color="auto" w:fill="auto"/>
            <w:noWrap/>
            <w:vAlign w:val="bottom"/>
            <w:hideMark/>
          </w:tcPr>
          <w:p w14:paraId="5E7716E3" w14:textId="77777777" w:rsidR="004567F7" w:rsidRPr="007E0108" w:rsidRDefault="004567F7" w:rsidP="00144775">
            <w:pPr>
              <w:spacing w:after="0" w:line="240" w:lineRule="auto"/>
              <w:jc w:val="left"/>
              <w:rPr>
                <w:rFonts w:eastAsia="Times New Roman" w:cs="Times New Roman"/>
                <w:b/>
                <w:bCs/>
                <w:sz w:val="18"/>
                <w:szCs w:val="18"/>
                <w:lang w:eastAsia="sk-SK"/>
              </w:rPr>
            </w:pPr>
            <w:r w:rsidRPr="007E0108">
              <w:rPr>
                <w:rFonts w:eastAsia="Times New Roman" w:cs="Times New Roman"/>
                <w:b/>
                <w:bCs/>
                <w:sz w:val="18"/>
                <w:szCs w:val="18"/>
                <w:lang w:eastAsia="sk-SK"/>
              </w:rPr>
              <w:t>Spolu nekonsolidovaný dlh obcí</w:t>
            </w:r>
          </w:p>
        </w:tc>
        <w:tc>
          <w:tcPr>
            <w:tcW w:w="649" w:type="pct"/>
            <w:tcBorders>
              <w:top w:val="nil"/>
              <w:left w:val="nil"/>
              <w:bottom w:val="nil"/>
              <w:right w:val="nil"/>
            </w:tcBorders>
            <w:shd w:val="clear" w:color="auto" w:fill="auto"/>
            <w:noWrap/>
            <w:vAlign w:val="bottom"/>
            <w:hideMark/>
          </w:tcPr>
          <w:p w14:paraId="19B5EE4A" w14:textId="77777777" w:rsidR="004567F7" w:rsidRPr="007E0108" w:rsidRDefault="004567F7" w:rsidP="00144775">
            <w:pPr>
              <w:spacing w:after="0" w:line="240" w:lineRule="auto"/>
              <w:jc w:val="right"/>
              <w:rPr>
                <w:rFonts w:eastAsia="Times New Roman" w:cs="Times New Roman"/>
                <w:b/>
                <w:bCs/>
                <w:sz w:val="18"/>
                <w:szCs w:val="18"/>
                <w:lang w:eastAsia="sk-SK"/>
              </w:rPr>
            </w:pPr>
            <w:r w:rsidRPr="007E0108">
              <w:rPr>
                <w:rFonts w:eastAsia="Times New Roman" w:cs="Times New Roman"/>
                <w:b/>
                <w:bCs/>
                <w:sz w:val="18"/>
                <w:szCs w:val="18"/>
                <w:lang w:eastAsia="sk-SK"/>
              </w:rPr>
              <w:t>1 334 719</w:t>
            </w:r>
          </w:p>
        </w:tc>
        <w:tc>
          <w:tcPr>
            <w:tcW w:w="584" w:type="pct"/>
            <w:tcBorders>
              <w:top w:val="nil"/>
              <w:left w:val="nil"/>
              <w:bottom w:val="nil"/>
              <w:right w:val="nil"/>
            </w:tcBorders>
            <w:shd w:val="clear" w:color="auto" w:fill="auto"/>
            <w:noWrap/>
            <w:vAlign w:val="bottom"/>
            <w:hideMark/>
          </w:tcPr>
          <w:p w14:paraId="73834EF7" w14:textId="77777777" w:rsidR="004567F7" w:rsidRPr="007E0108" w:rsidRDefault="004567F7" w:rsidP="00144775">
            <w:pPr>
              <w:spacing w:after="0" w:line="240" w:lineRule="auto"/>
              <w:jc w:val="right"/>
              <w:rPr>
                <w:rFonts w:eastAsia="Times New Roman" w:cs="Times New Roman"/>
                <w:b/>
                <w:bCs/>
                <w:sz w:val="18"/>
                <w:szCs w:val="18"/>
                <w:lang w:eastAsia="sk-SK"/>
              </w:rPr>
            </w:pPr>
            <w:r w:rsidRPr="007E0108">
              <w:rPr>
                <w:rFonts w:eastAsia="Times New Roman" w:cs="Times New Roman"/>
                <w:b/>
                <w:bCs/>
                <w:sz w:val="18"/>
                <w:szCs w:val="18"/>
                <w:lang w:eastAsia="sk-SK"/>
              </w:rPr>
              <w:t>1 362 979</w:t>
            </w:r>
          </w:p>
        </w:tc>
        <w:tc>
          <w:tcPr>
            <w:tcW w:w="584" w:type="pct"/>
            <w:tcBorders>
              <w:top w:val="nil"/>
              <w:left w:val="nil"/>
              <w:bottom w:val="nil"/>
              <w:right w:val="nil"/>
            </w:tcBorders>
            <w:shd w:val="clear" w:color="000000" w:fill="BFBFBF"/>
            <w:noWrap/>
            <w:vAlign w:val="bottom"/>
            <w:hideMark/>
          </w:tcPr>
          <w:p w14:paraId="0F7961E1" w14:textId="77777777" w:rsidR="004567F7" w:rsidRPr="007E0108" w:rsidRDefault="004567F7" w:rsidP="00144775">
            <w:pPr>
              <w:spacing w:after="0" w:line="240" w:lineRule="auto"/>
              <w:jc w:val="right"/>
              <w:rPr>
                <w:rFonts w:eastAsia="Times New Roman" w:cs="Times New Roman"/>
                <w:b/>
                <w:bCs/>
                <w:sz w:val="18"/>
                <w:szCs w:val="18"/>
                <w:lang w:eastAsia="sk-SK"/>
              </w:rPr>
            </w:pPr>
            <w:r w:rsidRPr="007E0108">
              <w:rPr>
                <w:rFonts w:eastAsia="Times New Roman" w:cs="Times New Roman"/>
                <w:b/>
                <w:bCs/>
                <w:sz w:val="18"/>
                <w:szCs w:val="18"/>
                <w:lang w:eastAsia="sk-SK"/>
              </w:rPr>
              <w:t>1 455 000</w:t>
            </w:r>
          </w:p>
        </w:tc>
        <w:tc>
          <w:tcPr>
            <w:tcW w:w="417" w:type="pct"/>
            <w:tcBorders>
              <w:top w:val="nil"/>
              <w:left w:val="nil"/>
              <w:bottom w:val="nil"/>
              <w:right w:val="nil"/>
            </w:tcBorders>
            <w:shd w:val="clear" w:color="auto" w:fill="auto"/>
            <w:noWrap/>
            <w:vAlign w:val="bottom"/>
            <w:hideMark/>
          </w:tcPr>
          <w:p w14:paraId="3EACA9DD" w14:textId="77777777" w:rsidR="004567F7" w:rsidRPr="007E0108" w:rsidRDefault="004567F7" w:rsidP="00144775">
            <w:pPr>
              <w:spacing w:after="0" w:line="240" w:lineRule="auto"/>
              <w:jc w:val="right"/>
              <w:rPr>
                <w:rFonts w:eastAsia="Times New Roman" w:cs="Times New Roman"/>
                <w:b/>
                <w:bCs/>
                <w:sz w:val="18"/>
                <w:szCs w:val="18"/>
                <w:lang w:eastAsia="sk-SK"/>
              </w:rPr>
            </w:pPr>
            <w:r w:rsidRPr="007E0108">
              <w:rPr>
                <w:rFonts w:eastAsia="Times New Roman" w:cs="Times New Roman"/>
                <w:b/>
                <w:bCs/>
                <w:sz w:val="18"/>
                <w:szCs w:val="18"/>
                <w:lang w:eastAsia="sk-SK"/>
              </w:rPr>
              <w:t>92 021</w:t>
            </w:r>
          </w:p>
        </w:tc>
      </w:tr>
      <w:tr w:rsidR="004567F7" w:rsidRPr="007E0108" w14:paraId="03878531" w14:textId="77777777" w:rsidTr="007E0108">
        <w:trPr>
          <w:trHeight w:val="525"/>
        </w:trPr>
        <w:tc>
          <w:tcPr>
            <w:tcW w:w="2765" w:type="pct"/>
            <w:tcBorders>
              <w:top w:val="nil"/>
              <w:left w:val="nil"/>
              <w:bottom w:val="single" w:sz="4" w:space="0" w:color="auto"/>
              <w:right w:val="nil"/>
            </w:tcBorders>
            <w:shd w:val="clear" w:color="auto" w:fill="auto"/>
            <w:vAlign w:val="bottom"/>
            <w:hideMark/>
          </w:tcPr>
          <w:p w14:paraId="11AB54A8" w14:textId="77777777" w:rsidR="004567F7" w:rsidRPr="007E0108" w:rsidRDefault="004567F7" w:rsidP="00144775">
            <w:pPr>
              <w:spacing w:after="0" w:line="240" w:lineRule="auto"/>
              <w:jc w:val="left"/>
              <w:rPr>
                <w:rFonts w:eastAsia="Times New Roman" w:cs="Times New Roman"/>
                <w:b/>
                <w:bCs/>
                <w:sz w:val="18"/>
                <w:szCs w:val="18"/>
                <w:lang w:eastAsia="sk-SK"/>
              </w:rPr>
            </w:pPr>
            <w:r w:rsidRPr="007E0108">
              <w:rPr>
                <w:rFonts w:eastAsia="Times New Roman" w:cs="Times New Roman"/>
                <w:b/>
                <w:bCs/>
                <w:sz w:val="18"/>
                <w:szCs w:val="18"/>
                <w:lang w:eastAsia="sk-SK"/>
              </w:rPr>
              <w:t>Konsolidovaný príspevok obcí do konsolidovaného dlhu verejnej správy</w:t>
            </w:r>
          </w:p>
        </w:tc>
        <w:tc>
          <w:tcPr>
            <w:tcW w:w="649" w:type="pct"/>
            <w:tcBorders>
              <w:top w:val="nil"/>
              <w:left w:val="nil"/>
              <w:bottom w:val="single" w:sz="4" w:space="0" w:color="auto"/>
              <w:right w:val="nil"/>
            </w:tcBorders>
            <w:shd w:val="clear" w:color="auto" w:fill="auto"/>
            <w:noWrap/>
            <w:vAlign w:val="bottom"/>
            <w:hideMark/>
          </w:tcPr>
          <w:p w14:paraId="74DB6122" w14:textId="77777777" w:rsidR="004567F7" w:rsidRPr="007E0108" w:rsidRDefault="004567F7" w:rsidP="00144775">
            <w:pPr>
              <w:spacing w:after="0" w:line="240" w:lineRule="auto"/>
              <w:jc w:val="right"/>
              <w:rPr>
                <w:rFonts w:eastAsia="Times New Roman" w:cs="Times New Roman"/>
                <w:b/>
                <w:bCs/>
                <w:sz w:val="18"/>
                <w:szCs w:val="18"/>
                <w:lang w:eastAsia="sk-SK"/>
              </w:rPr>
            </w:pPr>
            <w:r w:rsidRPr="007E0108">
              <w:rPr>
                <w:rFonts w:eastAsia="Times New Roman" w:cs="Times New Roman"/>
                <w:b/>
                <w:bCs/>
                <w:sz w:val="18"/>
                <w:szCs w:val="18"/>
                <w:lang w:eastAsia="sk-SK"/>
              </w:rPr>
              <w:t>591 013</w:t>
            </w:r>
          </w:p>
        </w:tc>
        <w:tc>
          <w:tcPr>
            <w:tcW w:w="584" w:type="pct"/>
            <w:tcBorders>
              <w:top w:val="nil"/>
              <w:left w:val="nil"/>
              <w:bottom w:val="single" w:sz="4" w:space="0" w:color="auto"/>
              <w:right w:val="nil"/>
            </w:tcBorders>
            <w:shd w:val="clear" w:color="auto" w:fill="auto"/>
            <w:noWrap/>
            <w:vAlign w:val="bottom"/>
            <w:hideMark/>
          </w:tcPr>
          <w:p w14:paraId="1F2A5239" w14:textId="77777777" w:rsidR="004567F7" w:rsidRPr="007E0108" w:rsidRDefault="004567F7" w:rsidP="00144775">
            <w:pPr>
              <w:spacing w:after="0" w:line="240" w:lineRule="auto"/>
              <w:jc w:val="right"/>
              <w:rPr>
                <w:rFonts w:eastAsia="Times New Roman" w:cs="Times New Roman"/>
                <w:b/>
                <w:bCs/>
                <w:sz w:val="18"/>
                <w:szCs w:val="18"/>
                <w:lang w:eastAsia="sk-SK"/>
              </w:rPr>
            </w:pPr>
            <w:r w:rsidRPr="007E0108">
              <w:rPr>
                <w:rFonts w:eastAsia="Times New Roman" w:cs="Times New Roman"/>
                <w:b/>
                <w:bCs/>
                <w:sz w:val="18"/>
                <w:szCs w:val="18"/>
                <w:lang w:eastAsia="sk-SK"/>
              </w:rPr>
              <w:t>613 050</w:t>
            </w:r>
          </w:p>
        </w:tc>
        <w:tc>
          <w:tcPr>
            <w:tcW w:w="584" w:type="pct"/>
            <w:tcBorders>
              <w:top w:val="nil"/>
              <w:left w:val="nil"/>
              <w:bottom w:val="single" w:sz="4" w:space="0" w:color="auto"/>
              <w:right w:val="nil"/>
            </w:tcBorders>
            <w:shd w:val="clear" w:color="000000" w:fill="BFBFBF"/>
            <w:noWrap/>
            <w:vAlign w:val="bottom"/>
            <w:hideMark/>
          </w:tcPr>
          <w:p w14:paraId="35A11020" w14:textId="77777777" w:rsidR="004567F7" w:rsidRPr="007E0108" w:rsidRDefault="004567F7" w:rsidP="00144775">
            <w:pPr>
              <w:spacing w:after="0" w:line="240" w:lineRule="auto"/>
              <w:jc w:val="right"/>
              <w:rPr>
                <w:rFonts w:eastAsia="Times New Roman" w:cs="Times New Roman"/>
                <w:b/>
                <w:bCs/>
                <w:sz w:val="18"/>
                <w:szCs w:val="18"/>
                <w:lang w:eastAsia="sk-SK"/>
              </w:rPr>
            </w:pPr>
            <w:r w:rsidRPr="007E0108">
              <w:rPr>
                <w:rFonts w:eastAsia="Times New Roman" w:cs="Times New Roman"/>
                <w:b/>
                <w:bCs/>
                <w:sz w:val="18"/>
                <w:szCs w:val="18"/>
                <w:lang w:eastAsia="sk-SK"/>
              </w:rPr>
              <w:t>679 241</w:t>
            </w:r>
          </w:p>
        </w:tc>
        <w:tc>
          <w:tcPr>
            <w:tcW w:w="417" w:type="pct"/>
            <w:tcBorders>
              <w:top w:val="nil"/>
              <w:left w:val="nil"/>
              <w:bottom w:val="single" w:sz="4" w:space="0" w:color="auto"/>
              <w:right w:val="nil"/>
            </w:tcBorders>
            <w:shd w:val="clear" w:color="auto" w:fill="auto"/>
            <w:noWrap/>
            <w:vAlign w:val="bottom"/>
            <w:hideMark/>
          </w:tcPr>
          <w:p w14:paraId="7EF47709" w14:textId="77777777" w:rsidR="004567F7" w:rsidRPr="007E0108" w:rsidRDefault="004567F7" w:rsidP="00144775">
            <w:pPr>
              <w:spacing w:after="0" w:line="240" w:lineRule="auto"/>
              <w:jc w:val="right"/>
              <w:rPr>
                <w:rFonts w:eastAsia="Times New Roman" w:cs="Times New Roman"/>
                <w:b/>
                <w:bCs/>
                <w:sz w:val="18"/>
                <w:szCs w:val="18"/>
                <w:lang w:eastAsia="sk-SK"/>
              </w:rPr>
            </w:pPr>
            <w:r w:rsidRPr="007E0108">
              <w:rPr>
                <w:rFonts w:eastAsia="Times New Roman" w:cs="Times New Roman"/>
                <w:b/>
                <w:bCs/>
                <w:sz w:val="18"/>
                <w:szCs w:val="18"/>
                <w:lang w:eastAsia="sk-SK"/>
              </w:rPr>
              <w:t>66 191</w:t>
            </w:r>
          </w:p>
        </w:tc>
      </w:tr>
    </w:tbl>
    <w:p w14:paraId="010D5217" w14:textId="77777777" w:rsidR="004567F7" w:rsidRPr="00D93599" w:rsidRDefault="004567F7" w:rsidP="004567F7">
      <w:pPr>
        <w:spacing w:after="0"/>
        <w:jc w:val="right"/>
        <w:rPr>
          <w:sz w:val="18"/>
          <w:szCs w:val="18"/>
        </w:rPr>
      </w:pPr>
      <w:r w:rsidRPr="00D93599">
        <w:rPr>
          <w:sz w:val="18"/>
          <w:szCs w:val="18"/>
        </w:rPr>
        <w:t>Zdroj: MF SR</w:t>
      </w:r>
    </w:p>
    <w:p w14:paraId="62F65D07" w14:textId="22EE130A" w:rsidR="00195AB8" w:rsidRDefault="00195AB8" w:rsidP="00195AB8">
      <w:pPr>
        <w:spacing w:after="160" w:line="360" w:lineRule="auto"/>
        <w:rPr>
          <w:color w:val="000000"/>
        </w:rPr>
      </w:pPr>
      <w:r>
        <w:rPr>
          <w:color w:val="000000"/>
        </w:rPr>
        <w:t>Zvýšenie dlhu obcí a miest bolo spôsobené hlavne zvýšením bankových úverov o 53 397 tis. eur, vyšším čerpaním dodávateľských a investičných dodávateľských úverov o 8 068 tis. eur, finančného leasingu o 5 209 tis. eur, zábezpeky vzrástli o 5 617 tis. eur. Č</w:t>
      </w:r>
      <w:r w:rsidR="00331568">
        <w:rPr>
          <w:color w:val="000000"/>
        </w:rPr>
        <w:t>erpanie úverov zo </w:t>
      </w:r>
      <w:r>
        <w:rPr>
          <w:color w:val="000000"/>
        </w:rPr>
        <w:t>ŠFRB sa úhrnom zvýšilo o 12 759 tis. eur a poskytnut</w:t>
      </w:r>
      <w:r w:rsidR="00331568">
        <w:rPr>
          <w:color w:val="000000"/>
        </w:rPr>
        <w:t>é návratné finančné výpomoci zo </w:t>
      </w:r>
      <w:r>
        <w:rPr>
          <w:color w:val="000000"/>
        </w:rPr>
        <w:t>štátnych finančných aktív v roku 2018 predstavovali 17 300 tis. eur a ich</w:t>
      </w:r>
      <w:r w:rsidR="00331568">
        <w:rPr>
          <w:color w:val="000000"/>
        </w:rPr>
        <w:t xml:space="preserve"> splatenie bolo v hodnote 1 908 </w:t>
      </w:r>
      <w:r>
        <w:rPr>
          <w:color w:val="000000"/>
        </w:rPr>
        <w:t xml:space="preserve">tis. eur. </w:t>
      </w:r>
    </w:p>
    <w:p w14:paraId="205BD30D" w14:textId="182EA539" w:rsidR="00195AB8" w:rsidRDefault="00195AB8" w:rsidP="00195AB8">
      <w:pPr>
        <w:spacing w:after="160" w:line="360" w:lineRule="auto"/>
        <w:rPr>
          <w:color w:val="000000"/>
        </w:rPr>
      </w:pPr>
      <w:r>
        <w:rPr>
          <w:color w:val="000000"/>
        </w:rPr>
        <w:t>Zvýšenie bankových úverov bol</w:t>
      </w:r>
      <w:r w:rsidR="00CF419B">
        <w:rPr>
          <w:color w:val="000000"/>
        </w:rPr>
        <w:t>o</w:t>
      </w:r>
      <w:r>
        <w:rPr>
          <w:color w:val="000000"/>
        </w:rPr>
        <w:t xml:space="preserve"> tvorené novými úvermi napr. Hlavného mesta </w:t>
      </w:r>
      <w:r w:rsidR="00D13819">
        <w:rPr>
          <w:color w:val="000000"/>
        </w:rPr>
        <w:t xml:space="preserve">SR </w:t>
      </w:r>
      <w:r w:rsidR="00331568">
        <w:rPr>
          <w:color w:val="000000"/>
        </w:rPr>
        <w:t>Bratislavy (8 </w:t>
      </w:r>
      <w:r>
        <w:rPr>
          <w:color w:val="000000"/>
        </w:rPr>
        <w:t>000 tis. eur), Mesta Žilina (3 902 tis. eur), Mesta Prešov (2 740 tis. eur), Mesta Žiar nad Hronom (2 554 tis. eur) a ďalšími. Zahraničné úvery tvoria 53 0</w:t>
      </w:r>
      <w:r w:rsidR="00331568">
        <w:rPr>
          <w:color w:val="000000"/>
        </w:rPr>
        <w:t>45 tis. eur, pričom ide najmä o </w:t>
      </w:r>
      <w:r>
        <w:rPr>
          <w:color w:val="000000"/>
        </w:rPr>
        <w:t xml:space="preserve">úvery od Európskej investičnej banky a Rozvojovej banky rady Európy (Hlavné mesto </w:t>
      </w:r>
      <w:r w:rsidR="00C568F0">
        <w:rPr>
          <w:color w:val="000000"/>
        </w:rPr>
        <w:t xml:space="preserve">SR </w:t>
      </w:r>
      <w:r>
        <w:rPr>
          <w:color w:val="000000"/>
        </w:rPr>
        <w:t xml:space="preserve">Bratislava </w:t>
      </w:r>
      <w:r w:rsidR="00C568F0">
        <w:rPr>
          <w:color w:val="000000"/>
        </w:rPr>
        <w:t>vykázalo</w:t>
      </w:r>
      <w:r>
        <w:rPr>
          <w:color w:val="000000"/>
        </w:rPr>
        <w:t xml:space="preserve"> 38 333 tis. eur a Mesto Prešov 13 500 tis. eur). </w:t>
      </w:r>
    </w:p>
    <w:p w14:paraId="2D032A7E" w14:textId="0F8CBF12" w:rsidR="004567F7" w:rsidRDefault="004567F7" w:rsidP="00195AB8">
      <w:r w:rsidRPr="00282EB9">
        <w:rPr>
          <w:b/>
        </w:rPr>
        <w:t xml:space="preserve">Vyššie územné celky </w:t>
      </w:r>
      <w:r w:rsidRPr="00282EB9">
        <w:t>(vrátane ich rozpočtových organizácií)</w:t>
      </w:r>
      <w:r w:rsidRPr="00282EB9">
        <w:rPr>
          <w:b/>
        </w:rPr>
        <w:t xml:space="preserve"> </w:t>
      </w:r>
      <w:r w:rsidRPr="00282EB9">
        <w:t xml:space="preserve">sa podieľajú na dlhu verejnej správy hodnotou </w:t>
      </w:r>
      <w:r>
        <w:t>362</w:t>
      </w:r>
      <w:r w:rsidRPr="00282EB9">
        <w:t xml:space="preserve"> </w:t>
      </w:r>
      <w:r>
        <w:t>599</w:t>
      </w:r>
      <w:r w:rsidRPr="00282EB9">
        <w:t xml:space="preserve"> tis. eur, čo je o </w:t>
      </w:r>
      <w:r>
        <w:t>6</w:t>
      </w:r>
      <w:r w:rsidRPr="00282EB9">
        <w:t> </w:t>
      </w:r>
      <w:r>
        <w:t>909</w:t>
      </w:r>
      <w:r w:rsidRPr="00282EB9">
        <w:t xml:space="preserve"> tis. eur </w:t>
      </w:r>
      <w:r>
        <w:t>menej</w:t>
      </w:r>
      <w:r w:rsidRPr="00282EB9">
        <w:t xml:space="preserve"> ako v predchádzajúcom roku. Dlh VÚC tvoria bankové úvery vo výške </w:t>
      </w:r>
      <w:r>
        <w:t>361</w:t>
      </w:r>
      <w:r w:rsidR="00665CC5">
        <w:t> </w:t>
      </w:r>
      <w:r>
        <w:t>325</w:t>
      </w:r>
      <w:r w:rsidR="00665CC5">
        <w:t> </w:t>
      </w:r>
      <w:r w:rsidRPr="00282EB9">
        <w:t>tis.</w:t>
      </w:r>
      <w:r w:rsidR="00665CC5">
        <w:t> </w:t>
      </w:r>
      <w:r w:rsidRPr="00282EB9">
        <w:t>eur a</w:t>
      </w:r>
      <w:r w:rsidR="00665CC5">
        <w:t xml:space="preserve"> </w:t>
      </w:r>
      <w:r w:rsidRPr="00282EB9">
        <w:t>prijaté zábezpeky v hodnote 1</w:t>
      </w:r>
      <w:r>
        <w:t> 274 tis. </w:t>
      </w:r>
      <w:r w:rsidRPr="00282EB9">
        <w:t>eur. Z celkového dlhu predstavujú záväzky voči domáci</w:t>
      </w:r>
      <w:r>
        <w:t>m veriteľom 208 686 tis. eur (57,6 </w:t>
      </w:r>
      <w:r w:rsidRPr="00282EB9">
        <w:t>%) a</w:t>
      </w:r>
      <w:r w:rsidR="005D5A2D">
        <w:t> </w:t>
      </w:r>
      <w:r w:rsidRPr="00282EB9">
        <w:t>voči</w:t>
      </w:r>
      <w:r>
        <w:t> </w:t>
      </w:r>
      <w:r w:rsidRPr="00282EB9">
        <w:t xml:space="preserve">zahraničným veriteľom </w:t>
      </w:r>
      <w:r>
        <w:t>153</w:t>
      </w:r>
      <w:r w:rsidRPr="00282EB9">
        <w:t> </w:t>
      </w:r>
      <w:r>
        <w:t>913</w:t>
      </w:r>
      <w:r w:rsidRPr="00282EB9">
        <w:t> tis. eur (4</w:t>
      </w:r>
      <w:r>
        <w:t>2,4</w:t>
      </w:r>
      <w:r w:rsidRPr="00282EB9">
        <w:t xml:space="preserve"> %). </w:t>
      </w:r>
      <w:r w:rsidRPr="005256C3">
        <w:t>Úvermi od zahraničných veriteľov disponuje Bratislavský (</w:t>
      </w:r>
      <w:r>
        <w:t>27 565 tis. </w:t>
      </w:r>
      <w:r w:rsidRPr="005256C3">
        <w:t xml:space="preserve">eur), </w:t>
      </w:r>
      <w:r>
        <w:t>Trenčiansky</w:t>
      </w:r>
      <w:r w:rsidRPr="005256C3">
        <w:t xml:space="preserve"> (</w:t>
      </w:r>
      <w:r>
        <w:t>3</w:t>
      </w:r>
      <w:r w:rsidRPr="005256C3">
        <w:t> </w:t>
      </w:r>
      <w:r>
        <w:t>964</w:t>
      </w:r>
      <w:r w:rsidRPr="005256C3">
        <w:t> tis. eur), Žilinský (</w:t>
      </w:r>
      <w:r>
        <w:t>30</w:t>
      </w:r>
      <w:r w:rsidRPr="005256C3">
        <w:t> </w:t>
      </w:r>
      <w:r>
        <w:t>875</w:t>
      </w:r>
      <w:r w:rsidRPr="005256C3">
        <w:t xml:space="preserve"> tis. eur), Prešovský (</w:t>
      </w:r>
      <w:r>
        <w:t>62</w:t>
      </w:r>
      <w:r w:rsidRPr="005256C3">
        <w:t> </w:t>
      </w:r>
      <w:r>
        <w:t xml:space="preserve">013 tis. eur) a </w:t>
      </w:r>
      <w:r w:rsidRPr="005256C3">
        <w:t>Košický samosprávny kraj (</w:t>
      </w:r>
      <w:r>
        <w:t>29</w:t>
      </w:r>
      <w:r w:rsidRPr="005256C3">
        <w:t> </w:t>
      </w:r>
      <w:r>
        <w:t>496</w:t>
      </w:r>
      <w:r w:rsidRPr="005256C3">
        <w:t> tis. eur).</w:t>
      </w:r>
      <w:r w:rsidRPr="00282EB9">
        <w:t xml:space="preserve"> Z hľadiska pôvodnej splatnosti je dlh vyšších územných celkov takmer v celej hodnote tvorený dlhodobými záväzkami (99,</w:t>
      </w:r>
      <w:r>
        <w:t>6</w:t>
      </w:r>
      <w:r w:rsidR="00665CC5">
        <w:t> </w:t>
      </w:r>
      <w:r w:rsidRPr="00282EB9">
        <w:t>%).</w:t>
      </w:r>
    </w:p>
    <w:tbl>
      <w:tblPr>
        <w:tblW w:w="5000" w:type="pct"/>
        <w:tblCellMar>
          <w:left w:w="70" w:type="dxa"/>
          <w:right w:w="70" w:type="dxa"/>
        </w:tblCellMar>
        <w:tblLook w:val="04A0" w:firstRow="1" w:lastRow="0" w:firstColumn="1" w:lastColumn="0" w:noHBand="0" w:noVBand="1"/>
      </w:tblPr>
      <w:tblGrid>
        <w:gridCol w:w="2248"/>
        <w:gridCol w:w="1823"/>
        <w:gridCol w:w="2886"/>
        <w:gridCol w:w="1546"/>
      </w:tblGrid>
      <w:tr w:rsidR="004567F7" w:rsidRPr="00886FAC" w14:paraId="340F18AA" w14:textId="77777777" w:rsidTr="00144775">
        <w:trPr>
          <w:trHeight w:val="300"/>
        </w:trPr>
        <w:tc>
          <w:tcPr>
            <w:tcW w:w="4091" w:type="pct"/>
            <w:gridSpan w:val="3"/>
            <w:tcBorders>
              <w:top w:val="single" w:sz="4" w:space="0" w:color="auto"/>
              <w:left w:val="nil"/>
              <w:bottom w:val="single" w:sz="4" w:space="0" w:color="auto"/>
              <w:right w:val="nil"/>
            </w:tcBorders>
            <w:shd w:val="clear" w:color="000000" w:fill="000000"/>
            <w:noWrap/>
            <w:vAlign w:val="center"/>
            <w:hideMark/>
          </w:tcPr>
          <w:p w14:paraId="6D81F106" w14:textId="77777777" w:rsidR="004567F7" w:rsidRPr="00886FAC" w:rsidRDefault="004567F7" w:rsidP="00144775">
            <w:pPr>
              <w:spacing w:after="0" w:line="240" w:lineRule="auto"/>
              <w:jc w:val="left"/>
              <w:rPr>
                <w:rFonts w:eastAsia="Times New Roman" w:cs="Times New Roman"/>
                <w:b/>
                <w:bCs/>
                <w:color w:val="FFFFFF"/>
                <w:sz w:val="20"/>
                <w:szCs w:val="20"/>
                <w:lang w:eastAsia="sk-SK"/>
              </w:rPr>
            </w:pPr>
            <w:r w:rsidRPr="00886FAC">
              <w:rPr>
                <w:rFonts w:eastAsia="Times New Roman" w:cs="Times New Roman"/>
                <w:b/>
                <w:bCs/>
                <w:color w:val="FFFFFF"/>
                <w:sz w:val="20"/>
                <w:szCs w:val="20"/>
                <w:lang w:eastAsia="sk-SK"/>
              </w:rPr>
              <w:t>Dlh VÚC podľa samosprávnych krajov k 31.12.2018</w:t>
            </w:r>
          </w:p>
        </w:tc>
        <w:tc>
          <w:tcPr>
            <w:tcW w:w="909" w:type="pct"/>
            <w:tcBorders>
              <w:top w:val="single" w:sz="4" w:space="0" w:color="auto"/>
              <w:left w:val="nil"/>
              <w:bottom w:val="single" w:sz="4" w:space="0" w:color="auto"/>
              <w:right w:val="nil"/>
            </w:tcBorders>
            <w:shd w:val="clear" w:color="000000" w:fill="000000"/>
            <w:noWrap/>
            <w:vAlign w:val="center"/>
            <w:hideMark/>
          </w:tcPr>
          <w:p w14:paraId="2D08576F" w14:textId="77777777" w:rsidR="004567F7" w:rsidRPr="00886FAC" w:rsidRDefault="004567F7" w:rsidP="00144775">
            <w:pPr>
              <w:spacing w:after="0" w:line="240" w:lineRule="auto"/>
              <w:jc w:val="right"/>
              <w:rPr>
                <w:rFonts w:eastAsia="Times New Roman" w:cs="Times New Roman"/>
                <w:b/>
                <w:bCs/>
                <w:color w:val="FFFFFF"/>
                <w:sz w:val="20"/>
                <w:szCs w:val="20"/>
                <w:lang w:eastAsia="sk-SK"/>
              </w:rPr>
            </w:pPr>
            <w:r w:rsidRPr="00886FAC">
              <w:rPr>
                <w:rFonts w:eastAsia="Times New Roman" w:cs="Times New Roman"/>
                <w:b/>
                <w:bCs/>
                <w:color w:val="FFFFFF"/>
                <w:sz w:val="20"/>
                <w:szCs w:val="20"/>
                <w:lang w:eastAsia="sk-SK"/>
              </w:rPr>
              <w:t>v tis. eur</w:t>
            </w:r>
          </w:p>
        </w:tc>
      </w:tr>
      <w:tr w:rsidR="004567F7" w:rsidRPr="00886FAC" w14:paraId="34E07918" w14:textId="77777777" w:rsidTr="00144775">
        <w:trPr>
          <w:trHeight w:val="360"/>
        </w:trPr>
        <w:tc>
          <w:tcPr>
            <w:tcW w:w="1322" w:type="pct"/>
            <w:tcBorders>
              <w:top w:val="single" w:sz="4" w:space="0" w:color="auto"/>
              <w:left w:val="nil"/>
              <w:bottom w:val="nil"/>
              <w:right w:val="nil"/>
            </w:tcBorders>
            <w:shd w:val="clear" w:color="000000" w:fill="BFBFBF"/>
            <w:noWrap/>
            <w:vAlign w:val="center"/>
            <w:hideMark/>
          </w:tcPr>
          <w:p w14:paraId="4231F558" w14:textId="77777777" w:rsidR="004567F7" w:rsidRPr="00886FAC" w:rsidRDefault="004567F7" w:rsidP="00144775">
            <w:pPr>
              <w:spacing w:after="0" w:line="240" w:lineRule="auto"/>
              <w:rPr>
                <w:rFonts w:eastAsia="Times New Roman" w:cs="Times New Roman"/>
                <w:b/>
                <w:bCs/>
                <w:sz w:val="20"/>
                <w:szCs w:val="20"/>
                <w:lang w:eastAsia="sk-SK"/>
              </w:rPr>
            </w:pPr>
            <w:r w:rsidRPr="00886FAC">
              <w:rPr>
                <w:rFonts w:eastAsia="Times New Roman" w:cs="Times New Roman"/>
                <w:b/>
                <w:bCs/>
                <w:sz w:val="20"/>
                <w:szCs w:val="20"/>
                <w:lang w:eastAsia="sk-SK"/>
              </w:rPr>
              <w:t>Samosprávny kraj</w:t>
            </w:r>
          </w:p>
        </w:tc>
        <w:tc>
          <w:tcPr>
            <w:tcW w:w="1072" w:type="pct"/>
            <w:tcBorders>
              <w:top w:val="single" w:sz="4" w:space="0" w:color="auto"/>
              <w:left w:val="nil"/>
              <w:bottom w:val="nil"/>
              <w:right w:val="nil"/>
            </w:tcBorders>
            <w:shd w:val="clear" w:color="000000" w:fill="BFBFBF"/>
            <w:noWrap/>
            <w:vAlign w:val="center"/>
            <w:hideMark/>
          </w:tcPr>
          <w:p w14:paraId="119E04AB" w14:textId="77777777" w:rsidR="004567F7" w:rsidRPr="00886FAC" w:rsidRDefault="004567F7" w:rsidP="00144775">
            <w:pPr>
              <w:spacing w:after="0" w:line="240" w:lineRule="auto"/>
              <w:jc w:val="right"/>
              <w:rPr>
                <w:rFonts w:eastAsia="Times New Roman" w:cs="Times New Roman"/>
                <w:b/>
                <w:bCs/>
                <w:sz w:val="20"/>
                <w:szCs w:val="20"/>
                <w:lang w:eastAsia="sk-SK"/>
              </w:rPr>
            </w:pPr>
            <w:r w:rsidRPr="00886FAC">
              <w:rPr>
                <w:rFonts w:eastAsia="Times New Roman" w:cs="Times New Roman"/>
                <w:b/>
                <w:bCs/>
                <w:sz w:val="20"/>
                <w:szCs w:val="20"/>
                <w:lang w:eastAsia="sk-SK"/>
              </w:rPr>
              <w:t>Bankové úvery</w:t>
            </w:r>
          </w:p>
        </w:tc>
        <w:tc>
          <w:tcPr>
            <w:tcW w:w="1697" w:type="pct"/>
            <w:tcBorders>
              <w:top w:val="single" w:sz="4" w:space="0" w:color="auto"/>
              <w:left w:val="nil"/>
              <w:bottom w:val="nil"/>
              <w:right w:val="nil"/>
            </w:tcBorders>
            <w:shd w:val="clear" w:color="000000" w:fill="BFBFBF"/>
            <w:noWrap/>
            <w:vAlign w:val="center"/>
            <w:hideMark/>
          </w:tcPr>
          <w:p w14:paraId="7625C379" w14:textId="77777777" w:rsidR="004567F7" w:rsidRPr="00886FAC" w:rsidRDefault="004567F7" w:rsidP="00144775">
            <w:pPr>
              <w:spacing w:after="0" w:line="240" w:lineRule="auto"/>
              <w:jc w:val="right"/>
              <w:rPr>
                <w:rFonts w:eastAsia="Times New Roman" w:cs="Times New Roman"/>
                <w:b/>
                <w:bCs/>
                <w:sz w:val="20"/>
                <w:szCs w:val="20"/>
                <w:lang w:eastAsia="sk-SK"/>
              </w:rPr>
            </w:pPr>
            <w:r w:rsidRPr="00886FAC">
              <w:rPr>
                <w:rFonts w:eastAsia="Times New Roman" w:cs="Times New Roman"/>
                <w:b/>
                <w:bCs/>
                <w:sz w:val="20"/>
                <w:szCs w:val="20"/>
                <w:lang w:eastAsia="sk-SK"/>
              </w:rPr>
              <w:t>Ostatné dlhové nástroje</w:t>
            </w:r>
          </w:p>
        </w:tc>
        <w:tc>
          <w:tcPr>
            <w:tcW w:w="909" w:type="pct"/>
            <w:tcBorders>
              <w:top w:val="single" w:sz="4" w:space="0" w:color="auto"/>
              <w:left w:val="nil"/>
              <w:bottom w:val="nil"/>
              <w:right w:val="nil"/>
            </w:tcBorders>
            <w:shd w:val="clear" w:color="000000" w:fill="BFBFBF"/>
            <w:noWrap/>
            <w:vAlign w:val="center"/>
            <w:hideMark/>
          </w:tcPr>
          <w:p w14:paraId="21C8F15E" w14:textId="77777777" w:rsidR="004567F7" w:rsidRPr="00886FAC" w:rsidRDefault="004567F7" w:rsidP="00144775">
            <w:pPr>
              <w:spacing w:after="0" w:line="240" w:lineRule="auto"/>
              <w:jc w:val="right"/>
              <w:rPr>
                <w:rFonts w:eastAsia="Times New Roman" w:cs="Times New Roman"/>
                <w:b/>
                <w:bCs/>
                <w:sz w:val="20"/>
                <w:szCs w:val="20"/>
                <w:lang w:eastAsia="sk-SK"/>
              </w:rPr>
            </w:pPr>
            <w:r w:rsidRPr="00886FAC">
              <w:rPr>
                <w:rFonts w:eastAsia="Times New Roman" w:cs="Times New Roman"/>
                <w:b/>
                <w:bCs/>
                <w:sz w:val="20"/>
                <w:szCs w:val="20"/>
                <w:lang w:eastAsia="sk-SK"/>
              </w:rPr>
              <w:t>Spolu</w:t>
            </w:r>
          </w:p>
        </w:tc>
      </w:tr>
      <w:tr w:rsidR="004567F7" w:rsidRPr="00886FAC" w14:paraId="2929E02B" w14:textId="77777777" w:rsidTr="00144775">
        <w:trPr>
          <w:trHeight w:val="300"/>
        </w:trPr>
        <w:tc>
          <w:tcPr>
            <w:tcW w:w="1322" w:type="pct"/>
            <w:tcBorders>
              <w:top w:val="nil"/>
              <w:left w:val="nil"/>
              <w:bottom w:val="nil"/>
              <w:right w:val="nil"/>
            </w:tcBorders>
            <w:shd w:val="clear" w:color="auto" w:fill="auto"/>
            <w:noWrap/>
            <w:vAlign w:val="bottom"/>
            <w:hideMark/>
          </w:tcPr>
          <w:p w14:paraId="22924E4F" w14:textId="77777777" w:rsidR="004567F7" w:rsidRPr="00886FAC" w:rsidRDefault="004567F7" w:rsidP="00144775">
            <w:pPr>
              <w:spacing w:after="0" w:line="240" w:lineRule="auto"/>
              <w:jc w:val="left"/>
              <w:rPr>
                <w:rFonts w:eastAsia="Times New Roman" w:cs="Times New Roman"/>
                <w:sz w:val="20"/>
                <w:szCs w:val="20"/>
                <w:lang w:eastAsia="sk-SK"/>
              </w:rPr>
            </w:pPr>
            <w:r w:rsidRPr="00886FAC">
              <w:rPr>
                <w:rFonts w:eastAsia="Times New Roman" w:cs="Times New Roman"/>
                <w:sz w:val="20"/>
                <w:szCs w:val="20"/>
                <w:lang w:eastAsia="sk-SK"/>
              </w:rPr>
              <w:t>Bratislavský</w:t>
            </w:r>
          </w:p>
        </w:tc>
        <w:tc>
          <w:tcPr>
            <w:tcW w:w="1072" w:type="pct"/>
            <w:tcBorders>
              <w:top w:val="nil"/>
              <w:left w:val="nil"/>
              <w:bottom w:val="nil"/>
              <w:right w:val="nil"/>
            </w:tcBorders>
            <w:shd w:val="clear" w:color="auto" w:fill="auto"/>
            <w:noWrap/>
            <w:vAlign w:val="bottom"/>
            <w:hideMark/>
          </w:tcPr>
          <w:p w14:paraId="61D2F634" w14:textId="77777777" w:rsidR="004567F7" w:rsidRPr="00886FAC" w:rsidRDefault="004567F7" w:rsidP="00144775">
            <w:pPr>
              <w:spacing w:after="0" w:line="240" w:lineRule="auto"/>
              <w:jc w:val="right"/>
              <w:rPr>
                <w:rFonts w:eastAsia="Times New Roman" w:cs="Times New Roman"/>
                <w:sz w:val="20"/>
                <w:szCs w:val="20"/>
                <w:lang w:eastAsia="sk-SK"/>
              </w:rPr>
            </w:pPr>
            <w:r w:rsidRPr="00886FAC">
              <w:rPr>
                <w:rFonts w:eastAsia="Times New Roman" w:cs="Times New Roman"/>
                <w:sz w:val="20"/>
                <w:szCs w:val="20"/>
                <w:lang w:eastAsia="sk-SK"/>
              </w:rPr>
              <w:t>50 205</w:t>
            </w:r>
          </w:p>
        </w:tc>
        <w:tc>
          <w:tcPr>
            <w:tcW w:w="1697" w:type="pct"/>
            <w:tcBorders>
              <w:top w:val="nil"/>
              <w:left w:val="nil"/>
              <w:bottom w:val="nil"/>
              <w:right w:val="nil"/>
            </w:tcBorders>
            <w:shd w:val="clear" w:color="auto" w:fill="auto"/>
            <w:noWrap/>
            <w:vAlign w:val="bottom"/>
            <w:hideMark/>
          </w:tcPr>
          <w:p w14:paraId="753C09FF" w14:textId="77777777" w:rsidR="004567F7" w:rsidRPr="00886FAC" w:rsidRDefault="004567F7" w:rsidP="00144775">
            <w:pPr>
              <w:spacing w:after="0" w:line="240" w:lineRule="auto"/>
              <w:jc w:val="right"/>
              <w:rPr>
                <w:rFonts w:eastAsia="Times New Roman" w:cs="Times New Roman"/>
                <w:sz w:val="20"/>
                <w:szCs w:val="20"/>
                <w:lang w:eastAsia="sk-SK"/>
              </w:rPr>
            </w:pPr>
            <w:r w:rsidRPr="00886FAC">
              <w:rPr>
                <w:rFonts w:eastAsia="Times New Roman" w:cs="Times New Roman"/>
                <w:sz w:val="20"/>
                <w:szCs w:val="20"/>
                <w:lang w:eastAsia="sk-SK"/>
              </w:rPr>
              <w:t>348</w:t>
            </w:r>
          </w:p>
        </w:tc>
        <w:tc>
          <w:tcPr>
            <w:tcW w:w="909" w:type="pct"/>
            <w:tcBorders>
              <w:top w:val="nil"/>
              <w:left w:val="nil"/>
              <w:bottom w:val="nil"/>
              <w:right w:val="nil"/>
            </w:tcBorders>
            <w:shd w:val="clear" w:color="000000" w:fill="BFBFBF"/>
            <w:noWrap/>
            <w:vAlign w:val="bottom"/>
            <w:hideMark/>
          </w:tcPr>
          <w:p w14:paraId="1B586510" w14:textId="77777777" w:rsidR="004567F7" w:rsidRPr="00886FAC" w:rsidRDefault="004567F7" w:rsidP="00144775">
            <w:pPr>
              <w:spacing w:after="0" w:line="240" w:lineRule="auto"/>
              <w:jc w:val="right"/>
              <w:rPr>
                <w:rFonts w:eastAsia="Times New Roman" w:cs="Times New Roman"/>
                <w:sz w:val="20"/>
                <w:szCs w:val="20"/>
                <w:lang w:eastAsia="sk-SK"/>
              </w:rPr>
            </w:pPr>
            <w:r w:rsidRPr="00886FAC">
              <w:rPr>
                <w:rFonts w:eastAsia="Times New Roman" w:cs="Times New Roman"/>
                <w:sz w:val="20"/>
                <w:szCs w:val="20"/>
                <w:lang w:eastAsia="sk-SK"/>
              </w:rPr>
              <w:t>50 553</w:t>
            </w:r>
          </w:p>
        </w:tc>
      </w:tr>
      <w:tr w:rsidR="004567F7" w:rsidRPr="00886FAC" w14:paraId="068AE432" w14:textId="77777777" w:rsidTr="00144775">
        <w:trPr>
          <w:trHeight w:val="300"/>
        </w:trPr>
        <w:tc>
          <w:tcPr>
            <w:tcW w:w="1322" w:type="pct"/>
            <w:tcBorders>
              <w:top w:val="nil"/>
              <w:left w:val="nil"/>
              <w:bottom w:val="nil"/>
              <w:right w:val="nil"/>
            </w:tcBorders>
            <w:shd w:val="clear" w:color="auto" w:fill="auto"/>
            <w:noWrap/>
            <w:vAlign w:val="bottom"/>
            <w:hideMark/>
          </w:tcPr>
          <w:p w14:paraId="4689A4CB" w14:textId="77777777" w:rsidR="004567F7" w:rsidRPr="00886FAC" w:rsidRDefault="004567F7" w:rsidP="00144775">
            <w:pPr>
              <w:spacing w:after="0" w:line="240" w:lineRule="auto"/>
              <w:jc w:val="left"/>
              <w:rPr>
                <w:rFonts w:eastAsia="Times New Roman" w:cs="Times New Roman"/>
                <w:sz w:val="20"/>
                <w:szCs w:val="20"/>
                <w:lang w:eastAsia="sk-SK"/>
              </w:rPr>
            </w:pPr>
            <w:r w:rsidRPr="00886FAC">
              <w:rPr>
                <w:rFonts w:eastAsia="Times New Roman" w:cs="Times New Roman"/>
                <w:sz w:val="20"/>
                <w:szCs w:val="20"/>
                <w:lang w:eastAsia="sk-SK"/>
              </w:rPr>
              <w:t>Trnavský</w:t>
            </w:r>
          </w:p>
        </w:tc>
        <w:tc>
          <w:tcPr>
            <w:tcW w:w="1072" w:type="pct"/>
            <w:tcBorders>
              <w:top w:val="nil"/>
              <w:left w:val="nil"/>
              <w:bottom w:val="nil"/>
              <w:right w:val="nil"/>
            </w:tcBorders>
            <w:shd w:val="clear" w:color="auto" w:fill="auto"/>
            <w:noWrap/>
            <w:vAlign w:val="bottom"/>
            <w:hideMark/>
          </w:tcPr>
          <w:p w14:paraId="2983CB0D" w14:textId="77777777" w:rsidR="004567F7" w:rsidRPr="00886FAC" w:rsidRDefault="004567F7" w:rsidP="00144775">
            <w:pPr>
              <w:spacing w:after="0" w:line="240" w:lineRule="auto"/>
              <w:jc w:val="right"/>
              <w:rPr>
                <w:rFonts w:eastAsia="Times New Roman" w:cs="Times New Roman"/>
                <w:sz w:val="20"/>
                <w:szCs w:val="20"/>
                <w:lang w:eastAsia="sk-SK"/>
              </w:rPr>
            </w:pPr>
            <w:r w:rsidRPr="00886FAC">
              <w:rPr>
                <w:rFonts w:eastAsia="Times New Roman" w:cs="Times New Roman"/>
                <w:sz w:val="20"/>
                <w:szCs w:val="20"/>
                <w:lang w:eastAsia="sk-SK"/>
              </w:rPr>
              <w:t>55 121</w:t>
            </w:r>
          </w:p>
        </w:tc>
        <w:tc>
          <w:tcPr>
            <w:tcW w:w="1697" w:type="pct"/>
            <w:tcBorders>
              <w:top w:val="nil"/>
              <w:left w:val="nil"/>
              <w:bottom w:val="nil"/>
              <w:right w:val="nil"/>
            </w:tcBorders>
            <w:shd w:val="clear" w:color="auto" w:fill="auto"/>
            <w:noWrap/>
            <w:vAlign w:val="bottom"/>
            <w:hideMark/>
          </w:tcPr>
          <w:p w14:paraId="40117A41" w14:textId="77777777" w:rsidR="004567F7" w:rsidRPr="00886FAC" w:rsidRDefault="004567F7" w:rsidP="00144775">
            <w:pPr>
              <w:spacing w:after="0" w:line="240" w:lineRule="auto"/>
              <w:jc w:val="right"/>
              <w:rPr>
                <w:rFonts w:eastAsia="Times New Roman" w:cs="Times New Roman"/>
                <w:sz w:val="20"/>
                <w:szCs w:val="20"/>
                <w:lang w:eastAsia="sk-SK"/>
              </w:rPr>
            </w:pPr>
            <w:r w:rsidRPr="00886FAC">
              <w:rPr>
                <w:rFonts w:eastAsia="Times New Roman" w:cs="Times New Roman"/>
                <w:sz w:val="20"/>
                <w:szCs w:val="20"/>
                <w:lang w:eastAsia="sk-SK"/>
              </w:rPr>
              <w:t>0</w:t>
            </w:r>
          </w:p>
        </w:tc>
        <w:tc>
          <w:tcPr>
            <w:tcW w:w="909" w:type="pct"/>
            <w:tcBorders>
              <w:top w:val="nil"/>
              <w:left w:val="nil"/>
              <w:bottom w:val="nil"/>
              <w:right w:val="nil"/>
            </w:tcBorders>
            <w:shd w:val="clear" w:color="000000" w:fill="BFBFBF"/>
            <w:noWrap/>
            <w:vAlign w:val="bottom"/>
            <w:hideMark/>
          </w:tcPr>
          <w:p w14:paraId="798BE2DB" w14:textId="77777777" w:rsidR="004567F7" w:rsidRPr="00886FAC" w:rsidRDefault="004567F7" w:rsidP="00144775">
            <w:pPr>
              <w:spacing w:after="0" w:line="240" w:lineRule="auto"/>
              <w:jc w:val="right"/>
              <w:rPr>
                <w:rFonts w:eastAsia="Times New Roman" w:cs="Times New Roman"/>
                <w:sz w:val="20"/>
                <w:szCs w:val="20"/>
                <w:lang w:eastAsia="sk-SK"/>
              </w:rPr>
            </w:pPr>
            <w:r w:rsidRPr="00886FAC">
              <w:rPr>
                <w:rFonts w:eastAsia="Times New Roman" w:cs="Times New Roman"/>
                <w:sz w:val="20"/>
                <w:szCs w:val="20"/>
                <w:lang w:eastAsia="sk-SK"/>
              </w:rPr>
              <w:t>55 121</w:t>
            </w:r>
          </w:p>
        </w:tc>
      </w:tr>
      <w:tr w:rsidR="004567F7" w:rsidRPr="00886FAC" w14:paraId="2F8EB5B9" w14:textId="77777777" w:rsidTr="00144775">
        <w:trPr>
          <w:trHeight w:val="300"/>
        </w:trPr>
        <w:tc>
          <w:tcPr>
            <w:tcW w:w="1322" w:type="pct"/>
            <w:tcBorders>
              <w:top w:val="nil"/>
              <w:left w:val="nil"/>
              <w:bottom w:val="nil"/>
              <w:right w:val="nil"/>
            </w:tcBorders>
            <w:shd w:val="clear" w:color="auto" w:fill="auto"/>
            <w:noWrap/>
            <w:vAlign w:val="bottom"/>
            <w:hideMark/>
          </w:tcPr>
          <w:p w14:paraId="196116BA" w14:textId="77777777" w:rsidR="004567F7" w:rsidRPr="00886FAC" w:rsidRDefault="004567F7" w:rsidP="00144775">
            <w:pPr>
              <w:spacing w:after="0" w:line="240" w:lineRule="auto"/>
              <w:jc w:val="left"/>
              <w:rPr>
                <w:rFonts w:eastAsia="Times New Roman" w:cs="Times New Roman"/>
                <w:sz w:val="20"/>
                <w:szCs w:val="20"/>
                <w:lang w:eastAsia="sk-SK"/>
              </w:rPr>
            </w:pPr>
            <w:r w:rsidRPr="00886FAC">
              <w:rPr>
                <w:rFonts w:eastAsia="Times New Roman" w:cs="Times New Roman"/>
                <w:sz w:val="20"/>
                <w:szCs w:val="20"/>
                <w:lang w:eastAsia="sk-SK"/>
              </w:rPr>
              <w:t>Trenčiansky</w:t>
            </w:r>
          </w:p>
        </w:tc>
        <w:tc>
          <w:tcPr>
            <w:tcW w:w="1072" w:type="pct"/>
            <w:tcBorders>
              <w:top w:val="nil"/>
              <w:left w:val="nil"/>
              <w:bottom w:val="nil"/>
              <w:right w:val="nil"/>
            </w:tcBorders>
            <w:shd w:val="clear" w:color="auto" w:fill="auto"/>
            <w:noWrap/>
            <w:vAlign w:val="bottom"/>
            <w:hideMark/>
          </w:tcPr>
          <w:p w14:paraId="3CB198C4" w14:textId="77777777" w:rsidR="004567F7" w:rsidRPr="00886FAC" w:rsidRDefault="004567F7" w:rsidP="00144775">
            <w:pPr>
              <w:spacing w:after="0" w:line="240" w:lineRule="auto"/>
              <w:jc w:val="right"/>
              <w:rPr>
                <w:rFonts w:eastAsia="Times New Roman" w:cs="Times New Roman"/>
                <w:sz w:val="20"/>
                <w:szCs w:val="20"/>
                <w:lang w:eastAsia="sk-SK"/>
              </w:rPr>
            </w:pPr>
            <w:r w:rsidRPr="00886FAC">
              <w:rPr>
                <w:rFonts w:eastAsia="Times New Roman" w:cs="Times New Roman"/>
                <w:sz w:val="20"/>
                <w:szCs w:val="20"/>
                <w:lang w:eastAsia="sk-SK"/>
              </w:rPr>
              <w:t>48 092</w:t>
            </w:r>
          </w:p>
        </w:tc>
        <w:tc>
          <w:tcPr>
            <w:tcW w:w="1697" w:type="pct"/>
            <w:tcBorders>
              <w:top w:val="nil"/>
              <w:left w:val="nil"/>
              <w:bottom w:val="nil"/>
              <w:right w:val="nil"/>
            </w:tcBorders>
            <w:shd w:val="clear" w:color="auto" w:fill="auto"/>
            <w:noWrap/>
            <w:vAlign w:val="bottom"/>
            <w:hideMark/>
          </w:tcPr>
          <w:p w14:paraId="043E5DB7" w14:textId="77777777" w:rsidR="004567F7" w:rsidRPr="00886FAC" w:rsidRDefault="004567F7" w:rsidP="00144775">
            <w:pPr>
              <w:spacing w:after="0" w:line="240" w:lineRule="auto"/>
              <w:jc w:val="right"/>
              <w:rPr>
                <w:rFonts w:eastAsia="Times New Roman" w:cs="Times New Roman"/>
                <w:sz w:val="20"/>
                <w:szCs w:val="20"/>
                <w:lang w:eastAsia="sk-SK"/>
              </w:rPr>
            </w:pPr>
            <w:r w:rsidRPr="00886FAC">
              <w:rPr>
                <w:rFonts w:eastAsia="Times New Roman" w:cs="Times New Roman"/>
                <w:sz w:val="20"/>
                <w:szCs w:val="20"/>
                <w:lang w:eastAsia="sk-SK"/>
              </w:rPr>
              <w:t>623</w:t>
            </w:r>
          </w:p>
        </w:tc>
        <w:tc>
          <w:tcPr>
            <w:tcW w:w="909" w:type="pct"/>
            <w:tcBorders>
              <w:top w:val="nil"/>
              <w:left w:val="nil"/>
              <w:bottom w:val="nil"/>
              <w:right w:val="nil"/>
            </w:tcBorders>
            <w:shd w:val="clear" w:color="000000" w:fill="BFBFBF"/>
            <w:noWrap/>
            <w:vAlign w:val="bottom"/>
            <w:hideMark/>
          </w:tcPr>
          <w:p w14:paraId="679DE608" w14:textId="77777777" w:rsidR="004567F7" w:rsidRPr="00886FAC" w:rsidRDefault="004567F7" w:rsidP="00144775">
            <w:pPr>
              <w:spacing w:after="0" w:line="240" w:lineRule="auto"/>
              <w:jc w:val="right"/>
              <w:rPr>
                <w:rFonts w:eastAsia="Times New Roman" w:cs="Times New Roman"/>
                <w:sz w:val="20"/>
                <w:szCs w:val="20"/>
                <w:lang w:eastAsia="sk-SK"/>
              </w:rPr>
            </w:pPr>
            <w:r w:rsidRPr="00886FAC">
              <w:rPr>
                <w:rFonts w:eastAsia="Times New Roman" w:cs="Times New Roman"/>
                <w:sz w:val="20"/>
                <w:szCs w:val="20"/>
                <w:lang w:eastAsia="sk-SK"/>
              </w:rPr>
              <w:t>48 715</w:t>
            </w:r>
          </w:p>
        </w:tc>
      </w:tr>
      <w:tr w:rsidR="004567F7" w:rsidRPr="00886FAC" w14:paraId="1AA59226" w14:textId="77777777" w:rsidTr="00144775">
        <w:trPr>
          <w:trHeight w:val="300"/>
        </w:trPr>
        <w:tc>
          <w:tcPr>
            <w:tcW w:w="1322" w:type="pct"/>
            <w:tcBorders>
              <w:top w:val="nil"/>
              <w:left w:val="nil"/>
              <w:bottom w:val="nil"/>
              <w:right w:val="nil"/>
            </w:tcBorders>
            <w:shd w:val="clear" w:color="auto" w:fill="auto"/>
            <w:noWrap/>
            <w:vAlign w:val="bottom"/>
            <w:hideMark/>
          </w:tcPr>
          <w:p w14:paraId="10DE3481" w14:textId="77777777" w:rsidR="004567F7" w:rsidRPr="00886FAC" w:rsidRDefault="004567F7" w:rsidP="00144775">
            <w:pPr>
              <w:spacing w:after="0" w:line="240" w:lineRule="auto"/>
              <w:jc w:val="left"/>
              <w:rPr>
                <w:rFonts w:eastAsia="Times New Roman" w:cs="Times New Roman"/>
                <w:sz w:val="20"/>
                <w:szCs w:val="20"/>
                <w:lang w:eastAsia="sk-SK"/>
              </w:rPr>
            </w:pPr>
            <w:r w:rsidRPr="00886FAC">
              <w:rPr>
                <w:rFonts w:eastAsia="Times New Roman" w:cs="Times New Roman"/>
                <w:sz w:val="20"/>
                <w:szCs w:val="20"/>
                <w:lang w:eastAsia="sk-SK"/>
              </w:rPr>
              <w:t>Nitriansky</w:t>
            </w:r>
          </w:p>
        </w:tc>
        <w:tc>
          <w:tcPr>
            <w:tcW w:w="1072" w:type="pct"/>
            <w:tcBorders>
              <w:top w:val="nil"/>
              <w:left w:val="nil"/>
              <w:bottom w:val="nil"/>
              <w:right w:val="nil"/>
            </w:tcBorders>
            <w:shd w:val="clear" w:color="auto" w:fill="auto"/>
            <w:noWrap/>
            <w:vAlign w:val="bottom"/>
            <w:hideMark/>
          </w:tcPr>
          <w:p w14:paraId="3790F87A" w14:textId="77777777" w:rsidR="004567F7" w:rsidRPr="00886FAC" w:rsidRDefault="004567F7" w:rsidP="00144775">
            <w:pPr>
              <w:spacing w:after="0" w:line="240" w:lineRule="auto"/>
              <w:jc w:val="right"/>
              <w:rPr>
                <w:rFonts w:eastAsia="Times New Roman" w:cs="Times New Roman"/>
                <w:sz w:val="20"/>
                <w:szCs w:val="20"/>
                <w:lang w:eastAsia="sk-SK"/>
              </w:rPr>
            </w:pPr>
            <w:r w:rsidRPr="00886FAC">
              <w:rPr>
                <w:rFonts w:eastAsia="Times New Roman" w:cs="Times New Roman"/>
                <w:sz w:val="20"/>
                <w:szCs w:val="20"/>
                <w:lang w:eastAsia="sk-SK"/>
              </w:rPr>
              <w:t>19 828</w:t>
            </w:r>
          </w:p>
        </w:tc>
        <w:tc>
          <w:tcPr>
            <w:tcW w:w="1697" w:type="pct"/>
            <w:tcBorders>
              <w:top w:val="nil"/>
              <w:left w:val="nil"/>
              <w:bottom w:val="nil"/>
              <w:right w:val="nil"/>
            </w:tcBorders>
            <w:shd w:val="clear" w:color="auto" w:fill="auto"/>
            <w:noWrap/>
            <w:vAlign w:val="bottom"/>
            <w:hideMark/>
          </w:tcPr>
          <w:p w14:paraId="4F994253" w14:textId="77777777" w:rsidR="004567F7" w:rsidRPr="00886FAC" w:rsidRDefault="004567F7" w:rsidP="00144775">
            <w:pPr>
              <w:spacing w:after="0" w:line="240" w:lineRule="auto"/>
              <w:jc w:val="right"/>
              <w:rPr>
                <w:rFonts w:eastAsia="Times New Roman" w:cs="Times New Roman"/>
                <w:sz w:val="20"/>
                <w:szCs w:val="20"/>
                <w:lang w:eastAsia="sk-SK"/>
              </w:rPr>
            </w:pPr>
            <w:r w:rsidRPr="00886FAC">
              <w:rPr>
                <w:rFonts w:eastAsia="Times New Roman" w:cs="Times New Roman"/>
                <w:sz w:val="20"/>
                <w:szCs w:val="20"/>
                <w:lang w:eastAsia="sk-SK"/>
              </w:rPr>
              <w:t>102</w:t>
            </w:r>
          </w:p>
        </w:tc>
        <w:tc>
          <w:tcPr>
            <w:tcW w:w="909" w:type="pct"/>
            <w:tcBorders>
              <w:top w:val="nil"/>
              <w:left w:val="nil"/>
              <w:bottom w:val="nil"/>
              <w:right w:val="nil"/>
            </w:tcBorders>
            <w:shd w:val="clear" w:color="000000" w:fill="BFBFBF"/>
            <w:noWrap/>
            <w:vAlign w:val="bottom"/>
            <w:hideMark/>
          </w:tcPr>
          <w:p w14:paraId="45925A78" w14:textId="77777777" w:rsidR="004567F7" w:rsidRPr="00886FAC" w:rsidRDefault="004567F7" w:rsidP="00144775">
            <w:pPr>
              <w:spacing w:after="0" w:line="240" w:lineRule="auto"/>
              <w:jc w:val="right"/>
              <w:rPr>
                <w:rFonts w:eastAsia="Times New Roman" w:cs="Times New Roman"/>
                <w:sz w:val="20"/>
                <w:szCs w:val="20"/>
                <w:lang w:eastAsia="sk-SK"/>
              </w:rPr>
            </w:pPr>
            <w:r w:rsidRPr="00886FAC">
              <w:rPr>
                <w:rFonts w:eastAsia="Times New Roman" w:cs="Times New Roman"/>
                <w:sz w:val="20"/>
                <w:szCs w:val="20"/>
                <w:lang w:eastAsia="sk-SK"/>
              </w:rPr>
              <w:t>19 930</w:t>
            </w:r>
          </w:p>
        </w:tc>
      </w:tr>
      <w:tr w:rsidR="004567F7" w:rsidRPr="00886FAC" w14:paraId="45A13A63" w14:textId="77777777" w:rsidTr="00144775">
        <w:trPr>
          <w:trHeight w:val="300"/>
        </w:trPr>
        <w:tc>
          <w:tcPr>
            <w:tcW w:w="1322" w:type="pct"/>
            <w:tcBorders>
              <w:top w:val="nil"/>
              <w:left w:val="nil"/>
              <w:bottom w:val="nil"/>
              <w:right w:val="nil"/>
            </w:tcBorders>
            <w:shd w:val="clear" w:color="auto" w:fill="auto"/>
            <w:noWrap/>
            <w:vAlign w:val="bottom"/>
            <w:hideMark/>
          </w:tcPr>
          <w:p w14:paraId="5CE48C80" w14:textId="77777777" w:rsidR="004567F7" w:rsidRPr="00886FAC" w:rsidRDefault="004567F7" w:rsidP="00144775">
            <w:pPr>
              <w:spacing w:after="0" w:line="240" w:lineRule="auto"/>
              <w:jc w:val="left"/>
              <w:rPr>
                <w:rFonts w:eastAsia="Times New Roman" w:cs="Times New Roman"/>
                <w:sz w:val="20"/>
                <w:szCs w:val="20"/>
                <w:lang w:eastAsia="sk-SK"/>
              </w:rPr>
            </w:pPr>
            <w:r w:rsidRPr="00886FAC">
              <w:rPr>
                <w:rFonts w:eastAsia="Times New Roman" w:cs="Times New Roman"/>
                <w:sz w:val="20"/>
                <w:szCs w:val="20"/>
                <w:lang w:eastAsia="sk-SK"/>
              </w:rPr>
              <w:t>Žilinský</w:t>
            </w:r>
          </w:p>
        </w:tc>
        <w:tc>
          <w:tcPr>
            <w:tcW w:w="1072" w:type="pct"/>
            <w:tcBorders>
              <w:top w:val="nil"/>
              <w:left w:val="nil"/>
              <w:bottom w:val="nil"/>
              <w:right w:val="nil"/>
            </w:tcBorders>
            <w:shd w:val="clear" w:color="auto" w:fill="auto"/>
            <w:noWrap/>
            <w:vAlign w:val="bottom"/>
            <w:hideMark/>
          </w:tcPr>
          <w:p w14:paraId="46EEFC64" w14:textId="77777777" w:rsidR="004567F7" w:rsidRPr="00886FAC" w:rsidRDefault="004567F7" w:rsidP="00144775">
            <w:pPr>
              <w:spacing w:after="0" w:line="240" w:lineRule="auto"/>
              <w:jc w:val="right"/>
              <w:rPr>
                <w:rFonts w:eastAsia="Times New Roman" w:cs="Times New Roman"/>
                <w:sz w:val="20"/>
                <w:szCs w:val="20"/>
                <w:lang w:eastAsia="sk-SK"/>
              </w:rPr>
            </w:pPr>
            <w:r w:rsidRPr="00886FAC">
              <w:rPr>
                <w:rFonts w:eastAsia="Times New Roman" w:cs="Times New Roman"/>
                <w:sz w:val="20"/>
                <w:szCs w:val="20"/>
                <w:lang w:eastAsia="sk-SK"/>
              </w:rPr>
              <w:t>64 685</w:t>
            </w:r>
          </w:p>
        </w:tc>
        <w:tc>
          <w:tcPr>
            <w:tcW w:w="1697" w:type="pct"/>
            <w:tcBorders>
              <w:top w:val="nil"/>
              <w:left w:val="nil"/>
              <w:bottom w:val="nil"/>
              <w:right w:val="nil"/>
            </w:tcBorders>
            <w:shd w:val="clear" w:color="auto" w:fill="auto"/>
            <w:noWrap/>
            <w:vAlign w:val="bottom"/>
            <w:hideMark/>
          </w:tcPr>
          <w:p w14:paraId="595565C3" w14:textId="77777777" w:rsidR="004567F7" w:rsidRPr="00886FAC" w:rsidRDefault="004567F7" w:rsidP="00144775">
            <w:pPr>
              <w:spacing w:after="0" w:line="240" w:lineRule="auto"/>
              <w:jc w:val="right"/>
              <w:rPr>
                <w:rFonts w:eastAsia="Times New Roman" w:cs="Times New Roman"/>
                <w:sz w:val="20"/>
                <w:szCs w:val="20"/>
                <w:lang w:eastAsia="sk-SK"/>
              </w:rPr>
            </w:pPr>
            <w:r w:rsidRPr="00886FAC">
              <w:rPr>
                <w:rFonts w:eastAsia="Times New Roman" w:cs="Times New Roman"/>
                <w:sz w:val="20"/>
                <w:szCs w:val="20"/>
                <w:lang w:eastAsia="sk-SK"/>
              </w:rPr>
              <w:t>117</w:t>
            </w:r>
          </w:p>
        </w:tc>
        <w:tc>
          <w:tcPr>
            <w:tcW w:w="909" w:type="pct"/>
            <w:tcBorders>
              <w:top w:val="nil"/>
              <w:left w:val="nil"/>
              <w:bottom w:val="nil"/>
              <w:right w:val="nil"/>
            </w:tcBorders>
            <w:shd w:val="clear" w:color="000000" w:fill="BFBFBF"/>
            <w:noWrap/>
            <w:vAlign w:val="bottom"/>
            <w:hideMark/>
          </w:tcPr>
          <w:p w14:paraId="3C2DD716" w14:textId="77777777" w:rsidR="004567F7" w:rsidRPr="00886FAC" w:rsidRDefault="004567F7" w:rsidP="00144775">
            <w:pPr>
              <w:spacing w:after="0" w:line="240" w:lineRule="auto"/>
              <w:jc w:val="right"/>
              <w:rPr>
                <w:rFonts w:eastAsia="Times New Roman" w:cs="Times New Roman"/>
                <w:sz w:val="20"/>
                <w:szCs w:val="20"/>
                <w:lang w:eastAsia="sk-SK"/>
              </w:rPr>
            </w:pPr>
            <w:r w:rsidRPr="00886FAC">
              <w:rPr>
                <w:rFonts w:eastAsia="Times New Roman" w:cs="Times New Roman"/>
                <w:sz w:val="20"/>
                <w:szCs w:val="20"/>
                <w:lang w:eastAsia="sk-SK"/>
              </w:rPr>
              <w:t>64 802</w:t>
            </w:r>
          </w:p>
        </w:tc>
      </w:tr>
      <w:tr w:rsidR="004567F7" w:rsidRPr="00886FAC" w14:paraId="12ACEC52" w14:textId="77777777" w:rsidTr="00144775">
        <w:trPr>
          <w:trHeight w:val="300"/>
        </w:trPr>
        <w:tc>
          <w:tcPr>
            <w:tcW w:w="1322" w:type="pct"/>
            <w:tcBorders>
              <w:top w:val="nil"/>
              <w:left w:val="nil"/>
              <w:bottom w:val="nil"/>
              <w:right w:val="nil"/>
            </w:tcBorders>
            <w:shd w:val="clear" w:color="auto" w:fill="auto"/>
            <w:noWrap/>
            <w:vAlign w:val="bottom"/>
            <w:hideMark/>
          </w:tcPr>
          <w:p w14:paraId="5549C82C" w14:textId="77777777" w:rsidR="004567F7" w:rsidRPr="00886FAC" w:rsidRDefault="004567F7" w:rsidP="00144775">
            <w:pPr>
              <w:spacing w:after="0" w:line="240" w:lineRule="auto"/>
              <w:jc w:val="left"/>
              <w:rPr>
                <w:rFonts w:eastAsia="Times New Roman" w:cs="Times New Roman"/>
                <w:sz w:val="20"/>
                <w:szCs w:val="20"/>
                <w:lang w:eastAsia="sk-SK"/>
              </w:rPr>
            </w:pPr>
            <w:r w:rsidRPr="00886FAC">
              <w:rPr>
                <w:rFonts w:eastAsia="Times New Roman" w:cs="Times New Roman"/>
                <w:sz w:val="20"/>
                <w:szCs w:val="20"/>
                <w:lang w:eastAsia="sk-SK"/>
              </w:rPr>
              <w:t>Banskobystrický</w:t>
            </w:r>
          </w:p>
        </w:tc>
        <w:tc>
          <w:tcPr>
            <w:tcW w:w="1072" w:type="pct"/>
            <w:tcBorders>
              <w:top w:val="nil"/>
              <w:left w:val="nil"/>
              <w:bottom w:val="nil"/>
              <w:right w:val="nil"/>
            </w:tcBorders>
            <w:shd w:val="clear" w:color="auto" w:fill="auto"/>
            <w:noWrap/>
            <w:vAlign w:val="bottom"/>
            <w:hideMark/>
          </w:tcPr>
          <w:p w14:paraId="0A912285" w14:textId="77777777" w:rsidR="004567F7" w:rsidRPr="00886FAC" w:rsidRDefault="004567F7" w:rsidP="00144775">
            <w:pPr>
              <w:spacing w:after="0" w:line="240" w:lineRule="auto"/>
              <w:jc w:val="right"/>
              <w:rPr>
                <w:rFonts w:eastAsia="Times New Roman" w:cs="Times New Roman"/>
                <w:sz w:val="20"/>
                <w:szCs w:val="20"/>
                <w:lang w:eastAsia="sk-SK"/>
              </w:rPr>
            </w:pPr>
            <w:r w:rsidRPr="00886FAC">
              <w:rPr>
                <w:rFonts w:eastAsia="Times New Roman" w:cs="Times New Roman"/>
                <w:sz w:val="20"/>
                <w:szCs w:val="20"/>
                <w:lang w:eastAsia="sk-SK"/>
              </w:rPr>
              <w:t>26 711</w:t>
            </w:r>
          </w:p>
        </w:tc>
        <w:tc>
          <w:tcPr>
            <w:tcW w:w="1697" w:type="pct"/>
            <w:tcBorders>
              <w:top w:val="nil"/>
              <w:left w:val="nil"/>
              <w:bottom w:val="nil"/>
              <w:right w:val="nil"/>
            </w:tcBorders>
            <w:shd w:val="clear" w:color="auto" w:fill="auto"/>
            <w:noWrap/>
            <w:vAlign w:val="bottom"/>
            <w:hideMark/>
          </w:tcPr>
          <w:p w14:paraId="7CE5F652" w14:textId="77777777" w:rsidR="004567F7" w:rsidRPr="00886FAC" w:rsidRDefault="004567F7" w:rsidP="00144775">
            <w:pPr>
              <w:spacing w:after="0" w:line="240" w:lineRule="auto"/>
              <w:jc w:val="right"/>
              <w:rPr>
                <w:rFonts w:eastAsia="Times New Roman" w:cs="Times New Roman"/>
                <w:sz w:val="20"/>
                <w:szCs w:val="20"/>
                <w:lang w:eastAsia="sk-SK"/>
              </w:rPr>
            </w:pPr>
            <w:r w:rsidRPr="00886FAC">
              <w:rPr>
                <w:rFonts w:eastAsia="Times New Roman" w:cs="Times New Roman"/>
                <w:sz w:val="20"/>
                <w:szCs w:val="20"/>
                <w:lang w:eastAsia="sk-SK"/>
              </w:rPr>
              <w:t>49</w:t>
            </w:r>
          </w:p>
        </w:tc>
        <w:tc>
          <w:tcPr>
            <w:tcW w:w="909" w:type="pct"/>
            <w:tcBorders>
              <w:top w:val="nil"/>
              <w:left w:val="nil"/>
              <w:bottom w:val="nil"/>
              <w:right w:val="nil"/>
            </w:tcBorders>
            <w:shd w:val="clear" w:color="000000" w:fill="BFBFBF"/>
            <w:noWrap/>
            <w:vAlign w:val="bottom"/>
            <w:hideMark/>
          </w:tcPr>
          <w:p w14:paraId="1D2795DC" w14:textId="77777777" w:rsidR="004567F7" w:rsidRPr="00886FAC" w:rsidRDefault="004567F7" w:rsidP="00144775">
            <w:pPr>
              <w:spacing w:after="0" w:line="240" w:lineRule="auto"/>
              <w:jc w:val="right"/>
              <w:rPr>
                <w:rFonts w:eastAsia="Times New Roman" w:cs="Times New Roman"/>
                <w:sz w:val="20"/>
                <w:szCs w:val="20"/>
                <w:lang w:eastAsia="sk-SK"/>
              </w:rPr>
            </w:pPr>
            <w:r w:rsidRPr="00886FAC">
              <w:rPr>
                <w:rFonts w:eastAsia="Times New Roman" w:cs="Times New Roman"/>
                <w:sz w:val="20"/>
                <w:szCs w:val="20"/>
                <w:lang w:eastAsia="sk-SK"/>
              </w:rPr>
              <w:t>26 760</w:t>
            </w:r>
          </w:p>
        </w:tc>
      </w:tr>
      <w:tr w:rsidR="004567F7" w:rsidRPr="00886FAC" w14:paraId="5AEF6DA7" w14:textId="77777777" w:rsidTr="00144775">
        <w:trPr>
          <w:trHeight w:val="300"/>
        </w:trPr>
        <w:tc>
          <w:tcPr>
            <w:tcW w:w="1322" w:type="pct"/>
            <w:tcBorders>
              <w:top w:val="nil"/>
              <w:left w:val="nil"/>
              <w:bottom w:val="nil"/>
              <w:right w:val="nil"/>
            </w:tcBorders>
            <w:shd w:val="clear" w:color="auto" w:fill="auto"/>
            <w:noWrap/>
            <w:vAlign w:val="bottom"/>
            <w:hideMark/>
          </w:tcPr>
          <w:p w14:paraId="0EF2BFA3" w14:textId="77777777" w:rsidR="004567F7" w:rsidRPr="00886FAC" w:rsidRDefault="004567F7" w:rsidP="00144775">
            <w:pPr>
              <w:spacing w:after="0" w:line="240" w:lineRule="auto"/>
              <w:jc w:val="left"/>
              <w:rPr>
                <w:rFonts w:eastAsia="Times New Roman" w:cs="Times New Roman"/>
                <w:sz w:val="20"/>
                <w:szCs w:val="20"/>
                <w:lang w:eastAsia="sk-SK"/>
              </w:rPr>
            </w:pPr>
            <w:r w:rsidRPr="00886FAC">
              <w:rPr>
                <w:rFonts w:eastAsia="Times New Roman" w:cs="Times New Roman"/>
                <w:sz w:val="20"/>
                <w:szCs w:val="20"/>
                <w:lang w:eastAsia="sk-SK"/>
              </w:rPr>
              <w:t>Prešovský</w:t>
            </w:r>
          </w:p>
        </w:tc>
        <w:tc>
          <w:tcPr>
            <w:tcW w:w="1072" w:type="pct"/>
            <w:tcBorders>
              <w:top w:val="nil"/>
              <w:left w:val="nil"/>
              <w:bottom w:val="nil"/>
              <w:right w:val="nil"/>
            </w:tcBorders>
            <w:shd w:val="clear" w:color="auto" w:fill="auto"/>
            <w:noWrap/>
            <w:vAlign w:val="bottom"/>
            <w:hideMark/>
          </w:tcPr>
          <w:p w14:paraId="11AE8C63" w14:textId="77777777" w:rsidR="004567F7" w:rsidRPr="00886FAC" w:rsidRDefault="004567F7" w:rsidP="00144775">
            <w:pPr>
              <w:spacing w:after="0" w:line="240" w:lineRule="auto"/>
              <w:jc w:val="right"/>
              <w:rPr>
                <w:rFonts w:eastAsia="Times New Roman" w:cs="Times New Roman"/>
                <w:sz w:val="20"/>
                <w:szCs w:val="20"/>
                <w:lang w:eastAsia="sk-SK"/>
              </w:rPr>
            </w:pPr>
            <w:r w:rsidRPr="00886FAC">
              <w:rPr>
                <w:rFonts w:eastAsia="Times New Roman" w:cs="Times New Roman"/>
                <w:sz w:val="20"/>
                <w:szCs w:val="20"/>
                <w:lang w:eastAsia="sk-SK"/>
              </w:rPr>
              <w:t>63 622</w:t>
            </w:r>
          </w:p>
        </w:tc>
        <w:tc>
          <w:tcPr>
            <w:tcW w:w="1697" w:type="pct"/>
            <w:tcBorders>
              <w:top w:val="nil"/>
              <w:left w:val="nil"/>
              <w:bottom w:val="nil"/>
              <w:right w:val="nil"/>
            </w:tcBorders>
            <w:shd w:val="clear" w:color="auto" w:fill="auto"/>
            <w:noWrap/>
            <w:vAlign w:val="bottom"/>
            <w:hideMark/>
          </w:tcPr>
          <w:p w14:paraId="704C5FF8" w14:textId="77777777" w:rsidR="004567F7" w:rsidRPr="00886FAC" w:rsidRDefault="004567F7" w:rsidP="00144775">
            <w:pPr>
              <w:spacing w:after="0" w:line="240" w:lineRule="auto"/>
              <w:jc w:val="right"/>
              <w:rPr>
                <w:rFonts w:eastAsia="Times New Roman" w:cs="Times New Roman"/>
                <w:sz w:val="20"/>
                <w:szCs w:val="20"/>
                <w:lang w:eastAsia="sk-SK"/>
              </w:rPr>
            </w:pPr>
            <w:r w:rsidRPr="00886FAC">
              <w:rPr>
                <w:rFonts w:eastAsia="Times New Roman" w:cs="Times New Roman"/>
                <w:sz w:val="20"/>
                <w:szCs w:val="20"/>
                <w:lang w:eastAsia="sk-SK"/>
              </w:rPr>
              <w:t>30</w:t>
            </w:r>
          </w:p>
        </w:tc>
        <w:tc>
          <w:tcPr>
            <w:tcW w:w="909" w:type="pct"/>
            <w:tcBorders>
              <w:top w:val="nil"/>
              <w:left w:val="nil"/>
              <w:bottom w:val="nil"/>
              <w:right w:val="nil"/>
            </w:tcBorders>
            <w:shd w:val="clear" w:color="000000" w:fill="BFBFBF"/>
            <w:noWrap/>
            <w:vAlign w:val="bottom"/>
            <w:hideMark/>
          </w:tcPr>
          <w:p w14:paraId="3D0A9B2A" w14:textId="77777777" w:rsidR="004567F7" w:rsidRPr="00886FAC" w:rsidRDefault="004567F7" w:rsidP="00144775">
            <w:pPr>
              <w:spacing w:after="0" w:line="240" w:lineRule="auto"/>
              <w:jc w:val="right"/>
              <w:rPr>
                <w:rFonts w:eastAsia="Times New Roman" w:cs="Times New Roman"/>
                <w:sz w:val="20"/>
                <w:szCs w:val="20"/>
                <w:lang w:eastAsia="sk-SK"/>
              </w:rPr>
            </w:pPr>
            <w:r w:rsidRPr="00886FAC">
              <w:rPr>
                <w:rFonts w:eastAsia="Times New Roman" w:cs="Times New Roman"/>
                <w:sz w:val="20"/>
                <w:szCs w:val="20"/>
                <w:lang w:eastAsia="sk-SK"/>
              </w:rPr>
              <w:t>63 652</w:t>
            </w:r>
          </w:p>
        </w:tc>
      </w:tr>
      <w:tr w:rsidR="004567F7" w:rsidRPr="00886FAC" w14:paraId="55F05245" w14:textId="77777777" w:rsidTr="00144775">
        <w:trPr>
          <w:trHeight w:val="300"/>
        </w:trPr>
        <w:tc>
          <w:tcPr>
            <w:tcW w:w="1322" w:type="pct"/>
            <w:tcBorders>
              <w:top w:val="nil"/>
              <w:left w:val="nil"/>
              <w:bottom w:val="nil"/>
              <w:right w:val="nil"/>
            </w:tcBorders>
            <w:shd w:val="clear" w:color="auto" w:fill="auto"/>
            <w:noWrap/>
            <w:vAlign w:val="bottom"/>
            <w:hideMark/>
          </w:tcPr>
          <w:p w14:paraId="2E4E7FE1" w14:textId="77777777" w:rsidR="004567F7" w:rsidRPr="00886FAC" w:rsidRDefault="004567F7" w:rsidP="00144775">
            <w:pPr>
              <w:spacing w:after="0" w:line="240" w:lineRule="auto"/>
              <w:jc w:val="left"/>
              <w:rPr>
                <w:rFonts w:eastAsia="Times New Roman" w:cs="Times New Roman"/>
                <w:sz w:val="20"/>
                <w:szCs w:val="20"/>
                <w:lang w:eastAsia="sk-SK"/>
              </w:rPr>
            </w:pPr>
            <w:r w:rsidRPr="00886FAC">
              <w:rPr>
                <w:rFonts w:eastAsia="Times New Roman" w:cs="Times New Roman"/>
                <w:sz w:val="20"/>
                <w:szCs w:val="20"/>
                <w:lang w:eastAsia="sk-SK"/>
              </w:rPr>
              <w:t>Košický</w:t>
            </w:r>
          </w:p>
        </w:tc>
        <w:tc>
          <w:tcPr>
            <w:tcW w:w="1072" w:type="pct"/>
            <w:tcBorders>
              <w:top w:val="nil"/>
              <w:left w:val="nil"/>
              <w:bottom w:val="nil"/>
              <w:right w:val="nil"/>
            </w:tcBorders>
            <w:shd w:val="clear" w:color="auto" w:fill="auto"/>
            <w:noWrap/>
            <w:vAlign w:val="bottom"/>
            <w:hideMark/>
          </w:tcPr>
          <w:p w14:paraId="148C96E9" w14:textId="77777777" w:rsidR="004567F7" w:rsidRPr="00886FAC" w:rsidRDefault="004567F7" w:rsidP="00144775">
            <w:pPr>
              <w:spacing w:after="0" w:line="240" w:lineRule="auto"/>
              <w:jc w:val="right"/>
              <w:rPr>
                <w:rFonts w:eastAsia="Times New Roman" w:cs="Times New Roman"/>
                <w:sz w:val="20"/>
                <w:szCs w:val="20"/>
                <w:lang w:eastAsia="sk-SK"/>
              </w:rPr>
            </w:pPr>
            <w:r w:rsidRPr="00886FAC">
              <w:rPr>
                <w:rFonts w:eastAsia="Times New Roman" w:cs="Times New Roman"/>
                <w:sz w:val="20"/>
                <w:szCs w:val="20"/>
                <w:lang w:eastAsia="sk-SK"/>
              </w:rPr>
              <w:t>33 061</w:t>
            </w:r>
          </w:p>
        </w:tc>
        <w:tc>
          <w:tcPr>
            <w:tcW w:w="1697" w:type="pct"/>
            <w:tcBorders>
              <w:top w:val="nil"/>
              <w:left w:val="nil"/>
              <w:bottom w:val="nil"/>
              <w:right w:val="nil"/>
            </w:tcBorders>
            <w:shd w:val="clear" w:color="auto" w:fill="auto"/>
            <w:noWrap/>
            <w:vAlign w:val="bottom"/>
            <w:hideMark/>
          </w:tcPr>
          <w:p w14:paraId="708616A6" w14:textId="77777777" w:rsidR="004567F7" w:rsidRPr="00886FAC" w:rsidRDefault="004567F7" w:rsidP="00144775">
            <w:pPr>
              <w:spacing w:after="0" w:line="240" w:lineRule="auto"/>
              <w:jc w:val="right"/>
              <w:rPr>
                <w:rFonts w:eastAsia="Times New Roman" w:cs="Times New Roman"/>
                <w:sz w:val="20"/>
                <w:szCs w:val="20"/>
                <w:lang w:eastAsia="sk-SK"/>
              </w:rPr>
            </w:pPr>
            <w:r w:rsidRPr="00886FAC">
              <w:rPr>
                <w:rFonts w:eastAsia="Times New Roman" w:cs="Times New Roman"/>
                <w:sz w:val="20"/>
                <w:szCs w:val="20"/>
                <w:lang w:eastAsia="sk-SK"/>
              </w:rPr>
              <w:t>5</w:t>
            </w:r>
          </w:p>
        </w:tc>
        <w:tc>
          <w:tcPr>
            <w:tcW w:w="909" w:type="pct"/>
            <w:tcBorders>
              <w:top w:val="nil"/>
              <w:left w:val="nil"/>
              <w:bottom w:val="nil"/>
              <w:right w:val="nil"/>
            </w:tcBorders>
            <w:shd w:val="clear" w:color="000000" w:fill="BFBFBF"/>
            <w:noWrap/>
            <w:vAlign w:val="bottom"/>
            <w:hideMark/>
          </w:tcPr>
          <w:p w14:paraId="631FCC5F" w14:textId="77777777" w:rsidR="004567F7" w:rsidRPr="00886FAC" w:rsidRDefault="004567F7" w:rsidP="00144775">
            <w:pPr>
              <w:spacing w:after="0" w:line="240" w:lineRule="auto"/>
              <w:jc w:val="right"/>
              <w:rPr>
                <w:rFonts w:eastAsia="Times New Roman" w:cs="Times New Roman"/>
                <w:sz w:val="20"/>
                <w:szCs w:val="20"/>
                <w:lang w:eastAsia="sk-SK"/>
              </w:rPr>
            </w:pPr>
            <w:r w:rsidRPr="00886FAC">
              <w:rPr>
                <w:rFonts w:eastAsia="Times New Roman" w:cs="Times New Roman"/>
                <w:sz w:val="20"/>
                <w:szCs w:val="20"/>
                <w:lang w:eastAsia="sk-SK"/>
              </w:rPr>
              <w:t>33 066</w:t>
            </w:r>
          </w:p>
        </w:tc>
      </w:tr>
      <w:tr w:rsidR="004567F7" w:rsidRPr="00886FAC" w14:paraId="4D554A3B" w14:textId="77777777" w:rsidTr="00144775">
        <w:trPr>
          <w:trHeight w:val="300"/>
        </w:trPr>
        <w:tc>
          <w:tcPr>
            <w:tcW w:w="1322" w:type="pct"/>
            <w:tcBorders>
              <w:top w:val="nil"/>
              <w:left w:val="nil"/>
              <w:bottom w:val="single" w:sz="4" w:space="0" w:color="auto"/>
              <w:right w:val="nil"/>
            </w:tcBorders>
            <w:shd w:val="clear" w:color="auto" w:fill="auto"/>
            <w:noWrap/>
            <w:vAlign w:val="bottom"/>
            <w:hideMark/>
          </w:tcPr>
          <w:p w14:paraId="7F910145" w14:textId="77777777" w:rsidR="004567F7" w:rsidRPr="00886FAC" w:rsidRDefault="004567F7" w:rsidP="00144775">
            <w:pPr>
              <w:spacing w:after="0" w:line="240" w:lineRule="auto"/>
              <w:jc w:val="left"/>
              <w:rPr>
                <w:rFonts w:eastAsia="Times New Roman" w:cs="Times New Roman"/>
                <w:b/>
                <w:bCs/>
                <w:sz w:val="20"/>
                <w:szCs w:val="20"/>
                <w:lang w:eastAsia="sk-SK"/>
              </w:rPr>
            </w:pPr>
            <w:r w:rsidRPr="00886FAC">
              <w:rPr>
                <w:rFonts w:eastAsia="Times New Roman" w:cs="Times New Roman"/>
                <w:b/>
                <w:bCs/>
                <w:sz w:val="20"/>
                <w:szCs w:val="20"/>
                <w:lang w:eastAsia="sk-SK"/>
              </w:rPr>
              <w:t>Spolu VÚC</w:t>
            </w:r>
          </w:p>
        </w:tc>
        <w:tc>
          <w:tcPr>
            <w:tcW w:w="1072" w:type="pct"/>
            <w:tcBorders>
              <w:top w:val="nil"/>
              <w:left w:val="nil"/>
              <w:bottom w:val="single" w:sz="4" w:space="0" w:color="auto"/>
              <w:right w:val="nil"/>
            </w:tcBorders>
            <w:shd w:val="clear" w:color="auto" w:fill="auto"/>
            <w:noWrap/>
            <w:vAlign w:val="bottom"/>
            <w:hideMark/>
          </w:tcPr>
          <w:p w14:paraId="78EABCF5" w14:textId="77777777" w:rsidR="004567F7" w:rsidRPr="00886FAC" w:rsidRDefault="004567F7" w:rsidP="00144775">
            <w:pPr>
              <w:spacing w:after="0" w:line="240" w:lineRule="auto"/>
              <w:jc w:val="right"/>
              <w:rPr>
                <w:rFonts w:eastAsia="Times New Roman" w:cs="Times New Roman"/>
                <w:b/>
                <w:bCs/>
                <w:sz w:val="20"/>
                <w:szCs w:val="20"/>
                <w:lang w:eastAsia="sk-SK"/>
              </w:rPr>
            </w:pPr>
            <w:r w:rsidRPr="00886FAC">
              <w:rPr>
                <w:rFonts w:eastAsia="Times New Roman" w:cs="Times New Roman"/>
                <w:b/>
                <w:bCs/>
                <w:sz w:val="20"/>
                <w:szCs w:val="20"/>
                <w:lang w:eastAsia="sk-SK"/>
              </w:rPr>
              <w:t>361 325</w:t>
            </w:r>
          </w:p>
        </w:tc>
        <w:tc>
          <w:tcPr>
            <w:tcW w:w="1697" w:type="pct"/>
            <w:tcBorders>
              <w:top w:val="nil"/>
              <w:left w:val="nil"/>
              <w:bottom w:val="single" w:sz="4" w:space="0" w:color="auto"/>
              <w:right w:val="nil"/>
            </w:tcBorders>
            <w:shd w:val="clear" w:color="auto" w:fill="auto"/>
            <w:noWrap/>
            <w:vAlign w:val="bottom"/>
            <w:hideMark/>
          </w:tcPr>
          <w:p w14:paraId="605FFDCF" w14:textId="77777777" w:rsidR="004567F7" w:rsidRPr="00886FAC" w:rsidRDefault="004567F7" w:rsidP="00144775">
            <w:pPr>
              <w:spacing w:after="0" w:line="240" w:lineRule="auto"/>
              <w:jc w:val="right"/>
              <w:rPr>
                <w:rFonts w:eastAsia="Times New Roman" w:cs="Times New Roman"/>
                <w:b/>
                <w:bCs/>
                <w:sz w:val="20"/>
                <w:szCs w:val="20"/>
                <w:lang w:eastAsia="sk-SK"/>
              </w:rPr>
            </w:pPr>
            <w:r w:rsidRPr="00886FAC">
              <w:rPr>
                <w:rFonts w:eastAsia="Times New Roman" w:cs="Times New Roman"/>
                <w:b/>
                <w:bCs/>
                <w:sz w:val="20"/>
                <w:szCs w:val="20"/>
                <w:lang w:eastAsia="sk-SK"/>
              </w:rPr>
              <w:t>1 274</w:t>
            </w:r>
          </w:p>
        </w:tc>
        <w:tc>
          <w:tcPr>
            <w:tcW w:w="909" w:type="pct"/>
            <w:tcBorders>
              <w:top w:val="nil"/>
              <w:left w:val="nil"/>
              <w:bottom w:val="single" w:sz="4" w:space="0" w:color="auto"/>
              <w:right w:val="nil"/>
            </w:tcBorders>
            <w:shd w:val="clear" w:color="000000" w:fill="BFBFBF"/>
            <w:noWrap/>
            <w:vAlign w:val="bottom"/>
            <w:hideMark/>
          </w:tcPr>
          <w:p w14:paraId="5D98E350" w14:textId="77777777" w:rsidR="004567F7" w:rsidRPr="00886FAC" w:rsidRDefault="004567F7" w:rsidP="00144775">
            <w:pPr>
              <w:spacing w:after="0" w:line="240" w:lineRule="auto"/>
              <w:jc w:val="right"/>
              <w:rPr>
                <w:rFonts w:eastAsia="Times New Roman" w:cs="Times New Roman"/>
                <w:b/>
                <w:bCs/>
                <w:sz w:val="20"/>
                <w:szCs w:val="20"/>
                <w:lang w:eastAsia="sk-SK"/>
              </w:rPr>
            </w:pPr>
            <w:r w:rsidRPr="00886FAC">
              <w:rPr>
                <w:rFonts w:eastAsia="Times New Roman" w:cs="Times New Roman"/>
                <w:b/>
                <w:bCs/>
                <w:sz w:val="20"/>
                <w:szCs w:val="20"/>
                <w:lang w:eastAsia="sk-SK"/>
              </w:rPr>
              <w:t>362 599</w:t>
            </w:r>
          </w:p>
        </w:tc>
      </w:tr>
    </w:tbl>
    <w:p w14:paraId="5C0D8EED" w14:textId="77777777" w:rsidR="004567F7" w:rsidRPr="00886FAC" w:rsidRDefault="004567F7" w:rsidP="004567F7">
      <w:pPr>
        <w:jc w:val="right"/>
        <w:rPr>
          <w:sz w:val="18"/>
          <w:szCs w:val="18"/>
        </w:rPr>
      </w:pPr>
      <w:r w:rsidRPr="00886FAC">
        <w:rPr>
          <w:sz w:val="18"/>
          <w:szCs w:val="18"/>
        </w:rPr>
        <w:t>Zdroj: MF SR</w:t>
      </w:r>
    </w:p>
    <w:p w14:paraId="273346EC" w14:textId="698E6C88" w:rsidR="00966462" w:rsidRDefault="00966462" w:rsidP="004567F7">
      <w:pPr>
        <w:rPr>
          <w:b/>
        </w:rPr>
      </w:pPr>
      <w:r>
        <w:rPr>
          <w:color w:val="000000"/>
        </w:rPr>
        <w:t xml:space="preserve">Bankové úvery čerpajú VÚC najmä za účelom </w:t>
      </w:r>
      <w:proofErr w:type="spellStart"/>
      <w:r>
        <w:rPr>
          <w:color w:val="000000"/>
        </w:rPr>
        <w:t>predfinancovania</w:t>
      </w:r>
      <w:proofErr w:type="spellEnd"/>
      <w:r>
        <w:rPr>
          <w:color w:val="000000"/>
        </w:rPr>
        <w:t xml:space="preserve"> investičných projektov financovaných z EÚ rozpočtu formou refundácií v oblasti dopravnej infraštruktúry, obnovy zariadení patriacich do vlastníctva VÚC, regionálneho rozvoja a ďalších aktivít. Bankové úvery úhrnom medziročne poklesli, avšak v roku 2018 čerpali niektoré VÚC aj nové úvery resp. tranže v rámci úverových limitov. Bratislavský samosprávny kraj čerpal úvery od Európskej investičnej banky (9 000 tis. eur) na rekonštrukciu ciest II. a III. triedy, rekonštrukciu škôl a školských zariadení alebo rekonštrukc</w:t>
      </w:r>
      <w:r w:rsidR="00326E42">
        <w:rPr>
          <w:color w:val="000000"/>
        </w:rPr>
        <w:t>iu sociálnych zariadení a</w:t>
      </w:r>
      <w:r>
        <w:rPr>
          <w:color w:val="000000"/>
        </w:rPr>
        <w:t xml:space="preserve"> Trenčiansky samosprávny kraj čerpal úver od Rozvojovej banky Rady Európy vo výške 3 963 tis. eur na spoločné projekty EÚ.</w:t>
      </w:r>
    </w:p>
    <w:p w14:paraId="0F30FD9B" w14:textId="75349875" w:rsidR="004567F7" w:rsidRPr="00AA53BD" w:rsidRDefault="004567F7" w:rsidP="004567F7">
      <w:r w:rsidRPr="0026033F">
        <w:rPr>
          <w:b/>
        </w:rPr>
        <w:t>Dopravné podniky</w:t>
      </w:r>
      <w:r w:rsidRPr="0026033F">
        <w:t xml:space="preserve"> </w:t>
      </w:r>
      <w:r w:rsidRPr="0026033F">
        <w:rPr>
          <w:b/>
        </w:rPr>
        <w:t>miestnej samosprávy</w:t>
      </w:r>
      <w:r w:rsidRPr="0026033F">
        <w:t xml:space="preserve"> mali v roku 201</w:t>
      </w:r>
      <w:r>
        <w:t>8</w:t>
      </w:r>
      <w:r w:rsidRPr="0026033F">
        <w:t xml:space="preserve"> dlh vo výške </w:t>
      </w:r>
      <w:r>
        <w:t>75</w:t>
      </w:r>
      <w:r w:rsidR="00665CC5">
        <w:t> </w:t>
      </w:r>
      <w:r>
        <w:t>780</w:t>
      </w:r>
      <w:r w:rsidR="00665CC5">
        <w:t> </w:t>
      </w:r>
      <w:r w:rsidRPr="0026033F">
        <w:t>tis.</w:t>
      </w:r>
      <w:r w:rsidR="00665CC5">
        <w:t> </w:t>
      </w:r>
      <w:r w:rsidRPr="0026033F">
        <w:t>eur. Väčšinu dlhu tvoria dom</w:t>
      </w:r>
      <w:r>
        <w:t xml:space="preserve">áce bankové úvery </w:t>
      </w:r>
      <w:r w:rsidRPr="0026033F">
        <w:t xml:space="preserve">v hodnote </w:t>
      </w:r>
      <w:r>
        <w:t>75</w:t>
      </w:r>
      <w:r w:rsidR="00665CC5">
        <w:t> </w:t>
      </w:r>
      <w:r>
        <w:t>550</w:t>
      </w:r>
      <w:r w:rsidR="00665CC5">
        <w:t> </w:t>
      </w:r>
      <w:r w:rsidRPr="0026033F">
        <w:t>tis.</w:t>
      </w:r>
      <w:r w:rsidR="00665CC5">
        <w:t> </w:t>
      </w:r>
      <w:r w:rsidRPr="0026033F">
        <w:t>eur. Zvyšok predstavuj</w:t>
      </w:r>
      <w:r>
        <w:t xml:space="preserve">ú zábezpeky (229 tis. eur) a </w:t>
      </w:r>
      <w:r w:rsidRPr="0026033F">
        <w:t>finančný prenájom (</w:t>
      </w:r>
      <w:r>
        <w:t>1</w:t>
      </w:r>
      <w:r w:rsidRPr="0026033F">
        <w:t> tis. eur). Dlh dopravných podnikov majoritne tvoria záväzky so splatnosťou dlhšou ako jeden rok (</w:t>
      </w:r>
      <w:r>
        <w:t>91,0 </w:t>
      </w:r>
      <w:r w:rsidRPr="0026033F">
        <w:t>%). Dlh dopravných podnikov poklesol oproti</w:t>
      </w:r>
      <w:r>
        <w:t xml:space="preserve"> </w:t>
      </w:r>
      <w:r w:rsidRPr="0026033F">
        <w:t>predchádzajúcemu roku o 3 </w:t>
      </w:r>
      <w:r>
        <w:t>941</w:t>
      </w:r>
      <w:r w:rsidRPr="0026033F">
        <w:t> tis. eur z dôvodu splácania úverov.</w:t>
      </w:r>
    </w:p>
    <w:p w14:paraId="657DDF2D" w14:textId="512347A6" w:rsidR="004567F7" w:rsidRPr="00DB57DF" w:rsidRDefault="004567F7" w:rsidP="004567F7">
      <w:r w:rsidRPr="00DB57DF">
        <w:t xml:space="preserve">Dlh </w:t>
      </w:r>
      <w:r w:rsidRPr="00DB57DF">
        <w:rPr>
          <w:b/>
        </w:rPr>
        <w:t xml:space="preserve">zdravotníckych zariadení miestnej samosprávy </w:t>
      </w:r>
      <w:r>
        <w:t>vzrástol</w:t>
      </w:r>
      <w:r w:rsidRPr="00DB57DF">
        <w:t xml:space="preserve"> oproti stavu v roku 201</w:t>
      </w:r>
      <w:r>
        <w:t>8</w:t>
      </w:r>
      <w:r w:rsidRPr="00DB57DF">
        <w:t xml:space="preserve"> o</w:t>
      </w:r>
      <w:r>
        <w:t> 2 </w:t>
      </w:r>
      <w:r w:rsidR="005D5A2D">
        <w:t>396</w:t>
      </w:r>
      <w:r w:rsidRPr="00DB57DF">
        <w:t xml:space="preserve"> tis. eur na súčasných </w:t>
      </w:r>
      <w:r>
        <w:t>3 471</w:t>
      </w:r>
      <w:r w:rsidRPr="00DB57DF">
        <w:t xml:space="preserve"> tis. eur. Dlh týchto subjektov v rozhodujúcej miere tvoria </w:t>
      </w:r>
      <w:r>
        <w:t xml:space="preserve">pôžičky od nebankových subjektov v hodnote 2 699 tis. eur. Ich hodnota vzrástla </w:t>
      </w:r>
      <w:r w:rsidR="005D5A2D">
        <w:t>z nulového stavu v roku 2017 na</w:t>
      </w:r>
      <w:r>
        <w:t> </w:t>
      </w:r>
      <w:r w:rsidR="005D5A2D">
        <w:t>túto hodnotu</w:t>
      </w:r>
      <w:r>
        <w:t xml:space="preserve">, čo bolo spôsobené </w:t>
      </w:r>
      <w:r w:rsidR="00870500">
        <w:t>vykázaním pôvodných záväzkov voči dodávateľom ako ostatné pôžičky voči finančným spoločnostiam, ktoré odkúpili pohľadávky voči zdravotníckym zariadeniam</w:t>
      </w:r>
      <w:r>
        <w:t>. B</w:t>
      </w:r>
      <w:r w:rsidRPr="00DB57DF">
        <w:t xml:space="preserve">ankové úvery </w:t>
      </w:r>
      <w:r>
        <w:t>klesli o </w:t>
      </w:r>
      <w:r w:rsidR="005D5A2D">
        <w:t>140</w:t>
      </w:r>
      <w:r>
        <w:t> tis. eur na úroveň 456 tis. eur,</w:t>
      </w:r>
      <w:r w:rsidR="001F20A6">
        <w:br/>
      </w:r>
      <w:r w:rsidRPr="00DB57DF">
        <w:t>pôžičky poskytnuté nemocniciam z Environmentálneho f</w:t>
      </w:r>
      <w:r>
        <w:t>ondu podliehajúce konsolidácii predstavujú 20</w:t>
      </w:r>
      <w:r w:rsidRPr="00DB57DF">
        <w:t xml:space="preserve">1 tis. eur. </w:t>
      </w:r>
    </w:p>
    <w:p w14:paraId="28E7A035" w14:textId="77777777" w:rsidR="004567F7" w:rsidRPr="009B5E34" w:rsidRDefault="004567F7" w:rsidP="004567F7">
      <w:r w:rsidRPr="009B5E34">
        <w:t xml:space="preserve">Dlh </w:t>
      </w:r>
      <w:r w:rsidRPr="009B5E34">
        <w:rPr>
          <w:b/>
        </w:rPr>
        <w:t>ostatných subjektov miestnej samosprávy</w:t>
      </w:r>
      <w:r w:rsidRPr="009B5E34">
        <w:t xml:space="preserve">, ktoré tvoria napríklad neziskové </w:t>
      </w:r>
      <w:r w:rsidRPr="004567F7">
        <w:t>organizácie,</w:t>
      </w:r>
      <w:r w:rsidRPr="009B5E34">
        <w:rPr>
          <w:b/>
        </w:rPr>
        <w:t xml:space="preserve"> </w:t>
      </w:r>
      <w:r>
        <w:t>dosiahol v roku 2018</w:t>
      </w:r>
      <w:r w:rsidRPr="009B5E34">
        <w:t xml:space="preserve"> hodnotu </w:t>
      </w:r>
      <w:r>
        <w:t>2 506 tis. </w:t>
      </w:r>
      <w:r w:rsidRPr="009B5E34">
        <w:t>eur. Oproti predchádzajúcemu roku klesol o 1</w:t>
      </w:r>
      <w:r>
        <w:t> </w:t>
      </w:r>
      <w:r w:rsidRPr="009B5E34">
        <w:t>288</w:t>
      </w:r>
      <w:r>
        <w:t> </w:t>
      </w:r>
      <w:r w:rsidRPr="009B5E34">
        <w:t>tis.</w:t>
      </w:r>
      <w:r>
        <w:t> </w:t>
      </w:r>
      <w:r w:rsidRPr="009B5E34">
        <w:t>eur. Dlh týchto subjektov v rozhodujú</w:t>
      </w:r>
      <w:r>
        <w:t>cej miere tvoria bankové úvery 2 227 tis. eur.</w:t>
      </w:r>
    </w:p>
    <w:p w14:paraId="58F9E971" w14:textId="1AF0DA24" w:rsidR="004567F7" w:rsidRDefault="004567F7" w:rsidP="004567F7">
      <w:r w:rsidRPr="00C711FB">
        <w:t xml:space="preserve">Dlh </w:t>
      </w:r>
      <w:r w:rsidRPr="00C711FB">
        <w:rPr>
          <w:b/>
        </w:rPr>
        <w:t>Sociálnej poisťovne</w:t>
      </w:r>
      <w:r w:rsidRPr="00C711FB">
        <w:t xml:space="preserve"> a</w:t>
      </w:r>
      <w:r>
        <w:t xml:space="preserve"> </w:t>
      </w:r>
      <w:r w:rsidRPr="00C711FB">
        <w:t xml:space="preserve">dlh </w:t>
      </w:r>
      <w:r w:rsidRPr="00C711FB">
        <w:rPr>
          <w:b/>
        </w:rPr>
        <w:t xml:space="preserve">verejnej časti zdravotného poistenia </w:t>
      </w:r>
      <w:r w:rsidRPr="00C711FB">
        <w:t xml:space="preserve">dosiahol úhrnnom </w:t>
      </w:r>
      <w:r>
        <w:t>257 </w:t>
      </w:r>
      <w:r w:rsidRPr="00C711FB">
        <w:t>tis.</w:t>
      </w:r>
      <w:r>
        <w:t> </w:t>
      </w:r>
      <w:r w:rsidRPr="00C711FB">
        <w:t xml:space="preserve">eur, z toho Sociálna poisťovňa vykázala </w:t>
      </w:r>
      <w:r>
        <w:t>113</w:t>
      </w:r>
      <w:r w:rsidRPr="00C711FB">
        <w:t xml:space="preserve"> tis. eur. Z pohľadu dlhového nástroja ide len</w:t>
      </w:r>
      <w:r w:rsidR="00F16F20">
        <w:t xml:space="preserve"> </w:t>
      </w:r>
      <w:r w:rsidRPr="00C711FB">
        <w:t>o finančné zábezpeky.</w:t>
      </w:r>
    </w:p>
    <w:p w14:paraId="6414765C" w14:textId="77777777" w:rsidR="00A61343" w:rsidRPr="00054BE4" w:rsidRDefault="00A61343" w:rsidP="004567F7"/>
    <w:p w14:paraId="222A5A9F" w14:textId="77777777" w:rsidR="005F5B88" w:rsidRDefault="005F5B88" w:rsidP="0042635A">
      <w:pPr>
        <w:pStyle w:val="Nadpis2"/>
      </w:pPr>
      <w:bookmarkStart w:id="29" w:name="_Toc6415639"/>
      <w:bookmarkStart w:id="30" w:name="_Toc7502831"/>
      <w:r>
        <w:t xml:space="preserve">Porovnanie salda a dlhu verejnej </w:t>
      </w:r>
      <w:r w:rsidR="008254BE">
        <w:t>správy v Európskej únii</w:t>
      </w:r>
      <w:bookmarkEnd w:id="29"/>
      <w:bookmarkEnd w:id="30"/>
    </w:p>
    <w:p w14:paraId="3A749276" w14:textId="77777777" w:rsidR="00D572CA" w:rsidRPr="00526558" w:rsidRDefault="00D572CA" w:rsidP="00D572CA">
      <w:pPr>
        <w:rPr>
          <w:color w:val="FF0000"/>
        </w:rPr>
      </w:pPr>
      <w:bookmarkStart w:id="31" w:name="_Toc6415640"/>
      <w:r w:rsidRPr="005B5E0A">
        <w:t>V rámci Európs</w:t>
      </w:r>
      <w:r>
        <w:t>kej únie (28 krajín) v roku 2018</w:t>
      </w:r>
      <w:r w:rsidRPr="005B5E0A">
        <w:rPr>
          <w:color w:val="FF0000"/>
        </w:rPr>
        <w:t xml:space="preserve"> </w:t>
      </w:r>
      <w:r>
        <w:t>dosiahlo 9</w:t>
      </w:r>
      <w:r w:rsidRPr="000E65CB">
        <w:t xml:space="preserve"> krajín </w:t>
      </w:r>
      <w:r w:rsidRPr="005B5E0A">
        <w:t>vyšší schodok a</w:t>
      </w:r>
      <w:r w:rsidRPr="00526558">
        <w:rPr>
          <w:color w:val="FF0000"/>
        </w:rPr>
        <w:t> </w:t>
      </w:r>
      <w:r>
        <w:t>17</w:t>
      </w:r>
      <w:r w:rsidRPr="000E65CB">
        <w:t xml:space="preserve"> k</w:t>
      </w:r>
      <w:r w:rsidRPr="005B5E0A">
        <w:t xml:space="preserve">rajín dosiahlo vyšší dlh verejnej správy ako Slovenská republika. </w:t>
      </w:r>
      <w:r w:rsidRPr="005B5E0A">
        <w:rPr>
          <w:b/>
        </w:rPr>
        <w:t xml:space="preserve">Priemerný schodok EÚ 28 bol </w:t>
      </w:r>
      <w:r>
        <w:rPr>
          <w:b/>
        </w:rPr>
        <w:t>0,6</w:t>
      </w:r>
      <w:r w:rsidRPr="000E65CB">
        <w:rPr>
          <w:b/>
        </w:rPr>
        <w:t xml:space="preserve"> % </w:t>
      </w:r>
      <w:r w:rsidRPr="005B5E0A">
        <w:rPr>
          <w:b/>
        </w:rPr>
        <w:t>HDP</w:t>
      </w:r>
      <w:r w:rsidRPr="005B5E0A">
        <w:t xml:space="preserve"> (Slovensko</w:t>
      </w:r>
      <w:r w:rsidRPr="00526558">
        <w:rPr>
          <w:color w:val="FF0000"/>
        </w:rPr>
        <w:t> </w:t>
      </w:r>
      <w:r>
        <w:t>0,7</w:t>
      </w:r>
      <w:r w:rsidRPr="005B5E0A">
        <w:t> % HDP) a </w:t>
      </w:r>
      <w:r w:rsidRPr="005B5E0A">
        <w:rPr>
          <w:b/>
        </w:rPr>
        <w:t xml:space="preserve">priemerný dlh verejnej správy EÚ 28 bol </w:t>
      </w:r>
      <w:r>
        <w:rPr>
          <w:b/>
        </w:rPr>
        <w:t>80,0</w:t>
      </w:r>
      <w:r w:rsidRPr="000E65CB">
        <w:rPr>
          <w:b/>
        </w:rPr>
        <w:t> % HDP</w:t>
      </w:r>
      <w:r w:rsidRPr="000E65CB">
        <w:t xml:space="preserve"> </w:t>
      </w:r>
      <w:r w:rsidRPr="005B5E0A">
        <w:t xml:space="preserve">(Slovensko </w:t>
      </w:r>
      <w:r>
        <w:t>48,9</w:t>
      </w:r>
      <w:r w:rsidRPr="005B5E0A">
        <w:t> % HDP)</w:t>
      </w:r>
      <w:r w:rsidRPr="005B5E0A">
        <w:rPr>
          <w:rFonts w:cs="Book Antiqua"/>
        </w:rPr>
        <w:t xml:space="preserve"> </w:t>
      </w:r>
      <w:r w:rsidRPr="005B5E0A">
        <w:t>v roku 201</w:t>
      </w:r>
      <w:r>
        <w:t>8</w:t>
      </w:r>
      <w:r w:rsidRPr="005B5E0A">
        <w:t>.</w:t>
      </w:r>
    </w:p>
    <w:p w14:paraId="25237F87" w14:textId="1C2269BE" w:rsidR="00D572CA" w:rsidRDefault="00D572CA" w:rsidP="00D572CA">
      <w:pPr>
        <w:rPr>
          <w:color w:val="FF0000"/>
        </w:rPr>
      </w:pPr>
      <w:r w:rsidRPr="005B5E0A">
        <w:t xml:space="preserve">Najvyššie schodky verejnej </w:t>
      </w:r>
      <w:r>
        <w:t>správy v rámci EÚ 28 v roku 2018</w:t>
      </w:r>
      <w:r w:rsidRPr="005B5E0A">
        <w:t xml:space="preserve"> vykázali</w:t>
      </w:r>
      <w:r w:rsidRPr="00526558">
        <w:rPr>
          <w:color w:val="FF0000"/>
        </w:rPr>
        <w:t xml:space="preserve"> </w:t>
      </w:r>
      <w:r>
        <w:t>krajiny</w:t>
      </w:r>
      <w:r w:rsidRPr="000E65CB">
        <w:t xml:space="preserve"> ako </w:t>
      </w:r>
      <w:r>
        <w:t>Cyprus 4,8</w:t>
      </w:r>
      <w:r w:rsidR="00D643CE">
        <w:t> </w:t>
      </w:r>
      <w:r>
        <w:t>% HDP,</w:t>
      </w:r>
      <w:r w:rsidRPr="003F6CC2">
        <w:t xml:space="preserve"> </w:t>
      </w:r>
      <w:r w:rsidRPr="000E65CB">
        <w:t>Ru</w:t>
      </w:r>
      <w:r>
        <w:t>munsko 3,0</w:t>
      </w:r>
      <w:r w:rsidR="00D643CE">
        <w:t> </w:t>
      </w:r>
      <w:r w:rsidRPr="000E65CB">
        <w:t>%</w:t>
      </w:r>
      <w:r>
        <w:t>,</w:t>
      </w:r>
      <w:r w:rsidRPr="000E65CB">
        <w:t xml:space="preserve"> HDP</w:t>
      </w:r>
      <w:r>
        <w:t xml:space="preserve"> Španielsko 2,5</w:t>
      </w:r>
      <w:r w:rsidRPr="000E65CB">
        <w:t> % HDP</w:t>
      </w:r>
      <w:r>
        <w:t>, Francúzsko 2,5</w:t>
      </w:r>
      <w:r w:rsidRPr="000E65CB">
        <w:t> % HDP</w:t>
      </w:r>
      <w:r>
        <w:t>, Maďarsko 2,2</w:t>
      </w:r>
      <w:r w:rsidR="00D643CE">
        <w:t> </w:t>
      </w:r>
      <w:r>
        <w:t xml:space="preserve">% HDP </w:t>
      </w:r>
      <w:r w:rsidRPr="000E65CB">
        <w:t>a </w:t>
      </w:r>
      <w:r>
        <w:t>Taliansko 2,1</w:t>
      </w:r>
      <w:r w:rsidRPr="000E65CB">
        <w:t> % </w:t>
      </w:r>
      <w:r w:rsidRPr="002C0BA5">
        <w:t>HDP.</w:t>
      </w:r>
      <w:r>
        <w:rPr>
          <w:color w:val="FF0000"/>
        </w:rPr>
        <w:t xml:space="preserve"> </w:t>
      </w:r>
    </w:p>
    <w:p w14:paraId="5DE01C88" w14:textId="21A75611" w:rsidR="00D572CA" w:rsidRPr="00526558" w:rsidRDefault="00D572CA" w:rsidP="00D572CA">
      <w:pPr>
        <w:rPr>
          <w:color w:val="FF0000"/>
        </w:rPr>
      </w:pPr>
      <w:r>
        <w:t>13</w:t>
      </w:r>
      <w:r w:rsidRPr="00B36C2C">
        <w:t xml:space="preserve"> krajín vykázalo prebytok </w:t>
      </w:r>
      <w:r>
        <w:t xml:space="preserve">a Írsko </w:t>
      </w:r>
      <w:r w:rsidRPr="00B36C2C">
        <w:t>hospodáril</w:t>
      </w:r>
      <w:r>
        <w:t>o</w:t>
      </w:r>
      <w:r w:rsidRPr="00B36C2C">
        <w:t xml:space="preserve"> s vyrovnaným rozpočtom.</w:t>
      </w:r>
      <w:r>
        <w:t xml:space="preserve"> </w:t>
      </w:r>
      <w:r w:rsidRPr="005B5E0A">
        <w:t>Najväčší prebytok</w:t>
      </w:r>
      <w:r>
        <w:t xml:space="preserve"> vykázalo Luxembursko (2,4 % HDP)</w:t>
      </w:r>
      <w:r w:rsidR="001C3AA5">
        <w:t>,</w:t>
      </w:r>
      <w:r w:rsidRPr="00C07336">
        <w:t xml:space="preserve"> </w:t>
      </w:r>
      <w:r>
        <w:t>Malta</w:t>
      </w:r>
      <w:r w:rsidRPr="00C07336">
        <w:t xml:space="preserve"> </w:t>
      </w:r>
      <w:r>
        <w:t>(2,0 % HDP), Bulharsko (2,0 % HDP),  Nemecko (1,7 % HDP), Holandsko (1,5 % HDP) a Grécko (1,1% HDP). </w:t>
      </w:r>
      <w:r w:rsidRPr="00C07336">
        <w:t xml:space="preserve"> </w:t>
      </w:r>
    </w:p>
    <w:p w14:paraId="79B379F9" w14:textId="13C3A6EA" w:rsidR="006E7698" w:rsidRDefault="00D572CA" w:rsidP="00D572CA">
      <w:r w:rsidRPr="005B5E0A">
        <w:t>Najvyšší dlh verejnej správy v roku 201</w:t>
      </w:r>
      <w:r>
        <w:t>8</w:t>
      </w:r>
      <w:r w:rsidRPr="005B5E0A">
        <w:t xml:space="preserve"> vykázalo </w:t>
      </w:r>
      <w:r>
        <w:t>opäť Grécko 181,1</w:t>
      </w:r>
      <w:r w:rsidRPr="004C2B68">
        <w:t xml:space="preserve"> % HDP, Taliansko </w:t>
      </w:r>
      <w:r>
        <w:t>132,2 % HDP a Portugalsko 121,5</w:t>
      </w:r>
      <w:r w:rsidRPr="004C2B68">
        <w:t xml:space="preserve"> % HDP. </w:t>
      </w:r>
      <w:r w:rsidRPr="005B5E0A">
        <w:t xml:space="preserve">Najnižší dlh vykázalo </w:t>
      </w:r>
      <w:r w:rsidRPr="0033608E">
        <w:t xml:space="preserve">Estónsko vo výške </w:t>
      </w:r>
      <w:r>
        <w:t>8,4</w:t>
      </w:r>
      <w:r w:rsidRPr="0033608E">
        <w:t xml:space="preserve"> % HDP. Slovensko </w:t>
      </w:r>
      <w:r>
        <w:t>so svojím dlhom 48,9</w:t>
      </w:r>
      <w:r w:rsidRPr="005B5E0A">
        <w:t xml:space="preserve"> % </w:t>
      </w:r>
      <w:r w:rsidRPr="0033608E">
        <w:t>HDP patrí medzi krajiny s nižším dlhom, čo je dôležité z pohľadu dlhodobej udržateľnosti verejných financií.</w:t>
      </w:r>
    </w:p>
    <w:p w14:paraId="53E708E4" w14:textId="77777777" w:rsidR="006E7698" w:rsidRDefault="006E7698">
      <w:pPr>
        <w:spacing w:after="160" w:line="259" w:lineRule="auto"/>
        <w:jc w:val="left"/>
      </w:pPr>
      <w:r>
        <w:br w:type="page"/>
      </w:r>
    </w:p>
    <w:tbl>
      <w:tblPr>
        <w:tblW w:w="8647" w:type="dxa"/>
        <w:tblCellMar>
          <w:left w:w="70" w:type="dxa"/>
          <w:right w:w="70" w:type="dxa"/>
        </w:tblCellMar>
        <w:tblLook w:val="04A0" w:firstRow="1" w:lastRow="0" w:firstColumn="1" w:lastColumn="0" w:noHBand="0" w:noVBand="1"/>
      </w:tblPr>
      <w:tblGrid>
        <w:gridCol w:w="1894"/>
        <w:gridCol w:w="976"/>
        <w:gridCol w:w="976"/>
        <w:gridCol w:w="1091"/>
        <w:gridCol w:w="190"/>
        <w:gridCol w:w="1536"/>
        <w:gridCol w:w="850"/>
        <w:gridCol w:w="1134"/>
      </w:tblGrid>
      <w:tr w:rsidR="00D572CA" w:rsidRPr="0006254B" w14:paraId="4AAE8901" w14:textId="77777777" w:rsidTr="00683A61">
        <w:trPr>
          <w:trHeight w:val="276"/>
        </w:trPr>
        <w:tc>
          <w:tcPr>
            <w:tcW w:w="8647" w:type="dxa"/>
            <w:gridSpan w:val="8"/>
            <w:tcBorders>
              <w:top w:val="nil"/>
              <w:left w:val="nil"/>
              <w:bottom w:val="nil"/>
              <w:right w:val="nil"/>
            </w:tcBorders>
            <w:shd w:val="clear" w:color="000000" w:fill="000000"/>
            <w:noWrap/>
            <w:vAlign w:val="center"/>
            <w:hideMark/>
          </w:tcPr>
          <w:p w14:paraId="755B4D39" w14:textId="29014241" w:rsidR="00D572CA" w:rsidRPr="0006254B" w:rsidRDefault="00D572CA" w:rsidP="00A77F29">
            <w:pPr>
              <w:spacing w:after="0" w:line="240" w:lineRule="auto"/>
              <w:jc w:val="left"/>
              <w:rPr>
                <w:b/>
                <w:bCs/>
                <w:color w:val="FFFFFF"/>
                <w:sz w:val="20"/>
                <w:szCs w:val="20"/>
                <w:lang w:eastAsia="sk-SK"/>
              </w:rPr>
            </w:pPr>
            <w:bookmarkStart w:id="32" w:name="RANGE!A1:H34"/>
            <w:r w:rsidRPr="0006254B">
              <w:rPr>
                <w:b/>
                <w:bCs/>
                <w:color w:val="FFFFFF"/>
                <w:sz w:val="20"/>
                <w:szCs w:val="20"/>
                <w:lang w:eastAsia="sk-SK"/>
              </w:rPr>
              <w:t xml:space="preserve">Saldo a dlh verejnej správy v EÚ 28 </w:t>
            </w:r>
            <w:r w:rsidR="00683A61">
              <w:rPr>
                <w:b/>
                <w:bCs/>
                <w:color w:val="FFFFFF"/>
                <w:sz w:val="20"/>
                <w:szCs w:val="20"/>
                <w:lang w:eastAsia="sk-SK"/>
              </w:rPr>
              <w:t xml:space="preserve">                                                                               </w:t>
            </w:r>
            <w:r w:rsidRPr="0006254B">
              <w:rPr>
                <w:b/>
                <w:bCs/>
                <w:color w:val="FFFFFF"/>
                <w:sz w:val="20"/>
                <w:szCs w:val="20"/>
                <w:lang w:eastAsia="sk-SK"/>
              </w:rPr>
              <w:t>(% HDP)</w:t>
            </w:r>
            <w:bookmarkEnd w:id="32"/>
          </w:p>
        </w:tc>
      </w:tr>
      <w:tr w:rsidR="00D572CA" w:rsidRPr="0006254B" w14:paraId="3CF3CCB8" w14:textId="77777777" w:rsidTr="00683A61">
        <w:trPr>
          <w:trHeight w:val="279"/>
        </w:trPr>
        <w:tc>
          <w:tcPr>
            <w:tcW w:w="1894" w:type="dxa"/>
            <w:tcBorders>
              <w:top w:val="nil"/>
              <w:left w:val="nil"/>
              <w:bottom w:val="nil"/>
              <w:right w:val="nil"/>
            </w:tcBorders>
            <w:shd w:val="clear" w:color="000000" w:fill="C0C0C0"/>
            <w:vAlign w:val="center"/>
            <w:hideMark/>
          </w:tcPr>
          <w:p w14:paraId="24CACA99" w14:textId="77777777" w:rsidR="00D572CA" w:rsidRPr="0006254B" w:rsidRDefault="00D572CA" w:rsidP="00A77F29">
            <w:pPr>
              <w:spacing w:after="0" w:line="240" w:lineRule="auto"/>
              <w:jc w:val="left"/>
              <w:rPr>
                <w:b/>
                <w:bCs/>
                <w:sz w:val="20"/>
                <w:szCs w:val="20"/>
                <w:lang w:eastAsia="sk-SK"/>
              </w:rPr>
            </w:pPr>
            <w:r w:rsidRPr="0006254B">
              <w:rPr>
                <w:b/>
                <w:bCs/>
                <w:sz w:val="20"/>
                <w:szCs w:val="20"/>
                <w:lang w:eastAsia="sk-SK"/>
              </w:rPr>
              <w:t> </w:t>
            </w:r>
          </w:p>
        </w:tc>
        <w:tc>
          <w:tcPr>
            <w:tcW w:w="3043" w:type="dxa"/>
            <w:gridSpan w:val="3"/>
            <w:tcBorders>
              <w:top w:val="nil"/>
              <w:left w:val="nil"/>
              <w:bottom w:val="nil"/>
              <w:right w:val="nil"/>
            </w:tcBorders>
            <w:shd w:val="clear" w:color="000000" w:fill="C0C0C0"/>
            <w:vAlign w:val="center"/>
            <w:hideMark/>
          </w:tcPr>
          <w:p w14:paraId="12CB2441" w14:textId="77777777" w:rsidR="00D572CA" w:rsidRPr="0006254B" w:rsidRDefault="00D572CA" w:rsidP="00A77F29">
            <w:pPr>
              <w:spacing w:after="0" w:line="240" w:lineRule="auto"/>
              <w:jc w:val="center"/>
              <w:rPr>
                <w:b/>
                <w:bCs/>
                <w:sz w:val="20"/>
                <w:szCs w:val="20"/>
                <w:lang w:eastAsia="sk-SK"/>
              </w:rPr>
            </w:pPr>
            <w:r w:rsidRPr="0006254B">
              <w:rPr>
                <w:b/>
                <w:bCs/>
                <w:sz w:val="20"/>
                <w:szCs w:val="20"/>
                <w:lang w:eastAsia="sk-SK"/>
              </w:rPr>
              <w:t xml:space="preserve">Saldo verejnej správy </w:t>
            </w:r>
          </w:p>
        </w:tc>
        <w:tc>
          <w:tcPr>
            <w:tcW w:w="190" w:type="dxa"/>
            <w:tcBorders>
              <w:top w:val="nil"/>
              <w:left w:val="nil"/>
              <w:bottom w:val="nil"/>
              <w:right w:val="nil"/>
            </w:tcBorders>
            <w:shd w:val="clear" w:color="000000" w:fill="C0C0C0"/>
            <w:vAlign w:val="center"/>
            <w:hideMark/>
          </w:tcPr>
          <w:p w14:paraId="163A8ED5" w14:textId="77777777" w:rsidR="00D572CA" w:rsidRPr="0006254B" w:rsidRDefault="00D572CA" w:rsidP="00A77F29">
            <w:pPr>
              <w:spacing w:after="0" w:line="240" w:lineRule="auto"/>
              <w:jc w:val="center"/>
              <w:rPr>
                <w:b/>
                <w:bCs/>
                <w:sz w:val="20"/>
                <w:szCs w:val="20"/>
                <w:lang w:eastAsia="sk-SK"/>
              </w:rPr>
            </w:pPr>
            <w:r w:rsidRPr="0006254B">
              <w:rPr>
                <w:b/>
                <w:bCs/>
                <w:sz w:val="20"/>
                <w:szCs w:val="20"/>
                <w:lang w:eastAsia="sk-SK"/>
              </w:rPr>
              <w:t> </w:t>
            </w:r>
          </w:p>
        </w:tc>
        <w:tc>
          <w:tcPr>
            <w:tcW w:w="3520" w:type="dxa"/>
            <w:gridSpan w:val="3"/>
            <w:tcBorders>
              <w:top w:val="nil"/>
              <w:left w:val="nil"/>
              <w:bottom w:val="nil"/>
              <w:right w:val="nil"/>
            </w:tcBorders>
            <w:shd w:val="clear" w:color="000000" w:fill="C0C0C0"/>
            <w:vAlign w:val="center"/>
            <w:hideMark/>
          </w:tcPr>
          <w:p w14:paraId="5F864437" w14:textId="77777777" w:rsidR="00D572CA" w:rsidRPr="0006254B" w:rsidRDefault="00D572CA" w:rsidP="00A77F29">
            <w:pPr>
              <w:spacing w:after="0" w:line="240" w:lineRule="auto"/>
              <w:jc w:val="center"/>
              <w:rPr>
                <w:b/>
                <w:bCs/>
                <w:sz w:val="20"/>
                <w:szCs w:val="20"/>
                <w:lang w:eastAsia="sk-SK"/>
              </w:rPr>
            </w:pPr>
            <w:r w:rsidRPr="0006254B">
              <w:rPr>
                <w:b/>
                <w:bCs/>
                <w:sz w:val="20"/>
                <w:szCs w:val="20"/>
                <w:lang w:eastAsia="sk-SK"/>
              </w:rPr>
              <w:t xml:space="preserve">Hrubý dlh verejnej správy </w:t>
            </w:r>
          </w:p>
        </w:tc>
      </w:tr>
      <w:tr w:rsidR="00D572CA" w:rsidRPr="0006254B" w14:paraId="4088585F" w14:textId="77777777" w:rsidTr="00683A61">
        <w:trPr>
          <w:trHeight w:val="276"/>
        </w:trPr>
        <w:tc>
          <w:tcPr>
            <w:tcW w:w="1894" w:type="dxa"/>
            <w:tcBorders>
              <w:top w:val="nil"/>
              <w:left w:val="nil"/>
              <w:bottom w:val="nil"/>
              <w:right w:val="nil"/>
            </w:tcBorders>
            <w:shd w:val="clear" w:color="000000" w:fill="C0C0C0"/>
            <w:vAlign w:val="center"/>
            <w:hideMark/>
          </w:tcPr>
          <w:p w14:paraId="70018768" w14:textId="77777777" w:rsidR="00D572CA" w:rsidRPr="0006254B" w:rsidRDefault="00D572CA" w:rsidP="00A77F29">
            <w:pPr>
              <w:spacing w:after="0" w:line="240" w:lineRule="auto"/>
              <w:jc w:val="left"/>
              <w:rPr>
                <w:b/>
                <w:bCs/>
                <w:sz w:val="20"/>
                <w:szCs w:val="20"/>
                <w:lang w:eastAsia="sk-SK"/>
              </w:rPr>
            </w:pPr>
            <w:r w:rsidRPr="0006254B">
              <w:rPr>
                <w:b/>
                <w:bCs/>
                <w:sz w:val="20"/>
                <w:szCs w:val="20"/>
                <w:lang w:eastAsia="sk-SK"/>
              </w:rPr>
              <w:t> </w:t>
            </w:r>
          </w:p>
        </w:tc>
        <w:tc>
          <w:tcPr>
            <w:tcW w:w="976" w:type="dxa"/>
            <w:tcBorders>
              <w:top w:val="nil"/>
              <w:left w:val="nil"/>
              <w:bottom w:val="nil"/>
              <w:right w:val="nil"/>
            </w:tcBorders>
            <w:shd w:val="clear" w:color="000000" w:fill="C0C0C0"/>
            <w:vAlign w:val="center"/>
            <w:hideMark/>
          </w:tcPr>
          <w:p w14:paraId="05B49573" w14:textId="77777777" w:rsidR="00D572CA" w:rsidRPr="0006254B" w:rsidRDefault="00D572CA" w:rsidP="00A77F29">
            <w:pPr>
              <w:spacing w:after="0" w:line="240" w:lineRule="auto"/>
              <w:jc w:val="center"/>
              <w:rPr>
                <w:b/>
                <w:bCs/>
                <w:sz w:val="20"/>
                <w:szCs w:val="20"/>
                <w:lang w:eastAsia="sk-SK"/>
              </w:rPr>
            </w:pPr>
            <w:r w:rsidRPr="0006254B">
              <w:rPr>
                <w:b/>
                <w:bCs/>
                <w:sz w:val="20"/>
                <w:szCs w:val="20"/>
                <w:lang w:eastAsia="sk-SK"/>
              </w:rPr>
              <w:t>2016</w:t>
            </w:r>
          </w:p>
        </w:tc>
        <w:tc>
          <w:tcPr>
            <w:tcW w:w="976" w:type="dxa"/>
            <w:tcBorders>
              <w:top w:val="nil"/>
              <w:left w:val="nil"/>
              <w:bottom w:val="nil"/>
              <w:right w:val="nil"/>
            </w:tcBorders>
            <w:shd w:val="clear" w:color="000000" w:fill="C0C0C0"/>
            <w:vAlign w:val="center"/>
            <w:hideMark/>
          </w:tcPr>
          <w:p w14:paraId="7BD60935" w14:textId="77777777" w:rsidR="00D572CA" w:rsidRPr="0006254B" w:rsidRDefault="00D572CA" w:rsidP="00A77F29">
            <w:pPr>
              <w:spacing w:after="0" w:line="240" w:lineRule="auto"/>
              <w:jc w:val="center"/>
              <w:rPr>
                <w:b/>
                <w:bCs/>
                <w:sz w:val="20"/>
                <w:szCs w:val="20"/>
                <w:lang w:eastAsia="sk-SK"/>
              </w:rPr>
            </w:pPr>
            <w:r w:rsidRPr="0006254B">
              <w:rPr>
                <w:b/>
                <w:bCs/>
                <w:sz w:val="20"/>
                <w:szCs w:val="20"/>
                <w:lang w:eastAsia="sk-SK"/>
              </w:rPr>
              <w:t>2017</w:t>
            </w:r>
          </w:p>
        </w:tc>
        <w:tc>
          <w:tcPr>
            <w:tcW w:w="1091" w:type="dxa"/>
            <w:tcBorders>
              <w:top w:val="nil"/>
              <w:left w:val="nil"/>
              <w:bottom w:val="nil"/>
              <w:right w:val="nil"/>
            </w:tcBorders>
            <w:shd w:val="clear" w:color="000000" w:fill="C0C0C0"/>
            <w:vAlign w:val="center"/>
            <w:hideMark/>
          </w:tcPr>
          <w:p w14:paraId="5D2C2B71" w14:textId="77777777" w:rsidR="00D572CA" w:rsidRPr="0006254B" w:rsidRDefault="00D572CA" w:rsidP="00A77F29">
            <w:pPr>
              <w:spacing w:after="0" w:line="240" w:lineRule="auto"/>
              <w:jc w:val="center"/>
              <w:rPr>
                <w:b/>
                <w:bCs/>
                <w:sz w:val="20"/>
                <w:szCs w:val="20"/>
                <w:lang w:eastAsia="sk-SK"/>
              </w:rPr>
            </w:pPr>
            <w:r w:rsidRPr="0006254B">
              <w:rPr>
                <w:b/>
                <w:bCs/>
                <w:sz w:val="20"/>
                <w:szCs w:val="20"/>
                <w:lang w:eastAsia="sk-SK"/>
              </w:rPr>
              <w:t>2018</w:t>
            </w:r>
          </w:p>
        </w:tc>
        <w:tc>
          <w:tcPr>
            <w:tcW w:w="190" w:type="dxa"/>
            <w:tcBorders>
              <w:top w:val="nil"/>
              <w:left w:val="nil"/>
              <w:bottom w:val="nil"/>
              <w:right w:val="nil"/>
            </w:tcBorders>
            <w:shd w:val="clear" w:color="000000" w:fill="C0C0C0"/>
            <w:vAlign w:val="center"/>
            <w:hideMark/>
          </w:tcPr>
          <w:p w14:paraId="028B6B31" w14:textId="77777777" w:rsidR="00D572CA" w:rsidRPr="0006254B" w:rsidRDefault="00D572CA" w:rsidP="00A77F29">
            <w:pPr>
              <w:spacing w:after="0" w:line="240" w:lineRule="auto"/>
              <w:jc w:val="center"/>
              <w:rPr>
                <w:b/>
                <w:bCs/>
                <w:sz w:val="20"/>
                <w:szCs w:val="20"/>
                <w:lang w:eastAsia="sk-SK"/>
              </w:rPr>
            </w:pPr>
            <w:r w:rsidRPr="0006254B">
              <w:rPr>
                <w:b/>
                <w:bCs/>
                <w:sz w:val="20"/>
                <w:szCs w:val="20"/>
                <w:lang w:eastAsia="sk-SK"/>
              </w:rPr>
              <w:t> </w:t>
            </w:r>
          </w:p>
        </w:tc>
        <w:tc>
          <w:tcPr>
            <w:tcW w:w="1536" w:type="dxa"/>
            <w:tcBorders>
              <w:top w:val="nil"/>
              <w:left w:val="nil"/>
              <w:bottom w:val="nil"/>
              <w:right w:val="nil"/>
            </w:tcBorders>
            <w:shd w:val="clear" w:color="000000" w:fill="C0C0C0"/>
            <w:vAlign w:val="center"/>
            <w:hideMark/>
          </w:tcPr>
          <w:p w14:paraId="399BE1CF" w14:textId="77777777" w:rsidR="00D572CA" w:rsidRPr="0006254B" w:rsidRDefault="00D572CA" w:rsidP="00A77F29">
            <w:pPr>
              <w:spacing w:after="0" w:line="240" w:lineRule="auto"/>
              <w:jc w:val="center"/>
              <w:rPr>
                <w:b/>
                <w:bCs/>
                <w:sz w:val="20"/>
                <w:szCs w:val="20"/>
                <w:lang w:eastAsia="sk-SK"/>
              </w:rPr>
            </w:pPr>
            <w:r w:rsidRPr="0006254B">
              <w:rPr>
                <w:b/>
                <w:bCs/>
                <w:sz w:val="20"/>
                <w:szCs w:val="20"/>
                <w:lang w:eastAsia="sk-SK"/>
              </w:rPr>
              <w:t>2016</w:t>
            </w:r>
          </w:p>
        </w:tc>
        <w:tc>
          <w:tcPr>
            <w:tcW w:w="850" w:type="dxa"/>
            <w:tcBorders>
              <w:top w:val="nil"/>
              <w:left w:val="nil"/>
              <w:bottom w:val="nil"/>
              <w:right w:val="nil"/>
            </w:tcBorders>
            <w:shd w:val="clear" w:color="000000" w:fill="C0C0C0"/>
            <w:vAlign w:val="center"/>
            <w:hideMark/>
          </w:tcPr>
          <w:p w14:paraId="2C32A615" w14:textId="77777777" w:rsidR="00D572CA" w:rsidRPr="0006254B" w:rsidRDefault="00D572CA" w:rsidP="00A77F29">
            <w:pPr>
              <w:spacing w:after="0" w:line="240" w:lineRule="auto"/>
              <w:jc w:val="center"/>
              <w:rPr>
                <w:b/>
                <w:bCs/>
                <w:sz w:val="20"/>
                <w:szCs w:val="20"/>
                <w:lang w:eastAsia="sk-SK"/>
              </w:rPr>
            </w:pPr>
            <w:r w:rsidRPr="0006254B">
              <w:rPr>
                <w:b/>
                <w:bCs/>
                <w:sz w:val="20"/>
                <w:szCs w:val="20"/>
                <w:lang w:eastAsia="sk-SK"/>
              </w:rPr>
              <w:t>2017</w:t>
            </w:r>
          </w:p>
        </w:tc>
        <w:tc>
          <w:tcPr>
            <w:tcW w:w="1134" w:type="dxa"/>
            <w:tcBorders>
              <w:top w:val="nil"/>
              <w:left w:val="nil"/>
              <w:bottom w:val="nil"/>
              <w:right w:val="nil"/>
            </w:tcBorders>
            <w:shd w:val="clear" w:color="000000" w:fill="C0C0C0"/>
            <w:vAlign w:val="center"/>
            <w:hideMark/>
          </w:tcPr>
          <w:p w14:paraId="2E1A42FB" w14:textId="77777777" w:rsidR="00D572CA" w:rsidRPr="0006254B" w:rsidRDefault="00D572CA" w:rsidP="00A77F29">
            <w:pPr>
              <w:spacing w:after="0" w:line="240" w:lineRule="auto"/>
              <w:jc w:val="center"/>
              <w:rPr>
                <w:b/>
                <w:bCs/>
                <w:sz w:val="20"/>
                <w:szCs w:val="20"/>
                <w:lang w:eastAsia="sk-SK"/>
              </w:rPr>
            </w:pPr>
            <w:r w:rsidRPr="0006254B">
              <w:rPr>
                <w:b/>
                <w:bCs/>
                <w:sz w:val="20"/>
                <w:szCs w:val="20"/>
                <w:lang w:eastAsia="sk-SK"/>
              </w:rPr>
              <w:t>2018</w:t>
            </w:r>
          </w:p>
        </w:tc>
      </w:tr>
      <w:tr w:rsidR="00D572CA" w:rsidRPr="0006254B" w14:paraId="5C878F1A" w14:textId="77777777" w:rsidTr="00683A61">
        <w:trPr>
          <w:trHeight w:val="276"/>
        </w:trPr>
        <w:tc>
          <w:tcPr>
            <w:tcW w:w="1894" w:type="dxa"/>
            <w:tcBorders>
              <w:top w:val="nil"/>
              <w:left w:val="nil"/>
              <w:bottom w:val="nil"/>
              <w:right w:val="nil"/>
            </w:tcBorders>
            <w:shd w:val="clear" w:color="auto" w:fill="auto"/>
            <w:noWrap/>
            <w:vAlign w:val="center"/>
            <w:hideMark/>
          </w:tcPr>
          <w:p w14:paraId="49B30F66" w14:textId="77777777" w:rsidR="00D572CA" w:rsidRPr="0006254B" w:rsidRDefault="00D572CA" w:rsidP="00A77F29">
            <w:pPr>
              <w:spacing w:after="0" w:line="240" w:lineRule="auto"/>
              <w:jc w:val="left"/>
              <w:rPr>
                <w:b/>
                <w:bCs/>
                <w:sz w:val="20"/>
                <w:szCs w:val="20"/>
                <w:lang w:eastAsia="sk-SK"/>
              </w:rPr>
            </w:pPr>
            <w:r w:rsidRPr="0006254B">
              <w:rPr>
                <w:b/>
                <w:bCs/>
                <w:sz w:val="20"/>
                <w:szCs w:val="20"/>
                <w:lang w:eastAsia="sk-SK"/>
              </w:rPr>
              <w:t>EÚ (28 krajín)</w:t>
            </w:r>
          </w:p>
        </w:tc>
        <w:tc>
          <w:tcPr>
            <w:tcW w:w="976" w:type="dxa"/>
            <w:tcBorders>
              <w:top w:val="nil"/>
              <w:left w:val="nil"/>
              <w:bottom w:val="nil"/>
              <w:right w:val="nil"/>
            </w:tcBorders>
            <w:shd w:val="clear" w:color="auto" w:fill="auto"/>
            <w:noWrap/>
            <w:vAlign w:val="center"/>
            <w:hideMark/>
          </w:tcPr>
          <w:p w14:paraId="7562A28E" w14:textId="77777777" w:rsidR="00D572CA" w:rsidRPr="0006254B" w:rsidRDefault="00D572CA" w:rsidP="00A77F29">
            <w:pPr>
              <w:spacing w:after="0" w:line="240" w:lineRule="auto"/>
              <w:jc w:val="center"/>
              <w:rPr>
                <w:b/>
                <w:bCs/>
                <w:color w:val="000000"/>
                <w:sz w:val="20"/>
                <w:szCs w:val="20"/>
                <w:lang w:eastAsia="sk-SK"/>
              </w:rPr>
            </w:pPr>
            <w:r w:rsidRPr="0006254B">
              <w:rPr>
                <w:b/>
                <w:bCs/>
                <w:color w:val="000000"/>
                <w:sz w:val="20"/>
                <w:szCs w:val="20"/>
                <w:lang w:eastAsia="sk-SK"/>
              </w:rPr>
              <w:t>-1,7</w:t>
            </w:r>
          </w:p>
        </w:tc>
        <w:tc>
          <w:tcPr>
            <w:tcW w:w="976" w:type="dxa"/>
            <w:tcBorders>
              <w:top w:val="nil"/>
              <w:left w:val="nil"/>
              <w:bottom w:val="nil"/>
              <w:right w:val="nil"/>
            </w:tcBorders>
            <w:shd w:val="clear" w:color="auto" w:fill="auto"/>
            <w:noWrap/>
            <w:vAlign w:val="center"/>
            <w:hideMark/>
          </w:tcPr>
          <w:p w14:paraId="64030E01" w14:textId="77777777" w:rsidR="00D572CA" w:rsidRPr="0006254B" w:rsidRDefault="00D572CA" w:rsidP="00A77F29">
            <w:pPr>
              <w:spacing w:after="0" w:line="240" w:lineRule="auto"/>
              <w:jc w:val="center"/>
              <w:rPr>
                <w:b/>
                <w:bCs/>
                <w:color w:val="000000"/>
                <w:sz w:val="20"/>
                <w:szCs w:val="20"/>
                <w:lang w:eastAsia="sk-SK"/>
              </w:rPr>
            </w:pPr>
            <w:r w:rsidRPr="0006254B">
              <w:rPr>
                <w:b/>
                <w:bCs/>
                <w:color w:val="000000"/>
                <w:sz w:val="20"/>
                <w:szCs w:val="20"/>
                <w:lang w:eastAsia="sk-SK"/>
              </w:rPr>
              <w:t>-1,0</w:t>
            </w:r>
          </w:p>
        </w:tc>
        <w:tc>
          <w:tcPr>
            <w:tcW w:w="1091" w:type="dxa"/>
            <w:tcBorders>
              <w:top w:val="nil"/>
              <w:left w:val="nil"/>
              <w:bottom w:val="nil"/>
              <w:right w:val="nil"/>
            </w:tcBorders>
            <w:shd w:val="clear" w:color="auto" w:fill="auto"/>
            <w:noWrap/>
            <w:vAlign w:val="center"/>
            <w:hideMark/>
          </w:tcPr>
          <w:p w14:paraId="643D3645" w14:textId="77777777" w:rsidR="00D572CA" w:rsidRPr="0006254B" w:rsidRDefault="00D572CA" w:rsidP="00A77F29">
            <w:pPr>
              <w:spacing w:after="0" w:line="240" w:lineRule="auto"/>
              <w:jc w:val="center"/>
              <w:rPr>
                <w:b/>
                <w:bCs/>
                <w:color w:val="000000"/>
                <w:sz w:val="20"/>
                <w:szCs w:val="20"/>
                <w:lang w:eastAsia="sk-SK"/>
              </w:rPr>
            </w:pPr>
            <w:r w:rsidRPr="0006254B">
              <w:rPr>
                <w:b/>
                <w:bCs/>
                <w:color w:val="000000"/>
                <w:sz w:val="20"/>
                <w:szCs w:val="20"/>
                <w:lang w:eastAsia="sk-SK"/>
              </w:rPr>
              <w:t>-0,6</w:t>
            </w:r>
          </w:p>
        </w:tc>
        <w:tc>
          <w:tcPr>
            <w:tcW w:w="190" w:type="dxa"/>
            <w:tcBorders>
              <w:top w:val="nil"/>
              <w:left w:val="nil"/>
              <w:bottom w:val="nil"/>
              <w:right w:val="nil"/>
            </w:tcBorders>
            <w:shd w:val="clear" w:color="auto" w:fill="auto"/>
            <w:noWrap/>
            <w:vAlign w:val="center"/>
            <w:hideMark/>
          </w:tcPr>
          <w:p w14:paraId="1B57E337" w14:textId="77777777" w:rsidR="00D572CA" w:rsidRPr="0006254B" w:rsidRDefault="00D572CA" w:rsidP="00A77F29">
            <w:pPr>
              <w:spacing w:after="0" w:line="240" w:lineRule="auto"/>
              <w:jc w:val="center"/>
              <w:rPr>
                <w:b/>
                <w:bCs/>
                <w:color w:val="000000"/>
                <w:sz w:val="20"/>
                <w:szCs w:val="20"/>
                <w:lang w:eastAsia="sk-SK"/>
              </w:rPr>
            </w:pPr>
          </w:p>
        </w:tc>
        <w:tc>
          <w:tcPr>
            <w:tcW w:w="1536" w:type="dxa"/>
            <w:tcBorders>
              <w:top w:val="nil"/>
              <w:left w:val="nil"/>
              <w:bottom w:val="nil"/>
              <w:right w:val="nil"/>
            </w:tcBorders>
            <w:shd w:val="clear" w:color="auto" w:fill="auto"/>
            <w:noWrap/>
            <w:vAlign w:val="center"/>
            <w:hideMark/>
          </w:tcPr>
          <w:p w14:paraId="15B468E9" w14:textId="77777777" w:rsidR="00D572CA" w:rsidRPr="0006254B" w:rsidRDefault="00D572CA" w:rsidP="00A77F29">
            <w:pPr>
              <w:spacing w:after="0" w:line="240" w:lineRule="auto"/>
              <w:jc w:val="center"/>
              <w:rPr>
                <w:b/>
                <w:bCs/>
                <w:color w:val="000000"/>
                <w:sz w:val="20"/>
                <w:szCs w:val="20"/>
                <w:lang w:eastAsia="sk-SK"/>
              </w:rPr>
            </w:pPr>
            <w:r w:rsidRPr="0006254B">
              <w:rPr>
                <w:b/>
                <w:bCs/>
                <w:color w:val="000000"/>
                <w:sz w:val="20"/>
                <w:szCs w:val="20"/>
                <w:lang w:eastAsia="sk-SK"/>
              </w:rPr>
              <w:t>83,4</w:t>
            </w:r>
          </w:p>
        </w:tc>
        <w:tc>
          <w:tcPr>
            <w:tcW w:w="850" w:type="dxa"/>
            <w:tcBorders>
              <w:top w:val="nil"/>
              <w:left w:val="nil"/>
              <w:bottom w:val="nil"/>
              <w:right w:val="nil"/>
            </w:tcBorders>
            <w:shd w:val="clear" w:color="auto" w:fill="auto"/>
            <w:noWrap/>
            <w:vAlign w:val="center"/>
            <w:hideMark/>
          </w:tcPr>
          <w:p w14:paraId="45296166" w14:textId="77777777" w:rsidR="00D572CA" w:rsidRPr="0006254B" w:rsidRDefault="00D572CA" w:rsidP="00A77F29">
            <w:pPr>
              <w:spacing w:after="0" w:line="240" w:lineRule="auto"/>
              <w:jc w:val="center"/>
              <w:rPr>
                <w:b/>
                <w:bCs/>
                <w:color w:val="000000"/>
                <w:sz w:val="20"/>
                <w:szCs w:val="20"/>
                <w:lang w:eastAsia="sk-SK"/>
              </w:rPr>
            </w:pPr>
            <w:r w:rsidRPr="0006254B">
              <w:rPr>
                <w:b/>
                <w:bCs/>
                <w:color w:val="000000"/>
                <w:sz w:val="20"/>
                <w:szCs w:val="20"/>
                <w:lang w:eastAsia="sk-SK"/>
              </w:rPr>
              <w:t>81,7</w:t>
            </w:r>
          </w:p>
        </w:tc>
        <w:tc>
          <w:tcPr>
            <w:tcW w:w="1134" w:type="dxa"/>
            <w:tcBorders>
              <w:top w:val="nil"/>
              <w:left w:val="nil"/>
              <w:bottom w:val="nil"/>
              <w:right w:val="nil"/>
            </w:tcBorders>
            <w:shd w:val="clear" w:color="auto" w:fill="auto"/>
            <w:noWrap/>
            <w:vAlign w:val="center"/>
            <w:hideMark/>
          </w:tcPr>
          <w:p w14:paraId="5F8A6D14" w14:textId="77777777" w:rsidR="00D572CA" w:rsidRPr="0006254B" w:rsidRDefault="00D572CA" w:rsidP="00A77F29">
            <w:pPr>
              <w:spacing w:after="0" w:line="240" w:lineRule="auto"/>
              <w:jc w:val="center"/>
              <w:rPr>
                <w:b/>
                <w:bCs/>
                <w:color w:val="000000"/>
                <w:sz w:val="20"/>
                <w:szCs w:val="20"/>
                <w:lang w:eastAsia="sk-SK"/>
              </w:rPr>
            </w:pPr>
            <w:r w:rsidRPr="0006254B">
              <w:rPr>
                <w:b/>
                <w:bCs/>
                <w:color w:val="000000"/>
                <w:sz w:val="20"/>
                <w:szCs w:val="20"/>
                <w:lang w:eastAsia="sk-SK"/>
              </w:rPr>
              <w:t>80,0</w:t>
            </w:r>
          </w:p>
        </w:tc>
      </w:tr>
      <w:tr w:rsidR="00D572CA" w:rsidRPr="0006254B" w14:paraId="7BB02FD7" w14:textId="77777777" w:rsidTr="00683A61">
        <w:trPr>
          <w:trHeight w:val="276"/>
        </w:trPr>
        <w:tc>
          <w:tcPr>
            <w:tcW w:w="1894" w:type="dxa"/>
            <w:tcBorders>
              <w:top w:val="nil"/>
              <w:left w:val="nil"/>
              <w:bottom w:val="nil"/>
              <w:right w:val="nil"/>
            </w:tcBorders>
            <w:shd w:val="clear" w:color="auto" w:fill="auto"/>
            <w:noWrap/>
            <w:vAlign w:val="center"/>
            <w:hideMark/>
          </w:tcPr>
          <w:p w14:paraId="5789B56E" w14:textId="77777777" w:rsidR="00D572CA" w:rsidRPr="0006254B" w:rsidRDefault="00D572CA" w:rsidP="00A77F29">
            <w:pPr>
              <w:spacing w:after="0" w:line="240" w:lineRule="auto"/>
              <w:jc w:val="left"/>
              <w:rPr>
                <w:b/>
                <w:bCs/>
                <w:sz w:val="20"/>
                <w:szCs w:val="20"/>
                <w:lang w:eastAsia="sk-SK"/>
              </w:rPr>
            </w:pPr>
            <w:r w:rsidRPr="0006254B">
              <w:rPr>
                <w:b/>
                <w:bCs/>
                <w:sz w:val="20"/>
                <w:szCs w:val="20"/>
                <w:lang w:eastAsia="sk-SK"/>
              </w:rPr>
              <w:t>Euro zóna</w:t>
            </w:r>
          </w:p>
        </w:tc>
        <w:tc>
          <w:tcPr>
            <w:tcW w:w="976" w:type="dxa"/>
            <w:tcBorders>
              <w:top w:val="nil"/>
              <w:left w:val="nil"/>
              <w:bottom w:val="nil"/>
              <w:right w:val="nil"/>
            </w:tcBorders>
            <w:shd w:val="clear" w:color="auto" w:fill="auto"/>
            <w:noWrap/>
            <w:vAlign w:val="center"/>
            <w:hideMark/>
          </w:tcPr>
          <w:p w14:paraId="590226C2" w14:textId="77777777" w:rsidR="00D572CA" w:rsidRPr="0006254B" w:rsidRDefault="00D572CA" w:rsidP="00A77F29">
            <w:pPr>
              <w:spacing w:after="0" w:line="240" w:lineRule="auto"/>
              <w:jc w:val="center"/>
              <w:rPr>
                <w:b/>
                <w:bCs/>
                <w:color w:val="000000"/>
                <w:sz w:val="20"/>
                <w:szCs w:val="20"/>
                <w:lang w:eastAsia="sk-SK"/>
              </w:rPr>
            </w:pPr>
            <w:r w:rsidRPr="0006254B">
              <w:rPr>
                <w:b/>
                <w:bCs/>
                <w:color w:val="000000"/>
                <w:sz w:val="20"/>
                <w:szCs w:val="20"/>
                <w:lang w:eastAsia="sk-SK"/>
              </w:rPr>
              <w:t>-1,6</w:t>
            </w:r>
          </w:p>
        </w:tc>
        <w:tc>
          <w:tcPr>
            <w:tcW w:w="976" w:type="dxa"/>
            <w:tcBorders>
              <w:top w:val="nil"/>
              <w:left w:val="nil"/>
              <w:bottom w:val="nil"/>
              <w:right w:val="nil"/>
            </w:tcBorders>
            <w:shd w:val="clear" w:color="auto" w:fill="auto"/>
            <w:noWrap/>
            <w:vAlign w:val="center"/>
            <w:hideMark/>
          </w:tcPr>
          <w:p w14:paraId="4295CC99" w14:textId="77777777" w:rsidR="00D572CA" w:rsidRPr="0006254B" w:rsidRDefault="00D572CA" w:rsidP="00A77F29">
            <w:pPr>
              <w:spacing w:after="0" w:line="240" w:lineRule="auto"/>
              <w:jc w:val="center"/>
              <w:rPr>
                <w:b/>
                <w:bCs/>
                <w:color w:val="000000"/>
                <w:sz w:val="20"/>
                <w:szCs w:val="20"/>
                <w:lang w:eastAsia="sk-SK"/>
              </w:rPr>
            </w:pPr>
            <w:r w:rsidRPr="0006254B">
              <w:rPr>
                <w:b/>
                <w:bCs/>
                <w:color w:val="000000"/>
                <w:sz w:val="20"/>
                <w:szCs w:val="20"/>
                <w:lang w:eastAsia="sk-SK"/>
              </w:rPr>
              <w:t>-1,0</w:t>
            </w:r>
          </w:p>
        </w:tc>
        <w:tc>
          <w:tcPr>
            <w:tcW w:w="1091" w:type="dxa"/>
            <w:tcBorders>
              <w:top w:val="nil"/>
              <w:left w:val="nil"/>
              <w:bottom w:val="nil"/>
              <w:right w:val="nil"/>
            </w:tcBorders>
            <w:shd w:val="clear" w:color="auto" w:fill="auto"/>
            <w:noWrap/>
            <w:vAlign w:val="center"/>
            <w:hideMark/>
          </w:tcPr>
          <w:p w14:paraId="07D6E78C" w14:textId="77777777" w:rsidR="00D572CA" w:rsidRPr="0006254B" w:rsidRDefault="00D572CA" w:rsidP="00A77F29">
            <w:pPr>
              <w:spacing w:after="0" w:line="240" w:lineRule="auto"/>
              <w:jc w:val="center"/>
              <w:rPr>
                <w:b/>
                <w:bCs/>
                <w:color w:val="000000"/>
                <w:sz w:val="20"/>
                <w:szCs w:val="20"/>
                <w:lang w:eastAsia="sk-SK"/>
              </w:rPr>
            </w:pPr>
            <w:r w:rsidRPr="0006254B">
              <w:rPr>
                <w:b/>
                <w:bCs/>
                <w:color w:val="000000"/>
                <w:sz w:val="20"/>
                <w:szCs w:val="20"/>
                <w:lang w:eastAsia="sk-SK"/>
              </w:rPr>
              <w:t>-0,5</w:t>
            </w:r>
          </w:p>
        </w:tc>
        <w:tc>
          <w:tcPr>
            <w:tcW w:w="190" w:type="dxa"/>
            <w:tcBorders>
              <w:top w:val="nil"/>
              <w:left w:val="nil"/>
              <w:bottom w:val="nil"/>
              <w:right w:val="nil"/>
            </w:tcBorders>
            <w:shd w:val="clear" w:color="auto" w:fill="auto"/>
            <w:noWrap/>
            <w:vAlign w:val="center"/>
            <w:hideMark/>
          </w:tcPr>
          <w:p w14:paraId="5A7D90CB" w14:textId="77777777" w:rsidR="00D572CA" w:rsidRPr="0006254B" w:rsidRDefault="00D572CA" w:rsidP="00A77F29">
            <w:pPr>
              <w:spacing w:after="0" w:line="240" w:lineRule="auto"/>
              <w:jc w:val="center"/>
              <w:rPr>
                <w:b/>
                <w:bCs/>
                <w:color w:val="000000"/>
                <w:sz w:val="20"/>
                <w:szCs w:val="20"/>
                <w:lang w:eastAsia="sk-SK"/>
              </w:rPr>
            </w:pPr>
          </w:p>
        </w:tc>
        <w:tc>
          <w:tcPr>
            <w:tcW w:w="1536" w:type="dxa"/>
            <w:tcBorders>
              <w:top w:val="nil"/>
              <w:left w:val="nil"/>
              <w:bottom w:val="nil"/>
              <w:right w:val="nil"/>
            </w:tcBorders>
            <w:shd w:val="clear" w:color="auto" w:fill="auto"/>
            <w:noWrap/>
            <w:vAlign w:val="center"/>
            <w:hideMark/>
          </w:tcPr>
          <w:p w14:paraId="1E2898A9" w14:textId="77777777" w:rsidR="00D572CA" w:rsidRPr="0006254B" w:rsidRDefault="00D572CA" w:rsidP="00A77F29">
            <w:pPr>
              <w:spacing w:after="0" w:line="240" w:lineRule="auto"/>
              <w:jc w:val="center"/>
              <w:rPr>
                <w:b/>
                <w:bCs/>
                <w:color w:val="000000"/>
                <w:sz w:val="20"/>
                <w:szCs w:val="20"/>
                <w:lang w:eastAsia="sk-SK"/>
              </w:rPr>
            </w:pPr>
            <w:r w:rsidRPr="0006254B">
              <w:rPr>
                <w:b/>
                <w:bCs/>
                <w:color w:val="000000"/>
                <w:sz w:val="20"/>
                <w:szCs w:val="20"/>
                <w:lang w:eastAsia="sk-SK"/>
              </w:rPr>
              <w:t>89,2</w:t>
            </w:r>
          </w:p>
        </w:tc>
        <w:tc>
          <w:tcPr>
            <w:tcW w:w="850" w:type="dxa"/>
            <w:tcBorders>
              <w:top w:val="nil"/>
              <w:left w:val="nil"/>
              <w:bottom w:val="nil"/>
              <w:right w:val="nil"/>
            </w:tcBorders>
            <w:shd w:val="clear" w:color="auto" w:fill="auto"/>
            <w:noWrap/>
            <w:vAlign w:val="center"/>
            <w:hideMark/>
          </w:tcPr>
          <w:p w14:paraId="167547DD" w14:textId="77777777" w:rsidR="00D572CA" w:rsidRPr="0006254B" w:rsidRDefault="00D572CA" w:rsidP="00A77F29">
            <w:pPr>
              <w:spacing w:after="0" w:line="240" w:lineRule="auto"/>
              <w:jc w:val="center"/>
              <w:rPr>
                <w:b/>
                <w:bCs/>
                <w:color w:val="000000"/>
                <w:sz w:val="20"/>
                <w:szCs w:val="20"/>
                <w:lang w:eastAsia="sk-SK"/>
              </w:rPr>
            </w:pPr>
            <w:r w:rsidRPr="0006254B">
              <w:rPr>
                <w:b/>
                <w:bCs/>
                <w:color w:val="000000"/>
                <w:sz w:val="20"/>
                <w:szCs w:val="20"/>
                <w:lang w:eastAsia="sk-SK"/>
              </w:rPr>
              <w:t>87,1</w:t>
            </w:r>
          </w:p>
        </w:tc>
        <w:tc>
          <w:tcPr>
            <w:tcW w:w="1134" w:type="dxa"/>
            <w:tcBorders>
              <w:top w:val="nil"/>
              <w:left w:val="nil"/>
              <w:bottom w:val="nil"/>
              <w:right w:val="nil"/>
            </w:tcBorders>
            <w:shd w:val="clear" w:color="auto" w:fill="auto"/>
            <w:noWrap/>
            <w:vAlign w:val="center"/>
            <w:hideMark/>
          </w:tcPr>
          <w:p w14:paraId="2C52B32A" w14:textId="77777777" w:rsidR="00D572CA" w:rsidRPr="0006254B" w:rsidRDefault="00D572CA" w:rsidP="00A77F29">
            <w:pPr>
              <w:spacing w:after="0" w:line="240" w:lineRule="auto"/>
              <w:jc w:val="center"/>
              <w:rPr>
                <w:b/>
                <w:bCs/>
                <w:color w:val="000000"/>
                <w:sz w:val="20"/>
                <w:szCs w:val="20"/>
                <w:lang w:eastAsia="sk-SK"/>
              </w:rPr>
            </w:pPr>
            <w:r w:rsidRPr="0006254B">
              <w:rPr>
                <w:b/>
                <w:bCs/>
                <w:color w:val="000000"/>
                <w:sz w:val="20"/>
                <w:szCs w:val="20"/>
                <w:lang w:eastAsia="sk-SK"/>
              </w:rPr>
              <w:t>85,1</w:t>
            </w:r>
          </w:p>
        </w:tc>
      </w:tr>
      <w:tr w:rsidR="00D572CA" w:rsidRPr="0006254B" w14:paraId="47E02A77" w14:textId="77777777" w:rsidTr="00683A61">
        <w:trPr>
          <w:trHeight w:val="276"/>
        </w:trPr>
        <w:tc>
          <w:tcPr>
            <w:tcW w:w="1894" w:type="dxa"/>
            <w:tcBorders>
              <w:top w:val="nil"/>
              <w:left w:val="nil"/>
              <w:bottom w:val="nil"/>
              <w:right w:val="nil"/>
            </w:tcBorders>
            <w:shd w:val="clear" w:color="auto" w:fill="auto"/>
            <w:noWrap/>
            <w:vAlign w:val="center"/>
            <w:hideMark/>
          </w:tcPr>
          <w:p w14:paraId="3128464A" w14:textId="77777777" w:rsidR="00D572CA" w:rsidRPr="0006254B" w:rsidRDefault="00D572CA" w:rsidP="00A77F29">
            <w:pPr>
              <w:spacing w:after="0" w:line="240" w:lineRule="auto"/>
              <w:jc w:val="left"/>
              <w:rPr>
                <w:sz w:val="20"/>
                <w:szCs w:val="20"/>
                <w:lang w:eastAsia="sk-SK"/>
              </w:rPr>
            </w:pPr>
            <w:r w:rsidRPr="0006254B">
              <w:rPr>
                <w:sz w:val="20"/>
                <w:szCs w:val="20"/>
                <w:lang w:eastAsia="sk-SK"/>
              </w:rPr>
              <w:t>Belgicko</w:t>
            </w:r>
          </w:p>
        </w:tc>
        <w:tc>
          <w:tcPr>
            <w:tcW w:w="976" w:type="dxa"/>
            <w:tcBorders>
              <w:top w:val="nil"/>
              <w:left w:val="nil"/>
              <w:bottom w:val="nil"/>
              <w:right w:val="nil"/>
            </w:tcBorders>
            <w:shd w:val="clear" w:color="auto" w:fill="auto"/>
            <w:noWrap/>
            <w:vAlign w:val="center"/>
            <w:hideMark/>
          </w:tcPr>
          <w:p w14:paraId="711D5009"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-2,4</w:t>
            </w:r>
          </w:p>
        </w:tc>
        <w:tc>
          <w:tcPr>
            <w:tcW w:w="976" w:type="dxa"/>
            <w:tcBorders>
              <w:top w:val="nil"/>
              <w:left w:val="nil"/>
              <w:bottom w:val="nil"/>
              <w:right w:val="nil"/>
            </w:tcBorders>
            <w:shd w:val="clear" w:color="auto" w:fill="auto"/>
            <w:noWrap/>
            <w:vAlign w:val="center"/>
            <w:hideMark/>
          </w:tcPr>
          <w:p w14:paraId="0C944A3B"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-0,8</w:t>
            </w:r>
          </w:p>
        </w:tc>
        <w:tc>
          <w:tcPr>
            <w:tcW w:w="1091" w:type="dxa"/>
            <w:tcBorders>
              <w:top w:val="nil"/>
              <w:left w:val="nil"/>
              <w:bottom w:val="nil"/>
              <w:right w:val="nil"/>
            </w:tcBorders>
            <w:shd w:val="clear" w:color="auto" w:fill="auto"/>
            <w:noWrap/>
            <w:vAlign w:val="center"/>
            <w:hideMark/>
          </w:tcPr>
          <w:p w14:paraId="2FF06EB5"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-0,7</w:t>
            </w:r>
          </w:p>
        </w:tc>
        <w:tc>
          <w:tcPr>
            <w:tcW w:w="190" w:type="dxa"/>
            <w:tcBorders>
              <w:top w:val="nil"/>
              <w:left w:val="nil"/>
              <w:bottom w:val="nil"/>
              <w:right w:val="nil"/>
            </w:tcBorders>
            <w:shd w:val="clear" w:color="auto" w:fill="auto"/>
            <w:noWrap/>
            <w:vAlign w:val="center"/>
            <w:hideMark/>
          </w:tcPr>
          <w:p w14:paraId="35D3F537" w14:textId="77777777" w:rsidR="00D572CA" w:rsidRPr="0006254B" w:rsidRDefault="00D572CA" w:rsidP="00A77F29">
            <w:pPr>
              <w:spacing w:after="0" w:line="240" w:lineRule="auto"/>
              <w:jc w:val="center"/>
              <w:rPr>
                <w:color w:val="000000"/>
                <w:sz w:val="20"/>
                <w:szCs w:val="20"/>
                <w:lang w:eastAsia="sk-SK"/>
              </w:rPr>
            </w:pPr>
          </w:p>
        </w:tc>
        <w:tc>
          <w:tcPr>
            <w:tcW w:w="1536" w:type="dxa"/>
            <w:tcBorders>
              <w:top w:val="nil"/>
              <w:left w:val="nil"/>
              <w:bottom w:val="nil"/>
              <w:right w:val="nil"/>
            </w:tcBorders>
            <w:shd w:val="clear" w:color="auto" w:fill="auto"/>
            <w:noWrap/>
            <w:vAlign w:val="center"/>
            <w:hideMark/>
          </w:tcPr>
          <w:p w14:paraId="1F730232"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106,1</w:t>
            </w:r>
          </w:p>
        </w:tc>
        <w:tc>
          <w:tcPr>
            <w:tcW w:w="850" w:type="dxa"/>
            <w:tcBorders>
              <w:top w:val="nil"/>
              <w:left w:val="nil"/>
              <w:bottom w:val="nil"/>
              <w:right w:val="nil"/>
            </w:tcBorders>
            <w:shd w:val="clear" w:color="auto" w:fill="auto"/>
            <w:noWrap/>
            <w:vAlign w:val="center"/>
            <w:hideMark/>
          </w:tcPr>
          <w:p w14:paraId="1A27E905"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103,4</w:t>
            </w:r>
          </w:p>
        </w:tc>
        <w:tc>
          <w:tcPr>
            <w:tcW w:w="1134" w:type="dxa"/>
            <w:tcBorders>
              <w:top w:val="nil"/>
              <w:left w:val="nil"/>
              <w:bottom w:val="nil"/>
              <w:right w:val="nil"/>
            </w:tcBorders>
            <w:shd w:val="clear" w:color="auto" w:fill="auto"/>
            <w:noWrap/>
            <w:vAlign w:val="center"/>
            <w:hideMark/>
          </w:tcPr>
          <w:p w14:paraId="082328C8"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102,0</w:t>
            </w:r>
          </w:p>
        </w:tc>
      </w:tr>
      <w:tr w:rsidR="00D572CA" w:rsidRPr="0006254B" w14:paraId="400C5728" w14:textId="77777777" w:rsidTr="00683A61">
        <w:trPr>
          <w:trHeight w:val="276"/>
        </w:trPr>
        <w:tc>
          <w:tcPr>
            <w:tcW w:w="1894" w:type="dxa"/>
            <w:tcBorders>
              <w:top w:val="nil"/>
              <w:left w:val="nil"/>
              <w:bottom w:val="nil"/>
              <w:right w:val="nil"/>
            </w:tcBorders>
            <w:shd w:val="clear" w:color="auto" w:fill="auto"/>
            <w:noWrap/>
            <w:vAlign w:val="center"/>
            <w:hideMark/>
          </w:tcPr>
          <w:p w14:paraId="7DC9FEB4" w14:textId="77777777" w:rsidR="00D572CA" w:rsidRPr="0006254B" w:rsidRDefault="00D572CA" w:rsidP="00A77F29">
            <w:pPr>
              <w:spacing w:after="0" w:line="240" w:lineRule="auto"/>
              <w:jc w:val="left"/>
              <w:rPr>
                <w:sz w:val="20"/>
                <w:szCs w:val="20"/>
                <w:lang w:eastAsia="sk-SK"/>
              </w:rPr>
            </w:pPr>
            <w:r w:rsidRPr="0006254B">
              <w:rPr>
                <w:sz w:val="20"/>
                <w:szCs w:val="20"/>
                <w:lang w:eastAsia="sk-SK"/>
              </w:rPr>
              <w:t>Bulharsko</w:t>
            </w:r>
          </w:p>
        </w:tc>
        <w:tc>
          <w:tcPr>
            <w:tcW w:w="976" w:type="dxa"/>
            <w:tcBorders>
              <w:top w:val="nil"/>
              <w:left w:val="nil"/>
              <w:bottom w:val="nil"/>
              <w:right w:val="nil"/>
            </w:tcBorders>
            <w:shd w:val="clear" w:color="auto" w:fill="auto"/>
            <w:noWrap/>
            <w:vAlign w:val="center"/>
            <w:hideMark/>
          </w:tcPr>
          <w:p w14:paraId="493D39AC"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0,1</w:t>
            </w:r>
          </w:p>
        </w:tc>
        <w:tc>
          <w:tcPr>
            <w:tcW w:w="976" w:type="dxa"/>
            <w:tcBorders>
              <w:top w:val="nil"/>
              <w:left w:val="nil"/>
              <w:bottom w:val="nil"/>
              <w:right w:val="nil"/>
            </w:tcBorders>
            <w:shd w:val="clear" w:color="auto" w:fill="auto"/>
            <w:noWrap/>
            <w:vAlign w:val="center"/>
            <w:hideMark/>
          </w:tcPr>
          <w:p w14:paraId="4CDA661B"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1,2</w:t>
            </w:r>
          </w:p>
        </w:tc>
        <w:tc>
          <w:tcPr>
            <w:tcW w:w="1091" w:type="dxa"/>
            <w:tcBorders>
              <w:top w:val="nil"/>
              <w:left w:val="nil"/>
              <w:bottom w:val="nil"/>
              <w:right w:val="nil"/>
            </w:tcBorders>
            <w:shd w:val="clear" w:color="auto" w:fill="auto"/>
            <w:noWrap/>
            <w:vAlign w:val="center"/>
            <w:hideMark/>
          </w:tcPr>
          <w:p w14:paraId="718C05DA"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2,0</w:t>
            </w:r>
          </w:p>
        </w:tc>
        <w:tc>
          <w:tcPr>
            <w:tcW w:w="190" w:type="dxa"/>
            <w:tcBorders>
              <w:top w:val="nil"/>
              <w:left w:val="nil"/>
              <w:bottom w:val="nil"/>
              <w:right w:val="nil"/>
            </w:tcBorders>
            <w:shd w:val="clear" w:color="auto" w:fill="auto"/>
            <w:noWrap/>
            <w:vAlign w:val="center"/>
            <w:hideMark/>
          </w:tcPr>
          <w:p w14:paraId="23C9798D" w14:textId="77777777" w:rsidR="00D572CA" w:rsidRPr="0006254B" w:rsidRDefault="00D572CA" w:rsidP="00A77F29">
            <w:pPr>
              <w:spacing w:after="0" w:line="240" w:lineRule="auto"/>
              <w:jc w:val="center"/>
              <w:rPr>
                <w:color w:val="000000"/>
                <w:sz w:val="20"/>
                <w:szCs w:val="20"/>
                <w:lang w:eastAsia="sk-SK"/>
              </w:rPr>
            </w:pPr>
          </w:p>
        </w:tc>
        <w:tc>
          <w:tcPr>
            <w:tcW w:w="1536" w:type="dxa"/>
            <w:tcBorders>
              <w:top w:val="nil"/>
              <w:left w:val="nil"/>
              <w:bottom w:val="nil"/>
              <w:right w:val="nil"/>
            </w:tcBorders>
            <w:shd w:val="clear" w:color="auto" w:fill="auto"/>
            <w:noWrap/>
            <w:vAlign w:val="center"/>
            <w:hideMark/>
          </w:tcPr>
          <w:p w14:paraId="0348EBB8"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29,6</w:t>
            </w:r>
          </w:p>
        </w:tc>
        <w:tc>
          <w:tcPr>
            <w:tcW w:w="850" w:type="dxa"/>
            <w:tcBorders>
              <w:top w:val="nil"/>
              <w:left w:val="nil"/>
              <w:bottom w:val="nil"/>
              <w:right w:val="nil"/>
            </w:tcBorders>
            <w:shd w:val="clear" w:color="auto" w:fill="auto"/>
            <w:noWrap/>
            <w:vAlign w:val="center"/>
            <w:hideMark/>
          </w:tcPr>
          <w:p w14:paraId="1F87AEFD"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25,6</w:t>
            </w:r>
          </w:p>
        </w:tc>
        <w:tc>
          <w:tcPr>
            <w:tcW w:w="1134" w:type="dxa"/>
            <w:tcBorders>
              <w:top w:val="nil"/>
              <w:left w:val="nil"/>
              <w:bottom w:val="nil"/>
              <w:right w:val="nil"/>
            </w:tcBorders>
            <w:shd w:val="clear" w:color="auto" w:fill="auto"/>
            <w:noWrap/>
            <w:vAlign w:val="center"/>
            <w:hideMark/>
          </w:tcPr>
          <w:p w14:paraId="3350DBC8"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22,6</w:t>
            </w:r>
          </w:p>
        </w:tc>
      </w:tr>
      <w:tr w:rsidR="00D572CA" w:rsidRPr="0006254B" w14:paraId="104BDDD3" w14:textId="77777777" w:rsidTr="00683A61">
        <w:trPr>
          <w:trHeight w:val="276"/>
        </w:trPr>
        <w:tc>
          <w:tcPr>
            <w:tcW w:w="1894" w:type="dxa"/>
            <w:tcBorders>
              <w:top w:val="nil"/>
              <w:left w:val="nil"/>
              <w:bottom w:val="nil"/>
              <w:right w:val="nil"/>
            </w:tcBorders>
            <w:shd w:val="clear" w:color="auto" w:fill="auto"/>
            <w:noWrap/>
            <w:vAlign w:val="center"/>
            <w:hideMark/>
          </w:tcPr>
          <w:p w14:paraId="347868A8" w14:textId="77777777" w:rsidR="00D572CA" w:rsidRPr="0006254B" w:rsidRDefault="00D572CA" w:rsidP="00A77F29">
            <w:pPr>
              <w:spacing w:after="0" w:line="240" w:lineRule="auto"/>
              <w:jc w:val="left"/>
              <w:rPr>
                <w:sz w:val="20"/>
                <w:szCs w:val="20"/>
                <w:lang w:eastAsia="sk-SK"/>
              </w:rPr>
            </w:pPr>
            <w:r w:rsidRPr="0006254B">
              <w:rPr>
                <w:sz w:val="20"/>
                <w:szCs w:val="20"/>
                <w:lang w:eastAsia="sk-SK"/>
              </w:rPr>
              <w:t>Česká republika</w:t>
            </w:r>
          </w:p>
        </w:tc>
        <w:tc>
          <w:tcPr>
            <w:tcW w:w="976" w:type="dxa"/>
            <w:tcBorders>
              <w:top w:val="nil"/>
              <w:left w:val="nil"/>
              <w:bottom w:val="nil"/>
              <w:right w:val="nil"/>
            </w:tcBorders>
            <w:shd w:val="clear" w:color="auto" w:fill="auto"/>
            <w:noWrap/>
            <w:vAlign w:val="center"/>
            <w:hideMark/>
          </w:tcPr>
          <w:p w14:paraId="0A53C7AE"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0,7</w:t>
            </w:r>
          </w:p>
        </w:tc>
        <w:tc>
          <w:tcPr>
            <w:tcW w:w="976" w:type="dxa"/>
            <w:tcBorders>
              <w:top w:val="nil"/>
              <w:left w:val="nil"/>
              <w:bottom w:val="nil"/>
              <w:right w:val="nil"/>
            </w:tcBorders>
            <w:shd w:val="clear" w:color="auto" w:fill="auto"/>
            <w:noWrap/>
            <w:vAlign w:val="center"/>
            <w:hideMark/>
          </w:tcPr>
          <w:p w14:paraId="4B201F19"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1,6</w:t>
            </w:r>
          </w:p>
        </w:tc>
        <w:tc>
          <w:tcPr>
            <w:tcW w:w="1091" w:type="dxa"/>
            <w:tcBorders>
              <w:top w:val="nil"/>
              <w:left w:val="nil"/>
              <w:bottom w:val="nil"/>
              <w:right w:val="nil"/>
            </w:tcBorders>
            <w:shd w:val="clear" w:color="auto" w:fill="auto"/>
            <w:noWrap/>
            <w:vAlign w:val="center"/>
            <w:hideMark/>
          </w:tcPr>
          <w:p w14:paraId="2A55E776"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0,9</w:t>
            </w:r>
          </w:p>
        </w:tc>
        <w:tc>
          <w:tcPr>
            <w:tcW w:w="190" w:type="dxa"/>
            <w:tcBorders>
              <w:top w:val="nil"/>
              <w:left w:val="nil"/>
              <w:bottom w:val="nil"/>
              <w:right w:val="nil"/>
            </w:tcBorders>
            <w:shd w:val="clear" w:color="auto" w:fill="auto"/>
            <w:noWrap/>
            <w:vAlign w:val="center"/>
            <w:hideMark/>
          </w:tcPr>
          <w:p w14:paraId="3C9D6A7E" w14:textId="77777777" w:rsidR="00D572CA" w:rsidRPr="0006254B" w:rsidRDefault="00D572CA" w:rsidP="00A77F29">
            <w:pPr>
              <w:spacing w:after="0" w:line="240" w:lineRule="auto"/>
              <w:jc w:val="center"/>
              <w:rPr>
                <w:color w:val="000000"/>
                <w:sz w:val="20"/>
                <w:szCs w:val="20"/>
                <w:lang w:eastAsia="sk-SK"/>
              </w:rPr>
            </w:pPr>
          </w:p>
        </w:tc>
        <w:tc>
          <w:tcPr>
            <w:tcW w:w="1536" w:type="dxa"/>
            <w:tcBorders>
              <w:top w:val="nil"/>
              <w:left w:val="nil"/>
              <w:bottom w:val="nil"/>
              <w:right w:val="nil"/>
            </w:tcBorders>
            <w:shd w:val="clear" w:color="auto" w:fill="auto"/>
            <w:noWrap/>
            <w:vAlign w:val="center"/>
            <w:hideMark/>
          </w:tcPr>
          <w:p w14:paraId="7E0B2854"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36,8</w:t>
            </w:r>
          </w:p>
        </w:tc>
        <w:tc>
          <w:tcPr>
            <w:tcW w:w="850" w:type="dxa"/>
            <w:tcBorders>
              <w:top w:val="nil"/>
              <w:left w:val="nil"/>
              <w:bottom w:val="nil"/>
              <w:right w:val="nil"/>
            </w:tcBorders>
            <w:shd w:val="clear" w:color="auto" w:fill="auto"/>
            <w:noWrap/>
            <w:vAlign w:val="center"/>
            <w:hideMark/>
          </w:tcPr>
          <w:p w14:paraId="0D172670"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34,7</w:t>
            </w:r>
          </w:p>
        </w:tc>
        <w:tc>
          <w:tcPr>
            <w:tcW w:w="1134" w:type="dxa"/>
            <w:tcBorders>
              <w:top w:val="nil"/>
              <w:left w:val="nil"/>
              <w:bottom w:val="nil"/>
              <w:right w:val="nil"/>
            </w:tcBorders>
            <w:shd w:val="clear" w:color="auto" w:fill="auto"/>
            <w:noWrap/>
            <w:vAlign w:val="center"/>
            <w:hideMark/>
          </w:tcPr>
          <w:p w14:paraId="4C2A5D58"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32,7</w:t>
            </w:r>
          </w:p>
        </w:tc>
      </w:tr>
      <w:tr w:rsidR="00D572CA" w:rsidRPr="0006254B" w14:paraId="00AA95A4" w14:textId="77777777" w:rsidTr="00683A61">
        <w:trPr>
          <w:trHeight w:val="276"/>
        </w:trPr>
        <w:tc>
          <w:tcPr>
            <w:tcW w:w="1894" w:type="dxa"/>
            <w:tcBorders>
              <w:top w:val="nil"/>
              <w:left w:val="nil"/>
              <w:bottom w:val="nil"/>
              <w:right w:val="nil"/>
            </w:tcBorders>
            <w:shd w:val="clear" w:color="auto" w:fill="auto"/>
            <w:noWrap/>
            <w:vAlign w:val="center"/>
            <w:hideMark/>
          </w:tcPr>
          <w:p w14:paraId="4989ADDC" w14:textId="77777777" w:rsidR="00D572CA" w:rsidRPr="0006254B" w:rsidRDefault="00D572CA" w:rsidP="00A77F29">
            <w:pPr>
              <w:spacing w:after="0" w:line="240" w:lineRule="auto"/>
              <w:jc w:val="left"/>
              <w:rPr>
                <w:sz w:val="20"/>
                <w:szCs w:val="20"/>
                <w:lang w:eastAsia="sk-SK"/>
              </w:rPr>
            </w:pPr>
            <w:r w:rsidRPr="0006254B">
              <w:rPr>
                <w:sz w:val="20"/>
                <w:szCs w:val="20"/>
                <w:lang w:eastAsia="sk-SK"/>
              </w:rPr>
              <w:t>Dánsko</w:t>
            </w:r>
          </w:p>
        </w:tc>
        <w:tc>
          <w:tcPr>
            <w:tcW w:w="976" w:type="dxa"/>
            <w:tcBorders>
              <w:top w:val="nil"/>
              <w:left w:val="nil"/>
              <w:bottom w:val="nil"/>
              <w:right w:val="nil"/>
            </w:tcBorders>
            <w:shd w:val="clear" w:color="auto" w:fill="auto"/>
            <w:noWrap/>
            <w:vAlign w:val="center"/>
            <w:hideMark/>
          </w:tcPr>
          <w:p w14:paraId="41DFB254"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-0,1</w:t>
            </w:r>
          </w:p>
        </w:tc>
        <w:tc>
          <w:tcPr>
            <w:tcW w:w="976" w:type="dxa"/>
            <w:tcBorders>
              <w:top w:val="nil"/>
              <w:left w:val="nil"/>
              <w:bottom w:val="nil"/>
              <w:right w:val="nil"/>
            </w:tcBorders>
            <w:shd w:val="clear" w:color="auto" w:fill="auto"/>
            <w:noWrap/>
            <w:vAlign w:val="center"/>
            <w:hideMark/>
          </w:tcPr>
          <w:p w14:paraId="3DC91F73"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1,4</w:t>
            </w:r>
          </w:p>
        </w:tc>
        <w:tc>
          <w:tcPr>
            <w:tcW w:w="1091" w:type="dxa"/>
            <w:tcBorders>
              <w:top w:val="nil"/>
              <w:left w:val="nil"/>
              <w:bottom w:val="nil"/>
              <w:right w:val="nil"/>
            </w:tcBorders>
            <w:shd w:val="clear" w:color="auto" w:fill="auto"/>
            <w:noWrap/>
            <w:vAlign w:val="center"/>
            <w:hideMark/>
          </w:tcPr>
          <w:p w14:paraId="67C85DEF"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0,5</w:t>
            </w:r>
          </w:p>
        </w:tc>
        <w:tc>
          <w:tcPr>
            <w:tcW w:w="190" w:type="dxa"/>
            <w:tcBorders>
              <w:top w:val="nil"/>
              <w:left w:val="nil"/>
              <w:bottom w:val="nil"/>
              <w:right w:val="nil"/>
            </w:tcBorders>
            <w:shd w:val="clear" w:color="auto" w:fill="auto"/>
            <w:noWrap/>
            <w:vAlign w:val="center"/>
            <w:hideMark/>
          </w:tcPr>
          <w:p w14:paraId="0CC88DE4" w14:textId="77777777" w:rsidR="00D572CA" w:rsidRPr="0006254B" w:rsidRDefault="00D572CA" w:rsidP="00A77F29">
            <w:pPr>
              <w:spacing w:after="0" w:line="240" w:lineRule="auto"/>
              <w:jc w:val="center"/>
              <w:rPr>
                <w:color w:val="000000"/>
                <w:sz w:val="20"/>
                <w:szCs w:val="20"/>
                <w:lang w:eastAsia="sk-SK"/>
              </w:rPr>
            </w:pPr>
          </w:p>
        </w:tc>
        <w:tc>
          <w:tcPr>
            <w:tcW w:w="1536" w:type="dxa"/>
            <w:tcBorders>
              <w:top w:val="nil"/>
              <w:left w:val="nil"/>
              <w:bottom w:val="nil"/>
              <w:right w:val="nil"/>
            </w:tcBorders>
            <w:shd w:val="clear" w:color="auto" w:fill="auto"/>
            <w:noWrap/>
            <w:vAlign w:val="center"/>
            <w:hideMark/>
          </w:tcPr>
          <w:p w14:paraId="04F8252B"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37,2</w:t>
            </w:r>
          </w:p>
        </w:tc>
        <w:tc>
          <w:tcPr>
            <w:tcW w:w="850" w:type="dxa"/>
            <w:tcBorders>
              <w:top w:val="nil"/>
              <w:left w:val="nil"/>
              <w:bottom w:val="nil"/>
              <w:right w:val="nil"/>
            </w:tcBorders>
            <w:shd w:val="clear" w:color="auto" w:fill="auto"/>
            <w:noWrap/>
            <w:vAlign w:val="center"/>
            <w:hideMark/>
          </w:tcPr>
          <w:p w14:paraId="3EB6A515"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35,5</w:t>
            </w:r>
          </w:p>
        </w:tc>
        <w:tc>
          <w:tcPr>
            <w:tcW w:w="1134" w:type="dxa"/>
            <w:tcBorders>
              <w:top w:val="nil"/>
              <w:left w:val="nil"/>
              <w:bottom w:val="nil"/>
              <w:right w:val="nil"/>
            </w:tcBorders>
            <w:shd w:val="clear" w:color="auto" w:fill="auto"/>
            <w:noWrap/>
            <w:vAlign w:val="center"/>
            <w:hideMark/>
          </w:tcPr>
          <w:p w14:paraId="7FE7F4E3"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34,1</w:t>
            </w:r>
          </w:p>
        </w:tc>
      </w:tr>
      <w:tr w:rsidR="00D572CA" w:rsidRPr="0006254B" w14:paraId="761A093D" w14:textId="77777777" w:rsidTr="00683A61">
        <w:trPr>
          <w:trHeight w:val="276"/>
        </w:trPr>
        <w:tc>
          <w:tcPr>
            <w:tcW w:w="1894" w:type="dxa"/>
            <w:tcBorders>
              <w:top w:val="nil"/>
              <w:left w:val="nil"/>
              <w:bottom w:val="nil"/>
              <w:right w:val="nil"/>
            </w:tcBorders>
            <w:shd w:val="clear" w:color="auto" w:fill="auto"/>
            <w:noWrap/>
            <w:vAlign w:val="center"/>
            <w:hideMark/>
          </w:tcPr>
          <w:p w14:paraId="2B3B5AB8" w14:textId="77777777" w:rsidR="00D572CA" w:rsidRPr="0006254B" w:rsidRDefault="00D572CA" w:rsidP="00A77F29">
            <w:pPr>
              <w:spacing w:after="0" w:line="240" w:lineRule="auto"/>
              <w:jc w:val="left"/>
              <w:rPr>
                <w:sz w:val="20"/>
                <w:szCs w:val="20"/>
                <w:lang w:eastAsia="sk-SK"/>
              </w:rPr>
            </w:pPr>
            <w:r w:rsidRPr="0006254B">
              <w:rPr>
                <w:sz w:val="20"/>
                <w:szCs w:val="20"/>
                <w:lang w:eastAsia="sk-SK"/>
              </w:rPr>
              <w:t>Nemecko</w:t>
            </w:r>
          </w:p>
        </w:tc>
        <w:tc>
          <w:tcPr>
            <w:tcW w:w="976" w:type="dxa"/>
            <w:tcBorders>
              <w:top w:val="nil"/>
              <w:left w:val="nil"/>
              <w:bottom w:val="nil"/>
              <w:right w:val="nil"/>
            </w:tcBorders>
            <w:shd w:val="clear" w:color="auto" w:fill="auto"/>
            <w:noWrap/>
            <w:vAlign w:val="center"/>
            <w:hideMark/>
          </w:tcPr>
          <w:p w14:paraId="1F1409C8"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0,9</w:t>
            </w:r>
          </w:p>
        </w:tc>
        <w:tc>
          <w:tcPr>
            <w:tcW w:w="976" w:type="dxa"/>
            <w:tcBorders>
              <w:top w:val="nil"/>
              <w:left w:val="nil"/>
              <w:bottom w:val="nil"/>
              <w:right w:val="nil"/>
            </w:tcBorders>
            <w:shd w:val="clear" w:color="auto" w:fill="auto"/>
            <w:noWrap/>
            <w:vAlign w:val="center"/>
            <w:hideMark/>
          </w:tcPr>
          <w:p w14:paraId="5EC800D4"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1,0</w:t>
            </w:r>
          </w:p>
        </w:tc>
        <w:tc>
          <w:tcPr>
            <w:tcW w:w="1091" w:type="dxa"/>
            <w:tcBorders>
              <w:top w:val="nil"/>
              <w:left w:val="nil"/>
              <w:bottom w:val="nil"/>
              <w:right w:val="nil"/>
            </w:tcBorders>
            <w:shd w:val="clear" w:color="auto" w:fill="auto"/>
            <w:noWrap/>
            <w:vAlign w:val="center"/>
            <w:hideMark/>
          </w:tcPr>
          <w:p w14:paraId="39D4ABEE"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1,7</w:t>
            </w:r>
          </w:p>
        </w:tc>
        <w:tc>
          <w:tcPr>
            <w:tcW w:w="190" w:type="dxa"/>
            <w:tcBorders>
              <w:top w:val="nil"/>
              <w:left w:val="nil"/>
              <w:bottom w:val="nil"/>
              <w:right w:val="nil"/>
            </w:tcBorders>
            <w:shd w:val="clear" w:color="auto" w:fill="auto"/>
            <w:noWrap/>
            <w:vAlign w:val="center"/>
            <w:hideMark/>
          </w:tcPr>
          <w:p w14:paraId="2ED4A2A1" w14:textId="77777777" w:rsidR="00D572CA" w:rsidRPr="0006254B" w:rsidRDefault="00D572CA" w:rsidP="00A77F29">
            <w:pPr>
              <w:spacing w:after="0" w:line="240" w:lineRule="auto"/>
              <w:jc w:val="center"/>
              <w:rPr>
                <w:color w:val="000000"/>
                <w:sz w:val="20"/>
                <w:szCs w:val="20"/>
                <w:lang w:eastAsia="sk-SK"/>
              </w:rPr>
            </w:pPr>
          </w:p>
        </w:tc>
        <w:tc>
          <w:tcPr>
            <w:tcW w:w="1536" w:type="dxa"/>
            <w:tcBorders>
              <w:top w:val="nil"/>
              <w:left w:val="nil"/>
              <w:bottom w:val="nil"/>
              <w:right w:val="nil"/>
            </w:tcBorders>
            <w:shd w:val="clear" w:color="auto" w:fill="auto"/>
            <w:noWrap/>
            <w:vAlign w:val="center"/>
            <w:hideMark/>
          </w:tcPr>
          <w:p w14:paraId="2E6FB3CF"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68,5</w:t>
            </w:r>
          </w:p>
        </w:tc>
        <w:tc>
          <w:tcPr>
            <w:tcW w:w="850" w:type="dxa"/>
            <w:tcBorders>
              <w:top w:val="nil"/>
              <w:left w:val="nil"/>
              <w:bottom w:val="nil"/>
              <w:right w:val="nil"/>
            </w:tcBorders>
            <w:shd w:val="clear" w:color="auto" w:fill="auto"/>
            <w:noWrap/>
            <w:vAlign w:val="center"/>
            <w:hideMark/>
          </w:tcPr>
          <w:p w14:paraId="0E51E451"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64,5</w:t>
            </w:r>
          </w:p>
        </w:tc>
        <w:tc>
          <w:tcPr>
            <w:tcW w:w="1134" w:type="dxa"/>
            <w:tcBorders>
              <w:top w:val="nil"/>
              <w:left w:val="nil"/>
              <w:bottom w:val="nil"/>
              <w:right w:val="nil"/>
            </w:tcBorders>
            <w:shd w:val="clear" w:color="auto" w:fill="auto"/>
            <w:noWrap/>
            <w:vAlign w:val="center"/>
            <w:hideMark/>
          </w:tcPr>
          <w:p w14:paraId="76B0C247"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60,9</w:t>
            </w:r>
          </w:p>
        </w:tc>
      </w:tr>
      <w:tr w:rsidR="00D572CA" w:rsidRPr="0006254B" w14:paraId="19D89B18" w14:textId="77777777" w:rsidTr="00683A61">
        <w:trPr>
          <w:trHeight w:val="276"/>
        </w:trPr>
        <w:tc>
          <w:tcPr>
            <w:tcW w:w="1894" w:type="dxa"/>
            <w:tcBorders>
              <w:top w:val="nil"/>
              <w:left w:val="nil"/>
              <w:bottom w:val="nil"/>
              <w:right w:val="nil"/>
            </w:tcBorders>
            <w:shd w:val="clear" w:color="auto" w:fill="auto"/>
            <w:noWrap/>
            <w:vAlign w:val="center"/>
            <w:hideMark/>
          </w:tcPr>
          <w:p w14:paraId="5FE15548" w14:textId="77777777" w:rsidR="00D572CA" w:rsidRPr="0006254B" w:rsidRDefault="00D572CA" w:rsidP="00A77F29">
            <w:pPr>
              <w:spacing w:after="0" w:line="240" w:lineRule="auto"/>
              <w:jc w:val="left"/>
              <w:rPr>
                <w:sz w:val="20"/>
                <w:szCs w:val="20"/>
                <w:lang w:eastAsia="sk-SK"/>
              </w:rPr>
            </w:pPr>
            <w:r w:rsidRPr="0006254B">
              <w:rPr>
                <w:sz w:val="20"/>
                <w:szCs w:val="20"/>
                <w:lang w:eastAsia="sk-SK"/>
              </w:rPr>
              <w:t>Estónsko</w:t>
            </w:r>
          </w:p>
        </w:tc>
        <w:tc>
          <w:tcPr>
            <w:tcW w:w="976" w:type="dxa"/>
            <w:tcBorders>
              <w:top w:val="nil"/>
              <w:left w:val="nil"/>
              <w:bottom w:val="nil"/>
              <w:right w:val="nil"/>
            </w:tcBorders>
            <w:shd w:val="clear" w:color="auto" w:fill="auto"/>
            <w:noWrap/>
            <w:vAlign w:val="center"/>
            <w:hideMark/>
          </w:tcPr>
          <w:p w14:paraId="62918931"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-0,3</w:t>
            </w:r>
          </w:p>
        </w:tc>
        <w:tc>
          <w:tcPr>
            <w:tcW w:w="976" w:type="dxa"/>
            <w:tcBorders>
              <w:top w:val="nil"/>
              <w:left w:val="nil"/>
              <w:bottom w:val="nil"/>
              <w:right w:val="nil"/>
            </w:tcBorders>
            <w:shd w:val="clear" w:color="auto" w:fill="auto"/>
            <w:noWrap/>
            <w:vAlign w:val="center"/>
            <w:hideMark/>
          </w:tcPr>
          <w:p w14:paraId="0448F512"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-0,4</w:t>
            </w:r>
          </w:p>
        </w:tc>
        <w:tc>
          <w:tcPr>
            <w:tcW w:w="1091" w:type="dxa"/>
            <w:tcBorders>
              <w:top w:val="nil"/>
              <w:left w:val="nil"/>
              <w:bottom w:val="nil"/>
              <w:right w:val="nil"/>
            </w:tcBorders>
            <w:shd w:val="clear" w:color="auto" w:fill="auto"/>
            <w:noWrap/>
            <w:vAlign w:val="center"/>
            <w:hideMark/>
          </w:tcPr>
          <w:p w14:paraId="7DEE65F6"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-0,6</w:t>
            </w:r>
          </w:p>
        </w:tc>
        <w:tc>
          <w:tcPr>
            <w:tcW w:w="190" w:type="dxa"/>
            <w:tcBorders>
              <w:top w:val="nil"/>
              <w:left w:val="nil"/>
              <w:bottom w:val="nil"/>
              <w:right w:val="nil"/>
            </w:tcBorders>
            <w:shd w:val="clear" w:color="auto" w:fill="auto"/>
            <w:noWrap/>
            <w:vAlign w:val="center"/>
            <w:hideMark/>
          </w:tcPr>
          <w:p w14:paraId="3DCA97F0" w14:textId="77777777" w:rsidR="00D572CA" w:rsidRPr="0006254B" w:rsidRDefault="00D572CA" w:rsidP="00A77F29">
            <w:pPr>
              <w:spacing w:after="0" w:line="240" w:lineRule="auto"/>
              <w:jc w:val="center"/>
              <w:rPr>
                <w:color w:val="000000"/>
                <w:sz w:val="20"/>
                <w:szCs w:val="20"/>
                <w:lang w:eastAsia="sk-SK"/>
              </w:rPr>
            </w:pPr>
          </w:p>
        </w:tc>
        <w:tc>
          <w:tcPr>
            <w:tcW w:w="1536" w:type="dxa"/>
            <w:tcBorders>
              <w:top w:val="nil"/>
              <w:left w:val="nil"/>
              <w:bottom w:val="nil"/>
              <w:right w:val="nil"/>
            </w:tcBorders>
            <w:shd w:val="clear" w:color="auto" w:fill="auto"/>
            <w:noWrap/>
            <w:vAlign w:val="center"/>
            <w:hideMark/>
          </w:tcPr>
          <w:p w14:paraId="2033988C"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9,2</w:t>
            </w:r>
          </w:p>
        </w:tc>
        <w:tc>
          <w:tcPr>
            <w:tcW w:w="850" w:type="dxa"/>
            <w:tcBorders>
              <w:top w:val="nil"/>
              <w:left w:val="nil"/>
              <w:bottom w:val="nil"/>
              <w:right w:val="nil"/>
            </w:tcBorders>
            <w:shd w:val="clear" w:color="auto" w:fill="auto"/>
            <w:noWrap/>
            <w:vAlign w:val="center"/>
            <w:hideMark/>
          </w:tcPr>
          <w:p w14:paraId="766FFBD6"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9,2</w:t>
            </w:r>
          </w:p>
        </w:tc>
        <w:tc>
          <w:tcPr>
            <w:tcW w:w="1134" w:type="dxa"/>
            <w:tcBorders>
              <w:top w:val="nil"/>
              <w:left w:val="nil"/>
              <w:bottom w:val="nil"/>
              <w:right w:val="nil"/>
            </w:tcBorders>
            <w:shd w:val="clear" w:color="auto" w:fill="auto"/>
            <w:noWrap/>
            <w:vAlign w:val="center"/>
            <w:hideMark/>
          </w:tcPr>
          <w:p w14:paraId="411D3DCC"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8,4</w:t>
            </w:r>
          </w:p>
        </w:tc>
      </w:tr>
      <w:tr w:rsidR="00D572CA" w:rsidRPr="0006254B" w14:paraId="07AE4035" w14:textId="77777777" w:rsidTr="00683A61">
        <w:trPr>
          <w:trHeight w:val="276"/>
        </w:trPr>
        <w:tc>
          <w:tcPr>
            <w:tcW w:w="1894" w:type="dxa"/>
            <w:tcBorders>
              <w:top w:val="nil"/>
              <w:left w:val="nil"/>
              <w:bottom w:val="nil"/>
              <w:right w:val="nil"/>
            </w:tcBorders>
            <w:shd w:val="clear" w:color="auto" w:fill="auto"/>
            <w:noWrap/>
            <w:vAlign w:val="center"/>
            <w:hideMark/>
          </w:tcPr>
          <w:p w14:paraId="25C2B559" w14:textId="77777777" w:rsidR="00D572CA" w:rsidRPr="0006254B" w:rsidRDefault="00D572CA" w:rsidP="00A77F29">
            <w:pPr>
              <w:spacing w:after="0" w:line="240" w:lineRule="auto"/>
              <w:jc w:val="left"/>
              <w:rPr>
                <w:sz w:val="20"/>
                <w:szCs w:val="20"/>
                <w:lang w:eastAsia="sk-SK"/>
              </w:rPr>
            </w:pPr>
            <w:r w:rsidRPr="0006254B">
              <w:rPr>
                <w:sz w:val="20"/>
                <w:szCs w:val="20"/>
                <w:lang w:eastAsia="sk-SK"/>
              </w:rPr>
              <w:t>Írsko</w:t>
            </w:r>
          </w:p>
        </w:tc>
        <w:tc>
          <w:tcPr>
            <w:tcW w:w="976" w:type="dxa"/>
            <w:tcBorders>
              <w:top w:val="nil"/>
              <w:left w:val="nil"/>
              <w:bottom w:val="nil"/>
              <w:right w:val="nil"/>
            </w:tcBorders>
            <w:shd w:val="clear" w:color="auto" w:fill="auto"/>
            <w:noWrap/>
            <w:vAlign w:val="center"/>
            <w:hideMark/>
          </w:tcPr>
          <w:p w14:paraId="39B3D1B4"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-0,7</w:t>
            </w:r>
          </w:p>
        </w:tc>
        <w:tc>
          <w:tcPr>
            <w:tcW w:w="976" w:type="dxa"/>
            <w:tcBorders>
              <w:top w:val="nil"/>
              <w:left w:val="nil"/>
              <w:bottom w:val="nil"/>
              <w:right w:val="nil"/>
            </w:tcBorders>
            <w:shd w:val="clear" w:color="auto" w:fill="auto"/>
            <w:noWrap/>
            <w:vAlign w:val="center"/>
            <w:hideMark/>
          </w:tcPr>
          <w:p w14:paraId="4280ACF9"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-0,3</w:t>
            </w:r>
          </w:p>
        </w:tc>
        <w:tc>
          <w:tcPr>
            <w:tcW w:w="1091" w:type="dxa"/>
            <w:tcBorders>
              <w:top w:val="nil"/>
              <w:left w:val="nil"/>
              <w:bottom w:val="nil"/>
              <w:right w:val="nil"/>
            </w:tcBorders>
            <w:shd w:val="clear" w:color="auto" w:fill="auto"/>
            <w:noWrap/>
            <w:vAlign w:val="center"/>
            <w:hideMark/>
          </w:tcPr>
          <w:p w14:paraId="5D78AA57"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0,0</w:t>
            </w:r>
          </w:p>
        </w:tc>
        <w:tc>
          <w:tcPr>
            <w:tcW w:w="190" w:type="dxa"/>
            <w:tcBorders>
              <w:top w:val="nil"/>
              <w:left w:val="nil"/>
              <w:bottom w:val="nil"/>
              <w:right w:val="nil"/>
            </w:tcBorders>
            <w:shd w:val="clear" w:color="auto" w:fill="auto"/>
            <w:noWrap/>
            <w:vAlign w:val="center"/>
            <w:hideMark/>
          </w:tcPr>
          <w:p w14:paraId="792BBC4B" w14:textId="77777777" w:rsidR="00D572CA" w:rsidRPr="0006254B" w:rsidRDefault="00D572CA" w:rsidP="00A77F29">
            <w:pPr>
              <w:spacing w:after="0" w:line="240" w:lineRule="auto"/>
              <w:jc w:val="center"/>
              <w:rPr>
                <w:color w:val="000000"/>
                <w:sz w:val="20"/>
                <w:szCs w:val="20"/>
                <w:lang w:eastAsia="sk-SK"/>
              </w:rPr>
            </w:pPr>
          </w:p>
        </w:tc>
        <w:tc>
          <w:tcPr>
            <w:tcW w:w="1536" w:type="dxa"/>
            <w:tcBorders>
              <w:top w:val="nil"/>
              <w:left w:val="nil"/>
              <w:bottom w:val="nil"/>
              <w:right w:val="nil"/>
            </w:tcBorders>
            <w:shd w:val="clear" w:color="auto" w:fill="auto"/>
            <w:noWrap/>
            <w:vAlign w:val="center"/>
            <w:hideMark/>
          </w:tcPr>
          <w:p w14:paraId="1DE390A5"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73,5</w:t>
            </w:r>
          </w:p>
        </w:tc>
        <w:tc>
          <w:tcPr>
            <w:tcW w:w="850" w:type="dxa"/>
            <w:tcBorders>
              <w:top w:val="nil"/>
              <w:left w:val="nil"/>
              <w:bottom w:val="nil"/>
              <w:right w:val="nil"/>
            </w:tcBorders>
            <w:shd w:val="clear" w:color="auto" w:fill="auto"/>
            <w:noWrap/>
            <w:vAlign w:val="center"/>
            <w:hideMark/>
          </w:tcPr>
          <w:p w14:paraId="3E30C61C"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68,5</w:t>
            </w:r>
          </w:p>
        </w:tc>
        <w:tc>
          <w:tcPr>
            <w:tcW w:w="1134" w:type="dxa"/>
            <w:tcBorders>
              <w:top w:val="nil"/>
              <w:left w:val="nil"/>
              <w:bottom w:val="nil"/>
              <w:right w:val="nil"/>
            </w:tcBorders>
            <w:shd w:val="clear" w:color="auto" w:fill="auto"/>
            <w:noWrap/>
            <w:vAlign w:val="center"/>
            <w:hideMark/>
          </w:tcPr>
          <w:p w14:paraId="702CF48A"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64,8</w:t>
            </w:r>
          </w:p>
        </w:tc>
      </w:tr>
      <w:tr w:rsidR="00D572CA" w:rsidRPr="0006254B" w14:paraId="5A4D7652" w14:textId="77777777" w:rsidTr="00683A61">
        <w:trPr>
          <w:trHeight w:val="276"/>
        </w:trPr>
        <w:tc>
          <w:tcPr>
            <w:tcW w:w="1894" w:type="dxa"/>
            <w:tcBorders>
              <w:top w:val="nil"/>
              <w:left w:val="nil"/>
              <w:bottom w:val="nil"/>
              <w:right w:val="nil"/>
            </w:tcBorders>
            <w:shd w:val="clear" w:color="auto" w:fill="auto"/>
            <w:noWrap/>
            <w:vAlign w:val="center"/>
            <w:hideMark/>
          </w:tcPr>
          <w:p w14:paraId="42E1DE49" w14:textId="77777777" w:rsidR="00D572CA" w:rsidRPr="0006254B" w:rsidRDefault="00D572CA" w:rsidP="00A77F29">
            <w:pPr>
              <w:spacing w:after="0" w:line="240" w:lineRule="auto"/>
              <w:jc w:val="left"/>
              <w:rPr>
                <w:sz w:val="20"/>
                <w:szCs w:val="20"/>
                <w:lang w:eastAsia="sk-SK"/>
              </w:rPr>
            </w:pPr>
            <w:r w:rsidRPr="0006254B">
              <w:rPr>
                <w:sz w:val="20"/>
                <w:szCs w:val="20"/>
                <w:lang w:eastAsia="sk-SK"/>
              </w:rPr>
              <w:t>Grécko</w:t>
            </w:r>
          </w:p>
        </w:tc>
        <w:tc>
          <w:tcPr>
            <w:tcW w:w="976" w:type="dxa"/>
            <w:tcBorders>
              <w:top w:val="nil"/>
              <w:left w:val="nil"/>
              <w:bottom w:val="nil"/>
              <w:right w:val="nil"/>
            </w:tcBorders>
            <w:shd w:val="clear" w:color="auto" w:fill="auto"/>
            <w:noWrap/>
            <w:vAlign w:val="center"/>
            <w:hideMark/>
          </w:tcPr>
          <w:p w14:paraId="6E1976BA"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0,5</w:t>
            </w:r>
          </w:p>
        </w:tc>
        <w:tc>
          <w:tcPr>
            <w:tcW w:w="976" w:type="dxa"/>
            <w:tcBorders>
              <w:top w:val="nil"/>
              <w:left w:val="nil"/>
              <w:bottom w:val="nil"/>
              <w:right w:val="nil"/>
            </w:tcBorders>
            <w:shd w:val="clear" w:color="auto" w:fill="auto"/>
            <w:noWrap/>
            <w:vAlign w:val="center"/>
            <w:hideMark/>
          </w:tcPr>
          <w:p w14:paraId="61ECA019"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0,7</w:t>
            </w:r>
          </w:p>
        </w:tc>
        <w:tc>
          <w:tcPr>
            <w:tcW w:w="1091" w:type="dxa"/>
            <w:tcBorders>
              <w:top w:val="nil"/>
              <w:left w:val="nil"/>
              <w:bottom w:val="nil"/>
              <w:right w:val="nil"/>
            </w:tcBorders>
            <w:shd w:val="clear" w:color="auto" w:fill="auto"/>
            <w:noWrap/>
            <w:vAlign w:val="center"/>
            <w:hideMark/>
          </w:tcPr>
          <w:p w14:paraId="4DC6D9E4"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1,1</w:t>
            </w:r>
          </w:p>
        </w:tc>
        <w:tc>
          <w:tcPr>
            <w:tcW w:w="190" w:type="dxa"/>
            <w:tcBorders>
              <w:top w:val="nil"/>
              <w:left w:val="nil"/>
              <w:bottom w:val="nil"/>
              <w:right w:val="nil"/>
            </w:tcBorders>
            <w:shd w:val="clear" w:color="auto" w:fill="auto"/>
            <w:noWrap/>
            <w:vAlign w:val="center"/>
            <w:hideMark/>
          </w:tcPr>
          <w:p w14:paraId="60A1CE80" w14:textId="77777777" w:rsidR="00D572CA" w:rsidRPr="0006254B" w:rsidRDefault="00D572CA" w:rsidP="00A77F29">
            <w:pPr>
              <w:spacing w:after="0" w:line="240" w:lineRule="auto"/>
              <w:jc w:val="center"/>
              <w:rPr>
                <w:color w:val="000000"/>
                <w:sz w:val="20"/>
                <w:szCs w:val="20"/>
                <w:lang w:eastAsia="sk-SK"/>
              </w:rPr>
            </w:pPr>
          </w:p>
        </w:tc>
        <w:tc>
          <w:tcPr>
            <w:tcW w:w="1536" w:type="dxa"/>
            <w:tcBorders>
              <w:top w:val="nil"/>
              <w:left w:val="nil"/>
              <w:bottom w:val="nil"/>
              <w:right w:val="nil"/>
            </w:tcBorders>
            <w:shd w:val="clear" w:color="auto" w:fill="auto"/>
            <w:noWrap/>
            <w:vAlign w:val="center"/>
            <w:hideMark/>
          </w:tcPr>
          <w:p w14:paraId="3A7BFA10"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178,5</w:t>
            </w:r>
          </w:p>
        </w:tc>
        <w:tc>
          <w:tcPr>
            <w:tcW w:w="850" w:type="dxa"/>
            <w:tcBorders>
              <w:top w:val="nil"/>
              <w:left w:val="nil"/>
              <w:bottom w:val="nil"/>
              <w:right w:val="nil"/>
            </w:tcBorders>
            <w:shd w:val="clear" w:color="auto" w:fill="auto"/>
            <w:noWrap/>
            <w:vAlign w:val="center"/>
            <w:hideMark/>
          </w:tcPr>
          <w:p w14:paraId="4135116D"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176,2</w:t>
            </w:r>
          </w:p>
        </w:tc>
        <w:tc>
          <w:tcPr>
            <w:tcW w:w="1134" w:type="dxa"/>
            <w:tcBorders>
              <w:top w:val="nil"/>
              <w:left w:val="nil"/>
              <w:bottom w:val="nil"/>
              <w:right w:val="nil"/>
            </w:tcBorders>
            <w:shd w:val="clear" w:color="auto" w:fill="auto"/>
            <w:noWrap/>
            <w:vAlign w:val="center"/>
            <w:hideMark/>
          </w:tcPr>
          <w:p w14:paraId="2BEA65BB"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181,1</w:t>
            </w:r>
          </w:p>
        </w:tc>
      </w:tr>
      <w:tr w:rsidR="00D572CA" w:rsidRPr="0006254B" w14:paraId="482CF1BD" w14:textId="77777777" w:rsidTr="00683A61">
        <w:trPr>
          <w:trHeight w:val="276"/>
        </w:trPr>
        <w:tc>
          <w:tcPr>
            <w:tcW w:w="1894" w:type="dxa"/>
            <w:tcBorders>
              <w:top w:val="nil"/>
              <w:left w:val="nil"/>
              <w:bottom w:val="nil"/>
              <w:right w:val="nil"/>
            </w:tcBorders>
            <w:shd w:val="clear" w:color="auto" w:fill="auto"/>
            <w:noWrap/>
            <w:vAlign w:val="center"/>
            <w:hideMark/>
          </w:tcPr>
          <w:p w14:paraId="68C11B40" w14:textId="77777777" w:rsidR="00D572CA" w:rsidRPr="0006254B" w:rsidRDefault="00D572CA" w:rsidP="00A77F29">
            <w:pPr>
              <w:spacing w:after="0" w:line="240" w:lineRule="auto"/>
              <w:jc w:val="left"/>
              <w:rPr>
                <w:sz w:val="20"/>
                <w:szCs w:val="20"/>
                <w:lang w:eastAsia="sk-SK"/>
              </w:rPr>
            </w:pPr>
            <w:r w:rsidRPr="0006254B">
              <w:rPr>
                <w:sz w:val="20"/>
                <w:szCs w:val="20"/>
                <w:lang w:eastAsia="sk-SK"/>
              </w:rPr>
              <w:t>Španielsko</w:t>
            </w:r>
          </w:p>
        </w:tc>
        <w:tc>
          <w:tcPr>
            <w:tcW w:w="976" w:type="dxa"/>
            <w:tcBorders>
              <w:top w:val="nil"/>
              <w:left w:val="nil"/>
              <w:bottom w:val="nil"/>
              <w:right w:val="nil"/>
            </w:tcBorders>
            <w:shd w:val="clear" w:color="auto" w:fill="auto"/>
            <w:noWrap/>
            <w:vAlign w:val="center"/>
            <w:hideMark/>
          </w:tcPr>
          <w:p w14:paraId="533F62EE"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-4,5</w:t>
            </w:r>
          </w:p>
        </w:tc>
        <w:tc>
          <w:tcPr>
            <w:tcW w:w="976" w:type="dxa"/>
            <w:tcBorders>
              <w:top w:val="nil"/>
              <w:left w:val="nil"/>
              <w:bottom w:val="nil"/>
              <w:right w:val="nil"/>
            </w:tcBorders>
            <w:shd w:val="clear" w:color="auto" w:fill="auto"/>
            <w:noWrap/>
            <w:vAlign w:val="center"/>
            <w:hideMark/>
          </w:tcPr>
          <w:p w14:paraId="41C327E4"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-3,1</w:t>
            </w:r>
          </w:p>
        </w:tc>
        <w:tc>
          <w:tcPr>
            <w:tcW w:w="1091" w:type="dxa"/>
            <w:tcBorders>
              <w:top w:val="nil"/>
              <w:left w:val="nil"/>
              <w:bottom w:val="nil"/>
              <w:right w:val="nil"/>
            </w:tcBorders>
            <w:shd w:val="clear" w:color="auto" w:fill="auto"/>
            <w:noWrap/>
            <w:vAlign w:val="center"/>
            <w:hideMark/>
          </w:tcPr>
          <w:p w14:paraId="76DE3116"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-2,5</w:t>
            </w:r>
          </w:p>
        </w:tc>
        <w:tc>
          <w:tcPr>
            <w:tcW w:w="190" w:type="dxa"/>
            <w:tcBorders>
              <w:top w:val="nil"/>
              <w:left w:val="nil"/>
              <w:bottom w:val="nil"/>
              <w:right w:val="nil"/>
            </w:tcBorders>
            <w:shd w:val="clear" w:color="auto" w:fill="auto"/>
            <w:noWrap/>
            <w:vAlign w:val="center"/>
            <w:hideMark/>
          </w:tcPr>
          <w:p w14:paraId="450E2256" w14:textId="77777777" w:rsidR="00D572CA" w:rsidRPr="0006254B" w:rsidRDefault="00D572CA" w:rsidP="00A77F29">
            <w:pPr>
              <w:spacing w:after="0" w:line="240" w:lineRule="auto"/>
              <w:jc w:val="center"/>
              <w:rPr>
                <w:color w:val="000000"/>
                <w:sz w:val="20"/>
                <w:szCs w:val="20"/>
                <w:lang w:eastAsia="sk-SK"/>
              </w:rPr>
            </w:pPr>
          </w:p>
        </w:tc>
        <w:tc>
          <w:tcPr>
            <w:tcW w:w="1536" w:type="dxa"/>
            <w:tcBorders>
              <w:top w:val="nil"/>
              <w:left w:val="nil"/>
              <w:bottom w:val="nil"/>
              <w:right w:val="nil"/>
            </w:tcBorders>
            <w:shd w:val="clear" w:color="auto" w:fill="auto"/>
            <w:noWrap/>
            <w:vAlign w:val="center"/>
            <w:hideMark/>
          </w:tcPr>
          <w:p w14:paraId="4A481522"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99,0</w:t>
            </w:r>
          </w:p>
        </w:tc>
        <w:tc>
          <w:tcPr>
            <w:tcW w:w="850" w:type="dxa"/>
            <w:tcBorders>
              <w:top w:val="nil"/>
              <w:left w:val="nil"/>
              <w:bottom w:val="nil"/>
              <w:right w:val="nil"/>
            </w:tcBorders>
            <w:shd w:val="clear" w:color="auto" w:fill="auto"/>
            <w:noWrap/>
            <w:vAlign w:val="center"/>
            <w:hideMark/>
          </w:tcPr>
          <w:p w14:paraId="4A5F95AA"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98,1</w:t>
            </w:r>
          </w:p>
        </w:tc>
        <w:tc>
          <w:tcPr>
            <w:tcW w:w="1134" w:type="dxa"/>
            <w:tcBorders>
              <w:top w:val="nil"/>
              <w:left w:val="nil"/>
              <w:bottom w:val="nil"/>
              <w:right w:val="nil"/>
            </w:tcBorders>
            <w:shd w:val="clear" w:color="auto" w:fill="auto"/>
            <w:noWrap/>
            <w:vAlign w:val="center"/>
            <w:hideMark/>
          </w:tcPr>
          <w:p w14:paraId="4FFD6C34"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97,1</w:t>
            </w:r>
          </w:p>
        </w:tc>
      </w:tr>
      <w:tr w:rsidR="00D572CA" w:rsidRPr="0006254B" w14:paraId="37F2B82E" w14:textId="77777777" w:rsidTr="00683A61">
        <w:trPr>
          <w:trHeight w:val="276"/>
        </w:trPr>
        <w:tc>
          <w:tcPr>
            <w:tcW w:w="1894" w:type="dxa"/>
            <w:tcBorders>
              <w:top w:val="nil"/>
              <w:left w:val="nil"/>
              <w:bottom w:val="nil"/>
              <w:right w:val="nil"/>
            </w:tcBorders>
            <w:shd w:val="clear" w:color="auto" w:fill="auto"/>
            <w:noWrap/>
            <w:vAlign w:val="center"/>
            <w:hideMark/>
          </w:tcPr>
          <w:p w14:paraId="7F42BA3F" w14:textId="77777777" w:rsidR="00D572CA" w:rsidRPr="0006254B" w:rsidRDefault="00D572CA" w:rsidP="00A77F29">
            <w:pPr>
              <w:spacing w:after="0" w:line="240" w:lineRule="auto"/>
              <w:jc w:val="left"/>
              <w:rPr>
                <w:sz w:val="20"/>
                <w:szCs w:val="20"/>
                <w:lang w:eastAsia="sk-SK"/>
              </w:rPr>
            </w:pPr>
            <w:r w:rsidRPr="0006254B">
              <w:rPr>
                <w:sz w:val="20"/>
                <w:szCs w:val="20"/>
                <w:lang w:eastAsia="sk-SK"/>
              </w:rPr>
              <w:t>Francúzsko</w:t>
            </w:r>
          </w:p>
        </w:tc>
        <w:tc>
          <w:tcPr>
            <w:tcW w:w="976" w:type="dxa"/>
            <w:tcBorders>
              <w:top w:val="nil"/>
              <w:left w:val="nil"/>
              <w:bottom w:val="nil"/>
              <w:right w:val="nil"/>
            </w:tcBorders>
            <w:shd w:val="clear" w:color="auto" w:fill="auto"/>
            <w:noWrap/>
            <w:vAlign w:val="center"/>
            <w:hideMark/>
          </w:tcPr>
          <w:p w14:paraId="3DEFF3E1"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-3,5</w:t>
            </w:r>
          </w:p>
        </w:tc>
        <w:tc>
          <w:tcPr>
            <w:tcW w:w="976" w:type="dxa"/>
            <w:tcBorders>
              <w:top w:val="nil"/>
              <w:left w:val="nil"/>
              <w:bottom w:val="nil"/>
              <w:right w:val="nil"/>
            </w:tcBorders>
            <w:shd w:val="clear" w:color="auto" w:fill="auto"/>
            <w:noWrap/>
            <w:vAlign w:val="center"/>
            <w:hideMark/>
          </w:tcPr>
          <w:p w14:paraId="396BD548"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-2,8</w:t>
            </w:r>
          </w:p>
        </w:tc>
        <w:tc>
          <w:tcPr>
            <w:tcW w:w="1091" w:type="dxa"/>
            <w:tcBorders>
              <w:top w:val="nil"/>
              <w:left w:val="nil"/>
              <w:bottom w:val="nil"/>
              <w:right w:val="nil"/>
            </w:tcBorders>
            <w:shd w:val="clear" w:color="auto" w:fill="auto"/>
            <w:noWrap/>
            <w:vAlign w:val="center"/>
            <w:hideMark/>
          </w:tcPr>
          <w:p w14:paraId="78E1FD20"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-2,5</w:t>
            </w:r>
          </w:p>
        </w:tc>
        <w:tc>
          <w:tcPr>
            <w:tcW w:w="190" w:type="dxa"/>
            <w:tcBorders>
              <w:top w:val="nil"/>
              <w:left w:val="nil"/>
              <w:bottom w:val="nil"/>
              <w:right w:val="nil"/>
            </w:tcBorders>
            <w:shd w:val="clear" w:color="auto" w:fill="auto"/>
            <w:noWrap/>
            <w:vAlign w:val="center"/>
            <w:hideMark/>
          </w:tcPr>
          <w:p w14:paraId="10B8A9E4" w14:textId="77777777" w:rsidR="00D572CA" w:rsidRPr="0006254B" w:rsidRDefault="00D572CA" w:rsidP="00A77F29">
            <w:pPr>
              <w:spacing w:after="0" w:line="240" w:lineRule="auto"/>
              <w:jc w:val="center"/>
              <w:rPr>
                <w:color w:val="000000"/>
                <w:sz w:val="20"/>
                <w:szCs w:val="20"/>
                <w:lang w:eastAsia="sk-SK"/>
              </w:rPr>
            </w:pPr>
          </w:p>
        </w:tc>
        <w:tc>
          <w:tcPr>
            <w:tcW w:w="1536" w:type="dxa"/>
            <w:tcBorders>
              <w:top w:val="nil"/>
              <w:left w:val="nil"/>
              <w:bottom w:val="nil"/>
              <w:right w:val="nil"/>
            </w:tcBorders>
            <w:shd w:val="clear" w:color="auto" w:fill="auto"/>
            <w:noWrap/>
            <w:vAlign w:val="center"/>
            <w:hideMark/>
          </w:tcPr>
          <w:p w14:paraId="175A4DA6"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98,0</w:t>
            </w:r>
          </w:p>
        </w:tc>
        <w:tc>
          <w:tcPr>
            <w:tcW w:w="850" w:type="dxa"/>
            <w:tcBorders>
              <w:top w:val="nil"/>
              <w:left w:val="nil"/>
              <w:bottom w:val="nil"/>
              <w:right w:val="nil"/>
            </w:tcBorders>
            <w:shd w:val="clear" w:color="auto" w:fill="auto"/>
            <w:noWrap/>
            <w:vAlign w:val="center"/>
            <w:hideMark/>
          </w:tcPr>
          <w:p w14:paraId="7E618728"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98,4</w:t>
            </w:r>
          </w:p>
        </w:tc>
        <w:tc>
          <w:tcPr>
            <w:tcW w:w="1134" w:type="dxa"/>
            <w:tcBorders>
              <w:top w:val="nil"/>
              <w:left w:val="nil"/>
              <w:bottom w:val="nil"/>
              <w:right w:val="nil"/>
            </w:tcBorders>
            <w:shd w:val="clear" w:color="auto" w:fill="auto"/>
            <w:noWrap/>
            <w:vAlign w:val="center"/>
            <w:hideMark/>
          </w:tcPr>
          <w:p w14:paraId="7E8B1006"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98,4</w:t>
            </w:r>
          </w:p>
        </w:tc>
      </w:tr>
      <w:tr w:rsidR="00D572CA" w:rsidRPr="0006254B" w14:paraId="78C3240A" w14:textId="77777777" w:rsidTr="00683A61">
        <w:trPr>
          <w:trHeight w:val="276"/>
        </w:trPr>
        <w:tc>
          <w:tcPr>
            <w:tcW w:w="1894" w:type="dxa"/>
            <w:tcBorders>
              <w:top w:val="nil"/>
              <w:left w:val="nil"/>
              <w:bottom w:val="nil"/>
              <w:right w:val="nil"/>
            </w:tcBorders>
            <w:shd w:val="clear" w:color="auto" w:fill="auto"/>
            <w:noWrap/>
            <w:vAlign w:val="center"/>
            <w:hideMark/>
          </w:tcPr>
          <w:p w14:paraId="75909C3E" w14:textId="77777777" w:rsidR="00D572CA" w:rsidRPr="0006254B" w:rsidRDefault="00D572CA" w:rsidP="00A77F29">
            <w:pPr>
              <w:spacing w:after="0" w:line="240" w:lineRule="auto"/>
              <w:jc w:val="left"/>
              <w:rPr>
                <w:sz w:val="20"/>
                <w:szCs w:val="20"/>
                <w:lang w:eastAsia="sk-SK"/>
              </w:rPr>
            </w:pPr>
            <w:r w:rsidRPr="0006254B">
              <w:rPr>
                <w:sz w:val="20"/>
                <w:szCs w:val="20"/>
                <w:lang w:eastAsia="sk-SK"/>
              </w:rPr>
              <w:t>Chorvátsko</w:t>
            </w:r>
          </w:p>
        </w:tc>
        <w:tc>
          <w:tcPr>
            <w:tcW w:w="976" w:type="dxa"/>
            <w:tcBorders>
              <w:top w:val="nil"/>
              <w:left w:val="nil"/>
              <w:bottom w:val="nil"/>
              <w:right w:val="nil"/>
            </w:tcBorders>
            <w:shd w:val="clear" w:color="auto" w:fill="auto"/>
            <w:noWrap/>
            <w:vAlign w:val="center"/>
            <w:hideMark/>
          </w:tcPr>
          <w:p w14:paraId="47C6E711"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-1,0</w:t>
            </w:r>
          </w:p>
        </w:tc>
        <w:tc>
          <w:tcPr>
            <w:tcW w:w="976" w:type="dxa"/>
            <w:tcBorders>
              <w:top w:val="nil"/>
              <w:left w:val="nil"/>
              <w:bottom w:val="nil"/>
              <w:right w:val="nil"/>
            </w:tcBorders>
            <w:shd w:val="clear" w:color="auto" w:fill="auto"/>
            <w:noWrap/>
            <w:vAlign w:val="center"/>
            <w:hideMark/>
          </w:tcPr>
          <w:p w14:paraId="349B4A6C"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0,8</w:t>
            </w:r>
          </w:p>
        </w:tc>
        <w:tc>
          <w:tcPr>
            <w:tcW w:w="1091" w:type="dxa"/>
            <w:tcBorders>
              <w:top w:val="nil"/>
              <w:left w:val="nil"/>
              <w:bottom w:val="nil"/>
              <w:right w:val="nil"/>
            </w:tcBorders>
            <w:shd w:val="clear" w:color="auto" w:fill="auto"/>
            <w:noWrap/>
            <w:vAlign w:val="center"/>
            <w:hideMark/>
          </w:tcPr>
          <w:p w14:paraId="4482E381"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0,2</w:t>
            </w:r>
          </w:p>
        </w:tc>
        <w:tc>
          <w:tcPr>
            <w:tcW w:w="190" w:type="dxa"/>
            <w:tcBorders>
              <w:top w:val="nil"/>
              <w:left w:val="nil"/>
              <w:bottom w:val="nil"/>
              <w:right w:val="nil"/>
            </w:tcBorders>
            <w:shd w:val="clear" w:color="auto" w:fill="auto"/>
            <w:noWrap/>
            <w:vAlign w:val="center"/>
            <w:hideMark/>
          </w:tcPr>
          <w:p w14:paraId="6C5EB6A2" w14:textId="77777777" w:rsidR="00D572CA" w:rsidRPr="0006254B" w:rsidRDefault="00D572CA" w:rsidP="00A77F29">
            <w:pPr>
              <w:spacing w:after="0" w:line="240" w:lineRule="auto"/>
              <w:jc w:val="center"/>
              <w:rPr>
                <w:color w:val="000000"/>
                <w:sz w:val="20"/>
                <w:szCs w:val="20"/>
                <w:lang w:eastAsia="sk-SK"/>
              </w:rPr>
            </w:pPr>
          </w:p>
        </w:tc>
        <w:tc>
          <w:tcPr>
            <w:tcW w:w="1536" w:type="dxa"/>
            <w:tcBorders>
              <w:top w:val="nil"/>
              <w:left w:val="nil"/>
              <w:bottom w:val="nil"/>
              <w:right w:val="nil"/>
            </w:tcBorders>
            <w:shd w:val="clear" w:color="auto" w:fill="auto"/>
            <w:noWrap/>
            <w:vAlign w:val="center"/>
            <w:hideMark/>
          </w:tcPr>
          <w:p w14:paraId="08915ED7"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80,5</w:t>
            </w:r>
          </w:p>
        </w:tc>
        <w:tc>
          <w:tcPr>
            <w:tcW w:w="850" w:type="dxa"/>
            <w:tcBorders>
              <w:top w:val="nil"/>
              <w:left w:val="nil"/>
              <w:bottom w:val="nil"/>
              <w:right w:val="nil"/>
            </w:tcBorders>
            <w:shd w:val="clear" w:color="auto" w:fill="auto"/>
            <w:noWrap/>
            <w:vAlign w:val="center"/>
            <w:hideMark/>
          </w:tcPr>
          <w:p w14:paraId="4BF0067E"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77,8</w:t>
            </w:r>
          </w:p>
        </w:tc>
        <w:tc>
          <w:tcPr>
            <w:tcW w:w="1134" w:type="dxa"/>
            <w:tcBorders>
              <w:top w:val="nil"/>
              <w:left w:val="nil"/>
              <w:bottom w:val="nil"/>
              <w:right w:val="nil"/>
            </w:tcBorders>
            <w:shd w:val="clear" w:color="auto" w:fill="auto"/>
            <w:noWrap/>
            <w:vAlign w:val="center"/>
            <w:hideMark/>
          </w:tcPr>
          <w:p w14:paraId="5235E5F1"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74,6</w:t>
            </w:r>
          </w:p>
        </w:tc>
      </w:tr>
      <w:tr w:rsidR="00D572CA" w:rsidRPr="0006254B" w14:paraId="2BF8DA16" w14:textId="77777777" w:rsidTr="00683A61">
        <w:trPr>
          <w:trHeight w:val="276"/>
        </w:trPr>
        <w:tc>
          <w:tcPr>
            <w:tcW w:w="1894" w:type="dxa"/>
            <w:tcBorders>
              <w:top w:val="nil"/>
              <w:left w:val="nil"/>
              <w:bottom w:val="nil"/>
              <w:right w:val="nil"/>
            </w:tcBorders>
            <w:shd w:val="clear" w:color="auto" w:fill="auto"/>
            <w:noWrap/>
            <w:vAlign w:val="center"/>
            <w:hideMark/>
          </w:tcPr>
          <w:p w14:paraId="714A9D80" w14:textId="77777777" w:rsidR="00D572CA" w:rsidRPr="0006254B" w:rsidRDefault="00D572CA" w:rsidP="00A77F29">
            <w:pPr>
              <w:spacing w:after="0" w:line="240" w:lineRule="auto"/>
              <w:jc w:val="left"/>
              <w:rPr>
                <w:sz w:val="20"/>
                <w:szCs w:val="20"/>
                <w:lang w:eastAsia="sk-SK"/>
              </w:rPr>
            </w:pPr>
            <w:r w:rsidRPr="0006254B">
              <w:rPr>
                <w:sz w:val="20"/>
                <w:szCs w:val="20"/>
                <w:lang w:eastAsia="sk-SK"/>
              </w:rPr>
              <w:t>Taliansko</w:t>
            </w:r>
          </w:p>
        </w:tc>
        <w:tc>
          <w:tcPr>
            <w:tcW w:w="976" w:type="dxa"/>
            <w:tcBorders>
              <w:top w:val="nil"/>
              <w:left w:val="nil"/>
              <w:bottom w:val="nil"/>
              <w:right w:val="nil"/>
            </w:tcBorders>
            <w:shd w:val="clear" w:color="auto" w:fill="auto"/>
            <w:noWrap/>
            <w:vAlign w:val="center"/>
            <w:hideMark/>
          </w:tcPr>
          <w:p w14:paraId="568919BB"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-2,5</w:t>
            </w:r>
          </w:p>
        </w:tc>
        <w:tc>
          <w:tcPr>
            <w:tcW w:w="976" w:type="dxa"/>
            <w:tcBorders>
              <w:top w:val="nil"/>
              <w:left w:val="nil"/>
              <w:bottom w:val="nil"/>
              <w:right w:val="nil"/>
            </w:tcBorders>
            <w:shd w:val="clear" w:color="auto" w:fill="auto"/>
            <w:noWrap/>
            <w:vAlign w:val="center"/>
            <w:hideMark/>
          </w:tcPr>
          <w:p w14:paraId="64ACF9DE"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-2,4</w:t>
            </w:r>
          </w:p>
        </w:tc>
        <w:tc>
          <w:tcPr>
            <w:tcW w:w="1091" w:type="dxa"/>
            <w:tcBorders>
              <w:top w:val="nil"/>
              <w:left w:val="nil"/>
              <w:bottom w:val="nil"/>
              <w:right w:val="nil"/>
            </w:tcBorders>
            <w:shd w:val="clear" w:color="auto" w:fill="auto"/>
            <w:noWrap/>
            <w:vAlign w:val="center"/>
            <w:hideMark/>
          </w:tcPr>
          <w:p w14:paraId="5AFA98CE"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-2,1</w:t>
            </w:r>
          </w:p>
        </w:tc>
        <w:tc>
          <w:tcPr>
            <w:tcW w:w="190" w:type="dxa"/>
            <w:tcBorders>
              <w:top w:val="nil"/>
              <w:left w:val="nil"/>
              <w:bottom w:val="nil"/>
              <w:right w:val="nil"/>
            </w:tcBorders>
            <w:shd w:val="clear" w:color="auto" w:fill="auto"/>
            <w:noWrap/>
            <w:vAlign w:val="center"/>
            <w:hideMark/>
          </w:tcPr>
          <w:p w14:paraId="5AC50AE6" w14:textId="77777777" w:rsidR="00D572CA" w:rsidRPr="0006254B" w:rsidRDefault="00D572CA" w:rsidP="00A77F29">
            <w:pPr>
              <w:spacing w:after="0" w:line="240" w:lineRule="auto"/>
              <w:jc w:val="center"/>
              <w:rPr>
                <w:color w:val="000000"/>
                <w:sz w:val="20"/>
                <w:szCs w:val="20"/>
                <w:lang w:eastAsia="sk-SK"/>
              </w:rPr>
            </w:pPr>
          </w:p>
        </w:tc>
        <w:tc>
          <w:tcPr>
            <w:tcW w:w="1536" w:type="dxa"/>
            <w:tcBorders>
              <w:top w:val="nil"/>
              <w:left w:val="nil"/>
              <w:bottom w:val="nil"/>
              <w:right w:val="nil"/>
            </w:tcBorders>
            <w:shd w:val="clear" w:color="auto" w:fill="auto"/>
            <w:noWrap/>
            <w:vAlign w:val="center"/>
            <w:hideMark/>
          </w:tcPr>
          <w:p w14:paraId="54400141"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131,4</w:t>
            </w:r>
          </w:p>
        </w:tc>
        <w:tc>
          <w:tcPr>
            <w:tcW w:w="850" w:type="dxa"/>
            <w:tcBorders>
              <w:top w:val="nil"/>
              <w:left w:val="nil"/>
              <w:bottom w:val="nil"/>
              <w:right w:val="nil"/>
            </w:tcBorders>
            <w:shd w:val="clear" w:color="auto" w:fill="auto"/>
            <w:noWrap/>
            <w:vAlign w:val="center"/>
            <w:hideMark/>
          </w:tcPr>
          <w:p w14:paraId="367D0370"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131,4</w:t>
            </w:r>
          </w:p>
        </w:tc>
        <w:tc>
          <w:tcPr>
            <w:tcW w:w="1134" w:type="dxa"/>
            <w:tcBorders>
              <w:top w:val="nil"/>
              <w:left w:val="nil"/>
              <w:bottom w:val="nil"/>
              <w:right w:val="nil"/>
            </w:tcBorders>
            <w:shd w:val="clear" w:color="auto" w:fill="auto"/>
            <w:noWrap/>
            <w:vAlign w:val="center"/>
            <w:hideMark/>
          </w:tcPr>
          <w:p w14:paraId="74F9BDF2"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132,2</w:t>
            </w:r>
          </w:p>
        </w:tc>
      </w:tr>
      <w:tr w:rsidR="00D572CA" w:rsidRPr="0006254B" w14:paraId="2C88D13D" w14:textId="77777777" w:rsidTr="00683A61">
        <w:trPr>
          <w:trHeight w:val="276"/>
        </w:trPr>
        <w:tc>
          <w:tcPr>
            <w:tcW w:w="1894" w:type="dxa"/>
            <w:tcBorders>
              <w:top w:val="nil"/>
              <w:left w:val="nil"/>
              <w:bottom w:val="nil"/>
              <w:right w:val="nil"/>
            </w:tcBorders>
            <w:shd w:val="clear" w:color="auto" w:fill="auto"/>
            <w:noWrap/>
            <w:vAlign w:val="center"/>
            <w:hideMark/>
          </w:tcPr>
          <w:p w14:paraId="04D34A7F" w14:textId="77777777" w:rsidR="00D572CA" w:rsidRPr="0006254B" w:rsidRDefault="00D572CA" w:rsidP="00A77F29">
            <w:pPr>
              <w:spacing w:after="0" w:line="240" w:lineRule="auto"/>
              <w:jc w:val="left"/>
              <w:rPr>
                <w:sz w:val="20"/>
                <w:szCs w:val="20"/>
                <w:lang w:eastAsia="sk-SK"/>
              </w:rPr>
            </w:pPr>
            <w:r w:rsidRPr="0006254B">
              <w:rPr>
                <w:sz w:val="20"/>
                <w:szCs w:val="20"/>
                <w:lang w:eastAsia="sk-SK"/>
              </w:rPr>
              <w:t>Cyprus</w:t>
            </w:r>
          </w:p>
        </w:tc>
        <w:tc>
          <w:tcPr>
            <w:tcW w:w="976" w:type="dxa"/>
            <w:tcBorders>
              <w:top w:val="nil"/>
              <w:left w:val="nil"/>
              <w:bottom w:val="nil"/>
              <w:right w:val="nil"/>
            </w:tcBorders>
            <w:shd w:val="clear" w:color="auto" w:fill="auto"/>
            <w:noWrap/>
            <w:vAlign w:val="center"/>
            <w:hideMark/>
          </w:tcPr>
          <w:p w14:paraId="38DDAF12"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0,3</w:t>
            </w:r>
          </w:p>
        </w:tc>
        <w:tc>
          <w:tcPr>
            <w:tcW w:w="976" w:type="dxa"/>
            <w:tcBorders>
              <w:top w:val="nil"/>
              <w:left w:val="nil"/>
              <w:bottom w:val="nil"/>
              <w:right w:val="nil"/>
            </w:tcBorders>
            <w:shd w:val="clear" w:color="auto" w:fill="auto"/>
            <w:noWrap/>
            <w:vAlign w:val="center"/>
            <w:hideMark/>
          </w:tcPr>
          <w:p w14:paraId="2B922393"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1,8</w:t>
            </w:r>
          </w:p>
        </w:tc>
        <w:tc>
          <w:tcPr>
            <w:tcW w:w="1091" w:type="dxa"/>
            <w:tcBorders>
              <w:top w:val="nil"/>
              <w:left w:val="nil"/>
              <w:bottom w:val="nil"/>
              <w:right w:val="nil"/>
            </w:tcBorders>
            <w:shd w:val="clear" w:color="auto" w:fill="auto"/>
            <w:noWrap/>
            <w:vAlign w:val="center"/>
            <w:hideMark/>
          </w:tcPr>
          <w:p w14:paraId="206B96AC"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-4,8</w:t>
            </w:r>
          </w:p>
        </w:tc>
        <w:tc>
          <w:tcPr>
            <w:tcW w:w="190" w:type="dxa"/>
            <w:tcBorders>
              <w:top w:val="nil"/>
              <w:left w:val="nil"/>
              <w:bottom w:val="nil"/>
              <w:right w:val="nil"/>
            </w:tcBorders>
            <w:shd w:val="clear" w:color="auto" w:fill="auto"/>
            <w:noWrap/>
            <w:vAlign w:val="center"/>
            <w:hideMark/>
          </w:tcPr>
          <w:p w14:paraId="5A7FF6E9" w14:textId="77777777" w:rsidR="00D572CA" w:rsidRPr="0006254B" w:rsidRDefault="00D572CA" w:rsidP="00A77F29">
            <w:pPr>
              <w:spacing w:after="0" w:line="240" w:lineRule="auto"/>
              <w:jc w:val="center"/>
              <w:rPr>
                <w:color w:val="000000"/>
                <w:sz w:val="20"/>
                <w:szCs w:val="20"/>
                <w:lang w:eastAsia="sk-SK"/>
              </w:rPr>
            </w:pPr>
          </w:p>
        </w:tc>
        <w:tc>
          <w:tcPr>
            <w:tcW w:w="1536" w:type="dxa"/>
            <w:tcBorders>
              <w:top w:val="nil"/>
              <w:left w:val="nil"/>
              <w:bottom w:val="nil"/>
              <w:right w:val="nil"/>
            </w:tcBorders>
            <w:shd w:val="clear" w:color="auto" w:fill="auto"/>
            <w:noWrap/>
            <w:vAlign w:val="center"/>
            <w:hideMark/>
          </w:tcPr>
          <w:p w14:paraId="7A302BD9"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105,5</w:t>
            </w:r>
          </w:p>
        </w:tc>
        <w:tc>
          <w:tcPr>
            <w:tcW w:w="850" w:type="dxa"/>
            <w:tcBorders>
              <w:top w:val="nil"/>
              <w:left w:val="nil"/>
              <w:bottom w:val="nil"/>
              <w:right w:val="nil"/>
            </w:tcBorders>
            <w:shd w:val="clear" w:color="auto" w:fill="auto"/>
            <w:noWrap/>
            <w:vAlign w:val="center"/>
            <w:hideMark/>
          </w:tcPr>
          <w:p w14:paraId="250F108E"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95,8</w:t>
            </w:r>
          </w:p>
        </w:tc>
        <w:tc>
          <w:tcPr>
            <w:tcW w:w="1134" w:type="dxa"/>
            <w:tcBorders>
              <w:top w:val="nil"/>
              <w:left w:val="nil"/>
              <w:bottom w:val="nil"/>
              <w:right w:val="nil"/>
            </w:tcBorders>
            <w:shd w:val="clear" w:color="auto" w:fill="auto"/>
            <w:noWrap/>
            <w:vAlign w:val="center"/>
            <w:hideMark/>
          </w:tcPr>
          <w:p w14:paraId="4DFAE0A4"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102,5</w:t>
            </w:r>
          </w:p>
        </w:tc>
      </w:tr>
      <w:tr w:rsidR="00D572CA" w:rsidRPr="0006254B" w14:paraId="0284E62C" w14:textId="77777777" w:rsidTr="00683A61">
        <w:trPr>
          <w:trHeight w:val="276"/>
        </w:trPr>
        <w:tc>
          <w:tcPr>
            <w:tcW w:w="1894" w:type="dxa"/>
            <w:tcBorders>
              <w:top w:val="nil"/>
              <w:left w:val="nil"/>
              <w:bottom w:val="nil"/>
              <w:right w:val="nil"/>
            </w:tcBorders>
            <w:shd w:val="clear" w:color="auto" w:fill="auto"/>
            <w:noWrap/>
            <w:vAlign w:val="center"/>
            <w:hideMark/>
          </w:tcPr>
          <w:p w14:paraId="17CFECF3" w14:textId="77777777" w:rsidR="00D572CA" w:rsidRPr="0006254B" w:rsidRDefault="00D572CA" w:rsidP="00A77F29">
            <w:pPr>
              <w:spacing w:after="0" w:line="240" w:lineRule="auto"/>
              <w:jc w:val="left"/>
              <w:rPr>
                <w:sz w:val="20"/>
                <w:szCs w:val="20"/>
                <w:lang w:eastAsia="sk-SK"/>
              </w:rPr>
            </w:pPr>
            <w:r w:rsidRPr="0006254B">
              <w:rPr>
                <w:sz w:val="20"/>
                <w:szCs w:val="20"/>
                <w:lang w:eastAsia="sk-SK"/>
              </w:rPr>
              <w:t>Lotyšsko</w:t>
            </w:r>
          </w:p>
        </w:tc>
        <w:tc>
          <w:tcPr>
            <w:tcW w:w="976" w:type="dxa"/>
            <w:tcBorders>
              <w:top w:val="nil"/>
              <w:left w:val="nil"/>
              <w:bottom w:val="nil"/>
              <w:right w:val="nil"/>
            </w:tcBorders>
            <w:shd w:val="clear" w:color="auto" w:fill="auto"/>
            <w:noWrap/>
            <w:vAlign w:val="center"/>
            <w:hideMark/>
          </w:tcPr>
          <w:p w14:paraId="1EC1ED50"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0,1</w:t>
            </w:r>
          </w:p>
        </w:tc>
        <w:tc>
          <w:tcPr>
            <w:tcW w:w="976" w:type="dxa"/>
            <w:tcBorders>
              <w:top w:val="nil"/>
              <w:left w:val="nil"/>
              <w:bottom w:val="nil"/>
              <w:right w:val="nil"/>
            </w:tcBorders>
            <w:shd w:val="clear" w:color="auto" w:fill="auto"/>
            <w:noWrap/>
            <w:vAlign w:val="center"/>
            <w:hideMark/>
          </w:tcPr>
          <w:p w14:paraId="10B9D109"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-0,6</w:t>
            </w:r>
          </w:p>
        </w:tc>
        <w:tc>
          <w:tcPr>
            <w:tcW w:w="1091" w:type="dxa"/>
            <w:tcBorders>
              <w:top w:val="nil"/>
              <w:left w:val="nil"/>
              <w:bottom w:val="nil"/>
              <w:right w:val="nil"/>
            </w:tcBorders>
            <w:shd w:val="clear" w:color="auto" w:fill="auto"/>
            <w:noWrap/>
            <w:vAlign w:val="center"/>
            <w:hideMark/>
          </w:tcPr>
          <w:p w14:paraId="4394F7DF"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-1,0</w:t>
            </w:r>
          </w:p>
        </w:tc>
        <w:tc>
          <w:tcPr>
            <w:tcW w:w="190" w:type="dxa"/>
            <w:tcBorders>
              <w:top w:val="nil"/>
              <w:left w:val="nil"/>
              <w:bottom w:val="nil"/>
              <w:right w:val="nil"/>
            </w:tcBorders>
            <w:shd w:val="clear" w:color="auto" w:fill="auto"/>
            <w:noWrap/>
            <w:vAlign w:val="center"/>
            <w:hideMark/>
          </w:tcPr>
          <w:p w14:paraId="44F6094B" w14:textId="77777777" w:rsidR="00D572CA" w:rsidRPr="0006254B" w:rsidRDefault="00D572CA" w:rsidP="00A77F29">
            <w:pPr>
              <w:spacing w:after="0" w:line="240" w:lineRule="auto"/>
              <w:jc w:val="center"/>
              <w:rPr>
                <w:color w:val="000000"/>
                <w:sz w:val="20"/>
                <w:szCs w:val="20"/>
                <w:lang w:eastAsia="sk-SK"/>
              </w:rPr>
            </w:pPr>
          </w:p>
        </w:tc>
        <w:tc>
          <w:tcPr>
            <w:tcW w:w="1536" w:type="dxa"/>
            <w:tcBorders>
              <w:top w:val="nil"/>
              <w:left w:val="nil"/>
              <w:bottom w:val="nil"/>
              <w:right w:val="nil"/>
            </w:tcBorders>
            <w:shd w:val="clear" w:color="auto" w:fill="auto"/>
            <w:noWrap/>
            <w:vAlign w:val="center"/>
            <w:hideMark/>
          </w:tcPr>
          <w:p w14:paraId="2DCF4F93"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40,3</w:t>
            </w:r>
          </w:p>
        </w:tc>
        <w:tc>
          <w:tcPr>
            <w:tcW w:w="850" w:type="dxa"/>
            <w:tcBorders>
              <w:top w:val="nil"/>
              <w:left w:val="nil"/>
              <w:bottom w:val="nil"/>
              <w:right w:val="nil"/>
            </w:tcBorders>
            <w:shd w:val="clear" w:color="auto" w:fill="auto"/>
            <w:noWrap/>
            <w:vAlign w:val="center"/>
            <w:hideMark/>
          </w:tcPr>
          <w:p w14:paraId="052C7F44"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40,0</w:t>
            </w:r>
          </w:p>
        </w:tc>
        <w:tc>
          <w:tcPr>
            <w:tcW w:w="1134" w:type="dxa"/>
            <w:tcBorders>
              <w:top w:val="nil"/>
              <w:left w:val="nil"/>
              <w:bottom w:val="nil"/>
              <w:right w:val="nil"/>
            </w:tcBorders>
            <w:shd w:val="clear" w:color="auto" w:fill="auto"/>
            <w:noWrap/>
            <w:vAlign w:val="center"/>
            <w:hideMark/>
          </w:tcPr>
          <w:p w14:paraId="171B0469"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35,9</w:t>
            </w:r>
          </w:p>
        </w:tc>
      </w:tr>
      <w:tr w:rsidR="00D572CA" w:rsidRPr="0006254B" w14:paraId="0BF1FFBF" w14:textId="77777777" w:rsidTr="00683A61">
        <w:trPr>
          <w:trHeight w:val="276"/>
        </w:trPr>
        <w:tc>
          <w:tcPr>
            <w:tcW w:w="1894" w:type="dxa"/>
            <w:tcBorders>
              <w:top w:val="nil"/>
              <w:left w:val="nil"/>
              <w:bottom w:val="nil"/>
              <w:right w:val="nil"/>
            </w:tcBorders>
            <w:shd w:val="clear" w:color="auto" w:fill="auto"/>
            <w:noWrap/>
            <w:vAlign w:val="center"/>
            <w:hideMark/>
          </w:tcPr>
          <w:p w14:paraId="3F7ED809" w14:textId="77777777" w:rsidR="00D572CA" w:rsidRPr="0006254B" w:rsidRDefault="00D572CA" w:rsidP="00A77F29">
            <w:pPr>
              <w:spacing w:after="0" w:line="240" w:lineRule="auto"/>
              <w:jc w:val="left"/>
              <w:rPr>
                <w:sz w:val="20"/>
                <w:szCs w:val="20"/>
                <w:lang w:eastAsia="sk-SK"/>
              </w:rPr>
            </w:pPr>
            <w:r w:rsidRPr="0006254B">
              <w:rPr>
                <w:sz w:val="20"/>
                <w:szCs w:val="20"/>
                <w:lang w:eastAsia="sk-SK"/>
              </w:rPr>
              <w:t>Litva</w:t>
            </w:r>
          </w:p>
        </w:tc>
        <w:tc>
          <w:tcPr>
            <w:tcW w:w="976" w:type="dxa"/>
            <w:tcBorders>
              <w:top w:val="nil"/>
              <w:left w:val="nil"/>
              <w:bottom w:val="nil"/>
              <w:right w:val="nil"/>
            </w:tcBorders>
            <w:shd w:val="clear" w:color="auto" w:fill="auto"/>
            <w:noWrap/>
            <w:vAlign w:val="center"/>
            <w:hideMark/>
          </w:tcPr>
          <w:p w14:paraId="0032B801"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0,2</w:t>
            </w:r>
          </w:p>
        </w:tc>
        <w:tc>
          <w:tcPr>
            <w:tcW w:w="976" w:type="dxa"/>
            <w:tcBorders>
              <w:top w:val="nil"/>
              <w:left w:val="nil"/>
              <w:bottom w:val="nil"/>
              <w:right w:val="nil"/>
            </w:tcBorders>
            <w:shd w:val="clear" w:color="auto" w:fill="auto"/>
            <w:noWrap/>
            <w:vAlign w:val="center"/>
            <w:hideMark/>
          </w:tcPr>
          <w:p w14:paraId="34C9A39B"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0,5</w:t>
            </w:r>
          </w:p>
        </w:tc>
        <w:tc>
          <w:tcPr>
            <w:tcW w:w="1091" w:type="dxa"/>
            <w:tcBorders>
              <w:top w:val="nil"/>
              <w:left w:val="nil"/>
              <w:bottom w:val="nil"/>
              <w:right w:val="nil"/>
            </w:tcBorders>
            <w:shd w:val="clear" w:color="auto" w:fill="auto"/>
            <w:noWrap/>
            <w:vAlign w:val="center"/>
            <w:hideMark/>
          </w:tcPr>
          <w:p w14:paraId="36962F5A"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0,7</w:t>
            </w:r>
          </w:p>
        </w:tc>
        <w:tc>
          <w:tcPr>
            <w:tcW w:w="190" w:type="dxa"/>
            <w:tcBorders>
              <w:top w:val="nil"/>
              <w:left w:val="nil"/>
              <w:bottom w:val="nil"/>
              <w:right w:val="nil"/>
            </w:tcBorders>
            <w:shd w:val="clear" w:color="auto" w:fill="auto"/>
            <w:noWrap/>
            <w:vAlign w:val="center"/>
            <w:hideMark/>
          </w:tcPr>
          <w:p w14:paraId="3AA360D8" w14:textId="77777777" w:rsidR="00D572CA" w:rsidRPr="0006254B" w:rsidRDefault="00D572CA" w:rsidP="00A77F29">
            <w:pPr>
              <w:spacing w:after="0" w:line="240" w:lineRule="auto"/>
              <w:jc w:val="center"/>
              <w:rPr>
                <w:color w:val="000000"/>
                <w:sz w:val="20"/>
                <w:szCs w:val="20"/>
                <w:lang w:eastAsia="sk-SK"/>
              </w:rPr>
            </w:pPr>
          </w:p>
        </w:tc>
        <w:tc>
          <w:tcPr>
            <w:tcW w:w="1536" w:type="dxa"/>
            <w:tcBorders>
              <w:top w:val="nil"/>
              <w:left w:val="nil"/>
              <w:bottom w:val="nil"/>
              <w:right w:val="nil"/>
            </w:tcBorders>
            <w:shd w:val="clear" w:color="auto" w:fill="auto"/>
            <w:noWrap/>
            <w:vAlign w:val="center"/>
            <w:hideMark/>
          </w:tcPr>
          <w:p w14:paraId="28C70D72"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40,0</w:t>
            </w:r>
          </w:p>
        </w:tc>
        <w:tc>
          <w:tcPr>
            <w:tcW w:w="850" w:type="dxa"/>
            <w:tcBorders>
              <w:top w:val="nil"/>
              <w:left w:val="nil"/>
              <w:bottom w:val="nil"/>
              <w:right w:val="nil"/>
            </w:tcBorders>
            <w:shd w:val="clear" w:color="auto" w:fill="auto"/>
            <w:noWrap/>
            <w:vAlign w:val="center"/>
            <w:hideMark/>
          </w:tcPr>
          <w:p w14:paraId="775B931F"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39,4</w:t>
            </w:r>
          </w:p>
        </w:tc>
        <w:tc>
          <w:tcPr>
            <w:tcW w:w="1134" w:type="dxa"/>
            <w:tcBorders>
              <w:top w:val="nil"/>
              <w:left w:val="nil"/>
              <w:bottom w:val="nil"/>
              <w:right w:val="nil"/>
            </w:tcBorders>
            <w:shd w:val="clear" w:color="auto" w:fill="auto"/>
            <w:noWrap/>
            <w:vAlign w:val="center"/>
            <w:hideMark/>
          </w:tcPr>
          <w:p w14:paraId="0F27FBC2"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34,2</w:t>
            </w:r>
          </w:p>
        </w:tc>
      </w:tr>
      <w:tr w:rsidR="00D572CA" w:rsidRPr="0006254B" w14:paraId="706B74AE" w14:textId="77777777" w:rsidTr="00683A61">
        <w:trPr>
          <w:trHeight w:val="276"/>
        </w:trPr>
        <w:tc>
          <w:tcPr>
            <w:tcW w:w="1894" w:type="dxa"/>
            <w:tcBorders>
              <w:top w:val="nil"/>
              <w:left w:val="nil"/>
              <w:bottom w:val="nil"/>
              <w:right w:val="nil"/>
            </w:tcBorders>
            <w:shd w:val="clear" w:color="auto" w:fill="auto"/>
            <w:noWrap/>
            <w:vAlign w:val="center"/>
            <w:hideMark/>
          </w:tcPr>
          <w:p w14:paraId="5DECF3B0" w14:textId="77777777" w:rsidR="00D572CA" w:rsidRPr="0006254B" w:rsidRDefault="00D572CA" w:rsidP="00A77F29">
            <w:pPr>
              <w:spacing w:after="0" w:line="240" w:lineRule="auto"/>
              <w:jc w:val="left"/>
              <w:rPr>
                <w:sz w:val="20"/>
                <w:szCs w:val="20"/>
                <w:lang w:eastAsia="sk-SK"/>
              </w:rPr>
            </w:pPr>
            <w:r w:rsidRPr="0006254B">
              <w:rPr>
                <w:sz w:val="20"/>
                <w:szCs w:val="20"/>
                <w:lang w:eastAsia="sk-SK"/>
              </w:rPr>
              <w:t>Luxembursko</w:t>
            </w:r>
          </w:p>
        </w:tc>
        <w:tc>
          <w:tcPr>
            <w:tcW w:w="976" w:type="dxa"/>
            <w:tcBorders>
              <w:top w:val="nil"/>
              <w:left w:val="nil"/>
              <w:bottom w:val="nil"/>
              <w:right w:val="nil"/>
            </w:tcBorders>
            <w:shd w:val="clear" w:color="auto" w:fill="auto"/>
            <w:noWrap/>
            <w:vAlign w:val="center"/>
            <w:hideMark/>
          </w:tcPr>
          <w:p w14:paraId="664D94B5"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1,9</w:t>
            </w:r>
          </w:p>
        </w:tc>
        <w:tc>
          <w:tcPr>
            <w:tcW w:w="976" w:type="dxa"/>
            <w:tcBorders>
              <w:top w:val="nil"/>
              <w:left w:val="nil"/>
              <w:bottom w:val="nil"/>
              <w:right w:val="nil"/>
            </w:tcBorders>
            <w:shd w:val="clear" w:color="auto" w:fill="auto"/>
            <w:noWrap/>
            <w:vAlign w:val="center"/>
            <w:hideMark/>
          </w:tcPr>
          <w:p w14:paraId="494EC190"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1,4</w:t>
            </w:r>
          </w:p>
        </w:tc>
        <w:tc>
          <w:tcPr>
            <w:tcW w:w="1091" w:type="dxa"/>
            <w:tcBorders>
              <w:top w:val="nil"/>
              <w:left w:val="nil"/>
              <w:bottom w:val="nil"/>
              <w:right w:val="nil"/>
            </w:tcBorders>
            <w:shd w:val="clear" w:color="auto" w:fill="auto"/>
            <w:noWrap/>
            <w:vAlign w:val="center"/>
            <w:hideMark/>
          </w:tcPr>
          <w:p w14:paraId="6D649B09"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2,4</w:t>
            </w:r>
          </w:p>
        </w:tc>
        <w:tc>
          <w:tcPr>
            <w:tcW w:w="190" w:type="dxa"/>
            <w:tcBorders>
              <w:top w:val="nil"/>
              <w:left w:val="nil"/>
              <w:bottom w:val="nil"/>
              <w:right w:val="nil"/>
            </w:tcBorders>
            <w:shd w:val="clear" w:color="auto" w:fill="auto"/>
            <w:noWrap/>
            <w:vAlign w:val="center"/>
            <w:hideMark/>
          </w:tcPr>
          <w:p w14:paraId="479C8D6C" w14:textId="77777777" w:rsidR="00D572CA" w:rsidRPr="0006254B" w:rsidRDefault="00D572CA" w:rsidP="00A77F29">
            <w:pPr>
              <w:spacing w:after="0" w:line="240" w:lineRule="auto"/>
              <w:jc w:val="center"/>
              <w:rPr>
                <w:color w:val="000000"/>
                <w:sz w:val="20"/>
                <w:szCs w:val="20"/>
                <w:lang w:eastAsia="sk-SK"/>
              </w:rPr>
            </w:pPr>
          </w:p>
        </w:tc>
        <w:tc>
          <w:tcPr>
            <w:tcW w:w="1536" w:type="dxa"/>
            <w:tcBorders>
              <w:top w:val="nil"/>
              <w:left w:val="nil"/>
              <w:bottom w:val="nil"/>
              <w:right w:val="nil"/>
            </w:tcBorders>
            <w:shd w:val="clear" w:color="auto" w:fill="auto"/>
            <w:noWrap/>
            <w:vAlign w:val="center"/>
            <w:hideMark/>
          </w:tcPr>
          <w:p w14:paraId="5BEA4A77"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20,7</w:t>
            </w:r>
          </w:p>
        </w:tc>
        <w:tc>
          <w:tcPr>
            <w:tcW w:w="850" w:type="dxa"/>
            <w:tcBorders>
              <w:top w:val="nil"/>
              <w:left w:val="nil"/>
              <w:bottom w:val="nil"/>
              <w:right w:val="nil"/>
            </w:tcBorders>
            <w:shd w:val="clear" w:color="auto" w:fill="auto"/>
            <w:noWrap/>
            <w:vAlign w:val="center"/>
            <w:hideMark/>
          </w:tcPr>
          <w:p w14:paraId="46379617"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23,0</w:t>
            </w:r>
          </w:p>
        </w:tc>
        <w:tc>
          <w:tcPr>
            <w:tcW w:w="1134" w:type="dxa"/>
            <w:tcBorders>
              <w:top w:val="nil"/>
              <w:left w:val="nil"/>
              <w:bottom w:val="nil"/>
              <w:right w:val="nil"/>
            </w:tcBorders>
            <w:shd w:val="clear" w:color="auto" w:fill="auto"/>
            <w:noWrap/>
            <w:vAlign w:val="center"/>
            <w:hideMark/>
          </w:tcPr>
          <w:p w14:paraId="5D85C88B"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21,4</w:t>
            </w:r>
          </w:p>
        </w:tc>
      </w:tr>
      <w:tr w:rsidR="00D572CA" w:rsidRPr="0006254B" w14:paraId="6FCC75DF" w14:textId="77777777" w:rsidTr="00683A61">
        <w:trPr>
          <w:trHeight w:val="276"/>
        </w:trPr>
        <w:tc>
          <w:tcPr>
            <w:tcW w:w="1894" w:type="dxa"/>
            <w:tcBorders>
              <w:top w:val="nil"/>
              <w:left w:val="nil"/>
              <w:bottom w:val="nil"/>
              <w:right w:val="nil"/>
            </w:tcBorders>
            <w:shd w:val="clear" w:color="auto" w:fill="auto"/>
            <w:noWrap/>
            <w:vAlign w:val="center"/>
            <w:hideMark/>
          </w:tcPr>
          <w:p w14:paraId="65681E89" w14:textId="77777777" w:rsidR="00D572CA" w:rsidRPr="0006254B" w:rsidRDefault="00D572CA" w:rsidP="00A77F29">
            <w:pPr>
              <w:spacing w:after="0" w:line="240" w:lineRule="auto"/>
              <w:jc w:val="left"/>
              <w:rPr>
                <w:sz w:val="20"/>
                <w:szCs w:val="20"/>
                <w:lang w:eastAsia="sk-SK"/>
              </w:rPr>
            </w:pPr>
            <w:r w:rsidRPr="0006254B">
              <w:rPr>
                <w:sz w:val="20"/>
                <w:szCs w:val="20"/>
                <w:lang w:eastAsia="sk-SK"/>
              </w:rPr>
              <w:t>Maďarsko</w:t>
            </w:r>
          </w:p>
        </w:tc>
        <w:tc>
          <w:tcPr>
            <w:tcW w:w="976" w:type="dxa"/>
            <w:tcBorders>
              <w:top w:val="nil"/>
              <w:left w:val="nil"/>
              <w:bottom w:val="nil"/>
              <w:right w:val="nil"/>
            </w:tcBorders>
            <w:shd w:val="clear" w:color="auto" w:fill="auto"/>
            <w:noWrap/>
            <w:vAlign w:val="center"/>
            <w:hideMark/>
          </w:tcPr>
          <w:p w14:paraId="66685A30"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-1,6</w:t>
            </w:r>
          </w:p>
        </w:tc>
        <w:tc>
          <w:tcPr>
            <w:tcW w:w="976" w:type="dxa"/>
            <w:tcBorders>
              <w:top w:val="nil"/>
              <w:left w:val="nil"/>
              <w:bottom w:val="nil"/>
              <w:right w:val="nil"/>
            </w:tcBorders>
            <w:shd w:val="clear" w:color="auto" w:fill="auto"/>
            <w:noWrap/>
            <w:vAlign w:val="center"/>
            <w:hideMark/>
          </w:tcPr>
          <w:p w14:paraId="4C58DD45"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-2,2</w:t>
            </w:r>
          </w:p>
        </w:tc>
        <w:tc>
          <w:tcPr>
            <w:tcW w:w="1091" w:type="dxa"/>
            <w:tcBorders>
              <w:top w:val="nil"/>
              <w:left w:val="nil"/>
              <w:bottom w:val="nil"/>
              <w:right w:val="nil"/>
            </w:tcBorders>
            <w:shd w:val="clear" w:color="auto" w:fill="auto"/>
            <w:noWrap/>
            <w:vAlign w:val="center"/>
            <w:hideMark/>
          </w:tcPr>
          <w:p w14:paraId="082D873F"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-2,2</w:t>
            </w:r>
          </w:p>
        </w:tc>
        <w:tc>
          <w:tcPr>
            <w:tcW w:w="190" w:type="dxa"/>
            <w:tcBorders>
              <w:top w:val="nil"/>
              <w:left w:val="nil"/>
              <w:bottom w:val="nil"/>
              <w:right w:val="nil"/>
            </w:tcBorders>
            <w:shd w:val="clear" w:color="auto" w:fill="auto"/>
            <w:noWrap/>
            <w:vAlign w:val="center"/>
            <w:hideMark/>
          </w:tcPr>
          <w:p w14:paraId="55AA33EF" w14:textId="77777777" w:rsidR="00D572CA" w:rsidRPr="0006254B" w:rsidRDefault="00D572CA" w:rsidP="00A77F29">
            <w:pPr>
              <w:spacing w:after="0" w:line="240" w:lineRule="auto"/>
              <w:jc w:val="center"/>
              <w:rPr>
                <w:color w:val="000000"/>
                <w:sz w:val="20"/>
                <w:szCs w:val="20"/>
                <w:lang w:eastAsia="sk-SK"/>
              </w:rPr>
            </w:pPr>
          </w:p>
        </w:tc>
        <w:tc>
          <w:tcPr>
            <w:tcW w:w="1536" w:type="dxa"/>
            <w:tcBorders>
              <w:top w:val="nil"/>
              <w:left w:val="nil"/>
              <w:bottom w:val="nil"/>
              <w:right w:val="nil"/>
            </w:tcBorders>
            <w:shd w:val="clear" w:color="auto" w:fill="auto"/>
            <w:noWrap/>
            <w:vAlign w:val="center"/>
            <w:hideMark/>
          </w:tcPr>
          <w:p w14:paraId="7D972C91"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76,0</w:t>
            </w:r>
          </w:p>
        </w:tc>
        <w:tc>
          <w:tcPr>
            <w:tcW w:w="850" w:type="dxa"/>
            <w:tcBorders>
              <w:top w:val="nil"/>
              <w:left w:val="nil"/>
              <w:bottom w:val="nil"/>
              <w:right w:val="nil"/>
            </w:tcBorders>
            <w:shd w:val="clear" w:color="auto" w:fill="auto"/>
            <w:noWrap/>
            <w:vAlign w:val="center"/>
            <w:hideMark/>
          </w:tcPr>
          <w:p w14:paraId="2B95A13A"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73,4</w:t>
            </w:r>
          </w:p>
        </w:tc>
        <w:tc>
          <w:tcPr>
            <w:tcW w:w="1134" w:type="dxa"/>
            <w:tcBorders>
              <w:top w:val="nil"/>
              <w:left w:val="nil"/>
              <w:bottom w:val="nil"/>
              <w:right w:val="nil"/>
            </w:tcBorders>
            <w:shd w:val="clear" w:color="auto" w:fill="auto"/>
            <w:noWrap/>
            <w:vAlign w:val="center"/>
            <w:hideMark/>
          </w:tcPr>
          <w:p w14:paraId="2656ECF0"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70,8</w:t>
            </w:r>
          </w:p>
        </w:tc>
      </w:tr>
      <w:tr w:rsidR="00D572CA" w:rsidRPr="0006254B" w14:paraId="25A2D799" w14:textId="77777777" w:rsidTr="00683A61">
        <w:trPr>
          <w:trHeight w:val="276"/>
        </w:trPr>
        <w:tc>
          <w:tcPr>
            <w:tcW w:w="1894" w:type="dxa"/>
            <w:tcBorders>
              <w:top w:val="nil"/>
              <w:left w:val="nil"/>
              <w:bottom w:val="nil"/>
              <w:right w:val="nil"/>
            </w:tcBorders>
            <w:shd w:val="clear" w:color="auto" w:fill="auto"/>
            <w:noWrap/>
            <w:vAlign w:val="center"/>
            <w:hideMark/>
          </w:tcPr>
          <w:p w14:paraId="11D2DF2E" w14:textId="77777777" w:rsidR="00D572CA" w:rsidRPr="0006254B" w:rsidRDefault="00D572CA" w:rsidP="00A77F29">
            <w:pPr>
              <w:spacing w:after="0" w:line="240" w:lineRule="auto"/>
              <w:jc w:val="left"/>
              <w:rPr>
                <w:sz w:val="20"/>
                <w:szCs w:val="20"/>
                <w:lang w:eastAsia="sk-SK"/>
              </w:rPr>
            </w:pPr>
            <w:r w:rsidRPr="0006254B">
              <w:rPr>
                <w:sz w:val="20"/>
                <w:szCs w:val="20"/>
                <w:lang w:eastAsia="sk-SK"/>
              </w:rPr>
              <w:t>Malta</w:t>
            </w:r>
          </w:p>
        </w:tc>
        <w:tc>
          <w:tcPr>
            <w:tcW w:w="976" w:type="dxa"/>
            <w:tcBorders>
              <w:top w:val="nil"/>
              <w:left w:val="nil"/>
              <w:bottom w:val="nil"/>
              <w:right w:val="nil"/>
            </w:tcBorders>
            <w:shd w:val="clear" w:color="auto" w:fill="auto"/>
            <w:noWrap/>
            <w:vAlign w:val="center"/>
            <w:hideMark/>
          </w:tcPr>
          <w:p w14:paraId="61C8A23A"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0,9</w:t>
            </w:r>
          </w:p>
        </w:tc>
        <w:tc>
          <w:tcPr>
            <w:tcW w:w="976" w:type="dxa"/>
            <w:tcBorders>
              <w:top w:val="nil"/>
              <w:left w:val="nil"/>
              <w:bottom w:val="nil"/>
              <w:right w:val="nil"/>
            </w:tcBorders>
            <w:shd w:val="clear" w:color="auto" w:fill="auto"/>
            <w:noWrap/>
            <w:vAlign w:val="center"/>
            <w:hideMark/>
          </w:tcPr>
          <w:p w14:paraId="690485F3"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3,4</w:t>
            </w:r>
          </w:p>
        </w:tc>
        <w:tc>
          <w:tcPr>
            <w:tcW w:w="1091" w:type="dxa"/>
            <w:tcBorders>
              <w:top w:val="nil"/>
              <w:left w:val="nil"/>
              <w:bottom w:val="nil"/>
              <w:right w:val="nil"/>
            </w:tcBorders>
            <w:shd w:val="clear" w:color="auto" w:fill="auto"/>
            <w:noWrap/>
            <w:vAlign w:val="center"/>
            <w:hideMark/>
          </w:tcPr>
          <w:p w14:paraId="6D93B748"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2,0</w:t>
            </w:r>
          </w:p>
        </w:tc>
        <w:tc>
          <w:tcPr>
            <w:tcW w:w="190" w:type="dxa"/>
            <w:tcBorders>
              <w:top w:val="nil"/>
              <w:left w:val="nil"/>
              <w:bottom w:val="nil"/>
              <w:right w:val="nil"/>
            </w:tcBorders>
            <w:shd w:val="clear" w:color="auto" w:fill="auto"/>
            <w:noWrap/>
            <w:vAlign w:val="center"/>
            <w:hideMark/>
          </w:tcPr>
          <w:p w14:paraId="56EB3699" w14:textId="77777777" w:rsidR="00D572CA" w:rsidRPr="0006254B" w:rsidRDefault="00D572CA" w:rsidP="00A77F29">
            <w:pPr>
              <w:spacing w:after="0" w:line="240" w:lineRule="auto"/>
              <w:jc w:val="center"/>
              <w:rPr>
                <w:color w:val="000000"/>
                <w:sz w:val="20"/>
                <w:szCs w:val="20"/>
                <w:lang w:eastAsia="sk-SK"/>
              </w:rPr>
            </w:pPr>
          </w:p>
        </w:tc>
        <w:tc>
          <w:tcPr>
            <w:tcW w:w="1536" w:type="dxa"/>
            <w:tcBorders>
              <w:top w:val="nil"/>
              <w:left w:val="nil"/>
              <w:bottom w:val="nil"/>
              <w:right w:val="nil"/>
            </w:tcBorders>
            <w:shd w:val="clear" w:color="auto" w:fill="auto"/>
            <w:noWrap/>
            <w:vAlign w:val="center"/>
            <w:hideMark/>
          </w:tcPr>
          <w:p w14:paraId="189A65B9"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55,5</w:t>
            </w:r>
          </w:p>
        </w:tc>
        <w:tc>
          <w:tcPr>
            <w:tcW w:w="850" w:type="dxa"/>
            <w:tcBorders>
              <w:top w:val="nil"/>
              <w:left w:val="nil"/>
              <w:bottom w:val="nil"/>
              <w:right w:val="nil"/>
            </w:tcBorders>
            <w:shd w:val="clear" w:color="auto" w:fill="auto"/>
            <w:noWrap/>
            <w:vAlign w:val="center"/>
            <w:hideMark/>
          </w:tcPr>
          <w:p w14:paraId="763D3163"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50,2</w:t>
            </w:r>
          </w:p>
        </w:tc>
        <w:tc>
          <w:tcPr>
            <w:tcW w:w="1134" w:type="dxa"/>
            <w:tcBorders>
              <w:top w:val="nil"/>
              <w:left w:val="nil"/>
              <w:bottom w:val="nil"/>
              <w:right w:val="nil"/>
            </w:tcBorders>
            <w:shd w:val="clear" w:color="auto" w:fill="auto"/>
            <w:noWrap/>
            <w:vAlign w:val="center"/>
            <w:hideMark/>
          </w:tcPr>
          <w:p w14:paraId="249C923C"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46,0</w:t>
            </w:r>
          </w:p>
        </w:tc>
      </w:tr>
      <w:tr w:rsidR="00D572CA" w:rsidRPr="0006254B" w14:paraId="7A4E449E" w14:textId="77777777" w:rsidTr="00683A61">
        <w:trPr>
          <w:trHeight w:val="276"/>
        </w:trPr>
        <w:tc>
          <w:tcPr>
            <w:tcW w:w="1894" w:type="dxa"/>
            <w:tcBorders>
              <w:top w:val="nil"/>
              <w:left w:val="nil"/>
              <w:bottom w:val="nil"/>
              <w:right w:val="nil"/>
            </w:tcBorders>
            <w:shd w:val="clear" w:color="auto" w:fill="auto"/>
            <w:noWrap/>
            <w:vAlign w:val="center"/>
            <w:hideMark/>
          </w:tcPr>
          <w:p w14:paraId="7335CD37" w14:textId="77777777" w:rsidR="00D572CA" w:rsidRPr="0006254B" w:rsidRDefault="00D572CA" w:rsidP="00A77F29">
            <w:pPr>
              <w:spacing w:after="0" w:line="240" w:lineRule="auto"/>
              <w:jc w:val="left"/>
              <w:rPr>
                <w:sz w:val="20"/>
                <w:szCs w:val="20"/>
                <w:lang w:eastAsia="sk-SK"/>
              </w:rPr>
            </w:pPr>
            <w:r w:rsidRPr="0006254B">
              <w:rPr>
                <w:sz w:val="20"/>
                <w:szCs w:val="20"/>
                <w:lang w:eastAsia="sk-SK"/>
              </w:rPr>
              <w:t>Holandsko</w:t>
            </w:r>
          </w:p>
        </w:tc>
        <w:tc>
          <w:tcPr>
            <w:tcW w:w="976" w:type="dxa"/>
            <w:tcBorders>
              <w:top w:val="nil"/>
              <w:left w:val="nil"/>
              <w:bottom w:val="nil"/>
              <w:right w:val="nil"/>
            </w:tcBorders>
            <w:shd w:val="clear" w:color="auto" w:fill="auto"/>
            <w:noWrap/>
            <w:vAlign w:val="center"/>
            <w:hideMark/>
          </w:tcPr>
          <w:p w14:paraId="720E9F81"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0,0</w:t>
            </w:r>
          </w:p>
        </w:tc>
        <w:tc>
          <w:tcPr>
            <w:tcW w:w="976" w:type="dxa"/>
            <w:tcBorders>
              <w:top w:val="nil"/>
              <w:left w:val="nil"/>
              <w:bottom w:val="nil"/>
              <w:right w:val="nil"/>
            </w:tcBorders>
            <w:shd w:val="clear" w:color="auto" w:fill="auto"/>
            <w:noWrap/>
            <w:vAlign w:val="center"/>
            <w:hideMark/>
          </w:tcPr>
          <w:p w14:paraId="360A00B0"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1,2</w:t>
            </w:r>
          </w:p>
        </w:tc>
        <w:tc>
          <w:tcPr>
            <w:tcW w:w="1091" w:type="dxa"/>
            <w:tcBorders>
              <w:top w:val="nil"/>
              <w:left w:val="nil"/>
              <w:bottom w:val="nil"/>
              <w:right w:val="nil"/>
            </w:tcBorders>
            <w:shd w:val="clear" w:color="auto" w:fill="auto"/>
            <w:noWrap/>
            <w:vAlign w:val="center"/>
            <w:hideMark/>
          </w:tcPr>
          <w:p w14:paraId="38C93E46"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1,5</w:t>
            </w:r>
          </w:p>
        </w:tc>
        <w:tc>
          <w:tcPr>
            <w:tcW w:w="190" w:type="dxa"/>
            <w:tcBorders>
              <w:top w:val="nil"/>
              <w:left w:val="nil"/>
              <w:bottom w:val="nil"/>
              <w:right w:val="nil"/>
            </w:tcBorders>
            <w:shd w:val="clear" w:color="auto" w:fill="auto"/>
            <w:noWrap/>
            <w:vAlign w:val="center"/>
            <w:hideMark/>
          </w:tcPr>
          <w:p w14:paraId="1B66D135" w14:textId="77777777" w:rsidR="00D572CA" w:rsidRPr="0006254B" w:rsidRDefault="00D572CA" w:rsidP="00A77F29">
            <w:pPr>
              <w:spacing w:after="0" w:line="240" w:lineRule="auto"/>
              <w:jc w:val="center"/>
              <w:rPr>
                <w:color w:val="000000"/>
                <w:sz w:val="20"/>
                <w:szCs w:val="20"/>
                <w:lang w:eastAsia="sk-SK"/>
              </w:rPr>
            </w:pPr>
          </w:p>
        </w:tc>
        <w:tc>
          <w:tcPr>
            <w:tcW w:w="1536" w:type="dxa"/>
            <w:tcBorders>
              <w:top w:val="nil"/>
              <w:left w:val="nil"/>
              <w:bottom w:val="nil"/>
              <w:right w:val="nil"/>
            </w:tcBorders>
            <w:shd w:val="clear" w:color="auto" w:fill="auto"/>
            <w:noWrap/>
            <w:vAlign w:val="center"/>
            <w:hideMark/>
          </w:tcPr>
          <w:p w14:paraId="5274A68F"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61,9</w:t>
            </w:r>
          </w:p>
        </w:tc>
        <w:tc>
          <w:tcPr>
            <w:tcW w:w="850" w:type="dxa"/>
            <w:tcBorders>
              <w:top w:val="nil"/>
              <w:left w:val="nil"/>
              <w:bottom w:val="nil"/>
              <w:right w:val="nil"/>
            </w:tcBorders>
            <w:shd w:val="clear" w:color="auto" w:fill="auto"/>
            <w:noWrap/>
            <w:vAlign w:val="center"/>
            <w:hideMark/>
          </w:tcPr>
          <w:p w14:paraId="6026A0A7"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57,0</w:t>
            </w:r>
          </w:p>
        </w:tc>
        <w:tc>
          <w:tcPr>
            <w:tcW w:w="1134" w:type="dxa"/>
            <w:tcBorders>
              <w:top w:val="nil"/>
              <w:left w:val="nil"/>
              <w:bottom w:val="nil"/>
              <w:right w:val="nil"/>
            </w:tcBorders>
            <w:shd w:val="clear" w:color="auto" w:fill="auto"/>
            <w:noWrap/>
            <w:vAlign w:val="center"/>
            <w:hideMark/>
          </w:tcPr>
          <w:p w14:paraId="44EE054D"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52,4</w:t>
            </w:r>
          </w:p>
        </w:tc>
      </w:tr>
      <w:tr w:rsidR="00D572CA" w:rsidRPr="0006254B" w14:paraId="4E193D5D" w14:textId="77777777" w:rsidTr="00683A61">
        <w:trPr>
          <w:trHeight w:val="276"/>
        </w:trPr>
        <w:tc>
          <w:tcPr>
            <w:tcW w:w="1894" w:type="dxa"/>
            <w:tcBorders>
              <w:top w:val="nil"/>
              <w:left w:val="nil"/>
              <w:bottom w:val="nil"/>
              <w:right w:val="nil"/>
            </w:tcBorders>
            <w:shd w:val="clear" w:color="auto" w:fill="auto"/>
            <w:noWrap/>
            <w:vAlign w:val="center"/>
            <w:hideMark/>
          </w:tcPr>
          <w:p w14:paraId="27AB65F3" w14:textId="77777777" w:rsidR="00D572CA" w:rsidRPr="0006254B" w:rsidRDefault="00D572CA" w:rsidP="00A77F29">
            <w:pPr>
              <w:spacing w:after="0" w:line="240" w:lineRule="auto"/>
              <w:jc w:val="left"/>
              <w:rPr>
                <w:sz w:val="20"/>
                <w:szCs w:val="20"/>
                <w:lang w:eastAsia="sk-SK"/>
              </w:rPr>
            </w:pPr>
            <w:r w:rsidRPr="0006254B">
              <w:rPr>
                <w:sz w:val="20"/>
                <w:szCs w:val="20"/>
                <w:lang w:eastAsia="sk-SK"/>
              </w:rPr>
              <w:t>Rakúsko</w:t>
            </w:r>
          </w:p>
        </w:tc>
        <w:tc>
          <w:tcPr>
            <w:tcW w:w="976" w:type="dxa"/>
            <w:tcBorders>
              <w:top w:val="nil"/>
              <w:left w:val="nil"/>
              <w:bottom w:val="nil"/>
              <w:right w:val="nil"/>
            </w:tcBorders>
            <w:shd w:val="clear" w:color="auto" w:fill="auto"/>
            <w:noWrap/>
            <w:vAlign w:val="center"/>
            <w:hideMark/>
          </w:tcPr>
          <w:p w14:paraId="7572DB30"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-1,6</w:t>
            </w:r>
          </w:p>
        </w:tc>
        <w:tc>
          <w:tcPr>
            <w:tcW w:w="976" w:type="dxa"/>
            <w:tcBorders>
              <w:top w:val="nil"/>
              <w:left w:val="nil"/>
              <w:bottom w:val="nil"/>
              <w:right w:val="nil"/>
            </w:tcBorders>
            <w:shd w:val="clear" w:color="auto" w:fill="auto"/>
            <w:noWrap/>
            <w:vAlign w:val="center"/>
            <w:hideMark/>
          </w:tcPr>
          <w:p w14:paraId="524FBE51"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-0,8</w:t>
            </w:r>
          </w:p>
        </w:tc>
        <w:tc>
          <w:tcPr>
            <w:tcW w:w="1091" w:type="dxa"/>
            <w:tcBorders>
              <w:top w:val="nil"/>
              <w:left w:val="nil"/>
              <w:bottom w:val="nil"/>
              <w:right w:val="nil"/>
            </w:tcBorders>
            <w:shd w:val="clear" w:color="auto" w:fill="auto"/>
            <w:noWrap/>
            <w:vAlign w:val="center"/>
            <w:hideMark/>
          </w:tcPr>
          <w:p w14:paraId="58450942"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0,1</w:t>
            </w:r>
          </w:p>
        </w:tc>
        <w:tc>
          <w:tcPr>
            <w:tcW w:w="190" w:type="dxa"/>
            <w:tcBorders>
              <w:top w:val="nil"/>
              <w:left w:val="nil"/>
              <w:bottom w:val="nil"/>
              <w:right w:val="nil"/>
            </w:tcBorders>
            <w:shd w:val="clear" w:color="auto" w:fill="auto"/>
            <w:noWrap/>
            <w:vAlign w:val="center"/>
            <w:hideMark/>
          </w:tcPr>
          <w:p w14:paraId="6B810F07" w14:textId="77777777" w:rsidR="00D572CA" w:rsidRPr="0006254B" w:rsidRDefault="00D572CA" w:rsidP="00A77F29">
            <w:pPr>
              <w:spacing w:after="0" w:line="240" w:lineRule="auto"/>
              <w:jc w:val="center"/>
              <w:rPr>
                <w:color w:val="000000"/>
                <w:sz w:val="20"/>
                <w:szCs w:val="20"/>
                <w:lang w:eastAsia="sk-SK"/>
              </w:rPr>
            </w:pPr>
          </w:p>
        </w:tc>
        <w:tc>
          <w:tcPr>
            <w:tcW w:w="1536" w:type="dxa"/>
            <w:tcBorders>
              <w:top w:val="nil"/>
              <w:left w:val="nil"/>
              <w:bottom w:val="nil"/>
              <w:right w:val="nil"/>
            </w:tcBorders>
            <w:shd w:val="clear" w:color="auto" w:fill="auto"/>
            <w:noWrap/>
            <w:vAlign w:val="center"/>
            <w:hideMark/>
          </w:tcPr>
          <w:p w14:paraId="512A6884"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83,0</w:t>
            </w:r>
          </w:p>
        </w:tc>
        <w:tc>
          <w:tcPr>
            <w:tcW w:w="850" w:type="dxa"/>
            <w:tcBorders>
              <w:top w:val="nil"/>
              <w:left w:val="nil"/>
              <w:bottom w:val="nil"/>
              <w:right w:val="nil"/>
            </w:tcBorders>
            <w:shd w:val="clear" w:color="auto" w:fill="auto"/>
            <w:noWrap/>
            <w:vAlign w:val="center"/>
            <w:hideMark/>
          </w:tcPr>
          <w:p w14:paraId="62F87C39"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78,2</w:t>
            </w:r>
          </w:p>
        </w:tc>
        <w:tc>
          <w:tcPr>
            <w:tcW w:w="1134" w:type="dxa"/>
            <w:tcBorders>
              <w:top w:val="nil"/>
              <w:left w:val="nil"/>
              <w:bottom w:val="nil"/>
              <w:right w:val="nil"/>
            </w:tcBorders>
            <w:shd w:val="clear" w:color="auto" w:fill="auto"/>
            <w:noWrap/>
            <w:vAlign w:val="center"/>
            <w:hideMark/>
          </w:tcPr>
          <w:p w14:paraId="71C2829A"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73,8</w:t>
            </w:r>
          </w:p>
        </w:tc>
      </w:tr>
      <w:tr w:rsidR="00D572CA" w:rsidRPr="0006254B" w14:paraId="7D0C0888" w14:textId="77777777" w:rsidTr="00683A61">
        <w:trPr>
          <w:trHeight w:val="276"/>
        </w:trPr>
        <w:tc>
          <w:tcPr>
            <w:tcW w:w="1894" w:type="dxa"/>
            <w:tcBorders>
              <w:top w:val="nil"/>
              <w:left w:val="nil"/>
              <w:bottom w:val="nil"/>
              <w:right w:val="nil"/>
            </w:tcBorders>
            <w:shd w:val="clear" w:color="auto" w:fill="auto"/>
            <w:noWrap/>
            <w:vAlign w:val="center"/>
            <w:hideMark/>
          </w:tcPr>
          <w:p w14:paraId="3953F685" w14:textId="77777777" w:rsidR="00D572CA" w:rsidRPr="0006254B" w:rsidRDefault="00D572CA" w:rsidP="00A77F29">
            <w:pPr>
              <w:spacing w:after="0" w:line="240" w:lineRule="auto"/>
              <w:jc w:val="left"/>
              <w:rPr>
                <w:sz w:val="20"/>
                <w:szCs w:val="20"/>
                <w:lang w:eastAsia="sk-SK"/>
              </w:rPr>
            </w:pPr>
            <w:r w:rsidRPr="0006254B">
              <w:rPr>
                <w:sz w:val="20"/>
                <w:szCs w:val="20"/>
                <w:lang w:eastAsia="sk-SK"/>
              </w:rPr>
              <w:t>Poľsko</w:t>
            </w:r>
          </w:p>
        </w:tc>
        <w:tc>
          <w:tcPr>
            <w:tcW w:w="976" w:type="dxa"/>
            <w:tcBorders>
              <w:top w:val="nil"/>
              <w:left w:val="nil"/>
              <w:bottom w:val="nil"/>
              <w:right w:val="nil"/>
            </w:tcBorders>
            <w:shd w:val="clear" w:color="auto" w:fill="auto"/>
            <w:noWrap/>
            <w:vAlign w:val="center"/>
            <w:hideMark/>
          </w:tcPr>
          <w:p w14:paraId="65252F12"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-2,2</w:t>
            </w:r>
          </w:p>
        </w:tc>
        <w:tc>
          <w:tcPr>
            <w:tcW w:w="976" w:type="dxa"/>
            <w:tcBorders>
              <w:top w:val="nil"/>
              <w:left w:val="nil"/>
              <w:bottom w:val="nil"/>
              <w:right w:val="nil"/>
            </w:tcBorders>
            <w:shd w:val="clear" w:color="auto" w:fill="auto"/>
            <w:noWrap/>
            <w:vAlign w:val="center"/>
            <w:hideMark/>
          </w:tcPr>
          <w:p w14:paraId="5E8BAED0"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-1,5</w:t>
            </w:r>
          </w:p>
        </w:tc>
        <w:tc>
          <w:tcPr>
            <w:tcW w:w="1091" w:type="dxa"/>
            <w:tcBorders>
              <w:top w:val="nil"/>
              <w:left w:val="nil"/>
              <w:bottom w:val="nil"/>
              <w:right w:val="nil"/>
            </w:tcBorders>
            <w:shd w:val="clear" w:color="auto" w:fill="auto"/>
            <w:noWrap/>
            <w:vAlign w:val="center"/>
            <w:hideMark/>
          </w:tcPr>
          <w:p w14:paraId="2FBE4345"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-0,4</w:t>
            </w:r>
          </w:p>
        </w:tc>
        <w:tc>
          <w:tcPr>
            <w:tcW w:w="190" w:type="dxa"/>
            <w:tcBorders>
              <w:top w:val="nil"/>
              <w:left w:val="nil"/>
              <w:bottom w:val="nil"/>
              <w:right w:val="nil"/>
            </w:tcBorders>
            <w:shd w:val="clear" w:color="auto" w:fill="auto"/>
            <w:noWrap/>
            <w:vAlign w:val="center"/>
            <w:hideMark/>
          </w:tcPr>
          <w:p w14:paraId="31278283" w14:textId="77777777" w:rsidR="00D572CA" w:rsidRPr="0006254B" w:rsidRDefault="00D572CA" w:rsidP="00A77F29">
            <w:pPr>
              <w:spacing w:after="0" w:line="240" w:lineRule="auto"/>
              <w:jc w:val="center"/>
              <w:rPr>
                <w:color w:val="000000"/>
                <w:sz w:val="20"/>
                <w:szCs w:val="20"/>
                <w:lang w:eastAsia="sk-SK"/>
              </w:rPr>
            </w:pPr>
          </w:p>
        </w:tc>
        <w:tc>
          <w:tcPr>
            <w:tcW w:w="1536" w:type="dxa"/>
            <w:tcBorders>
              <w:top w:val="nil"/>
              <w:left w:val="nil"/>
              <w:bottom w:val="nil"/>
              <w:right w:val="nil"/>
            </w:tcBorders>
            <w:shd w:val="clear" w:color="auto" w:fill="auto"/>
            <w:noWrap/>
            <w:vAlign w:val="center"/>
            <w:hideMark/>
          </w:tcPr>
          <w:p w14:paraId="53C6AA43"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54,2</w:t>
            </w:r>
          </w:p>
        </w:tc>
        <w:tc>
          <w:tcPr>
            <w:tcW w:w="850" w:type="dxa"/>
            <w:tcBorders>
              <w:top w:val="nil"/>
              <w:left w:val="nil"/>
              <w:bottom w:val="nil"/>
              <w:right w:val="nil"/>
            </w:tcBorders>
            <w:shd w:val="clear" w:color="auto" w:fill="auto"/>
            <w:noWrap/>
            <w:vAlign w:val="center"/>
            <w:hideMark/>
          </w:tcPr>
          <w:p w14:paraId="077EC1E8"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50,6</w:t>
            </w:r>
          </w:p>
        </w:tc>
        <w:tc>
          <w:tcPr>
            <w:tcW w:w="1134" w:type="dxa"/>
            <w:tcBorders>
              <w:top w:val="nil"/>
              <w:left w:val="nil"/>
              <w:bottom w:val="nil"/>
              <w:right w:val="nil"/>
            </w:tcBorders>
            <w:shd w:val="clear" w:color="auto" w:fill="auto"/>
            <w:noWrap/>
            <w:vAlign w:val="center"/>
            <w:hideMark/>
          </w:tcPr>
          <w:p w14:paraId="24E19489"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48,9</w:t>
            </w:r>
          </w:p>
        </w:tc>
      </w:tr>
      <w:tr w:rsidR="00D572CA" w:rsidRPr="0006254B" w14:paraId="4FDF491F" w14:textId="77777777" w:rsidTr="00683A61">
        <w:trPr>
          <w:trHeight w:val="276"/>
        </w:trPr>
        <w:tc>
          <w:tcPr>
            <w:tcW w:w="1894" w:type="dxa"/>
            <w:tcBorders>
              <w:top w:val="nil"/>
              <w:left w:val="nil"/>
              <w:bottom w:val="nil"/>
              <w:right w:val="nil"/>
            </w:tcBorders>
            <w:shd w:val="clear" w:color="auto" w:fill="auto"/>
            <w:noWrap/>
            <w:vAlign w:val="center"/>
            <w:hideMark/>
          </w:tcPr>
          <w:p w14:paraId="51B05585" w14:textId="77777777" w:rsidR="00D572CA" w:rsidRPr="0006254B" w:rsidRDefault="00D572CA" w:rsidP="00A77F29">
            <w:pPr>
              <w:spacing w:after="0" w:line="240" w:lineRule="auto"/>
              <w:jc w:val="left"/>
              <w:rPr>
                <w:sz w:val="20"/>
                <w:szCs w:val="20"/>
                <w:lang w:eastAsia="sk-SK"/>
              </w:rPr>
            </w:pPr>
            <w:r w:rsidRPr="0006254B">
              <w:rPr>
                <w:sz w:val="20"/>
                <w:szCs w:val="20"/>
                <w:lang w:eastAsia="sk-SK"/>
              </w:rPr>
              <w:t>Portugalsko</w:t>
            </w:r>
          </w:p>
        </w:tc>
        <w:tc>
          <w:tcPr>
            <w:tcW w:w="976" w:type="dxa"/>
            <w:tcBorders>
              <w:top w:val="nil"/>
              <w:left w:val="nil"/>
              <w:bottom w:val="nil"/>
              <w:right w:val="nil"/>
            </w:tcBorders>
            <w:shd w:val="clear" w:color="auto" w:fill="auto"/>
            <w:noWrap/>
            <w:vAlign w:val="center"/>
            <w:hideMark/>
          </w:tcPr>
          <w:p w14:paraId="74CDC2EE"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-2,0</w:t>
            </w:r>
          </w:p>
        </w:tc>
        <w:tc>
          <w:tcPr>
            <w:tcW w:w="976" w:type="dxa"/>
            <w:tcBorders>
              <w:top w:val="nil"/>
              <w:left w:val="nil"/>
              <w:bottom w:val="nil"/>
              <w:right w:val="nil"/>
            </w:tcBorders>
            <w:shd w:val="clear" w:color="auto" w:fill="auto"/>
            <w:noWrap/>
            <w:vAlign w:val="center"/>
            <w:hideMark/>
          </w:tcPr>
          <w:p w14:paraId="14BC08B8"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-3,0</w:t>
            </w:r>
          </w:p>
        </w:tc>
        <w:tc>
          <w:tcPr>
            <w:tcW w:w="1091" w:type="dxa"/>
            <w:tcBorders>
              <w:top w:val="nil"/>
              <w:left w:val="nil"/>
              <w:bottom w:val="nil"/>
              <w:right w:val="nil"/>
            </w:tcBorders>
            <w:shd w:val="clear" w:color="auto" w:fill="auto"/>
            <w:noWrap/>
            <w:vAlign w:val="center"/>
            <w:hideMark/>
          </w:tcPr>
          <w:p w14:paraId="0CA72FD2"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-0,5</w:t>
            </w:r>
          </w:p>
        </w:tc>
        <w:tc>
          <w:tcPr>
            <w:tcW w:w="190" w:type="dxa"/>
            <w:tcBorders>
              <w:top w:val="nil"/>
              <w:left w:val="nil"/>
              <w:bottom w:val="nil"/>
              <w:right w:val="nil"/>
            </w:tcBorders>
            <w:shd w:val="clear" w:color="auto" w:fill="auto"/>
            <w:noWrap/>
            <w:vAlign w:val="center"/>
            <w:hideMark/>
          </w:tcPr>
          <w:p w14:paraId="04E24EE1" w14:textId="77777777" w:rsidR="00D572CA" w:rsidRPr="0006254B" w:rsidRDefault="00D572CA" w:rsidP="00A77F29">
            <w:pPr>
              <w:spacing w:after="0" w:line="240" w:lineRule="auto"/>
              <w:jc w:val="center"/>
              <w:rPr>
                <w:color w:val="000000"/>
                <w:sz w:val="20"/>
                <w:szCs w:val="20"/>
                <w:lang w:eastAsia="sk-SK"/>
              </w:rPr>
            </w:pPr>
          </w:p>
        </w:tc>
        <w:tc>
          <w:tcPr>
            <w:tcW w:w="1536" w:type="dxa"/>
            <w:tcBorders>
              <w:top w:val="nil"/>
              <w:left w:val="nil"/>
              <w:bottom w:val="nil"/>
              <w:right w:val="nil"/>
            </w:tcBorders>
            <w:shd w:val="clear" w:color="auto" w:fill="auto"/>
            <w:noWrap/>
            <w:vAlign w:val="center"/>
            <w:hideMark/>
          </w:tcPr>
          <w:p w14:paraId="78F8BB11"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129,2</w:t>
            </w:r>
          </w:p>
        </w:tc>
        <w:tc>
          <w:tcPr>
            <w:tcW w:w="850" w:type="dxa"/>
            <w:tcBorders>
              <w:top w:val="nil"/>
              <w:left w:val="nil"/>
              <w:bottom w:val="nil"/>
              <w:right w:val="nil"/>
            </w:tcBorders>
            <w:shd w:val="clear" w:color="auto" w:fill="auto"/>
            <w:noWrap/>
            <w:vAlign w:val="center"/>
            <w:hideMark/>
          </w:tcPr>
          <w:p w14:paraId="792D7741"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124,8</w:t>
            </w:r>
          </w:p>
        </w:tc>
        <w:tc>
          <w:tcPr>
            <w:tcW w:w="1134" w:type="dxa"/>
            <w:tcBorders>
              <w:top w:val="nil"/>
              <w:left w:val="nil"/>
              <w:bottom w:val="nil"/>
              <w:right w:val="nil"/>
            </w:tcBorders>
            <w:shd w:val="clear" w:color="auto" w:fill="auto"/>
            <w:noWrap/>
            <w:vAlign w:val="center"/>
            <w:hideMark/>
          </w:tcPr>
          <w:p w14:paraId="6044F105"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121,5</w:t>
            </w:r>
          </w:p>
        </w:tc>
      </w:tr>
      <w:tr w:rsidR="00D572CA" w:rsidRPr="0006254B" w14:paraId="31CBFFCD" w14:textId="77777777" w:rsidTr="00683A61">
        <w:trPr>
          <w:trHeight w:val="276"/>
        </w:trPr>
        <w:tc>
          <w:tcPr>
            <w:tcW w:w="1894" w:type="dxa"/>
            <w:tcBorders>
              <w:top w:val="nil"/>
              <w:left w:val="nil"/>
              <w:bottom w:val="nil"/>
              <w:right w:val="nil"/>
            </w:tcBorders>
            <w:shd w:val="clear" w:color="auto" w:fill="auto"/>
            <w:noWrap/>
            <w:vAlign w:val="center"/>
            <w:hideMark/>
          </w:tcPr>
          <w:p w14:paraId="44051137" w14:textId="77777777" w:rsidR="00D572CA" w:rsidRPr="0006254B" w:rsidRDefault="00D572CA" w:rsidP="00A77F29">
            <w:pPr>
              <w:spacing w:after="0" w:line="240" w:lineRule="auto"/>
              <w:jc w:val="left"/>
              <w:rPr>
                <w:sz w:val="20"/>
                <w:szCs w:val="20"/>
                <w:lang w:eastAsia="sk-SK"/>
              </w:rPr>
            </w:pPr>
            <w:r w:rsidRPr="0006254B">
              <w:rPr>
                <w:sz w:val="20"/>
                <w:szCs w:val="20"/>
                <w:lang w:eastAsia="sk-SK"/>
              </w:rPr>
              <w:t>Rumunsko</w:t>
            </w:r>
          </w:p>
        </w:tc>
        <w:tc>
          <w:tcPr>
            <w:tcW w:w="976" w:type="dxa"/>
            <w:tcBorders>
              <w:top w:val="nil"/>
              <w:left w:val="nil"/>
              <w:bottom w:val="nil"/>
              <w:right w:val="nil"/>
            </w:tcBorders>
            <w:shd w:val="clear" w:color="auto" w:fill="auto"/>
            <w:noWrap/>
            <w:vAlign w:val="center"/>
            <w:hideMark/>
          </w:tcPr>
          <w:p w14:paraId="1172347D"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-2,7</w:t>
            </w:r>
          </w:p>
        </w:tc>
        <w:tc>
          <w:tcPr>
            <w:tcW w:w="976" w:type="dxa"/>
            <w:tcBorders>
              <w:top w:val="nil"/>
              <w:left w:val="nil"/>
              <w:bottom w:val="nil"/>
              <w:right w:val="nil"/>
            </w:tcBorders>
            <w:shd w:val="clear" w:color="auto" w:fill="auto"/>
            <w:noWrap/>
            <w:vAlign w:val="center"/>
            <w:hideMark/>
          </w:tcPr>
          <w:p w14:paraId="65545A27"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-2,7</w:t>
            </w:r>
          </w:p>
        </w:tc>
        <w:tc>
          <w:tcPr>
            <w:tcW w:w="1091" w:type="dxa"/>
            <w:tcBorders>
              <w:top w:val="nil"/>
              <w:left w:val="nil"/>
              <w:bottom w:val="nil"/>
              <w:right w:val="nil"/>
            </w:tcBorders>
            <w:shd w:val="clear" w:color="auto" w:fill="auto"/>
            <w:noWrap/>
            <w:vAlign w:val="center"/>
            <w:hideMark/>
          </w:tcPr>
          <w:p w14:paraId="70137397"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-3,0</w:t>
            </w:r>
          </w:p>
        </w:tc>
        <w:tc>
          <w:tcPr>
            <w:tcW w:w="190" w:type="dxa"/>
            <w:tcBorders>
              <w:top w:val="nil"/>
              <w:left w:val="nil"/>
              <w:bottom w:val="nil"/>
              <w:right w:val="nil"/>
            </w:tcBorders>
            <w:shd w:val="clear" w:color="auto" w:fill="auto"/>
            <w:noWrap/>
            <w:vAlign w:val="center"/>
            <w:hideMark/>
          </w:tcPr>
          <w:p w14:paraId="35465780" w14:textId="77777777" w:rsidR="00D572CA" w:rsidRPr="0006254B" w:rsidRDefault="00D572CA" w:rsidP="00A77F29">
            <w:pPr>
              <w:spacing w:after="0" w:line="240" w:lineRule="auto"/>
              <w:jc w:val="center"/>
              <w:rPr>
                <w:color w:val="000000"/>
                <w:sz w:val="20"/>
                <w:szCs w:val="20"/>
                <w:lang w:eastAsia="sk-SK"/>
              </w:rPr>
            </w:pPr>
          </w:p>
        </w:tc>
        <w:tc>
          <w:tcPr>
            <w:tcW w:w="1536" w:type="dxa"/>
            <w:tcBorders>
              <w:top w:val="nil"/>
              <w:left w:val="nil"/>
              <w:bottom w:val="nil"/>
              <w:right w:val="nil"/>
            </w:tcBorders>
            <w:shd w:val="clear" w:color="auto" w:fill="auto"/>
            <w:noWrap/>
            <w:vAlign w:val="center"/>
            <w:hideMark/>
          </w:tcPr>
          <w:p w14:paraId="669795DA"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37,3</w:t>
            </w:r>
          </w:p>
        </w:tc>
        <w:tc>
          <w:tcPr>
            <w:tcW w:w="850" w:type="dxa"/>
            <w:tcBorders>
              <w:top w:val="nil"/>
              <w:left w:val="nil"/>
              <w:bottom w:val="nil"/>
              <w:right w:val="nil"/>
            </w:tcBorders>
            <w:shd w:val="clear" w:color="auto" w:fill="auto"/>
            <w:noWrap/>
            <w:vAlign w:val="center"/>
            <w:hideMark/>
          </w:tcPr>
          <w:p w14:paraId="605CA98E"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35,2</w:t>
            </w:r>
          </w:p>
        </w:tc>
        <w:tc>
          <w:tcPr>
            <w:tcW w:w="1134" w:type="dxa"/>
            <w:tcBorders>
              <w:top w:val="nil"/>
              <w:left w:val="nil"/>
              <w:bottom w:val="nil"/>
              <w:right w:val="nil"/>
            </w:tcBorders>
            <w:shd w:val="clear" w:color="auto" w:fill="auto"/>
            <w:noWrap/>
            <w:vAlign w:val="center"/>
            <w:hideMark/>
          </w:tcPr>
          <w:p w14:paraId="5DE192DD"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35,0</w:t>
            </w:r>
          </w:p>
        </w:tc>
      </w:tr>
      <w:tr w:rsidR="00D572CA" w:rsidRPr="0006254B" w14:paraId="0DEA1BE0" w14:textId="77777777" w:rsidTr="00683A61">
        <w:trPr>
          <w:trHeight w:val="276"/>
        </w:trPr>
        <w:tc>
          <w:tcPr>
            <w:tcW w:w="1894" w:type="dxa"/>
            <w:tcBorders>
              <w:top w:val="nil"/>
              <w:left w:val="nil"/>
              <w:bottom w:val="nil"/>
              <w:right w:val="nil"/>
            </w:tcBorders>
            <w:shd w:val="clear" w:color="auto" w:fill="auto"/>
            <w:noWrap/>
            <w:vAlign w:val="center"/>
            <w:hideMark/>
          </w:tcPr>
          <w:p w14:paraId="7A213B4D" w14:textId="77777777" w:rsidR="00D572CA" w:rsidRPr="0006254B" w:rsidRDefault="00D572CA" w:rsidP="00A77F29">
            <w:pPr>
              <w:spacing w:after="0" w:line="240" w:lineRule="auto"/>
              <w:jc w:val="left"/>
              <w:rPr>
                <w:sz w:val="20"/>
                <w:szCs w:val="20"/>
                <w:lang w:eastAsia="sk-SK"/>
              </w:rPr>
            </w:pPr>
            <w:r w:rsidRPr="0006254B">
              <w:rPr>
                <w:sz w:val="20"/>
                <w:szCs w:val="20"/>
                <w:lang w:eastAsia="sk-SK"/>
              </w:rPr>
              <w:t>Slovinsko</w:t>
            </w:r>
          </w:p>
        </w:tc>
        <w:tc>
          <w:tcPr>
            <w:tcW w:w="976" w:type="dxa"/>
            <w:tcBorders>
              <w:top w:val="nil"/>
              <w:left w:val="nil"/>
              <w:bottom w:val="nil"/>
              <w:right w:val="nil"/>
            </w:tcBorders>
            <w:shd w:val="clear" w:color="auto" w:fill="auto"/>
            <w:noWrap/>
            <w:vAlign w:val="center"/>
            <w:hideMark/>
          </w:tcPr>
          <w:p w14:paraId="67ED0563"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-1,9</w:t>
            </w:r>
          </w:p>
        </w:tc>
        <w:tc>
          <w:tcPr>
            <w:tcW w:w="976" w:type="dxa"/>
            <w:tcBorders>
              <w:top w:val="nil"/>
              <w:left w:val="nil"/>
              <w:bottom w:val="nil"/>
              <w:right w:val="nil"/>
            </w:tcBorders>
            <w:shd w:val="clear" w:color="auto" w:fill="auto"/>
            <w:noWrap/>
            <w:vAlign w:val="center"/>
            <w:hideMark/>
          </w:tcPr>
          <w:p w14:paraId="0AF49018"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0,0</w:t>
            </w:r>
          </w:p>
        </w:tc>
        <w:tc>
          <w:tcPr>
            <w:tcW w:w="1091" w:type="dxa"/>
            <w:tcBorders>
              <w:top w:val="nil"/>
              <w:left w:val="nil"/>
              <w:bottom w:val="nil"/>
              <w:right w:val="nil"/>
            </w:tcBorders>
            <w:shd w:val="clear" w:color="auto" w:fill="auto"/>
            <w:noWrap/>
            <w:vAlign w:val="center"/>
            <w:hideMark/>
          </w:tcPr>
          <w:p w14:paraId="63489620"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0,7</w:t>
            </w:r>
          </w:p>
        </w:tc>
        <w:tc>
          <w:tcPr>
            <w:tcW w:w="190" w:type="dxa"/>
            <w:tcBorders>
              <w:top w:val="nil"/>
              <w:left w:val="nil"/>
              <w:bottom w:val="nil"/>
              <w:right w:val="nil"/>
            </w:tcBorders>
            <w:shd w:val="clear" w:color="auto" w:fill="auto"/>
            <w:noWrap/>
            <w:vAlign w:val="center"/>
            <w:hideMark/>
          </w:tcPr>
          <w:p w14:paraId="72B4264F" w14:textId="77777777" w:rsidR="00D572CA" w:rsidRPr="0006254B" w:rsidRDefault="00D572CA" w:rsidP="00A77F29">
            <w:pPr>
              <w:spacing w:after="0" w:line="240" w:lineRule="auto"/>
              <w:jc w:val="center"/>
              <w:rPr>
                <w:color w:val="000000"/>
                <w:sz w:val="20"/>
                <w:szCs w:val="20"/>
                <w:lang w:eastAsia="sk-SK"/>
              </w:rPr>
            </w:pPr>
          </w:p>
        </w:tc>
        <w:tc>
          <w:tcPr>
            <w:tcW w:w="1536" w:type="dxa"/>
            <w:tcBorders>
              <w:top w:val="nil"/>
              <w:left w:val="nil"/>
              <w:bottom w:val="nil"/>
              <w:right w:val="nil"/>
            </w:tcBorders>
            <w:shd w:val="clear" w:color="auto" w:fill="auto"/>
            <w:noWrap/>
            <w:vAlign w:val="center"/>
            <w:hideMark/>
          </w:tcPr>
          <w:p w14:paraId="042E98FE"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78,7</w:t>
            </w:r>
          </w:p>
        </w:tc>
        <w:tc>
          <w:tcPr>
            <w:tcW w:w="850" w:type="dxa"/>
            <w:tcBorders>
              <w:top w:val="nil"/>
              <w:left w:val="nil"/>
              <w:bottom w:val="nil"/>
              <w:right w:val="nil"/>
            </w:tcBorders>
            <w:shd w:val="clear" w:color="auto" w:fill="auto"/>
            <w:noWrap/>
            <w:vAlign w:val="center"/>
            <w:hideMark/>
          </w:tcPr>
          <w:p w14:paraId="0AAFF828"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74,1</w:t>
            </w:r>
          </w:p>
        </w:tc>
        <w:tc>
          <w:tcPr>
            <w:tcW w:w="1134" w:type="dxa"/>
            <w:tcBorders>
              <w:top w:val="nil"/>
              <w:left w:val="nil"/>
              <w:bottom w:val="nil"/>
              <w:right w:val="nil"/>
            </w:tcBorders>
            <w:shd w:val="clear" w:color="auto" w:fill="auto"/>
            <w:noWrap/>
            <w:vAlign w:val="center"/>
            <w:hideMark/>
          </w:tcPr>
          <w:p w14:paraId="1BCFCCA2"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70,1</w:t>
            </w:r>
          </w:p>
        </w:tc>
      </w:tr>
      <w:tr w:rsidR="00D572CA" w:rsidRPr="0006254B" w14:paraId="3CD236DF" w14:textId="77777777" w:rsidTr="00683A61">
        <w:trPr>
          <w:trHeight w:val="276"/>
        </w:trPr>
        <w:tc>
          <w:tcPr>
            <w:tcW w:w="1894" w:type="dxa"/>
            <w:tcBorders>
              <w:top w:val="nil"/>
              <w:left w:val="nil"/>
              <w:bottom w:val="nil"/>
              <w:right w:val="nil"/>
            </w:tcBorders>
            <w:shd w:val="clear" w:color="auto" w:fill="auto"/>
            <w:noWrap/>
            <w:vAlign w:val="center"/>
            <w:hideMark/>
          </w:tcPr>
          <w:p w14:paraId="693C1C9D" w14:textId="77777777" w:rsidR="00D572CA" w:rsidRPr="0006254B" w:rsidRDefault="00D572CA" w:rsidP="00A77F29">
            <w:pPr>
              <w:spacing w:after="0" w:line="240" w:lineRule="auto"/>
              <w:jc w:val="left"/>
              <w:rPr>
                <w:b/>
                <w:bCs/>
                <w:sz w:val="20"/>
                <w:szCs w:val="20"/>
                <w:lang w:eastAsia="sk-SK"/>
              </w:rPr>
            </w:pPr>
            <w:r w:rsidRPr="0006254B">
              <w:rPr>
                <w:b/>
                <w:bCs/>
                <w:sz w:val="20"/>
                <w:szCs w:val="20"/>
                <w:lang w:eastAsia="sk-SK"/>
              </w:rPr>
              <w:t>Slovensko</w:t>
            </w:r>
          </w:p>
        </w:tc>
        <w:tc>
          <w:tcPr>
            <w:tcW w:w="976" w:type="dxa"/>
            <w:tcBorders>
              <w:top w:val="nil"/>
              <w:left w:val="nil"/>
              <w:bottom w:val="nil"/>
              <w:right w:val="nil"/>
            </w:tcBorders>
            <w:shd w:val="clear" w:color="auto" w:fill="auto"/>
            <w:noWrap/>
            <w:vAlign w:val="center"/>
            <w:hideMark/>
          </w:tcPr>
          <w:p w14:paraId="4222B4BC" w14:textId="77777777" w:rsidR="00D572CA" w:rsidRPr="0006254B" w:rsidRDefault="00D572CA" w:rsidP="00A77F29">
            <w:pPr>
              <w:spacing w:after="0" w:line="240" w:lineRule="auto"/>
              <w:jc w:val="center"/>
              <w:rPr>
                <w:b/>
                <w:bCs/>
                <w:color w:val="000000"/>
                <w:sz w:val="20"/>
                <w:szCs w:val="20"/>
                <w:lang w:eastAsia="sk-SK"/>
              </w:rPr>
            </w:pPr>
            <w:r w:rsidRPr="0006254B">
              <w:rPr>
                <w:b/>
                <w:bCs/>
                <w:color w:val="000000"/>
                <w:sz w:val="20"/>
                <w:szCs w:val="20"/>
                <w:lang w:eastAsia="sk-SK"/>
              </w:rPr>
              <w:t>-2,2</w:t>
            </w:r>
          </w:p>
        </w:tc>
        <w:tc>
          <w:tcPr>
            <w:tcW w:w="976" w:type="dxa"/>
            <w:tcBorders>
              <w:top w:val="nil"/>
              <w:left w:val="nil"/>
              <w:bottom w:val="nil"/>
              <w:right w:val="nil"/>
            </w:tcBorders>
            <w:shd w:val="clear" w:color="auto" w:fill="auto"/>
            <w:noWrap/>
            <w:vAlign w:val="center"/>
            <w:hideMark/>
          </w:tcPr>
          <w:p w14:paraId="487C7A3F" w14:textId="77777777" w:rsidR="00D572CA" w:rsidRPr="0006254B" w:rsidRDefault="00D572CA" w:rsidP="00A77F29">
            <w:pPr>
              <w:spacing w:after="0" w:line="240" w:lineRule="auto"/>
              <w:jc w:val="center"/>
              <w:rPr>
                <w:b/>
                <w:bCs/>
                <w:color w:val="000000"/>
                <w:sz w:val="20"/>
                <w:szCs w:val="20"/>
                <w:lang w:eastAsia="sk-SK"/>
              </w:rPr>
            </w:pPr>
            <w:r w:rsidRPr="0006254B">
              <w:rPr>
                <w:b/>
                <w:bCs/>
                <w:color w:val="000000"/>
                <w:sz w:val="20"/>
                <w:szCs w:val="20"/>
                <w:lang w:eastAsia="sk-SK"/>
              </w:rPr>
              <w:t>-0,8</w:t>
            </w:r>
          </w:p>
        </w:tc>
        <w:tc>
          <w:tcPr>
            <w:tcW w:w="1091" w:type="dxa"/>
            <w:tcBorders>
              <w:top w:val="nil"/>
              <w:left w:val="nil"/>
              <w:bottom w:val="nil"/>
              <w:right w:val="nil"/>
            </w:tcBorders>
            <w:shd w:val="clear" w:color="auto" w:fill="auto"/>
            <w:noWrap/>
            <w:vAlign w:val="center"/>
            <w:hideMark/>
          </w:tcPr>
          <w:p w14:paraId="6A6A9694" w14:textId="77777777" w:rsidR="00D572CA" w:rsidRPr="0006254B" w:rsidRDefault="00D572CA" w:rsidP="00A77F29">
            <w:pPr>
              <w:spacing w:after="0" w:line="240" w:lineRule="auto"/>
              <w:jc w:val="center"/>
              <w:rPr>
                <w:b/>
                <w:bCs/>
                <w:color w:val="000000"/>
                <w:sz w:val="20"/>
                <w:szCs w:val="20"/>
                <w:lang w:eastAsia="sk-SK"/>
              </w:rPr>
            </w:pPr>
            <w:r w:rsidRPr="0006254B">
              <w:rPr>
                <w:b/>
                <w:bCs/>
                <w:color w:val="000000"/>
                <w:sz w:val="20"/>
                <w:szCs w:val="20"/>
                <w:lang w:eastAsia="sk-SK"/>
              </w:rPr>
              <w:t>-0,7</w:t>
            </w:r>
          </w:p>
        </w:tc>
        <w:tc>
          <w:tcPr>
            <w:tcW w:w="190" w:type="dxa"/>
            <w:tcBorders>
              <w:top w:val="nil"/>
              <w:left w:val="nil"/>
              <w:bottom w:val="nil"/>
              <w:right w:val="nil"/>
            </w:tcBorders>
            <w:shd w:val="clear" w:color="auto" w:fill="auto"/>
            <w:noWrap/>
            <w:vAlign w:val="center"/>
            <w:hideMark/>
          </w:tcPr>
          <w:p w14:paraId="161FA7DA" w14:textId="77777777" w:rsidR="00D572CA" w:rsidRPr="0006254B" w:rsidRDefault="00D572CA" w:rsidP="00A77F29">
            <w:pPr>
              <w:spacing w:after="0" w:line="240" w:lineRule="auto"/>
              <w:jc w:val="center"/>
              <w:rPr>
                <w:b/>
                <w:bCs/>
                <w:color w:val="000000"/>
                <w:sz w:val="20"/>
                <w:szCs w:val="20"/>
                <w:lang w:eastAsia="sk-SK"/>
              </w:rPr>
            </w:pPr>
          </w:p>
        </w:tc>
        <w:tc>
          <w:tcPr>
            <w:tcW w:w="1536" w:type="dxa"/>
            <w:tcBorders>
              <w:top w:val="nil"/>
              <w:left w:val="nil"/>
              <w:bottom w:val="nil"/>
              <w:right w:val="nil"/>
            </w:tcBorders>
            <w:shd w:val="clear" w:color="auto" w:fill="auto"/>
            <w:noWrap/>
            <w:vAlign w:val="center"/>
            <w:hideMark/>
          </w:tcPr>
          <w:p w14:paraId="577701E1" w14:textId="77777777" w:rsidR="00D572CA" w:rsidRPr="0006254B" w:rsidRDefault="00D572CA" w:rsidP="00A77F29">
            <w:pPr>
              <w:spacing w:after="0" w:line="240" w:lineRule="auto"/>
              <w:jc w:val="center"/>
              <w:rPr>
                <w:b/>
                <w:bCs/>
                <w:color w:val="000000"/>
                <w:sz w:val="20"/>
                <w:szCs w:val="20"/>
                <w:lang w:eastAsia="sk-SK"/>
              </w:rPr>
            </w:pPr>
            <w:r w:rsidRPr="0006254B">
              <w:rPr>
                <w:b/>
                <w:bCs/>
                <w:color w:val="000000"/>
                <w:sz w:val="20"/>
                <w:szCs w:val="20"/>
                <w:lang w:eastAsia="sk-SK"/>
              </w:rPr>
              <w:t>51,8</w:t>
            </w:r>
          </w:p>
        </w:tc>
        <w:tc>
          <w:tcPr>
            <w:tcW w:w="850" w:type="dxa"/>
            <w:tcBorders>
              <w:top w:val="nil"/>
              <w:left w:val="nil"/>
              <w:bottom w:val="nil"/>
              <w:right w:val="nil"/>
            </w:tcBorders>
            <w:shd w:val="clear" w:color="auto" w:fill="auto"/>
            <w:noWrap/>
            <w:vAlign w:val="center"/>
            <w:hideMark/>
          </w:tcPr>
          <w:p w14:paraId="0B8FEA9C" w14:textId="77777777" w:rsidR="00D572CA" w:rsidRPr="0006254B" w:rsidRDefault="00D572CA" w:rsidP="00A77F29">
            <w:pPr>
              <w:spacing w:after="0" w:line="240" w:lineRule="auto"/>
              <w:jc w:val="center"/>
              <w:rPr>
                <w:b/>
                <w:bCs/>
                <w:color w:val="000000"/>
                <w:sz w:val="20"/>
                <w:szCs w:val="20"/>
                <w:lang w:eastAsia="sk-SK"/>
              </w:rPr>
            </w:pPr>
            <w:r w:rsidRPr="0006254B">
              <w:rPr>
                <w:b/>
                <w:bCs/>
                <w:color w:val="000000"/>
                <w:sz w:val="20"/>
                <w:szCs w:val="20"/>
                <w:lang w:eastAsia="sk-SK"/>
              </w:rPr>
              <w:t>50,9</w:t>
            </w:r>
          </w:p>
        </w:tc>
        <w:tc>
          <w:tcPr>
            <w:tcW w:w="1134" w:type="dxa"/>
            <w:tcBorders>
              <w:top w:val="nil"/>
              <w:left w:val="nil"/>
              <w:bottom w:val="nil"/>
              <w:right w:val="nil"/>
            </w:tcBorders>
            <w:shd w:val="clear" w:color="auto" w:fill="auto"/>
            <w:noWrap/>
            <w:vAlign w:val="center"/>
            <w:hideMark/>
          </w:tcPr>
          <w:p w14:paraId="2B281C4B" w14:textId="77777777" w:rsidR="00D572CA" w:rsidRPr="0006254B" w:rsidRDefault="00D572CA" w:rsidP="00A77F29">
            <w:pPr>
              <w:spacing w:after="0" w:line="240" w:lineRule="auto"/>
              <w:jc w:val="center"/>
              <w:rPr>
                <w:b/>
                <w:bCs/>
                <w:color w:val="000000"/>
                <w:sz w:val="20"/>
                <w:szCs w:val="20"/>
                <w:lang w:eastAsia="sk-SK"/>
              </w:rPr>
            </w:pPr>
            <w:r w:rsidRPr="0006254B">
              <w:rPr>
                <w:b/>
                <w:bCs/>
                <w:color w:val="000000"/>
                <w:sz w:val="20"/>
                <w:szCs w:val="20"/>
                <w:lang w:eastAsia="sk-SK"/>
              </w:rPr>
              <w:t>48,9</w:t>
            </w:r>
          </w:p>
        </w:tc>
      </w:tr>
      <w:tr w:rsidR="00D572CA" w:rsidRPr="0006254B" w14:paraId="7C1FD4DE" w14:textId="77777777" w:rsidTr="00683A61">
        <w:trPr>
          <w:trHeight w:val="276"/>
        </w:trPr>
        <w:tc>
          <w:tcPr>
            <w:tcW w:w="1894" w:type="dxa"/>
            <w:tcBorders>
              <w:top w:val="nil"/>
              <w:left w:val="nil"/>
              <w:bottom w:val="nil"/>
              <w:right w:val="nil"/>
            </w:tcBorders>
            <w:shd w:val="clear" w:color="auto" w:fill="auto"/>
            <w:noWrap/>
            <w:vAlign w:val="center"/>
            <w:hideMark/>
          </w:tcPr>
          <w:p w14:paraId="678FE9BE" w14:textId="77777777" w:rsidR="00D572CA" w:rsidRPr="0006254B" w:rsidRDefault="00D572CA" w:rsidP="00A77F29">
            <w:pPr>
              <w:spacing w:after="0" w:line="240" w:lineRule="auto"/>
              <w:jc w:val="left"/>
              <w:rPr>
                <w:sz w:val="20"/>
                <w:szCs w:val="20"/>
                <w:lang w:eastAsia="sk-SK"/>
              </w:rPr>
            </w:pPr>
            <w:r w:rsidRPr="0006254B">
              <w:rPr>
                <w:sz w:val="20"/>
                <w:szCs w:val="20"/>
                <w:lang w:eastAsia="sk-SK"/>
              </w:rPr>
              <w:t>Fínsko</w:t>
            </w:r>
          </w:p>
        </w:tc>
        <w:tc>
          <w:tcPr>
            <w:tcW w:w="976" w:type="dxa"/>
            <w:tcBorders>
              <w:top w:val="nil"/>
              <w:left w:val="nil"/>
              <w:bottom w:val="nil"/>
              <w:right w:val="nil"/>
            </w:tcBorders>
            <w:shd w:val="clear" w:color="auto" w:fill="auto"/>
            <w:noWrap/>
            <w:vAlign w:val="center"/>
            <w:hideMark/>
          </w:tcPr>
          <w:p w14:paraId="17070AF9"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-1,7</w:t>
            </w:r>
          </w:p>
        </w:tc>
        <w:tc>
          <w:tcPr>
            <w:tcW w:w="976" w:type="dxa"/>
            <w:tcBorders>
              <w:top w:val="nil"/>
              <w:left w:val="nil"/>
              <w:bottom w:val="nil"/>
              <w:right w:val="nil"/>
            </w:tcBorders>
            <w:shd w:val="clear" w:color="auto" w:fill="auto"/>
            <w:noWrap/>
            <w:vAlign w:val="center"/>
            <w:hideMark/>
          </w:tcPr>
          <w:p w14:paraId="043CA9FC"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-0,8</w:t>
            </w:r>
          </w:p>
        </w:tc>
        <w:tc>
          <w:tcPr>
            <w:tcW w:w="1091" w:type="dxa"/>
            <w:tcBorders>
              <w:top w:val="nil"/>
              <w:left w:val="nil"/>
              <w:bottom w:val="nil"/>
              <w:right w:val="nil"/>
            </w:tcBorders>
            <w:shd w:val="clear" w:color="auto" w:fill="auto"/>
            <w:noWrap/>
            <w:vAlign w:val="center"/>
            <w:hideMark/>
          </w:tcPr>
          <w:p w14:paraId="2651CC84"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-0,7</w:t>
            </w:r>
          </w:p>
        </w:tc>
        <w:tc>
          <w:tcPr>
            <w:tcW w:w="190" w:type="dxa"/>
            <w:tcBorders>
              <w:top w:val="nil"/>
              <w:left w:val="nil"/>
              <w:bottom w:val="nil"/>
              <w:right w:val="nil"/>
            </w:tcBorders>
            <w:shd w:val="clear" w:color="auto" w:fill="auto"/>
            <w:noWrap/>
            <w:vAlign w:val="center"/>
            <w:hideMark/>
          </w:tcPr>
          <w:p w14:paraId="2B1F9EA0" w14:textId="77777777" w:rsidR="00D572CA" w:rsidRPr="0006254B" w:rsidRDefault="00D572CA" w:rsidP="00A77F29">
            <w:pPr>
              <w:spacing w:after="0" w:line="240" w:lineRule="auto"/>
              <w:jc w:val="center"/>
              <w:rPr>
                <w:color w:val="000000"/>
                <w:sz w:val="20"/>
                <w:szCs w:val="20"/>
                <w:lang w:eastAsia="sk-SK"/>
              </w:rPr>
            </w:pPr>
          </w:p>
        </w:tc>
        <w:tc>
          <w:tcPr>
            <w:tcW w:w="1536" w:type="dxa"/>
            <w:tcBorders>
              <w:top w:val="nil"/>
              <w:left w:val="nil"/>
              <w:bottom w:val="nil"/>
              <w:right w:val="nil"/>
            </w:tcBorders>
            <w:shd w:val="clear" w:color="auto" w:fill="auto"/>
            <w:noWrap/>
            <w:vAlign w:val="center"/>
            <w:hideMark/>
          </w:tcPr>
          <w:p w14:paraId="77151C37"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63,0</w:t>
            </w:r>
          </w:p>
        </w:tc>
        <w:tc>
          <w:tcPr>
            <w:tcW w:w="850" w:type="dxa"/>
            <w:tcBorders>
              <w:top w:val="nil"/>
              <w:left w:val="nil"/>
              <w:bottom w:val="nil"/>
              <w:right w:val="nil"/>
            </w:tcBorders>
            <w:shd w:val="clear" w:color="auto" w:fill="auto"/>
            <w:noWrap/>
            <w:vAlign w:val="center"/>
            <w:hideMark/>
          </w:tcPr>
          <w:p w14:paraId="7FE85DBE"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61,3</w:t>
            </w:r>
          </w:p>
        </w:tc>
        <w:tc>
          <w:tcPr>
            <w:tcW w:w="1134" w:type="dxa"/>
            <w:tcBorders>
              <w:top w:val="nil"/>
              <w:left w:val="nil"/>
              <w:bottom w:val="nil"/>
              <w:right w:val="nil"/>
            </w:tcBorders>
            <w:shd w:val="clear" w:color="auto" w:fill="auto"/>
            <w:noWrap/>
            <w:vAlign w:val="center"/>
            <w:hideMark/>
          </w:tcPr>
          <w:p w14:paraId="1061344B"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58,9</w:t>
            </w:r>
          </w:p>
        </w:tc>
      </w:tr>
      <w:tr w:rsidR="00D572CA" w:rsidRPr="0006254B" w14:paraId="1ADCA719" w14:textId="77777777" w:rsidTr="00683A61">
        <w:trPr>
          <w:trHeight w:val="276"/>
        </w:trPr>
        <w:tc>
          <w:tcPr>
            <w:tcW w:w="1894" w:type="dxa"/>
            <w:tcBorders>
              <w:top w:val="nil"/>
              <w:left w:val="nil"/>
              <w:bottom w:val="nil"/>
              <w:right w:val="nil"/>
            </w:tcBorders>
            <w:shd w:val="clear" w:color="auto" w:fill="auto"/>
            <w:noWrap/>
            <w:vAlign w:val="center"/>
            <w:hideMark/>
          </w:tcPr>
          <w:p w14:paraId="6C364E9E" w14:textId="77777777" w:rsidR="00D572CA" w:rsidRPr="0006254B" w:rsidRDefault="00D572CA" w:rsidP="00A77F29">
            <w:pPr>
              <w:spacing w:after="0" w:line="240" w:lineRule="auto"/>
              <w:jc w:val="left"/>
              <w:rPr>
                <w:sz w:val="20"/>
                <w:szCs w:val="20"/>
                <w:lang w:eastAsia="sk-SK"/>
              </w:rPr>
            </w:pPr>
            <w:r w:rsidRPr="0006254B">
              <w:rPr>
                <w:sz w:val="20"/>
                <w:szCs w:val="20"/>
                <w:lang w:eastAsia="sk-SK"/>
              </w:rPr>
              <w:t>Švédsko</w:t>
            </w:r>
          </w:p>
        </w:tc>
        <w:tc>
          <w:tcPr>
            <w:tcW w:w="976" w:type="dxa"/>
            <w:tcBorders>
              <w:top w:val="nil"/>
              <w:left w:val="nil"/>
              <w:bottom w:val="nil"/>
              <w:right w:val="nil"/>
            </w:tcBorders>
            <w:shd w:val="clear" w:color="auto" w:fill="auto"/>
            <w:noWrap/>
            <w:vAlign w:val="center"/>
            <w:hideMark/>
          </w:tcPr>
          <w:p w14:paraId="7A72FAE8"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1,0</w:t>
            </w:r>
          </w:p>
        </w:tc>
        <w:tc>
          <w:tcPr>
            <w:tcW w:w="976" w:type="dxa"/>
            <w:tcBorders>
              <w:top w:val="nil"/>
              <w:left w:val="nil"/>
              <w:bottom w:val="nil"/>
              <w:right w:val="nil"/>
            </w:tcBorders>
            <w:shd w:val="clear" w:color="auto" w:fill="auto"/>
            <w:noWrap/>
            <w:vAlign w:val="center"/>
            <w:hideMark/>
          </w:tcPr>
          <w:p w14:paraId="28108BB2"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1,4</w:t>
            </w:r>
          </w:p>
        </w:tc>
        <w:tc>
          <w:tcPr>
            <w:tcW w:w="1091" w:type="dxa"/>
            <w:tcBorders>
              <w:top w:val="nil"/>
              <w:left w:val="nil"/>
              <w:bottom w:val="nil"/>
              <w:right w:val="nil"/>
            </w:tcBorders>
            <w:shd w:val="clear" w:color="auto" w:fill="auto"/>
            <w:noWrap/>
            <w:vAlign w:val="center"/>
            <w:hideMark/>
          </w:tcPr>
          <w:p w14:paraId="1DCBF76B"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0,9</w:t>
            </w:r>
          </w:p>
        </w:tc>
        <w:tc>
          <w:tcPr>
            <w:tcW w:w="190" w:type="dxa"/>
            <w:tcBorders>
              <w:top w:val="nil"/>
              <w:left w:val="nil"/>
              <w:bottom w:val="nil"/>
              <w:right w:val="nil"/>
            </w:tcBorders>
            <w:shd w:val="clear" w:color="auto" w:fill="auto"/>
            <w:noWrap/>
            <w:vAlign w:val="center"/>
            <w:hideMark/>
          </w:tcPr>
          <w:p w14:paraId="34DF8FD9" w14:textId="77777777" w:rsidR="00D572CA" w:rsidRPr="0006254B" w:rsidRDefault="00D572CA" w:rsidP="00A77F29">
            <w:pPr>
              <w:spacing w:after="0" w:line="240" w:lineRule="auto"/>
              <w:jc w:val="center"/>
              <w:rPr>
                <w:color w:val="000000"/>
                <w:sz w:val="20"/>
                <w:szCs w:val="20"/>
                <w:lang w:eastAsia="sk-SK"/>
              </w:rPr>
            </w:pPr>
          </w:p>
        </w:tc>
        <w:tc>
          <w:tcPr>
            <w:tcW w:w="1536" w:type="dxa"/>
            <w:tcBorders>
              <w:top w:val="nil"/>
              <w:left w:val="nil"/>
              <w:bottom w:val="nil"/>
              <w:right w:val="nil"/>
            </w:tcBorders>
            <w:shd w:val="clear" w:color="auto" w:fill="auto"/>
            <w:noWrap/>
            <w:vAlign w:val="center"/>
            <w:hideMark/>
          </w:tcPr>
          <w:p w14:paraId="7F9E58B6"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42,4</w:t>
            </w:r>
          </w:p>
        </w:tc>
        <w:tc>
          <w:tcPr>
            <w:tcW w:w="850" w:type="dxa"/>
            <w:tcBorders>
              <w:top w:val="nil"/>
              <w:left w:val="nil"/>
              <w:bottom w:val="nil"/>
              <w:right w:val="nil"/>
            </w:tcBorders>
            <w:shd w:val="clear" w:color="auto" w:fill="auto"/>
            <w:noWrap/>
            <w:vAlign w:val="center"/>
            <w:hideMark/>
          </w:tcPr>
          <w:p w14:paraId="78BE38FF"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40,8</w:t>
            </w:r>
          </w:p>
        </w:tc>
        <w:tc>
          <w:tcPr>
            <w:tcW w:w="1134" w:type="dxa"/>
            <w:tcBorders>
              <w:top w:val="nil"/>
              <w:left w:val="nil"/>
              <w:bottom w:val="nil"/>
              <w:right w:val="nil"/>
            </w:tcBorders>
            <w:shd w:val="clear" w:color="auto" w:fill="auto"/>
            <w:noWrap/>
            <w:vAlign w:val="center"/>
            <w:hideMark/>
          </w:tcPr>
          <w:p w14:paraId="349D8AA5"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38,8</w:t>
            </w:r>
          </w:p>
        </w:tc>
      </w:tr>
      <w:tr w:rsidR="00D572CA" w:rsidRPr="0006254B" w14:paraId="17C22186" w14:textId="77777777" w:rsidTr="00683A61">
        <w:trPr>
          <w:trHeight w:val="276"/>
        </w:trPr>
        <w:tc>
          <w:tcPr>
            <w:tcW w:w="1894" w:type="dxa"/>
            <w:tcBorders>
              <w:top w:val="nil"/>
              <w:left w:val="nil"/>
              <w:bottom w:val="single" w:sz="4" w:space="0" w:color="000000"/>
              <w:right w:val="nil"/>
            </w:tcBorders>
            <w:shd w:val="clear" w:color="auto" w:fill="auto"/>
            <w:noWrap/>
            <w:vAlign w:val="center"/>
            <w:hideMark/>
          </w:tcPr>
          <w:p w14:paraId="1E0324AE" w14:textId="77777777" w:rsidR="00D572CA" w:rsidRPr="0006254B" w:rsidRDefault="00D572CA" w:rsidP="00A77F29">
            <w:pPr>
              <w:spacing w:after="0" w:line="240" w:lineRule="auto"/>
              <w:jc w:val="left"/>
              <w:rPr>
                <w:sz w:val="20"/>
                <w:szCs w:val="20"/>
                <w:lang w:eastAsia="sk-SK"/>
              </w:rPr>
            </w:pPr>
            <w:r w:rsidRPr="0006254B">
              <w:rPr>
                <w:sz w:val="20"/>
                <w:szCs w:val="20"/>
                <w:lang w:eastAsia="sk-SK"/>
              </w:rPr>
              <w:t>Veľká Británia</w:t>
            </w:r>
          </w:p>
        </w:tc>
        <w:tc>
          <w:tcPr>
            <w:tcW w:w="976" w:type="dxa"/>
            <w:tcBorders>
              <w:top w:val="nil"/>
              <w:left w:val="nil"/>
              <w:bottom w:val="single" w:sz="4" w:space="0" w:color="auto"/>
              <w:right w:val="nil"/>
            </w:tcBorders>
            <w:shd w:val="clear" w:color="auto" w:fill="auto"/>
            <w:noWrap/>
            <w:vAlign w:val="center"/>
            <w:hideMark/>
          </w:tcPr>
          <w:p w14:paraId="79A2DC55"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-2,9</w:t>
            </w:r>
          </w:p>
        </w:tc>
        <w:tc>
          <w:tcPr>
            <w:tcW w:w="976" w:type="dxa"/>
            <w:tcBorders>
              <w:top w:val="nil"/>
              <w:left w:val="nil"/>
              <w:bottom w:val="single" w:sz="4" w:space="0" w:color="auto"/>
              <w:right w:val="nil"/>
            </w:tcBorders>
            <w:shd w:val="clear" w:color="auto" w:fill="auto"/>
            <w:noWrap/>
            <w:vAlign w:val="center"/>
            <w:hideMark/>
          </w:tcPr>
          <w:p w14:paraId="77EBA0C3"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-1,9</w:t>
            </w:r>
          </w:p>
        </w:tc>
        <w:tc>
          <w:tcPr>
            <w:tcW w:w="1091" w:type="dxa"/>
            <w:tcBorders>
              <w:top w:val="nil"/>
              <w:left w:val="nil"/>
              <w:bottom w:val="single" w:sz="4" w:space="0" w:color="auto"/>
              <w:right w:val="nil"/>
            </w:tcBorders>
            <w:shd w:val="clear" w:color="auto" w:fill="auto"/>
            <w:noWrap/>
            <w:vAlign w:val="center"/>
            <w:hideMark/>
          </w:tcPr>
          <w:p w14:paraId="25834AA8"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-1,5</w:t>
            </w:r>
          </w:p>
        </w:tc>
        <w:tc>
          <w:tcPr>
            <w:tcW w:w="190" w:type="dxa"/>
            <w:tcBorders>
              <w:top w:val="nil"/>
              <w:left w:val="nil"/>
              <w:bottom w:val="single" w:sz="4" w:space="0" w:color="auto"/>
              <w:right w:val="nil"/>
            </w:tcBorders>
            <w:shd w:val="clear" w:color="auto" w:fill="auto"/>
            <w:noWrap/>
            <w:vAlign w:val="center"/>
            <w:hideMark/>
          </w:tcPr>
          <w:p w14:paraId="38D3E593"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 </w:t>
            </w:r>
          </w:p>
        </w:tc>
        <w:tc>
          <w:tcPr>
            <w:tcW w:w="1536" w:type="dxa"/>
            <w:tcBorders>
              <w:top w:val="nil"/>
              <w:left w:val="nil"/>
              <w:bottom w:val="single" w:sz="4" w:space="0" w:color="auto"/>
              <w:right w:val="nil"/>
            </w:tcBorders>
            <w:shd w:val="clear" w:color="auto" w:fill="auto"/>
            <w:noWrap/>
            <w:vAlign w:val="center"/>
            <w:hideMark/>
          </w:tcPr>
          <w:p w14:paraId="341B0A60"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87,9</w:t>
            </w:r>
          </w:p>
        </w:tc>
        <w:tc>
          <w:tcPr>
            <w:tcW w:w="850" w:type="dxa"/>
            <w:tcBorders>
              <w:top w:val="nil"/>
              <w:left w:val="nil"/>
              <w:bottom w:val="single" w:sz="4" w:space="0" w:color="auto"/>
              <w:right w:val="nil"/>
            </w:tcBorders>
            <w:shd w:val="clear" w:color="auto" w:fill="auto"/>
            <w:noWrap/>
            <w:vAlign w:val="center"/>
            <w:hideMark/>
          </w:tcPr>
          <w:p w14:paraId="0C69D3C7"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87,1</w:t>
            </w:r>
          </w:p>
        </w:tc>
        <w:tc>
          <w:tcPr>
            <w:tcW w:w="1134" w:type="dxa"/>
            <w:tcBorders>
              <w:top w:val="nil"/>
              <w:left w:val="nil"/>
              <w:bottom w:val="single" w:sz="4" w:space="0" w:color="auto"/>
              <w:right w:val="nil"/>
            </w:tcBorders>
            <w:shd w:val="clear" w:color="auto" w:fill="auto"/>
            <w:noWrap/>
            <w:vAlign w:val="center"/>
            <w:hideMark/>
          </w:tcPr>
          <w:p w14:paraId="52EE3708" w14:textId="77777777" w:rsidR="00D572CA" w:rsidRPr="0006254B" w:rsidRDefault="00D572CA" w:rsidP="00A77F29">
            <w:pPr>
              <w:spacing w:after="0" w:line="240" w:lineRule="auto"/>
              <w:jc w:val="center"/>
              <w:rPr>
                <w:color w:val="000000"/>
                <w:sz w:val="20"/>
                <w:szCs w:val="20"/>
                <w:lang w:eastAsia="sk-SK"/>
              </w:rPr>
            </w:pPr>
            <w:r w:rsidRPr="0006254B">
              <w:rPr>
                <w:color w:val="000000"/>
                <w:sz w:val="20"/>
                <w:szCs w:val="20"/>
                <w:lang w:eastAsia="sk-SK"/>
              </w:rPr>
              <w:t>86,8</w:t>
            </w:r>
          </w:p>
        </w:tc>
      </w:tr>
      <w:tr w:rsidR="00D572CA" w:rsidRPr="0006254B" w14:paraId="24D69600" w14:textId="77777777" w:rsidTr="00683A61">
        <w:trPr>
          <w:trHeight w:val="225"/>
        </w:trPr>
        <w:tc>
          <w:tcPr>
            <w:tcW w:w="1894" w:type="dxa"/>
            <w:tcBorders>
              <w:top w:val="nil"/>
              <w:left w:val="nil"/>
              <w:bottom w:val="nil"/>
              <w:right w:val="nil"/>
            </w:tcBorders>
            <w:shd w:val="clear" w:color="auto" w:fill="auto"/>
            <w:noWrap/>
            <w:vAlign w:val="bottom"/>
            <w:hideMark/>
          </w:tcPr>
          <w:p w14:paraId="0D8CCF93" w14:textId="77777777" w:rsidR="00D572CA" w:rsidRPr="0006254B" w:rsidRDefault="00D572CA" w:rsidP="00A77F29">
            <w:pPr>
              <w:spacing w:after="0" w:line="240" w:lineRule="auto"/>
              <w:jc w:val="center"/>
              <w:rPr>
                <w:color w:val="000000"/>
                <w:sz w:val="20"/>
                <w:szCs w:val="20"/>
                <w:lang w:eastAsia="sk-SK"/>
              </w:rPr>
            </w:pPr>
          </w:p>
        </w:tc>
        <w:tc>
          <w:tcPr>
            <w:tcW w:w="976" w:type="dxa"/>
            <w:tcBorders>
              <w:top w:val="nil"/>
              <w:left w:val="nil"/>
              <w:bottom w:val="nil"/>
              <w:right w:val="nil"/>
            </w:tcBorders>
            <w:shd w:val="clear" w:color="auto" w:fill="auto"/>
            <w:noWrap/>
            <w:vAlign w:val="bottom"/>
            <w:hideMark/>
          </w:tcPr>
          <w:p w14:paraId="6E03EF39" w14:textId="77777777" w:rsidR="00D572CA" w:rsidRPr="0006254B" w:rsidRDefault="00D572CA" w:rsidP="00A77F29">
            <w:pPr>
              <w:spacing w:after="0" w:line="240" w:lineRule="auto"/>
              <w:jc w:val="left"/>
              <w:rPr>
                <w:sz w:val="20"/>
                <w:szCs w:val="20"/>
                <w:lang w:eastAsia="sk-SK"/>
              </w:rPr>
            </w:pPr>
          </w:p>
        </w:tc>
        <w:tc>
          <w:tcPr>
            <w:tcW w:w="976" w:type="dxa"/>
            <w:tcBorders>
              <w:top w:val="nil"/>
              <w:left w:val="nil"/>
              <w:bottom w:val="nil"/>
              <w:right w:val="nil"/>
            </w:tcBorders>
            <w:shd w:val="clear" w:color="auto" w:fill="auto"/>
            <w:noWrap/>
            <w:vAlign w:val="bottom"/>
            <w:hideMark/>
          </w:tcPr>
          <w:p w14:paraId="27FD6016" w14:textId="77777777" w:rsidR="00D572CA" w:rsidRPr="0006254B" w:rsidRDefault="00D572CA" w:rsidP="00A77F29">
            <w:pPr>
              <w:spacing w:after="0" w:line="240" w:lineRule="auto"/>
              <w:jc w:val="left"/>
              <w:rPr>
                <w:sz w:val="20"/>
                <w:szCs w:val="20"/>
                <w:lang w:eastAsia="sk-SK"/>
              </w:rPr>
            </w:pPr>
          </w:p>
        </w:tc>
        <w:tc>
          <w:tcPr>
            <w:tcW w:w="1091" w:type="dxa"/>
            <w:tcBorders>
              <w:top w:val="nil"/>
              <w:left w:val="nil"/>
              <w:bottom w:val="nil"/>
              <w:right w:val="nil"/>
            </w:tcBorders>
            <w:shd w:val="clear" w:color="auto" w:fill="auto"/>
            <w:noWrap/>
            <w:vAlign w:val="bottom"/>
            <w:hideMark/>
          </w:tcPr>
          <w:p w14:paraId="3E5BE191" w14:textId="77777777" w:rsidR="00D572CA" w:rsidRPr="0006254B" w:rsidRDefault="00D572CA" w:rsidP="00A77F29">
            <w:pPr>
              <w:spacing w:after="0" w:line="240" w:lineRule="auto"/>
              <w:jc w:val="left"/>
              <w:rPr>
                <w:sz w:val="20"/>
                <w:szCs w:val="20"/>
                <w:lang w:eastAsia="sk-SK"/>
              </w:rPr>
            </w:pPr>
          </w:p>
        </w:tc>
        <w:tc>
          <w:tcPr>
            <w:tcW w:w="190" w:type="dxa"/>
            <w:tcBorders>
              <w:top w:val="nil"/>
              <w:left w:val="nil"/>
              <w:bottom w:val="nil"/>
              <w:right w:val="nil"/>
            </w:tcBorders>
            <w:shd w:val="clear" w:color="auto" w:fill="auto"/>
            <w:noWrap/>
            <w:vAlign w:val="bottom"/>
            <w:hideMark/>
          </w:tcPr>
          <w:p w14:paraId="65E94CA4" w14:textId="77777777" w:rsidR="00D572CA" w:rsidRPr="0006254B" w:rsidRDefault="00D572CA" w:rsidP="00A77F29">
            <w:pPr>
              <w:spacing w:after="0" w:line="240" w:lineRule="auto"/>
              <w:jc w:val="left"/>
              <w:rPr>
                <w:sz w:val="20"/>
                <w:szCs w:val="20"/>
                <w:lang w:eastAsia="sk-SK"/>
              </w:rPr>
            </w:pPr>
          </w:p>
        </w:tc>
        <w:tc>
          <w:tcPr>
            <w:tcW w:w="1536" w:type="dxa"/>
            <w:tcBorders>
              <w:top w:val="nil"/>
              <w:left w:val="nil"/>
              <w:bottom w:val="nil"/>
              <w:right w:val="nil"/>
            </w:tcBorders>
            <w:shd w:val="clear" w:color="auto" w:fill="auto"/>
            <w:noWrap/>
            <w:vAlign w:val="bottom"/>
            <w:hideMark/>
          </w:tcPr>
          <w:p w14:paraId="422E2F08" w14:textId="77777777" w:rsidR="00D572CA" w:rsidRPr="0006254B" w:rsidRDefault="00D572CA" w:rsidP="00A77F29">
            <w:pPr>
              <w:spacing w:after="0" w:line="240" w:lineRule="auto"/>
              <w:jc w:val="left"/>
              <w:rPr>
                <w:sz w:val="20"/>
                <w:szCs w:val="20"/>
                <w:lang w:eastAsia="sk-SK"/>
              </w:rPr>
            </w:pPr>
          </w:p>
        </w:tc>
        <w:tc>
          <w:tcPr>
            <w:tcW w:w="1984" w:type="dxa"/>
            <w:gridSpan w:val="2"/>
            <w:tcBorders>
              <w:top w:val="single" w:sz="4" w:space="0" w:color="auto"/>
              <w:left w:val="nil"/>
              <w:bottom w:val="nil"/>
              <w:right w:val="nil"/>
            </w:tcBorders>
            <w:shd w:val="clear" w:color="auto" w:fill="auto"/>
            <w:noWrap/>
            <w:vAlign w:val="bottom"/>
            <w:hideMark/>
          </w:tcPr>
          <w:p w14:paraId="00CF1EA0" w14:textId="77777777" w:rsidR="00D572CA" w:rsidRPr="0006254B" w:rsidRDefault="00D572CA" w:rsidP="00A77F29">
            <w:pPr>
              <w:spacing w:after="0" w:line="240" w:lineRule="auto"/>
              <w:jc w:val="right"/>
              <w:rPr>
                <w:i/>
                <w:iCs/>
                <w:color w:val="000000"/>
                <w:sz w:val="16"/>
                <w:szCs w:val="16"/>
                <w:lang w:eastAsia="sk-SK"/>
              </w:rPr>
            </w:pPr>
            <w:r w:rsidRPr="0006254B">
              <w:rPr>
                <w:i/>
                <w:iCs/>
                <w:color w:val="000000"/>
                <w:sz w:val="16"/>
                <w:szCs w:val="16"/>
                <w:lang w:eastAsia="sk-SK"/>
              </w:rPr>
              <w:t xml:space="preserve">Zdroj: </w:t>
            </w:r>
            <w:proofErr w:type="spellStart"/>
            <w:r w:rsidRPr="0006254B">
              <w:rPr>
                <w:i/>
                <w:iCs/>
                <w:color w:val="000000"/>
                <w:sz w:val="16"/>
                <w:szCs w:val="16"/>
                <w:lang w:eastAsia="sk-SK"/>
              </w:rPr>
              <w:t>Eurostat</w:t>
            </w:r>
            <w:proofErr w:type="spellEnd"/>
          </w:p>
        </w:tc>
      </w:tr>
    </w:tbl>
    <w:p w14:paraId="7CDFB047" w14:textId="77777777" w:rsidR="00D572CA" w:rsidRDefault="00D572CA" w:rsidP="00D572CA"/>
    <w:p w14:paraId="2BB89AB9" w14:textId="77777777" w:rsidR="00A61343" w:rsidRDefault="00A61343" w:rsidP="00D572CA"/>
    <w:p w14:paraId="4E12C4FD" w14:textId="77777777" w:rsidR="001F20A6" w:rsidRDefault="001F20A6">
      <w:pPr>
        <w:spacing w:after="160" w:line="259" w:lineRule="auto"/>
        <w:jc w:val="left"/>
        <w:rPr>
          <w:rFonts w:eastAsiaTheme="majorEastAsia" w:cstheme="majorBidi"/>
          <w:b/>
          <w:sz w:val="26"/>
          <w:szCs w:val="32"/>
        </w:rPr>
      </w:pPr>
      <w:r>
        <w:br w:type="page"/>
      </w:r>
    </w:p>
    <w:p w14:paraId="25C934C7" w14:textId="51809CF8" w:rsidR="008254BE" w:rsidRDefault="008254BE" w:rsidP="00387B36">
      <w:pPr>
        <w:pStyle w:val="Nadpis1"/>
        <w:ind w:left="709"/>
      </w:pPr>
      <w:bookmarkStart w:id="33" w:name="_Toc7502832"/>
      <w:r>
        <w:t xml:space="preserve">Hospodárenie </w:t>
      </w:r>
      <w:r w:rsidRPr="00ED135D">
        <w:t>štátneho</w:t>
      </w:r>
      <w:r>
        <w:t xml:space="preserve"> rozpočtu na hotovostnej báze</w:t>
      </w:r>
      <w:bookmarkEnd w:id="31"/>
      <w:bookmarkEnd w:id="33"/>
    </w:p>
    <w:p w14:paraId="4FAFED17" w14:textId="6ECDC40D" w:rsidR="00ED135D" w:rsidRPr="00ED135D" w:rsidRDefault="00ED135D" w:rsidP="00ED135D">
      <w:pPr>
        <w:rPr>
          <w:color w:val="000000"/>
        </w:rPr>
      </w:pPr>
      <w:r w:rsidRPr="00ED135D">
        <w:t>Štátny rozpočet je základnou súča</w:t>
      </w:r>
      <w:r w:rsidR="00004436">
        <w:t xml:space="preserve">sťou rozpočtu verejnej správy a </w:t>
      </w:r>
      <w:r w:rsidRPr="00ED135D">
        <w:t>zabezpečuje sa ním financovanie hlavných funkcií štátu v príslušnom rozpočtovom roku. Štátny rozpočet schvaľuje parlament zákonom o štátnom rozpočte, ktorým sa určuje najmä výška príjmov štátneho rozpočtu, limit výdavkov štátneho rozpočtu, maximálna výška rozpočtovaného schodku alebo minimálna výška rozpočtovaného prebytku štátneho rozpočtu, ak nie sú príjmy a výdavky vyrovnané</w:t>
      </w:r>
      <w:r w:rsidRPr="00ED135D">
        <w:rPr>
          <w:color w:val="666666"/>
          <w:sz w:val="18"/>
          <w:szCs w:val="18"/>
        </w:rPr>
        <w:t>.</w:t>
      </w:r>
      <w:r w:rsidRPr="00ED135D">
        <w:rPr>
          <w:color w:val="000000"/>
        </w:rPr>
        <w:t xml:space="preserve"> </w:t>
      </w:r>
    </w:p>
    <w:p w14:paraId="2B27711C" w14:textId="35FD03D7" w:rsidR="00ED135D" w:rsidRPr="00ED135D" w:rsidRDefault="00ED135D" w:rsidP="00ED135D">
      <w:r w:rsidRPr="00ED135D">
        <w:rPr>
          <w:b/>
        </w:rPr>
        <w:t>Základné rozpočtové ukazovatele štátneho rozpočtu pre rok 201</w:t>
      </w:r>
      <w:r>
        <w:rPr>
          <w:b/>
        </w:rPr>
        <w:t>8</w:t>
      </w:r>
      <w:r w:rsidRPr="00ED135D">
        <w:rPr>
          <w:b/>
        </w:rPr>
        <w:t xml:space="preserve"> boli stanovené zákonom č. 3</w:t>
      </w:r>
      <w:r>
        <w:rPr>
          <w:b/>
        </w:rPr>
        <w:t>33</w:t>
      </w:r>
      <w:r w:rsidRPr="00ED135D">
        <w:rPr>
          <w:b/>
        </w:rPr>
        <w:t>/201</w:t>
      </w:r>
      <w:r>
        <w:rPr>
          <w:b/>
        </w:rPr>
        <w:t>7</w:t>
      </w:r>
      <w:r w:rsidRPr="00ED135D">
        <w:rPr>
          <w:b/>
        </w:rPr>
        <w:t xml:space="preserve"> Z. z. o štátnom rozpočte na rok 201</w:t>
      </w:r>
      <w:r>
        <w:rPr>
          <w:b/>
        </w:rPr>
        <w:t>8</w:t>
      </w:r>
      <w:r w:rsidR="00ED0F55">
        <w:rPr>
          <w:b/>
        </w:rPr>
        <w:t xml:space="preserve"> (ďalej len ,,zákon o štátnom rozpočte“)</w:t>
      </w:r>
      <w:r w:rsidRPr="00ED135D">
        <w:rPr>
          <w:b/>
        </w:rPr>
        <w:t xml:space="preserve">, ktorý určil celkové príjmy štátneho rozpočtu v hotovostnom vyjadrení sumou 13 982 810 tis. eur a celkové </w:t>
      </w:r>
      <w:r w:rsidRPr="00626B5B">
        <w:rPr>
          <w:b/>
        </w:rPr>
        <w:t>výdavky sumou 15 955 714 tis</w:t>
      </w:r>
      <w:r w:rsidRPr="00617B38">
        <w:rPr>
          <w:b/>
        </w:rPr>
        <w:t>. eur</w:t>
      </w:r>
      <w:r w:rsidRPr="00617B38">
        <w:t xml:space="preserve">. </w:t>
      </w:r>
      <w:r w:rsidRPr="00617B38">
        <w:rPr>
          <w:b/>
        </w:rPr>
        <w:t>Schodok štátneho rozpočtu sa tým určil vo výške 1 9</w:t>
      </w:r>
      <w:r w:rsidR="00617B38" w:rsidRPr="00617B38">
        <w:rPr>
          <w:b/>
        </w:rPr>
        <w:t>72</w:t>
      </w:r>
      <w:r w:rsidRPr="00617B38">
        <w:rPr>
          <w:b/>
        </w:rPr>
        <w:t> </w:t>
      </w:r>
      <w:r w:rsidR="00617B38">
        <w:rPr>
          <w:b/>
        </w:rPr>
        <w:t>904</w:t>
      </w:r>
      <w:r w:rsidRPr="00617B38">
        <w:rPr>
          <w:b/>
        </w:rPr>
        <w:t xml:space="preserve"> tis. eur.</w:t>
      </w:r>
      <w:r w:rsidRPr="00ED135D">
        <w:t xml:space="preserve"> </w:t>
      </w:r>
    </w:p>
    <w:p w14:paraId="232B0C46" w14:textId="0F8F892C" w:rsidR="00ED135D" w:rsidRPr="00F37B0F" w:rsidRDefault="008B3F75" w:rsidP="00ED135D">
      <w:r w:rsidRPr="00A265D6">
        <w:rPr>
          <w:b/>
        </w:rPr>
        <w:t>D</w:t>
      </w:r>
      <w:r w:rsidR="00ED135D" w:rsidRPr="00A265D6">
        <w:rPr>
          <w:b/>
        </w:rPr>
        <w:t xml:space="preserve">osiahnuté </w:t>
      </w:r>
      <w:r w:rsidRPr="00A265D6">
        <w:rPr>
          <w:b/>
        </w:rPr>
        <w:t xml:space="preserve">hotovostné </w:t>
      </w:r>
      <w:r w:rsidR="00ED135D" w:rsidRPr="00A265D6">
        <w:rPr>
          <w:b/>
        </w:rPr>
        <w:t>príjmy štátneho rozpočtu</w:t>
      </w:r>
      <w:r w:rsidR="00ED135D" w:rsidRPr="00A265D6">
        <w:t xml:space="preserve"> vo výške 1</w:t>
      </w:r>
      <w:r w:rsidR="00617B38" w:rsidRPr="00A265D6">
        <w:t>5</w:t>
      </w:r>
      <w:r w:rsidR="00ED135D" w:rsidRPr="00A265D6">
        <w:t> </w:t>
      </w:r>
      <w:r w:rsidR="00617B38" w:rsidRPr="00A265D6">
        <w:t>381 013 </w:t>
      </w:r>
      <w:r w:rsidR="00ED135D" w:rsidRPr="00A265D6">
        <w:t xml:space="preserve">tis. eur boli oproti schválenému rozpočtu </w:t>
      </w:r>
      <w:r w:rsidR="004A3C53" w:rsidRPr="00A265D6">
        <w:t>vyššie</w:t>
      </w:r>
      <w:r w:rsidR="00ED135D" w:rsidRPr="00A265D6">
        <w:t xml:space="preserve"> o 1 3</w:t>
      </w:r>
      <w:r w:rsidR="00617B38" w:rsidRPr="00A265D6">
        <w:t>98 203 </w:t>
      </w:r>
      <w:r w:rsidR="00ED135D" w:rsidRPr="00A265D6">
        <w:t>tis. eur a oproti skutočnosti roku 201</w:t>
      </w:r>
      <w:r w:rsidR="00617B38" w:rsidRPr="00A265D6">
        <w:t>7</w:t>
      </w:r>
      <w:r w:rsidR="00ED135D" w:rsidRPr="00A265D6">
        <w:t xml:space="preserve"> boli </w:t>
      </w:r>
      <w:r w:rsidR="00617B38" w:rsidRPr="00A265D6">
        <w:t>vyššie</w:t>
      </w:r>
      <w:r w:rsidR="00ED135D" w:rsidRPr="00A265D6">
        <w:t xml:space="preserve"> o </w:t>
      </w:r>
      <w:r w:rsidR="00617B38" w:rsidRPr="00A265D6">
        <w:t>1</w:t>
      </w:r>
      <w:r w:rsidR="00ED135D" w:rsidRPr="00A265D6">
        <w:t> </w:t>
      </w:r>
      <w:r w:rsidR="00617B38" w:rsidRPr="00A265D6">
        <w:t>367</w:t>
      </w:r>
      <w:r w:rsidR="00ED135D" w:rsidRPr="00A265D6">
        <w:t> </w:t>
      </w:r>
      <w:r w:rsidR="00617B38" w:rsidRPr="00A265D6">
        <w:t>857</w:t>
      </w:r>
      <w:r w:rsidR="00ED135D" w:rsidRPr="00A265D6">
        <w:t xml:space="preserve"> tis. eur. Plnenie celkových príjmov štátneho rozpočtu tak dosiahlo </w:t>
      </w:r>
      <w:r w:rsidR="00617B38" w:rsidRPr="00A265D6">
        <w:t>110</w:t>
      </w:r>
      <w:r w:rsidR="00ED135D" w:rsidRPr="00A265D6">
        <w:t xml:space="preserve"> %. </w:t>
      </w:r>
      <w:r w:rsidRPr="00A265D6">
        <w:rPr>
          <w:b/>
        </w:rPr>
        <w:t xml:space="preserve">Dosiahnuté hotovostné </w:t>
      </w:r>
      <w:r w:rsidR="00ED135D" w:rsidRPr="00F37B0F">
        <w:rPr>
          <w:b/>
        </w:rPr>
        <w:t>výdavky štátneho rozpočtu</w:t>
      </w:r>
      <w:r w:rsidR="00ED135D" w:rsidRPr="00F37B0F">
        <w:t xml:space="preserve"> vo výške 1</w:t>
      </w:r>
      <w:r w:rsidR="004A3C53" w:rsidRPr="00F37B0F">
        <w:t>6 563 255 </w:t>
      </w:r>
      <w:r w:rsidR="00ED135D" w:rsidRPr="00F37B0F">
        <w:t>tis.</w:t>
      </w:r>
      <w:r w:rsidR="004A3C53" w:rsidRPr="00F37B0F">
        <w:t> </w:t>
      </w:r>
      <w:r w:rsidR="00ED135D" w:rsidRPr="00F37B0F">
        <w:t xml:space="preserve">eur boli </w:t>
      </w:r>
      <w:r w:rsidR="00F37B0F">
        <w:t>vyššie</w:t>
      </w:r>
      <w:r w:rsidR="00ED135D" w:rsidRPr="00F37B0F">
        <w:t xml:space="preserve"> ako v schválenom rozpočte, a to o</w:t>
      </w:r>
      <w:r w:rsidR="00F37B0F" w:rsidRPr="00F37B0F">
        <w:t> 607 541</w:t>
      </w:r>
      <w:r w:rsidR="00ED135D" w:rsidRPr="00F37B0F">
        <w:t xml:space="preserve"> tis. eur, pričom medziročne sa </w:t>
      </w:r>
      <w:r w:rsidR="00F37B0F" w:rsidRPr="00F37B0F">
        <w:t>zvýšili</w:t>
      </w:r>
      <w:r w:rsidR="00ED135D" w:rsidRPr="00F37B0F">
        <w:t xml:space="preserve"> o</w:t>
      </w:r>
      <w:r w:rsidR="00F37B0F" w:rsidRPr="00F37B0F">
        <w:t> 1 328 994</w:t>
      </w:r>
      <w:r w:rsidR="00ED135D" w:rsidRPr="00F37B0F">
        <w:t xml:space="preserve"> tis. eur. Plnenie celkových výdavkov štátneho rozpočtu tak dosiahlo </w:t>
      </w:r>
      <w:r w:rsidR="00F37B0F">
        <w:t>103,8 </w:t>
      </w:r>
      <w:r w:rsidR="00ED135D" w:rsidRPr="00F37B0F">
        <w:t>% ich pôvodne rozpočtovanej hodnoty.</w:t>
      </w:r>
    </w:p>
    <w:p w14:paraId="4582AFBF" w14:textId="311E98A7" w:rsidR="00ED135D" w:rsidRPr="00712803" w:rsidRDefault="00ED135D" w:rsidP="00ED135D">
      <w:pPr>
        <w:rPr>
          <w:b/>
          <w:bCs/>
        </w:rPr>
      </w:pPr>
      <w:r w:rsidRPr="00712803">
        <w:rPr>
          <w:b/>
        </w:rPr>
        <w:t>Schodok štátneho rozpočtu na hotovostnej báze vo výške 1</w:t>
      </w:r>
      <w:r w:rsidR="00F37B0F" w:rsidRPr="00712803">
        <w:rPr>
          <w:b/>
        </w:rPr>
        <w:t> 182 24</w:t>
      </w:r>
      <w:r w:rsidRPr="00712803">
        <w:rPr>
          <w:b/>
        </w:rPr>
        <w:t>2 tis. eur je vo vzťahu k pôvodne schválenému rozpočtu nižší o 7</w:t>
      </w:r>
      <w:r w:rsidR="00712803" w:rsidRPr="00712803">
        <w:rPr>
          <w:b/>
        </w:rPr>
        <w:t>90</w:t>
      </w:r>
      <w:r w:rsidRPr="00712803">
        <w:rPr>
          <w:b/>
        </w:rPr>
        <w:t> </w:t>
      </w:r>
      <w:r w:rsidR="00712803" w:rsidRPr="00712803">
        <w:rPr>
          <w:b/>
        </w:rPr>
        <w:t>662</w:t>
      </w:r>
      <w:r w:rsidRPr="00712803">
        <w:rPr>
          <w:b/>
        </w:rPr>
        <w:t xml:space="preserve"> tis. eur a v</w:t>
      </w:r>
      <w:r w:rsidRPr="00712803">
        <w:rPr>
          <w:b/>
          <w:bCs/>
        </w:rPr>
        <w:t>o vzťahu k upravenému rozpočtu je vykázaný sc</w:t>
      </w:r>
      <w:r w:rsidR="00712803" w:rsidRPr="00712803">
        <w:rPr>
          <w:b/>
          <w:bCs/>
        </w:rPr>
        <w:t>hodok nižší o 643</w:t>
      </w:r>
      <w:r w:rsidRPr="00712803">
        <w:rPr>
          <w:b/>
          <w:bCs/>
        </w:rPr>
        <w:t> 6</w:t>
      </w:r>
      <w:r w:rsidR="00712803" w:rsidRPr="00712803">
        <w:rPr>
          <w:b/>
          <w:bCs/>
        </w:rPr>
        <w:t>07</w:t>
      </w:r>
      <w:r w:rsidRPr="00712803">
        <w:rPr>
          <w:b/>
          <w:bCs/>
        </w:rPr>
        <w:t xml:space="preserve"> tis. eur.</w:t>
      </w:r>
    </w:p>
    <w:p w14:paraId="419D15D1" w14:textId="2554B0ED" w:rsidR="00ED135D" w:rsidRPr="00712803" w:rsidRDefault="00ED135D" w:rsidP="00ED135D">
      <w:r w:rsidRPr="00712803">
        <w:t>Súhrnný prehľad o rozpočtovaných a skutočne dosiahnutých základných rozpoč</w:t>
      </w:r>
      <w:r w:rsidR="00712803">
        <w:t>tových ukazovateľoch v roku 2018</w:t>
      </w:r>
      <w:r w:rsidRPr="00712803">
        <w:t xml:space="preserve"> a za predchádzajúce dva roky na hotovostnej báze poskytujú nasledovné údaje:</w:t>
      </w:r>
    </w:p>
    <w:tbl>
      <w:tblPr>
        <w:tblW w:w="8505" w:type="dxa"/>
        <w:tblCellMar>
          <w:left w:w="70" w:type="dxa"/>
          <w:right w:w="70" w:type="dxa"/>
        </w:tblCellMar>
        <w:tblLook w:val="04A0" w:firstRow="1" w:lastRow="0" w:firstColumn="1" w:lastColumn="0" w:noHBand="0" w:noVBand="1"/>
      </w:tblPr>
      <w:tblGrid>
        <w:gridCol w:w="2140"/>
        <w:gridCol w:w="1121"/>
        <w:gridCol w:w="992"/>
        <w:gridCol w:w="992"/>
        <w:gridCol w:w="1134"/>
        <w:gridCol w:w="1134"/>
        <w:gridCol w:w="992"/>
      </w:tblGrid>
      <w:tr w:rsidR="00ED135D" w:rsidRPr="0009362B" w14:paraId="264BEDD6" w14:textId="77777777" w:rsidTr="00ED135D">
        <w:trPr>
          <w:trHeight w:val="277"/>
        </w:trPr>
        <w:tc>
          <w:tcPr>
            <w:tcW w:w="8505" w:type="dxa"/>
            <w:gridSpan w:val="7"/>
            <w:tcBorders>
              <w:top w:val="nil"/>
              <w:left w:val="nil"/>
              <w:bottom w:val="nil"/>
              <w:right w:val="nil"/>
            </w:tcBorders>
            <w:shd w:val="clear" w:color="000000" w:fill="000000"/>
            <w:vAlign w:val="center"/>
            <w:hideMark/>
          </w:tcPr>
          <w:p w14:paraId="2665B134" w14:textId="52E5114F" w:rsidR="00ED135D" w:rsidRPr="0009362B" w:rsidRDefault="00ED135D" w:rsidP="00ED135D">
            <w:pPr>
              <w:spacing w:after="0" w:line="240" w:lineRule="auto"/>
              <w:jc w:val="left"/>
              <w:rPr>
                <w:rFonts w:eastAsia="Times New Roman" w:cs="Times New Roman"/>
                <w:b/>
                <w:bCs/>
                <w:color w:val="FFFFFF"/>
                <w:sz w:val="18"/>
                <w:szCs w:val="18"/>
                <w:lang w:eastAsia="sk-SK"/>
              </w:rPr>
            </w:pPr>
            <w:r w:rsidRPr="0009362B">
              <w:rPr>
                <w:rFonts w:eastAsia="Times New Roman" w:cs="Times New Roman"/>
                <w:b/>
                <w:bCs/>
                <w:color w:val="FFFFFF"/>
                <w:sz w:val="18"/>
                <w:szCs w:val="18"/>
                <w:lang w:eastAsia="sk-SK"/>
              </w:rPr>
              <w:t>Štátny rozpočet na hotovostnej báze                                                                                                v tis. eur</w:t>
            </w:r>
          </w:p>
        </w:tc>
      </w:tr>
      <w:tr w:rsidR="00ED135D" w:rsidRPr="0009362B" w14:paraId="2A847BFE" w14:textId="77777777" w:rsidTr="00ED135D">
        <w:trPr>
          <w:trHeight w:val="480"/>
        </w:trPr>
        <w:tc>
          <w:tcPr>
            <w:tcW w:w="4253" w:type="dxa"/>
            <w:gridSpan w:val="3"/>
            <w:tcBorders>
              <w:top w:val="nil"/>
              <w:left w:val="nil"/>
              <w:bottom w:val="nil"/>
              <w:right w:val="nil"/>
            </w:tcBorders>
            <w:shd w:val="clear" w:color="000000" w:fill="BFBFBF"/>
            <w:vAlign w:val="center"/>
            <w:hideMark/>
          </w:tcPr>
          <w:p w14:paraId="49EFEB55" w14:textId="77777777" w:rsidR="00ED135D" w:rsidRPr="0009362B" w:rsidRDefault="00ED135D" w:rsidP="00ED135D">
            <w:pPr>
              <w:spacing w:after="0" w:line="240" w:lineRule="auto"/>
              <w:jc w:val="center"/>
              <w:rPr>
                <w:rFonts w:eastAsia="Times New Roman" w:cs="Times New Roman"/>
                <w:b/>
                <w:bCs/>
                <w:color w:val="000000"/>
                <w:sz w:val="18"/>
                <w:szCs w:val="18"/>
                <w:lang w:eastAsia="sk-SK"/>
              </w:rPr>
            </w:pPr>
            <w:r w:rsidRPr="0009362B">
              <w:rPr>
                <w:rFonts w:eastAsia="Times New Roman" w:cs="Times New Roman"/>
                <w:b/>
                <w:bCs/>
                <w:color w:val="000000"/>
                <w:sz w:val="18"/>
                <w:szCs w:val="18"/>
                <w:lang w:eastAsia="sk-SK"/>
              </w:rPr>
              <w:t xml:space="preserve">                                                Skutočnosť</w:t>
            </w:r>
          </w:p>
        </w:tc>
        <w:tc>
          <w:tcPr>
            <w:tcW w:w="2126" w:type="dxa"/>
            <w:gridSpan w:val="2"/>
            <w:tcBorders>
              <w:top w:val="nil"/>
              <w:left w:val="nil"/>
              <w:bottom w:val="nil"/>
              <w:right w:val="nil"/>
            </w:tcBorders>
            <w:shd w:val="clear" w:color="000000" w:fill="BFBFBF"/>
            <w:vAlign w:val="center"/>
            <w:hideMark/>
          </w:tcPr>
          <w:p w14:paraId="1423E563" w14:textId="61E2FC3E" w:rsidR="00ED135D" w:rsidRPr="0009362B" w:rsidRDefault="00ED135D" w:rsidP="00ED135D">
            <w:pPr>
              <w:spacing w:after="0" w:line="240" w:lineRule="auto"/>
              <w:jc w:val="center"/>
              <w:rPr>
                <w:rFonts w:eastAsia="Times New Roman" w:cs="Times New Roman"/>
                <w:b/>
                <w:bCs/>
                <w:color w:val="000000"/>
                <w:sz w:val="18"/>
                <w:szCs w:val="18"/>
                <w:lang w:eastAsia="sk-SK"/>
              </w:rPr>
            </w:pPr>
            <w:r w:rsidRPr="0009362B">
              <w:rPr>
                <w:rFonts w:eastAsia="Times New Roman" w:cs="Times New Roman"/>
                <w:b/>
                <w:bCs/>
                <w:color w:val="000000"/>
                <w:sz w:val="18"/>
                <w:szCs w:val="18"/>
                <w:lang w:eastAsia="sk-SK"/>
              </w:rPr>
              <w:t>Rozpočet 2018</w:t>
            </w:r>
          </w:p>
        </w:tc>
        <w:tc>
          <w:tcPr>
            <w:tcW w:w="1134" w:type="dxa"/>
            <w:tcBorders>
              <w:top w:val="nil"/>
              <w:left w:val="nil"/>
              <w:bottom w:val="nil"/>
              <w:right w:val="nil"/>
            </w:tcBorders>
            <w:shd w:val="clear" w:color="000000" w:fill="BFBFBF"/>
            <w:vAlign w:val="center"/>
            <w:hideMark/>
          </w:tcPr>
          <w:p w14:paraId="4023C1B5" w14:textId="77777777" w:rsidR="00ED135D" w:rsidRPr="0009362B" w:rsidRDefault="00ED135D" w:rsidP="00ED135D">
            <w:pPr>
              <w:spacing w:after="0" w:line="240" w:lineRule="auto"/>
              <w:jc w:val="center"/>
              <w:rPr>
                <w:rFonts w:eastAsia="Times New Roman" w:cs="Times New Roman"/>
                <w:b/>
                <w:bCs/>
                <w:color w:val="000000"/>
                <w:sz w:val="18"/>
                <w:szCs w:val="18"/>
                <w:lang w:eastAsia="sk-SK"/>
              </w:rPr>
            </w:pPr>
            <w:r w:rsidRPr="0009362B">
              <w:rPr>
                <w:rFonts w:eastAsia="Times New Roman" w:cs="Times New Roman"/>
                <w:b/>
                <w:bCs/>
                <w:color w:val="000000"/>
                <w:sz w:val="18"/>
                <w:szCs w:val="18"/>
                <w:lang w:eastAsia="sk-SK"/>
              </w:rPr>
              <w:t>Skutočnosť</w:t>
            </w:r>
          </w:p>
        </w:tc>
        <w:tc>
          <w:tcPr>
            <w:tcW w:w="992" w:type="dxa"/>
            <w:tcBorders>
              <w:top w:val="nil"/>
              <w:left w:val="nil"/>
              <w:bottom w:val="nil"/>
              <w:right w:val="nil"/>
            </w:tcBorders>
            <w:shd w:val="clear" w:color="000000" w:fill="BFBFBF"/>
            <w:vAlign w:val="center"/>
            <w:hideMark/>
          </w:tcPr>
          <w:p w14:paraId="36CB262E" w14:textId="77777777" w:rsidR="00ED135D" w:rsidRPr="0009362B" w:rsidRDefault="00ED135D" w:rsidP="00ED135D">
            <w:pPr>
              <w:spacing w:after="0" w:line="240" w:lineRule="auto"/>
              <w:jc w:val="center"/>
              <w:rPr>
                <w:rFonts w:eastAsia="Times New Roman" w:cs="Times New Roman"/>
                <w:b/>
                <w:bCs/>
                <w:color w:val="000000"/>
                <w:sz w:val="18"/>
                <w:szCs w:val="18"/>
                <w:lang w:eastAsia="sk-SK"/>
              </w:rPr>
            </w:pPr>
            <w:r w:rsidRPr="0009362B">
              <w:rPr>
                <w:rFonts w:eastAsia="Times New Roman" w:cs="Times New Roman"/>
                <w:b/>
                <w:bCs/>
                <w:color w:val="000000"/>
                <w:sz w:val="18"/>
                <w:szCs w:val="18"/>
                <w:lang w:eastAsia="sk-SK"/>
              </w:rPr>
              <w:t>Rozdiel</w:t>
            </w:r>
          </w:p>
        </w:tc>
      </w:tr>
      <w:tr w:rsidR="00ED135D" w:rsidRPr="0009362B" w14:paraId="73E40F71" w14:textId="77777777" w:rsidTr="00ED135D">
        <w:trPr>
          <w:trHeight w:val="300"/>
        </w:trPr>
        <w:tc>
          <w:tcPr>
            <w:tcW w:w="2140" w:type="dxa"/>
            <w:tcBorders>
              <w:top w:val="nil"/>
              <w:left w:val="nil"/>
              <w:bottom w:val="nil"/>
              <w:right w:val="nil"/>
            </w:tcBorders>
            <w:shd w:val="clear" w:color="000000" w:fill="BFBFBF"/>
            <w:vAlign w:val="center"/>
            <w:hideMark/>
          </w:tcPr>
          <w:p w14:paraId="37958B7A" w14:textId="77777777" w:rsidR="00ED135D" w:rsidRPr="0009362B" w:rsidRDefault="00ED135D" w:rsidP="00ED135D">
            <w:pPr>
              <w:spacing w:after="0" w:line="240" w:lineRule="auto"/>
              <w:jc w:val="left"/>
              <w:rPr>
                <w:rFonts w:eastAsia="Times New Roman" w:cs="Times New Roman"/>
                <w:b/>
                <w:bCs/>
                <w:color w:val="000000"/>
                <w:sz w:val="18"/>
                <w:szCs w:val="18"/>
                <w:lang w:eastAsia="sk-SK"/>
              </w:rPr>
            </w:pPr>
            <w:r w:rsidRPr="0009362B">
              <w:rPr>
                <w:rFonts w:eastAsia="Times New Roman" w:cs="Times New Roman"/>
                <w:b/>
                <w:bCs/>
                <w:color w:val="000000"/>
                <w:sz w:val="18"/>
                <w:szCs w:val="18"/>
                <w:lang w:eastAsia="sk-SK"/>
              </w:rPr>
              <w:t> </w:t>
            </w:r>
          </w:p>
        </w:tc>
        <w:tc>
          <w:tcPr>
            <w:tcW w:w="1121" w:type="dxa"/>
            <w:tcBorders>
              <w:top w:val="nil"/>
              <w:left w:val="nil"/>
              <w:bottom w:val="nil"/>
              <w:right w:val="nil"/>
            </w:tcBorders>
            <w:shd w:val="clear" w:color="000000" w:fill="BFBFBF"/>
            <w:vAlign w:val="center"/>
            <w:hideMark/>
          </w:tcPr>
          <w:p w14:paraId="7F1496BE" w14:textId="77777777" w:rsidR="00ED135D" w:rsidRPr="0009362B" w:rsidRDefault="00ED135D" w:rsidP="00ED135D">
            <w:pPr>
              <w:spacing w:after="0" w:line="240" w:lineRule="auto"/>
              <w:jc w:val="center"/>
              <w:rPr>
                <w:rFonts w:eastAsia="Times New Roman" w:cs="Times New Roman"/>
                <w:b/>
                <w:bCs/>
                <w:color w:val="000000"/>
                <w:sz w:val="18"/>
                <w:szCs w:val="18"/>
                <w:lang w:eastAsia="sk-SK"/>
              </w:rPr>
            </w:pPr>
            <w:r w:rsidRPr="0009362B">
              <w:rPr>
                <w:rFonts w:eastAsia="Times New Roman" w:cs="Times New Roman"/>
                <w:b/>
                <w:bCs/>
                <w:color w:val="000000"/>
                <w:sz w:val="18"/>
                <w:szCs w:val="18"/>
                <w:lang w:eastAsia="sk-SK"/>
              </w:rPr>
              <w:t>2016</w:t>
            </w:r>
          </w:p>
        </w:tc>
        <w:tc>
          <w:tcPr>
            <w:tcW w:w="992" w:type="dxa"/>
            <w:tcBorders>
              <w:top w:val="nil"/>
              <w:left w:val="nil"/>
              <w:bottom w:val="nil"/>
              <w:right w:val="nil"/>
            </w:tcBorders>
            <w:shd w:val="clear" w:color="000000" w:fill="BFBFBF"/>
            <w:vAlign w:val="center"/>
            <w:hideMark/>
          </w:tcPr>
          <w:p w14:paraId="53E7E58B" w14:textId="77777777" w:rsidR="00ED135D" w:rsidRPr="0009362B" w:rsidRDefault="00ED135D" w:rsidP="00ED135D">
            <w:pPr>
              <w:spacing w:after="0" w:line="240" w:lineRule="auto"/>
              <w:jc w:val="center"/>
              <w:rPr>
                <w:rFonts w:eastAsia="Times New Roman" w:cs="Times New Roman"/>
                <w:b/>
                <w:bCs/>
                <w:color w:val="000000"/>
                <w:sz w:val="18"/>
                <w:szCs w:val="18"/>
                <w:lang w:eastAsia="sk-SK"/>
              </w:rPr>
            </w:pPr>
            <w:r w:rsidRPr="0009362B">
              <w:rPr>
                <w:rFonts w:eastAsia="Times New Roman" w:cs="Times New Roman"/>
                <w:b/>
                <w:bCs/>
                <w:color w:val="000000"/>
                <w:sz w:val="18"/>
                <w:szCs w:val="18"/>
                <w:lang w:eastAsia="sk-SK"/>
              </w:rPr>
              <w:t>2017</w:t>
            </w:r>
          </w:p>
        </w:tc>
        <w:tc>
          <w:tcPr>
            <w:tcW w:w="992" w:type="dxa"/>
            <w:tcBorders>
              <w:top w:val="nil"/>
              <w:left w:val="nil"/>
              <w:bottom w:val="nil"/>
              <w:right w:val="nil"/>
            </w:tcBorders>
            <w:shd w:val="clear" w:color="000000" w:fill="BFBFBF"/>
            <w:vAlign w:val="center"/>
            <w:hideMark/>
          </w:tcPr>
          <w:p w14:paraId="025DDC58" w14:textId="77777777" w:rsidR="00ED135D" w:rsidRPr="0009362B" w:rsidRDefault="00ED135D" w:rsidP="00ED135D">
            <w:pPr>
              <w:spacing w:after="0" w:line="240" w:lineRule="auto"/>
              <w:jc w:val="center"/>
              <w:rPr>
                <w:rFonts w:eastAsia="Times New Roman" w:cs="Times New Roman"/>
                <w:b/>
                <w:bCs/>
                <w:color w:val="000000"/>
                <w:sz w:val="18"/>
                <w:szCs w:val="18"/>
                <w:lang w:eastAsia="sk-SK"/>
              </w:rPr>
            </w:pPr>
            <w:r w:rsidRPr="0009362B">
              <w:rPr>
                <w:rFonts w:eastAsia="Times New Roman" w:cs="Times New Roman"/>
                <w:b/>
                <w:bCs/>
                <w:color w:val="000000"/>
                <w:sz w:val="18"/>
                <w:szCs w:val="18"/>
                <w:lang w:eastAsia="sk-SK"/>
              </w:rPr>
              <w:t>Schválený</w:t>
            </w:r>
          </w:p>
        </w:tc>
        <w:tc>
          <w:tcPr>
            <w:tcW w:w="1134" w:type="dxa"/>
            <w:tcBorders>
              <w:top w:val="nil"/>
              <w:left w:val="nil"/>
              <w:bottom w:val="nil"/>
              <w:right w:val="nil"/>
            </w:tcBorders>
            <w:shd w:val="clear" w:color="000000" w:fill="BFBFBF"/>
            <w:vAlign w:val="center"/>
            <w:hideMark/>
          </w:tcPr>
          <w:p w14:paraId="65DABD16" w14:textId="77777777" w:rsidR="00ED135D" w:rsidRPr="0009362B" w:rsidRDefault="00ED135D" w:rsidP="00ED135D">
            <w:pPr>
              <w:spacing w:after="0" w:line="240" w:lineRule="auto"/>
              <w:jc w:val="center"/>
              <w:rPr>
                <w:rFonts w:eastAsia="Times New Roman" w:cs="Times New Roman"/>
                <w:b/>
                <w:bCs/>
                <w:color w:val="000000"/>
                <w:sz w:val="18"/>
                <w:szCs w:val="18"/>
                <w:lang w:eastAsia="sk-SK"/>
              </w:rPr>
            </w:pPr>
            <w:r w:rsidRPr="0009362B">
              <w:rPr>
                <w:rFonts w:eastAsia="Times New Roman" w:cs="Times New Roman"/>
                <w:b/>
                <w:bCs/>
                <w:color w:val="000000"/>
                <w:sz w:val="18"/>
                <w:szCs w:val="18"/>
                <w:lang w:eastAsia="sk-SK"/>
              </w:rPr>
              <w:t>Upravený</w:t>
            </w:r>
          </w:p>
        </w:tc>
        <w:tc>
          <w:tcPr>
            <w:tcW w:w="1134" w:type="dxa"/>
            <w:tcBorders>
              <w:top w:val="nil"/>
              <w:left w:val="nil"/>
              <w:bottom w:val="nil"/>
              <w:right w:val="nil"/>
            </w:tcBorders>
            <w:shd w:val="clear" w:color="000000" w:fill="BFBFBF"/>
            <w:vAlign w:val="center"/>
            <w:hideMark/>
          </w:tcPr>
          <w:p w14:paraId="1394D9C7" w14:textId="32ACE453" w:rsidR="00ED135D" w:rsidRPr="0009362B" w:rsidRDefault="00ED135D" w:rsidP="00ED135D">
            <w:pPr>
              <w:spacing w:after="0" w:line="240" w:lineRule="auto"/>
              <w:jc w:val="center"/>
              <w:rPr>
                <w:rFonts w:eastAsia="Times New Roman" w:cs="Times New Roman"/>
                <w:b/>
                <w:bCs/>
                <w:color w:val="000000"/>
                <w:sz w:val="18"/>
                <w:szCs w:val="18"/>
                <w:lang w:eastAsia="sk-SK"/>
              </w:rPr>
            </w:pPr>
            <w:r w:rsidRPr="0009362B">
              <w:rPr>
                <w:rFonts w:eastAsia="Times New Roman" w:cs="Times New Roman"/>
                <w:b/>
                <w:bCs/>
                <w:color w:val="000000"/>
                <w:sz w:val="18"/>
                <w:szCs w:val="18"/>
                <w:lang w:eastAsia="sk-SK"/>
              </w:rPr>
              <w:t>2018</w:t>
            </w:r>
          </w:p>
        </w:tc>
        <w:tc>
          <w:tcPr>
            <w:tcW w:w="992" w:type="dxa"/>
            <w:tcBorders>
              <w:top w:val="nil"/>
              <w:left w:val="nil"/>
              <w:bottom w:val="nil"/>
              <w:right w:val="nil"/>
            </w:tcBorders>
            <w:shd w:val="clear" w:color="000000" w:fill="BFBFBF"/>
            <w:vAlign w:val="center"/>
            <w:hideMark/>
          </w:tcPr>
          <w:p w14:paraId="5073572C" w14:textId="77777777" w:rsidR="00ED135D" w:rsidRPr="0009362B" w:rsidRDefault="00ED135D" w:rsidP="00ED135D">
            <w:pPr>
              <w:spacing w:after="0" w:line="240" w:lineRule="auto"/>
              <w:jc w:val="center"/>
              <w:rPr>
                <w:rFonts w:eastAsia="Times New Roman" w:cs="Times New Roman"/>
                <w:b/>
                <w:bCs/>
                <w:color w:val="000000"/>
                <w:sz w:val="18"/>
                <w:szCs w:val="18"/>
                <w:lang w:eastAsia="sk-SK"/>
              </w:rPr>
            </w:pPr>
            <w:r w:rsidRPr="0009362B">
              <w:rPr>
                <w:rFonts w:eastAsia="Times New Roman" w:cs="Times New Roman"/>
                <w:b/>
                <w:bCs/>
                <w:color w:val="000000"/>
                <w:sz w:val="18"/>
                <w:szCs w:val="18"/>
                <w:lang w:eastAsia="sk-SK"/>
              </w:rPr>
              <w:t> </w:t>
            </w:r>
          </w:p>
        </w:tc>
      </w:tr>
      <w:tr w:rsidR="00ED135D" w:rsidRPr="0009362B" w14:paraId="0D6C0835" w14:textId="77777777" w:rsidTr="00ED135D">
        <w:trPr>
          <w:trHeight w:val="315"/>
        </w:trPr>
        <w:tc>
          <w:tcPr>
            <w:tcW w:w="2140" w:type="dxa"/>
            <w:tcBorders>
              <w:top w:val="nil"/>
              <w:left w:val="nil"/>
              <w:bottom w:val="single" w:sz="8" w:space="0" w:color="auto"/>
              <w:right w:val="nil"/>
            </w:tcBorders>
            <w:shd w:val="clear" w:color="000000" w:fill="BFBFBF"/>
            <w:vAlign w:val="center"/>
            <w:hideMark/>
          </w:tcPr>
          <w:p w14:paraId="0F3167CD" w14:textId="77777777" w:rsidR="00ED135D" w:rsidRPr="0009362B" w:rsidRDefault="00ED135D" w:rsidP="00ED135D">
            <w:pPr>
              <w:spacing w:after="0" w:line="240" w:lineRule="auto"/>
              <w:jc w:val="left"/>
              <w:rPr>
                <w:rFonts w:eastAsia="Times New Roman" w:cs="Times New Roman"/>
                <w:b/>
                <w:bCs/>
                <w:color w:val="000000"/>
                <w:sz w:val="18"/>
                <w:szCs w:val="18"/>
                <w:lang w:eastAsia="sk-SK"/>
              </w:rPr>
            </w:pPr>
            <w:r w:rsidRPr="0009362B">
              <w:rPr>
                <w:rFonts w:eastAsia="Times New Roman" w:cs="Times New Roman"/>
                <w:b/>
                <w:bCs/>
                <w:color w:val="000000"/>
                <w:sz w:val="18"/>
                <w:szCs w:val="18"/>
                <w:lang w:eastAsia="sk-SK"/>
              </w:rPr>
              <w:t> </w:t>
            </w:r>
          </w:p>
        </w:tc>
        <w:tc>
          <w:tcPr>
            <w:tcW w:w="1121" w:type="dxa"/>
            <w:tcBorders>
              <w:top w:val="nil"/>
              <w:left w:val="nil"/>
              <w:bottom w:val="single" w:sz="8" w:space="0" w:color="auto"/>
              <w:right w:val="nil"/>
            </w:tcBorders>
            <w:shd w:val="clear" w:color="000000" w:fill="BFBFBF"/>
            <w:vAlign w:val="center"/>
            <w:hideMark/>
          </w:tcPr>
          <w:p w14:paraId="7567DFC9" w14:textId="77777777" w:rsidR="00ED135D" w:rsidRPr="0009362B" w:rsidRDefault="00ED135D" w:rsidP="00ED135D">
            <w:pPr>
              <w:spacing w:after="0" w:line="240" w:lineRule="auto"/>
              <w:jc w:val="center"/>
              <w:rPr>
                <w:rFonts w:eastAsia="Times New Roman" w:cs="Times New Roman"/>
                <w:b/>
                <w:bCs/>
                <w:color w:val="000000"/>
                <w:sz w:val="18"/>
                <w:szCs w:val="18"/>
                <w:lang w:eastAsia="sk-SK"/>
              </w:rPr>
            </w:pPr>
            <w:r w:rsidRPr="0009362B">
              <w:rPr>
                <w:rFonts w:eastAsia="Times New Roman" w:cs="Times New Roman"/>
                <w:b/>
                <w:bCs/>
                <w:color w:val="000000"/>
                <w:sz w:val="18"/>
                <w:szCs w:val="18"/>
                <w:lang w:eastAsia="sk-SK"/>
              </w:rPr>
              <w:t>1</w:t>
            </w:r>
          </w:p>
        </w:tc>
        <w:tc>
          <w:tcPr>
            <w:tcW w:w="992" w:type="dxa"/>
            <w:tcBorders>
              <w:top w:val="nil"/>
              <w:left w:val="nil"/>
              <w:bottom w:val="single" w:sz="8" w:space="0" w:color="auto"/>
              <w:right w:val="nil"/>
            </w:tcBorders>
            <w:shd w:val="clear" w:color="000000" w:fill="BFBFBF"/>
            <w:vAlign w:val="center"/>
            <w:hideMark/>
          </w:tcPr>
          <w:p w14:paraId="2D012AB1" w14:textId="77777777" w:rsidR="00ED135D" w:rsidRPr="0009362B" w:rsidRDefault="00ED135D" w:rsidP="00ED135D">
            <w:pPr>
              <w:spacing w:after="0" w:line="240" w:lineRule="auto"/>
              <w:jc w:val="center"/>
              <w:rPr>
                <w:rFonts w:eastAsia="Times New Roman" w:cs="Times New Roman"/>
                <w:b/>
                <w:bCs/>
                <w:color w:val="000000"/>
                <w:sz w:val="18"/>
                <w:szCs w:val="18"/>
                <w:lang w:eastAsia="sk-SK"/>
              </w:rPr>
            </w:pPr>
            <w:r w:rsidRPr="0009362B">
              <w:rPr>
                <w:rFonts w:eastAsia="Times New Roman" w:cs="Times New Roman"/>
                <w:b/>
                <w:bCs/>
                <w:color w:val="000000"/>
                <w:sz w:val="18"/>
                <w:szCs w:val="18"/>
                <w:lang w:eastAsia="sk-SK"/>
              </w:rPr>
              <w:t>2</w:t>
            </w:r>
          </w:p>
        </w:tc>
        <w:tc>
          <w:tcPr>
            <w:tcW w:w="992" w:type="dxa"/>
            <w:tcBorders>
              <w:top w:val="nil"/>
              <w:left w:val="nil"/>
              <w:bottom w:val="single" w:sz="8" w:space="0" w:color="auto"/>
              <w:right w:val="nil"/>
            </w:tcBorders>
            <w:shd w:val="clear" w:color="000000" w:fill="BFBFBF"/>
            <w:vAlign w:val="center"/>
            <w:hideMark/>
          </w:tcPr>
          <w:p w14:paraId="20CF87C4" w14:textId="77777777" w:rsidR="00ED135D" w:rsidRPr="0009362B" w:rsidRDefault="00ED135D" w:rsidP="00ED135D">
            <w:pPr>
              <w:spacing w:after="0" w:line="240" w:lineRule="auto"/>
              <w:jc w:val="center"/>
              <w:rPr>
                <w:rFonts w:eastAsia="Times New Roman" w:cs="Times New Roman"/>
                <w:b/>
                <w:bCs/>
                <w:color w:val="000000"/>
                <w:sz w:val="18"/>
                <w:szCs w:val="18"/>
                <w:lang w:eastAsia="sk-SK"/>
              </w:rPr>
            </w:pPr>
            <w:r w:rsidRPr="0009362B">
              <w:rPr>
                <w:rFonts w:eastAsia="Times New Roman" w:cs="Times New Roman"/>
                <w:b/>
                <w:bCs/>
                <w:color w:val="000000"/>
                <w:sz w:val="18"/>
                <w:szCs w:val="18"/>
                <w:lang w:eastAsia="sk-SK"/>
              </w:rPr>
              <w:t>3</w:t>
            </w:r>
          </w:p>
        </w:tc>
        <w:tc>
          <w:tcPr>
            <w:tcW w:w="1134" w:type="dxa"/>
            <w:tcBorders>
              <w:top w:val="nil"/>
              <w:left w:val="nil"/>
              <w:bottom w:val="single" w:sz="8" w:space="0" w:color="auto"/>
              <w:right w:val="nil"/>
            </w:tcBorders>
            <w:shd w:val="clear" w:color="000000" w:fill="BFBFBF"/>
            <w:vAlign w:val="center"/>
            <w:hideMark/>
          </w:tcPr>
          <w:p w14:paraId="54983E46" w14:textId="77777777" w:rsidR="00ED135D" w:rsidRPr="0009362B" w:rsidRDefault="00ED135D" w:rsidP="00ED135D">
            <w:pPr>
              <w:spacing w:after="0" w:line="240" w:lineRule="auto"/>
              <w:jc w:val="center"/>
              <w:rPr>
                <w:rFonts w:eastAsia="Times New Roman" w:cs="Times New Roman"/>
                <w:b/>
                <w:bCs/>
                <w:color w:val="000000"/>
                <w:sz w:val="18"/>
                <w:szCs w:val="18"/>
                <w:lang w:eastAsia="sk-SK"/>
              </w:rPr>
            </w:pPr>
            <w:r w:rsidRPr="0009362B">
              <w:rPr>
                <w:rFonts w:eastAsia="Times New Roman" w:cs="Times New Roman"/>
                <w:b/>
                <w:bCs/>
                <w:color w:val="000000"/>
                <w:sz w:val="18"/>
                <w:szCs w:val="18"/>
                <w:lang w:eastAsia="sk-SK"/>
              </w:rPr>
              <w:t>4</w:t>
            </w:r>
          </w:p>
        </w:tc>
        <w:tc>
          <w:tcPr>
            <w:tcW w:w="1134" w:type="dxa"/>
            <w:tcBorders>
              <w:top w:val="nil"/>
              <w:left w:val="nil"/>
              <w:bottom w:val="single" w:sz="8" w:space="0" w:color="auto"/>
              <w:right w:val="nil"/>
            </w:tcBorders>
            <w:shd w:val="clear" w:color="000000" w:fill="BFBFBF"/>
            <w:vAlign w:val="center"/>
            <w:hideMark/>
          </w:tcPr>
          <w:p w14:paraId="6F99D5A0" w14:textId="77777777" w:rsidR="00ED135D" w:rsidRPr="0009362B" w:rsidRDefault="00ED135D" w:rsidP="00ED135D">
            <w:pPr>
              <w:spacing w:after="0" w:line="240" w:lineRule="auto"/>
              <w:jc w:val="center"/>
              <w:rPr>
                <w:rFonts w:eastAsia="Times New Roman" w:cs="Times New Roman"/>
                <w:b/>
                <w:bCs/>
                <w:color w:val="000000"/>
                <w:sz w:val="18"/>
                <w:szCs w:val="18"/>
                <w:lang w:eastAsia="sk-SK"/>
              </w:rPr>
            </w:pPr>
            <w:r w:rsidRPr="0009362B">
              <w:rPr>
                <w:rFonts w:eastAsia="Times New Roman" w:cs="Times New Roman"/>
                <w:b/>
                <w:bCs/>
                <w:color w:val="000000"/>
                <w:sz w:val="18"/>
                <w:szCs w:val="18"/>
                <w:lang w:eastAsia="sk-SK"/>
              </w:rPr>
              <w:t>5</w:t>
            </w:r>
          </w:p>
        </w:tc>
        <w:tc>
          <w:tcPr>
            <w:tcW w:w="992" w:type="dxa"/>
            <w:tcBorders>
              <w:top w:val="nil"/>
              <w:left w:val="nil"/>
              <w:bottom w:val="single" w:sz="8" w:space="0" w:color="auto"/>
              <w:right w:val="nil"/>
            </w:tcBorders>
            <w:shd w:val="clear" w:color="000000" w:fill="BFBFBF"/>
            <w:vAlign w:val="center"/>
            <w:hideMark/>
          </w:tcPr>
          <w:p w14:paraId="7BA53EED" w14:textId="77777777" w:rsidR="00ED135D" w:rsidRPr="0009362B" w:rsidRDefault="00ED135D" w:rsidP="00ED135D">
            <w:pPr>
              <w:spacing w:after="0" w:line="240" w:lineRule="auto"/>
              <w:jc w:val="center"/>
              <w:rPr>
                <w:rFonts w:eastAsia="Times New Roman" w:cs="Times New Roman"/>
                <w:b/>
                <w:bCs/>
                <w:color w:val="000000"/>
                <w:sz w:val="18"/>
                <w:szCs w:val="18"/>
                <w:lang w:eastAsia="sk-SK"/>
              </w:rPr>
            </w:pPr>
            <w:r w:rsidRPr="0009362B">
              <w:rPr>
                <w:rFonts w:eastAsia="Times New Roman" w:cs="Times New Roman"/>
                <w:b/>
                <w:bCs/>
                <w:color w:val="000000"/>
                <w:sz w:val="18"/>
                <w:szCs w:val="18"/>
                <w:lang w:eastAsia="sk-SK"/>
              </w:rPr>
              <w:t>6=5-3</w:t>
            </w:r>
          </w:p>
        </w:tc>
      </w:tr>
      <w:tr w:rsidR="00ED135D" w:rsidRPr="0009362B" w14:paraId="7EA02B52" w14:textId="77777777" w:rsidTr="00ED135D">
        <w:trPr>
          <w:trHeight w:val="300"/>
        </w:trPr>
        <w:tc>
          <w:tcPr>
            <w:tcW w:w="2140" w:type="dxa"/>
            <w:tcBorders>
              <w:top w:val="nil"/>
              <w:left w:val="nil"/>
              <w:bottom w:val="nil"/>
              <w:right w:val="nil"/>
            </w:tcBorders>
            <w:shd w:val="clear" w:color="auto" w:fill="auto"/>
            <w:noWrap/>
            <w:vAlign w:val="center"/>
            <w:hideMark/>
          </w:tcPr>
          <w:p w14:paraId="04838158" w14:textId="77777777" w:rsidR="00ED135D" w:rsidRPr="0009362B" w:rsidRDefault="00ED135D" w:rsidP="00ED135D">
            <w:pPr>
              <w:spacing w:after="0" w:line="240" w:lineRule="auto"/>
              <w:rPr>
                <w:rFonts w:eastAsia="Times New Roman" w:cs="Times New Roman"/>
                <w:b/>
                <w:bCs/>
                <w:color w:val="000000"/>
                <w:sz w:val="18"/>
                <w:szCs w:val="18"/>
                <w:lang w:eastAsia="sk-SK"/>
              </w:rPr>
            </w:pPr>
            <w:r w:rsidRPr="0009362B">
              <w:rPr>
                <w:rFonts w:eastAsia="Times New Roman" w:cs="Times New Roman"/>
                <w:b/>
                <w:bCs/>
                <w:color w:val="000000"/>
                <w:sz w:val="18"/>
                <w:szCs w:val="18"/>
                <w:lang w:eastAsia="sk-SK"/>
              </w:rPr>
              <w:t>Príjmy spolu</w:t>
            </w:r>
          </w:p>
        </w:tc>
        <w:tc>
          <w:tcPr>
            <w:tcW w:w="1121" w:type="dxa"/>
            <w:tcBorders>
              <w:top w:val="nil"/>
              <w:left w:val="nil"/>
              <w:bottom w:val="nil"/>
              <w:right w:val="nil"/>
            </w:tcBorders>
            <w:shd w:val="clear" w:color="auto" w:fill="auto"/>
            <w:vAlign w:val="center"/>
            <w:hideMark/>
          </w:tcPr>
          <w:p w14:paraId="4405C743" w14:textId="77777777" w:rsidR="00ED135D" w:rsidRPr="0009362B" w:rsidRDefault="00ED135D" w:rsidP="00ED135D">
            <w:pPr>
              <w:spacing w:after="0" w:line="240" w:lineRule="auto"/>
              <w:jc w:val="right"/>
              <w:rPr>
                <w:rFonts w:eastAsia="Times New Roman" w:cs="Times New Roman"/>
                <w:b/>
                <w:bCs/>
                <w:color w:val="000000"/>
                <w:sz w:val="18"/>
                <w:szCs w:val="18"/>
                <w:lang w:eastAsia="sk-SK"/>
              </w:rPr>
            </w:pPr>
            <w:r w:rsidRPr="0009362B">
              <w:rPr>
                <w:rFonts w:eastAsia="Times New Roman" w:cs="Times New Roman"/>
                <w:b/>
                <w:bCs/>
                <w:color w:val="000000"/>
                <w:sz w:val="18"/>
                <w:szCs w:val="18"/>
                <w:lang w:eastAsia="sk-SK"/>
              </w:rPr>
              <w:t>14 275 917</w:t>
            </w:r>
          </w:p>
        </w:tc>
        <w:tc>
          <w:tcPr>
            <w:tcW w:w="992" w:type="dxa"/>
            <w:tcBorders>
              <w:top w:val="nil"/>
              <w:left w:val="nil"/>
              <w:bottom w:val="nil"/>
              <w:right w:val="nil"/>
            </w:tcBorders>
            <w:shd w:val="clear" w:color="auto" w:fill="auto"/>
            <w:noWrap/>
            <w:vAlign w:val="center"/>
            <w:hideMark/>
          </w:tcPr>
          <w:p w14:paraId="2CBA3B52" w14:textId="77777777" w:rsidR="00ED135D" w:rsidRPr="0009362B" w:rsidRDefault="00ED135D" w:rsidP="00ED135D">
            <w:pPr>
              <w:spacing w:after="0" w:line="240" w:lineRule="auto"/>
              <w:jc w:val="right"/>
              <w:rPr>
                <w:rFonts w:eastAsia="Times New Roman" w:cs="Times New Roman"/>
                <w:b/>
                <w:bCs/>
                <w:color w:val="000000"/>
                <w:sz w:val="18"/>
                <w:szCs w:val="18"/>
                <w:lang w:eastAsia="sk-SK"/>
              </w:rPr>
            </w:pPr>
            <w:r w:rsidRPr="0009362B">
              <w:rPr>
                <w:rFonts w:eastAsia="Times New Roman" w:cs="Times New Roman"/>
                <w:b/>
                <w:bCs/>
                <w:color w:val="000000"/>
                <w:sz w:val="18"/>
                <w:szCs w:val="18"/>
                <w:lang w:eastAsia="sk-SK"/>
              </w:rPr>
              <w:t>14 014 129</w:t>
            </w:r>
          </w:p>
        </w:tc>
        <w:tc>
          <w:tcPr>
            <w:tcW w:w="992" w:type="dxa"/>
            <w:tcBorders>
              <w:top w:val="nil"/>
              <w:left w:val="nil"/>
              <w:bottom w:val="nil"/>
              <w:right w:val="nil"/>
            </w:tcBorders>
            <w:shd w:val="clear" w:color="auto" w:fill="auto"/>
            <w:noWrap/>
            <w:vAlign w:val="center"/>
            <w:hideMark/>
          </w:tcPr>
          <w:p w14:paraId="7F82746E" w14:textId="77777777" w:rsidR="00ED135D" w:rsidRPr="0009362B" w:rsidRDefault="00ED135D" w:rsidP="00ED135D">
            <w:pPr>
              <w:spacing w:after="0" w:line="240" w:lineRule="auto"/>
              <w:jc w:val="right"/>
              <w:rPr>
                <w:rFonts w:eastAsia="Times New Roman" w:cs="Times New Roman"/>
                <w:b/>
                <w:bCs/>
                <w:color w:val="000000"/>
                <w:sz w:val="18"/>
                <w:szCs w:val="18"/>
                <w:lang w:eastAsia="sk-SK"/>
              </w:rPr>
            </w:pPr>
            <w:r w:rsidRPr="0009362B">
              <w:rPr>
                <w:rFonts w:eastAsia="Times New Roman" w:cs="Times New Roman"/>
                <w:b/>
                <w:bCs/>
                <w:color w:val="000000"/>
                <w:sz w:val="18"/>
                <w:szCs w:val="18"/>
                <w:lang w:eastAsia="sk-SK"/>
              </w:rPr>
              <w:t>13 982 810</w:t>
            </w:r>
          </w:p>
        </w:tc>
        <w:tc>
          <w:tcPr>
            <w:tcW w:w="1134" w:type="dxa"/>
            <w:tcBorders>
              <w:top w:val="nil"/>
              <w:left w:val="nil"/>
              <w:bottom w:val="nil"/>
              <w:right w:val="nil"/>
            </w:tcBorders>
            <w:shd w:val="clear" w:color="auto" w:fill="auto"/>
            <w:noWrap/>
            <w:vAlign w:val="center"/>
            <w:hideMark/>
          </w:tcPr>
          <w:p w14:paraId="4AB99047" w14:textId="77777777" w:rsidR="00ED135D" w:rsidRPr="0009362B" w:rsidRDefault="00ED135D" w:rsidP="00ED135D">
            <w:pPr>
              <w:spacing w:after="0" w:line="240" w:lineRule="auto"/>
              <w:jc w:val="right"/>
              <w:rPr>
                <w:rFonts w:eastAsia="Times New Roman" w:cs="Times New Roman"/>
                <w:b/>
                <w:bCs/>
                <w:color w:val="000000"/>
                <w:sz w:val="18"/>
                <w:szCs w:val="18"/>
                <w:lang w:eastAsia="sk-SK"/>
              </w:rPr>
            </w:pPr>
            <w:r w:rsidRPr="0009362B">
              <w:rPr>
                <w:rFonts w:eastAsia="Times New Roman" w:cs="Times New Roman"/>
                <w:b/>
                <w:bCs/>
                <w:color w:val="000000"/>
                <w:sz w:val="18"/>
                <w:szCs w:val="18"/>
                <w:lang w:eastAsia="sk-SK"/>
              </w:rPr>
              <w:t>14 767 986</w:t>
            </w:r>
          </w:p>
        </w:tc>
        <w:tc>
          <w:tcPr>
            <w:tcW w:w="1134" w:type="dxa"/>
            <w:tcBorders>
              <w:top w:val="nil"/>
              <w:left w:val="nil"/>
              <w:bottom w:val="nil"/>
              <w:right w:val="nil"/>
            </w:tcBorders>
            <w:shd w:val="clear" w:color="auto" w:fill="auto"/>
            <w:vAlign w:val="center"/>
            <w:hideMark/>
          </w:tcPr>
          <w:p w14:paraId="4BE0D86C" w14:textId="77777777" w:rsidR="00ED135D" w:rsidRPr="0009362B" w:rsidRDefault="00ED135D" w:rsidP="00ED135D">
            <w:pPr>
              <w:spacing w:after="0" w:line="240" w:lineRule="auto"/>
              <w:jc w:val="right"/>
              <w:rPr>
                <w:rFonts w:eastAsia="Times New Roman" w:cs="Times New Roman"/>
                <w:b/>
                <w:bCs/>
                <w:color w:val="000000"/>
                <w:sz w:val="18"/>
                <w:szCs w:val="18"/>
                <w:lang w:eastAsia="sk-SK"/>
              </w:rPr>
            </w:pPr>
            <w:r w:rsidRPr="0009362B">
              <w:rPr>
                <w:rFonts w:eastAsia="Times New Roman" w:cs="Times New Roman"/>
                <w:b/>
                <w:bCs/>
                <w:color w:val="000000"/>
                <w:sz w:val="18"/>
                <w:szCs w:val="18"/>
                <w:lang w:eastAsia="sk-SK"/>
              </w:rPr>
              <w:t>15 381 013</w:t>
            </w:r>
          </w:p>
        </w:tc>
        <w:tc>
          <w:tcPr>
            <w:tcW w:w="992" w:type="dxa"/>
            <w:tcBorders>
              <w:top w:val="nil"/>
              <w:left w:val="nil"/>
              <w:bottom w:val="nil"/>
              <w:right w:val="nil"/>
            </w:tcBorders>
            <w:shd w:val="clear" w:color="auto" w:fill="auto"/>
            <w:noWrap/>
            <w:vAlign w:val="center"/>
            <w:hideMark/>
          </w:tcPr>
          <w:p w14:paraId="0BDB7EE7" w14:textId="77777777" w:rsidR="00ED135D" w:rsidRPr="0009362B" w:rsidRDefault="00ED135D" w:rsidP="00ED135D">
            <w:pPr>
              <w:spacing w:after="0" w:line="240" w:lineRule="auto"/>
              <w:jc w:val="right"/>
              <w:rPr>
                <w:rFonts w:eastAsia="Times New Roman" w:cs="Times New Roman"/>
                <w:b/>
                <w:bCs/>
                <w:color w:val="000000"/>
                <w:sz w:val="18"/>
                <w:szCs w:val="18"/>
                <w:lang w:eastAsia="sk-SK"/>
              </w:rPr>
            </w:pPr>
            <w:r w:rsidRPr="0009362B">
              <w:rPr>
                <w:rFonts w:eastAsia="Times New Roman" w:cs="Times New Roman"/>
                <w:b/>
                <w:bCs/>
                <w:color w:val="000000"/>
                <w:sz w:val="18"/>
                <w:szCs w:val="18"/>
                <w:lang w:eastAsia="sk-SK"/>
              </w:rPr>
              <w:t>1 398 203</w:t>
            </w:r>
          </w:p>
        </w:tc>
      </w:tr>
      <w:tr w:rsidR="00ED135D" w:rsidRPr="0009362B" w14:paraId="5F5F07C6" w14:textId="77777777" w:rsidTr="00ED135D">
        <w:trPr>
          <w:trHeight w:val="300"/>
        </w:trPr>
        <w:tc>
          <w:tcPr>
            <w:tcW w:w="2140" w:type="dxa"/>
            <w:tcBorders>
              <w:top w:val="nil"/>
              <w:left w:val="nil"/>
              <w:bottom w:val="nil"/>
              <w:right w:val="nil"/>
            </w:tcBorders>
            <w:shd w:val="clear" w:color="auto" w:fill="auto"/>
            <w:noWrap/>
            <w:vAlign w:val="center"/>
            <w:hideMark/>
          </w:tcPr>
          <w:p w14:paraId="61AAECF6" w14:textId="77777777" w:rsidR="00ED135D" w:rsidRPr="0009362B" w:rsidRDefault="00ED135D" w:rsidP="00ED135D">
            <w:pPr>
              <w:spacing w:after="0" w:line="240" w:lineRule="auto"/>
              <w:rPr>
                <w:rFonts w:eastAsia="Times New Roman" w:cs="Times New Roman"/>
                <w:color w:val="000000"/>
                <w:sz w:val="18"/>
                <w:szCs w:val="18"/>
                <w:lang w:eastAsia="sk-SK"/>
              </w:rPr>
            </w:pPr>
            <w:r w:rsidRPr="0009362B">
              <w:rPr>
                <w:rFonts w:eastAsia="Times New Roman" w:cs="Times New Roman"/>
                <w:color w:val="000000"/>
                <w:sz w:val="18"/>
                <w:szCs w:val="18"/>
                <w:lang w:eastAsia="sk-SK"/>
              </w:rPr>
              <w:t>v tom: daňové príjmy</w:t>
            </w:r>
          </w:p>
        </w:tc>
        <w:tc>
          <w:tcPr>
            <w:tcW w:w="1121" w:type="dxa"/>
            <w:tcBorders>
              <w:top w:val="nil"/>
              <w:left w:val="nil"/>
              <w:bottom w:val="nil"/>
              <w:right w:val="nil"/>
            </w:tcBorders>
            <w:shd w:val="clear" w:color="auto" w:fill="auto"/>
            <w:vAlign w:val="center"/>
            <w:hideMark/>
          </w:tcPr>
          <w:p w14:paraId="75518317" w14:textId="77777777" w:rsidR="00ED135D" w:rsidRPr="0009362B" w:rsidRDefault="00ED135D" w:rsidP="00ED135D">
            <w:pPr>
              <w:spacing w:after="0" w:line="240" w:lineRule="auto"/>
              <w:jc w:val="right"/>
              <w:rPr>
                <w:rFonts w:eastAsia="Times New Roman" w:cs="Times New Roman"/>
                <w:color w:val="000000"/>
                <w:sz w:val="18"/>
                <w:szCs w:val="18"/>
                <w:lang w:eastAsia="sk-SK"/>
              </w:rPr>
            </w:pPr>
            <w:r w:rsidRPr="0009362B">
              <w:rPr>
                <w:rFonts w:eastAsia="Times New Roman" w:cs="Times New Roman"/>
                <w:color w:val="000000"/>
                <w:sz w:val="18"/>
                <w:szCs w:val="18"/>
                <w:lang w:eastAsia="sk-SK"/>
              </w:rPr>
              <w:t>11 068 156</w:t>
            </w:r>
          </w:p>
        </w:tc>
        <w:tc>
          <w:tcPr>
            <w:tcW w:w="992" w:type="dxa"/>
            <w:tcBorders>
              <w:top w:val="nil"/>
              <w:left w:val="nil"/>
              <w:bottom w:val="nil"/>
              <w:right w:val="nil"/>
            </w:tcBorders>
            <w:shd w:val="clear" w:color="auto" w:fill="auto"/>
            <w:noWrap/>
            <w:vAlign w:val="center"/>
            <w:hideMark/>
          </w:tcPr>
          <w:p w14:paraId="531EEE82" w14:textId="77777777" w:rsidR="00ED135D" w:rsidRPr="0009362B" w:rsidRDefault="00ED135D" w:rsidP="00ED135D">
            <w:pPr>
              <w:spacing w:after="0" w:line="240" w:lineRule="auto"/>
              <w:jc w:val="right"/>
              <w:rPr>
                <w:rFonts w:eastAsia="Times New Roman" w:cs="Times New Roman"/>
                <w:color w:val="000000"/>
                <w:sz w:val="18"/>
                <w:szCs w:val="18"/>
                <w:lang w:eastAsia="sk-SK"/>
              </w:rPr>
            </w:pPr>
            <w:r w:rsidRPr="0009362B">
              <w:rPr>
                <w:rFonts w:eastAsia="Times New Roman" w:cs="Times New Roman"/>
                <w:color w:val="000000"/>
                <w:sz w:val="18"/>
                <w:szCs w:val="18"/>
                <w:lang w:eastAsia="sk-SK"/>
              </w:rPr>
              <w:t>11 152 310</w:t>
            </w:r>
          </w:p>
        </w:tc>
        <w:tc>
          <w:tcPr>
            <w:tcW w:w="992" w:type="dxa"/>
            <w:tcBorders>
              <w:top w:val="nil"/>
              <w:left w:val="nil"/>
              <w:bottom w:val="nil"/>
              <w:right w:val="nil"/>
            </w:tcBorders>
            <w:shd w:val="clear" w:color="auto" w:fill="auto"/>
            <w:noWrap/>
            <w:vAlign w:val="center"/>
            <w:hideMark/>
          </w:tcPr>
          <w:p w14:paraId="64B0D375" w14:textId="77777777" w:rsidR="00ED135D" w:rsidRPr="0009362B" w:rsidRDefault="00ED135D" w:rsidP="00ED135D">
            <w:pPr>
              <w:spacing w:after="0" w:line="240" w:lineRule="auto"/>
              <w:jc w:val="right"/>
              <w:rPr>
                <w:rFonts w:eastAsia="Times New Roman" w:cs="Times New Roman"/>
                <w:color w:val="000000"/>
                <w:sz w:val="18"/>
                <w:szCs w:val="18"/>
                <w:lang w:eastAsia="sk-SK"/>
              </w:rPr>
            </w:pPr>
            <w:r w:rsidRPr="0009362B">
              <w:rPr>
                <w:rFonts w:eastAsia="Times New Roman" w:cs="Times New Roman"/>
                <w:color w:val="000000"/>
                <w:sz w:val="18"/>
                <w:szCs w:val="18"/>
                <w:lang w:eastAsia="sk-SK"/>
              </w:rPr>
              <w:t>11 361 518</w:t>
            </w:r>
          </w:p>
        </w:tc>
        <w:tc>
          <w:tcPr>
            <w:tcW w:w="1134" w:type="dxa"/>
            <w:tcBorders>
              <w:top w:val="nil"/>
              <w:left w:val="nil"/>
              <w:bottom w:val="nil"/>
              <w:right w:val="nil"/>
            </w:tcBorders>
            <w:shd w:val="clear" w:color="auto" w:fill="auto"/>
            <w:noWrap/>
            <w:vAlign w:val="center"/>
            <w:hideMark/>
          </w:tcPr>
          <w:p w14:paraId="6EAD0E5C" w14:textId="77777777" w:rsidR="00ED135D" w:rsidRPr="0009362B" w:rsidRDefault="00ED135D" w:rsidP="00ED135D">
            <w:pPr>
              <w:spacing w:after="0" w:line="240" w:lineRule="auto"/>
              <w:jc w:val="right"/>
              <w:rPr>
                <w:rFonts w:eastAsia="Times New Roman" w:cs="Times New Roman"/>
                <w:color w:val="000000"/>
                <w:sz w:val="18"/>
                <w:szCs w:val="18"/>
                <w:lang w:eastAsia="sk-SK"/>
              </w:rPr>
            </w:pPr>
            <w:r w:rsidRPr="0009362B">
              <w:rPr>
                <w:rFonts w:eastAsia="Times New Roman" w:cs="Times New Roman"/>
                <w:color w:val="000000"/>
                <w:sz w:val="18"/>
                <w:szCs w:val="18"/>
                <w:lang w:eastAsia="sk-SK"/>
              </w:rPr>
              <w:t>11 361 518</w:t>
            </w:r>
          </w:p>
        </w:tc>
        <w:tc>
          <w:tcPr>
            <w:tcW w:w="1134" w:type="dxa"/>
            <w:tcBorders>
              <w:top w:val="nil"/>
              <w:left w:val="nil"/>
              <w:bottom w:val="nil"/>
              <w:right w:val="nil"/>
            </w:tcBorders>
            <w:shd w:val="clear" w:color="auto" w:fill="auto"/>
            <w:noWrap/>
            <w:vAlign w:val="center"/>
            <w:hideMark/>
          </w:tcPr>
          <w:p w14:paraId="000CDDFB" w14:textId="77777777" w:rsidR="00ED135D" w:rsidRPr="0009362B" w:rsidRDefault="00ED135D" w:rsidP="00ED135D">
            <w:pPr>
              <w:spacing w:after="0" w:line="240" w:lineRule="auto"/>
              <w:jc w:val="right"/>
              <w:rPr>
                <w:rFonts w:eastAsia="Times New Roman" w:cs="Times New Roman"/>
                <w:color w:val="000000"/>
                <w:sz w:val="18"/>
                <w:szCs w:val="18"/>
                <w:lang w:eastAsia="sk-SK"/>
              </w:rPr>
            </w:pPr>
            <w:r w:rsidRPr="0009362B">
              <w:rPr>
                <w:rFonts w:eastAsia="Times New Roman" w:cs="Times New Roman"/>
                <w:color w:val="000000"/>
                <w:sz w:val="18"/>
                <w:szCs w:val="18"/>
                <w:lang w:eastAsia="sk-SK"/>
              </w:rPr>
              <w:t>11 965 782</w:t>
            </w:r>
          </w:p>
        </w:tc>
        <w:tc>
          <w:tcPr>
            <w:tcW w:w="992" w:type="dxa"/>
            <w:tcBorders>
              <w:top w:val="nil"/>
              <w:left w:val="nil"/>
              <w:bottom w:val="nil"/>
              <w:right w:val="nil"/>
            </w:tcBorders>
            <w:shd w:val="clear" w:color="auto" w:fill="auto"/>
            <w:noWrap/>
            <w:vAlign w:val="center"/>
            <w:hideMark/>
          </w:tcPr>
          <w:p w14:paraId="08AC91B8" w14:textId="77777777" w:rsidR="00ED135D" w:rsidRPr="0009362B" w:rsidRDefault="00ED135D" w:rsidP="00ED135D">
            <w:pPr>
              <w:spacing w:after="0" w:line="240" w:lineRule="auto"/>
              <w:jc w:val="right"/>
              <w:rPr>
                <w:rFonts w:eastAsia="Times New Roman" w:cs="Times New Roman"/>
                <w:b/>
                <w:bCs/>
                <w:color w:val="000000"/>
                <w:sz w:val="18"/>
                <w:szCs w:val="18"/>
                <w:lang w:eastAsia="sk-SK"/>
              </w:rPr>
            </w:pPr>
            <w:r w:rsidRPr="0009362B">
              <w:rPr>
                <w:rFonts w:eastAsia="Times New Roman" w:cs="Times New Roman"/>
                <w:b/>
                <w:bCs/>
                <w:color w:val="000000"/>
                <w:sz w:val="18"/>
                <w:szCs w:val="18"/>
                <w:lang w:eastAsia="sk-SK"/>
              </w:rPr>
              <w:t>604 264</w:t>
            </w:r>
          </w:p>
        </w:tc>
      </w:tr>
      <w:tr w:rsidR="00ED135D" w:rsidRPr="0009362B" w14:paraId="37C5B500" w14:textId="77777777" w:rsidTr="00ED135D">
        <w:trPr>
          <w:trHeight w:val="300"/>
        </w:trPr>
        <w:tc>
          <w:tcPr>
            <w:tcW w:w="2140" w:type="dxa"/>
            <w:tcBorders>
              <w:top w:val="nil"/>
              <w:left w:val="nil"/>
              <w:bottom w:val="nil"/>
              <w:right w:val="nil"/>
            </w:tcBorders>
            <w:shd w:val="clear" w:color="auto" w:fill="auto"/>
            <w:noWrap/>
            <w:vAlign w:val="center"/>
            <w:hideMark/>
          </w:tcPr>
          <w:p w14:paraId="5BBA2CCF" w14:textId="77777777" w:rsidR="00ED135D" w:rsidRPr="0009362B" w:rsidRDefault="00ED135D" w:rsidP="00ED135D">
            <w:pPr>
              <w:spacing w:after="0" w:line="240" w:lineRule="auto"/>
              <w:rPr>
                <w:rFonts w:eastAsia="Times New Roman" w:cs="Times New Roman"/>
                <w:color w:val="000000"/>
                <w:sz w:val="18"/>
                <w:szCs w:val="18"/>
                <w:lang w:eastAsia="sk-SK"/>
              </w:rPr>
            </w:pPr>
            <w:r w:rsidRPr="0009362B">
              <w:rPr>
                <w:rFonts w:eastAsia="Times New Roman" w:cs="Times New Roman"/>
                <w:color w:val="000000"/>
                <w:sz w:val="18"/>
                <w:szCs w:val="18"/>
                <w:lang w:eastAsia="sk-SK"/>
              </w:rPr>
              <w:t xml:space="preserve">            nedaňové príjmy</w:t>
            </w:r>
          </w:p>
        </w:tc>
        <w:tc>
          <w:tcPr>
            <w:tcW w:w="1121" w:type="dxa"/>
            <w:tcBorders>
              <w:top w:val="nil"/>
              <w:left w:val="nil"/>
              <w:bottom w:val="nil"/>
              <w:right w:val="nil"/>
            </w:tcBorders>
            <w:shd w:val="clear" w:color="auto" w:fill="auto"/>
            <w:vAlign w:val="center"/>
            <w:hideMark/>
          </w:tcPr>
          <w:p w14:paraId="1055EED3" w14:textId="77777777" w:rsidR="00ED135D" w:rsidRPr="0009362B" w:rsidRDefault="00ED135D" w:rsidP="00ED135D">
            <w:pPr>
              <w:spacing w:after="0" w:line="240" w:lineRule="auto"/>
              <w:jc w:val="right"/>
              <w:rPr>
                <w:rFonts w:eastAsia="Times New Roman" w:cs="Times New Roman"/>
                <w:color w:val="000000"/>
                <w:sz w:val="18"/>
                <w:szCs w:val="18"/>
                <w:lang w:eastAsia="sk-SK"/>
              </w:rPr>
            </w:pPr>
            <w:r w:rsidRPr="0009362B">
              <w:rPr>
                <w:rFonts w:eastAsia="Times New Roman" w:cs="Times New Roman"/>
                <w:color w:val="000000"/>
                <w:sz w:val="18"/>
                <w:szCs w:val="18"/>
                <w:lang w:eastAsia="sk-SK"/>
              </w:rPr>
              <w:t>1 222 973</w:t>
            </w:r>
          </w:p>
        </w:tc>
        <w:tc>
          <w:tcPr>
            <w:tcW w:w="992" w:type="dxa"/>
            <w:tcBorders>
              <w:top w:val="nil"/>
              <w:left w:val="nil"/>
              <w:bottom w:val="nil"/>
              <w:right w:val="nil"/>
            </w:tcBorders>
            <w:shd w:val="clear" w:color="auto" w:fill="auto"/>
            <w:noWrap/>
            <w:vAlign w:val="center"/>
            <w:hideMark/>
          </w:tcPr>
          <w:p w14:paraId="4BB7BE2A" w14:textId="77777777" w:rsidR="00ED135D" w:rsidRPr="0009362B" w:rsidRDefault="00ED135D" w:rsidP="00ED135D">
            <w:pPr>
              <w:spacing w:after="0" w:line="240" w:lineRule="auto"/>
              <w:jc w:val="right"/>
              <w:rPr>
                <w:rFonts w:eastAsia="Times New Roman" w:cs="Times New Roman"/>
                <w:color w:val="000000"/>
                <w:sz w:val="18"/>
                <w:szCs w:val="18"/>
                <w:lang w:eastAsia="sk-SK"/>
              </w:rPr>
            </w:pPr>
            <w:r w:rsidRPr="0009362B">
              <w:rPr>
                <w:rFonts w:eastAsia="Times New Roman" w:cs="Times New Roman"/>
                <w:color w:val="000000"/>
                <w:sz w:val="18"/>
                <w:szCs w:val="18"/>
                <w:lang w:eastAsia="sk-SK"/>
              </w:rPr>
              <w:t>1 385 457</w:t>
            </w:r>
          </w:p>
        </w:tc>
        <w:tc>
          <w:tcPr>
            <w:tcW w:w="992" w:type="dxa"/>
            <w:tcBorders>
              <w:top w:val="nil"/>
              <w:left w:val="nil"/>
              <w:bottom w:val="nil"/>
              <w:right w:val="nil"/>
            </w:tcBorders>
            <w:shd w:val="clear" w:color="auto" w:fill="auto"/>
            <w:noWrap/>
            <w:vAlign w:val="center"/>
            <w:hideMark/>
          </w:tcPr>
          <w:p w14:paraId="63071CDC" w14:textId="77777777" w:rsidR="00ED135D" w:rsidRPr="0009362B" w:rsidRDefault="00ED135D" w:rsidP="00ED135D">
            <w:pPr>
              <w:spacing w:after="0" w:line="240" w:lineRule="auto"/>
              <w:jc w:val="right"/>
              <w:rPr>
                <w:rFonts w:eastAsia="Times New Roman" w:cs="Times New Roman"/>
                <w:color w:val="000000"/>
                <w:sz w:val="18"/>
                <w:szCs w:val="18"/>
                <w:lang w:eastAsia="sk-SK"/>
              </w:rPr>
            </w:pPr>
            <w:r w:rsidRPr="0009362B">
              <w:rPr>
                <w:rFonts w:eastAsia="Times New Roman" w:cs="Times New Roman"/>
                <w:color w:val="000000"/>
                <w:sz w:val="18"/>
                <w:szCs w:val="18"/>
                <w:lang w:eastAsia="sk-SK"/>
              </w:rPr>
              <w:t>1 208 819</w:t>
            </w:r>
          </w:p>
        </w:tc>
        <w:tc>
          <w:tcPr>
            <w:tcW w:w="1134" w:type="dxa"/>
            <w:tcBorders>
              <w:top w:val="nil"/>
              <w:left w:val="nil"/>
              <w:bottom w:val="nil"/>
              <w:right w:val="nil"/>
            </w:tcBorders>
            <w:shd w:val="clear" w:color="auto" w:fill="auto"/>
            <w:noWrap/>
            <w:vAlign w:val="center"/>
            <w:hideMark/>
          </w:tcPr>
          <w:p w14:paraId="22EB0854" w14:textId="77777777" w:rsidR="00ED135D" w:rsidRPr="0009362B" w:rsidRDefault="00ED135D" w:rsidP="00ED135D">
            <w:pPr>
              <w:spacing w:after="0" w:line="240" w:lineRule="auto"/>
              <w:jc w:val="right"/>
              <w:rPr>
                <w:rFonts w:eastAsia="Times New Roman" w:cs="Times New Roman"/>
                <w:color w:val="000000"/>
                <w:sz w:val="18"/>
                <w:szCs w:val="18"/>
                <w:lang w:eastAsia="sk-SK"/>
              </w:rPr>
            </w:pPr>
            <w:r w:rsidRPr="0009362B">
              <w:rPr>
                <w:rFonts w:eastAsia="Times New Roman" w:cs="Times New Roman"/>
                <w:color w:val="000000"/>
                <w:sz w:val="18"/>
                <w:szCs w:val="18"/>
                <w:lang w:eastAsia="sk-SK"/>
              </w:rPr>
              <w:t>1 203 126</w:t>
            </w:r>
          </w:p>
        </w:tc>
        <w:tc>
          <w:tcPr>
            <w:tcW w:w="1134" w:type="dxa"/>
            <w:tcBorders>
              <w:top w:val="nil"/>
              <w:left w:val="nil"/>
              <w:bottom w:val="nil"/>
              <w:right w:val="nil"/>
            </w:tcBorders>
            <w:shd w:val="clear" w:color="auto" w:fill="auto"/>
            <w:noWrap/>
            <w:vAlign w:val="center"/>
            <w:hideMark/>
          </w:tcPr>
          <w:p w14:paraId="2DAB4147" w14:textId="77777777" w:rsidR="00ED135D" w:rsidRPr="0009362B" w:rsidRDefault="00ED135D" w:rsidP="00ED135D">
            <w:pPr>
              <w:spacing w:after="0" w:line="240" w:lineRule="auto"/>
              <w:jc w:val="right"/>
              <w:rPr>
                <w:rFonts w:eastAsia="Times New Roman" w:cs="Times New Roman"/>
                <w:color w:val="000000"/>
                <w:sz w:val="18"/>
                <w:szCs w:val="18"/>
                <w:lang w:eastAsia="sk-SK"/>
              </w:rPr>
            </w:pPr>
            <w:r w:rsidRPr="0009362B">
              <w:rPr>
                <w:rFonts w:eastAsia="Times New Roman" w:cs="Times New Roman"/>
                <w:color w:val="000000"/>
                <w:sz w:val="18"/>
                <w:szCs w:val="18"/>
                <w:lang w:eastAsia="sk-SK"/>
              </w:rPr>
              <w:t>1 211 597</w:t>
            </w:r>
          </w:p>
        </w:tc>
        <w:tc>
          <w:tcPr>
            <w:tcW w:w="992" w:type="dxa"/>
            <w:tcBorders>
              <w:top w:val="nil"/>
              <w:left w:val="nil"/>
              <w:bottom w:val="nil"/>
              <w:right w:val="nil"/>
            </w:tcBorders>
            <w:shd w:val="clear" w:color="auto" w:fill="auto"/>
            <w:noWrap/>
            <w:vAlign w:val="center"/>
            <w:hideMark/>
          </w:tcPr>
          <w:p w14:paraId="1DF41491" w14:textId="77777777" w:rsidR="00ED135D" w:rsidRPr="0009362B" w:rsidRDefault="00ED135D" w:rsidP="00ED135D">
            <w:pPr>
              <w:spacing w:after="0" w:line="240" w:lineRule="auto"/>
              <w:jc w:val="right"/>
              <w:rPr>
                <w:rFonts w:eastAsia="Times New Roman" w:cs="Times New Roman"/>
                <w:b/>
                <w:bCs/>
                <w:color w:val="000000"/>
                <w:sz w:val="18"/>
                <w:szCs w:val="18"/>
                <w:lang w:eastAsia="sk-SK"/>
              </w:rPr>
            </w:pPr>
            <w:r w:rsidRPr="0009362B">
              <w:rPr>
                <w:rFonts w:eastAsia="Times New Roman" w:cs="Times New Roman"/>
                <w:b/>
                <w:bCs/>
                <w:color w:val="000000"/>
                <w:sz w:val="18"/>
                <w:szCs w:val="18"/>
                <w:lang w:eastAsia="sk-SK"/>
              </w:rPr>
              <w:t>2 778</w:t>
            </w:r>
          </w:p>
        </w:tc>
      </w:tr>
      <w:tr w:rsidR="00ED135D" w:rsidRPr="0009362B" w14:paraId="160CB325" w14:textId="77777777" w:rsidTr="00ED135D">
        <w:trPr>
          <w:trHeight w:val="300"/>
        </w:trPr>
        <w:tc>
          <w:tcPr>
            <w:tcW w:w="2140" w:type="dxa"/>
            <w:tcBorders>
              <w:top w:val="nil"/>
              <w:left w:val="nil"/>
              <w:bottom w:val="nil"/>
              <w:right w:val="nil"/>
            </w:tcBorders>
            <w:shd w:val="clear" w:color="auto" w:fill="auto"/>
            <w:noWrap/>
            <w:vAlign w:val="center"/>
            <w:hideMark/>
          </w:tcPr>
          <w:p w14:paraId="36BD8EED" w14:textId="748F0402" w:rsidR="00ED135D" w:rsidRPr="0009362B" w:rsidRDefault="00ED135D" w:rsidP="007A0434">
            <w:pPr>
              <w:spacing w:after="0" w:line="240" w:lineRule="auto"/>
              <w:rPr>
                <w:rFonts w:eastAsia="Times New Roman" w:cs="Times New Roman"/>
                <w:color w:val="000000"/>
                <w:sz w:val="18"/>
                <w:szCs w:val="18"/>
                <w:lang w:eastAsia="sk-SK"/>
              </w:rPr>
            </w:pPr>
            <w:r w:rsidRPr="0009362B">
              <w:rPr>
                <w:rFonts w:eastAsia="Times New Roman" w:cs="Times New Roman"/>
                <w:color w:val="000000"/>
                <w:sz w:val="18"/>
                <w:szCs w:val="18"/>
                <w:lang w:eastAsia="sk-SK"/>
              </w:rPr>
              <w:t xml:space="preserve">            </w:t>
            </w:r>
            <w:r w:rsidR="007A0434" w:rsidRPr="0009362B">
              <w:rPr>
                <w:rFonts w:eastAsia="Times New Roman" w:cs="Times New Roman"/>
                <w:color w:val="000000"/>
                <w:sz w:val="18"/>
                <w:szCs w:val="18"/>
                <w:lang w:eastAsia="sk-SK"/>
              </w:rPr>
              <w:t>g</w:t>
            </w:r>
            <w:r w:rsidRPr="0009362B">
              <w:rPr>
                <w:rFonts w:eastAsia="Times New Roman" w:cs="Times New Roman"/>
                <w:color w:val="000000"/>
                <w:sz w:val="18"/>
                <w:szCs w:val="18"/>
                <w:lang w:eastAsia="sk-SK"/>
              </w:rPr>
              <w:t>ranty a transfery</w:t>
            </w:r>
          </w:p>
        </w:tc>
        <w:tc>
          <w:tcPr>
            <w:tcW w:w="1121" w:type="dxa"/>
            <w:tcBorders>
              <w:top w:val="nil"/>
              <w:left w:val="nil"/>
              <w:bottom w:val="nil"/>
              <w:right w:val="nil"/>
            </w:tcBorders>
            <w:shd w:val="clear" w:color="auto" w:fill="auto"/>
            <w:vAlign w:val="center"/>
            <w:hideMark/>
          </w:tcPr>
          <w:p w14:paraId="2120F058" w14:textId="77777777" w:rsidR="00ED135D" w:rsidRPr="0009362B" w:rsidRDefault="00ED135D" w:rsidP="00ED135D">
            <w:pPr>
              <w:spacing w:after="0" w:line="240" w:lineRule="auto"/>
              <w:jc w:val="right"/>
              <w:rPr>
                <w:rFonts w:eastAsia="Times New Roman" w:cs="Times New Roman"/>
                <w:color w:val="000000"/>
                <w:sz w:val="18"/>
                <w:szCs w:val="18"/>
                <w:lang w:eastAsia="sk-SK"/>
              </w:rPr>
            </w:pPr>
            <w:r w:rsidRPr="0009362B">
              <w:rPr>
                <w:rFonts w:eastAsia="Times New Roman" w:cs="Times New Roman"/>
                <w:color w:val="000000"/>
                <w:sz w:val="18"/>
                <w:szCs w:val="18"/>
                <w:lang w:eastAsia="sk-SK"/>
              </w:rPr>
              <w:t>1 984 788</w:t>
            </w:r>
          </w:p>
        </w:tc>
        <w:tc>
          <w:tcPr>
            <w:tcW w:w="992" w:type="dxa"/>
            <w:tcBorders>
              <w:top w:val="nil"/>
              <w:left w:val="nil"/>
              <w:bottom w:val="nil"/>
              <w:right w:val="nil"/>
            </w:tcBorders>
            <w:shd w:val="clear" w:color="auto" w:fill="auto"/>
            <w:noWrap/>
            <w:vAlign w:val="center"/>
            <w:hideMark/>
          </w:tcPr>
          <w:p w14:paraId="07B11612" w14:textId="77777777" w:rsidR="00ED135D" w:rsidRPr="0009362B" w:rsidRDefault="00ED135D" w:rsidP="00ED135D">
            <w:pPr>
              <w:spacing w:after="0" w:line="240" w:lineRule="auto"/>
              <w:jc w:val="right"/>
              <w:rPr>
                <w:rFonts w:eastAsia="Times New Roman" w:cs="Times New Roman"/>
                <w:color w:val="000000"/>
                <w:sz w:val="18"/>
                <w:szCs w:val="18"/>
                <w:lang w:eastAsia="sk-SK"/>
              </w:rPr>
            </w:pPr>
            <w:r w:rsidRPr="0009362B">
              <w:rPr>
                <w:rFonts w:eastAsia="Times New Roman" w:cs="Times New Roman"/>
                <w:color w:val="000000"/>
                <w:sz w:val="18"/>
                <w:szCs w:val="18"/>
                <w:lang w:eastAsia="sk-SK"/>
              </w:rPr>
              <w:t>1 476 362</w:t>
            </w:r>
          </w:p>
        </w:tc>
        <w:tc>
          <w:tcPr>
            <w:tcW w:w="992" w:type="dxa"/>
            <w:tcBorders>
              <w:top w:val="nil"/>
              <w:left w:val="nil"/>
              <w:bottom w:val="nil"/>
              <w:right w:val="nil"/>
            </w:tcBorders>
            <w:shd w:val="clear" w:color="auto" w:fill="auto"/>
            <w:noWrap/>
            <w:vAlign w:val="center"/>
            <w:hideMark/>
          </w:tcPr>
          <w:p w14:paraId="2FA86990" w14:textId="77777777" w:rsidR="00ED135D" w:rsidRPr="0009362B" w:rsidRDefault="00ED135D" w:rsidP="00ED135D">
            <w:pPr>
              <w:spacing w:after="0" w:line="240" w:lineRule="auto"/>
              <w:jc w:val="right"/>
              <w:rPr>
                <w:rFonts w:eastAsia="Times New Roman" w:cs="Times New Roman"/>
                <w:color w:val="000000"/>
                <w:sz w:val="18"/>
                <w:szCs w:val="18"/>
                <w:lang w:eastAsia="sk-SK"/>
              </w:rPr>
            </w:pPr>
            <w:r w:rsidRPr="0009362B">
              <w:rPr>
                <w:rFonts w:eastAsia="Times New Roman" w:cs="Times New Roman"/>
                <w:color w:val="000000"/>
                <w:sz w:val="18"/>
                <w:szCs w:val="18"/>
                <w:lang w:eastAsia="sk-SK"/>
              </w:rPr>
              <w:t>1 412 473</w:t>
            </w:r>
          </w:p>
        </w:tc>
        <w:tc>
          <w:tcPr>
            <w:tcW w:w="1134" w:type="dxa"/>
            <w:tcBorders>
              <w:top w:val="nil"/>
              <w:left w:val="nil"/>
              <w:bottom w:val="nil"/>
              <w:right w:val="nil"/>
            </w:tcBorders>
            <w:shd w:val="clear" w:color="auto" w:fill="auto"/>
            <w:noWrap/>
            <w:vAlign w:val="center"/>
            <w:hideMark/>
          </w:tcPr>
          <w:p w14:paraId="6AE6758D" w14:textId="77777777" w:rsidR="00ED135D" w:rsidRPr="0009362B" w:rsidRDefault="00ED135D" w:rsidP="00ED135D">
            <w:pPr>
              <w:spacing w:after="0" w:line="240" w:lineRule="auto"/>
              <w:jc w:val="right"/>
              <w:rPr>
                <w:rFonts w:eastAsia="Times New Roman" w:cs="Times New Roman"/>
                <w:color w:val="000000"/>
                <w:sz w:val="18"/>
                <w:szCs w:val="18"/>
                <w:lang w:eastAsia="sk-SK"/>
              </w:rPr>
            </w:pPr>
            <w:r w:rsidRPr="0009362B">
              <w:rPr>
                <w:rFonts w:eastAsia="Times New Roman" w:cs="Times New Roman"/>
                <w:color w:val="000000"/>
                <w:sz w:val="18"/>
                <w:szCs w:val="18"/>
                <w:lang w:eastAsia="sk-SK"/>
              </w:rPr>
              <w:t>2 203 342</w:t>
            </w:r>
          </w:p>
        </w:tc>
        <w:tc>
          <w:tcPr>
            <w:tcW w:w="1134" w:type="dxa"/>
            <w:tcBorders>
              <w:top w:val="nil"/>
              <w:left w:val="nil"/>
              <w:bottom w:val="nil"/>
              <w:right w:val="nil"/>
            </w:tcBorders>
            <w:shd w:val="clear" w:color="auto" w:fill="auto"/>
            <w:noWrap/>
            <w:vAlign w:val="center"/>
            <w:hideMark/>
          </w:tcPr>
          <w:p w14:paraId="2638A3ED" w14:textId="77777777" w:rsidR="00ED135D" w:rsidRPr="0009362B" w:rsidRDefault="00ED135D" w:rsidP="00ED135D">
            <w:pPr>
              <w:spacing w:after="0" w:line="240" w:lineRule="auto"/>
              <w:jc w:val="right"/>
              <w:rPr>
                <w:rFonts w:eastAsia="Times New Roman" w:cs="Times New Roman"/>
                <w:color w:val="000000"/>
                <w:sz w:val="18"/>
                <w:szCs w:val="18"/>
                <w:lang w:eastAsia="sk-SK"/>
              </w:rPr>
            </w:pPr>
            <w:r w:rsidRPr="0009362B">
              <w:rPr>
                <w:rFonts w:eastAsia="Times New Roman" w:cs="Times New Roman"/>
                <w:color w:val="000000"/>
                <w:sz w:val="18"/>
                <w:szCs w:val="18"/>
                <w:lang w:eastAsia="sk-SK"/>
              </w:rPr>
              <w:t>2 203 634</w:t>
            </w:r>
          </w:p>
        </w:tc>
        <w:tc>
          <w:tcPr>
            <w:tcW w:w="992" w:type="dxa"/>
            <w:tcBorders>
              <w:top w:val="nil"/>
              <w:left w:val="nil"/>
              <w:bottom w:val="nil"/>
              <w:right w:val="nil"/>
            </w:tcBorders>
            <w:shd w:val="clear" w:color="auto" w:fill="auto"/>
            <w:noWrap/>
            <w:vAlign w:val="center"/>
            <w:hideMark/>
          </w:tcPr>
          <w:p w14:paraId="65F57EC2" w14:textId="77777777" w:rsidR="00ED135D" w:rsidRPr="0009362B" w:rsidRDefault="00ED135D" w:rsidP="00ED135D">
            <w:pPr>
              <w:spacing w:after="0" w:line="240" w:lineRule="auto"/>
              <w:jc w:val="right"/>
              <w:rPr>
                <w:rFonts w:eastAsia="Times New Roman" w:cs="Times New Roman"/>
                <w:b/>
                <w:bCs/>
                <w:color w:val="000000"/>
                <w:sz w:val="18"/>
                <w:szCs w:val="18"/>
                <w:lang w:eastAsia="sk-SK"/>
              </w:rPr>
            </w:pPr>
            <w:r w:rsidRPr="0009362B">
              <w:rPr>
                <w:rFonts w:eastAsia="Times New Roman" w:cs="Times New Roman"/>
                <w:b/>
                <w:bCs/>
                <w:color w:val="000000"/>
                <w:sz w:val="18"/>
                <w:szCs w:val="18"/>
                <w:lang w:eastAsia="sk-SK"/>
              </w:rPr>
              <w:t>791 161</w:t>
            </w:r>
          </w:p>
        </w:tc>
      </w:tr>
      <w:tr w:rsidR="00ED135D" w:rsidRPr="0009362B" w14:paraId="5443A7FD" w14:textId="77777777" w:rsidTr="00ED135D">
        <w:trPr>
          <w:trHeight w:val="300"/>
        </w:trPr>
        <w:tc>
          <w:tcPr>
            <w:tcW w:w="2140" w:type="dxa"/>
            <w:tcBorders>
              <w:top w:val="nil"/>
              <w:left w:val="nil"/>
              <w:bottom w:val="nil"/>
              <w:right w:val="nil"/>
            </w:tcBorders>
            <w:shd w:val="clear" w:color="auto" w:fill="auto"/>
            <w:noWrap/>
            <w:vAlign w:val="center"/>
            <w:hideMark/>
          </w:tcPr>
          <w:p w14:paraId="00413DAE" w14:textId="77777777" w:rsidR="00ED135D" w:rsidRPr="0009362B" w:rsidRDefault="00ED135D" w:rsidP="00ED135D">
            <w:pPr>
              <w:spacing w:after="0" w:line="240" w:lineRule="auto"/>
              <w:rPr>
                <w:rFonts w:eastAsia="Times New Roman" w:cs="Times New Roman"/>
                <w:b/>
                <w:bCs/>
                <w:color w:val="000000"/>
                <w:sz w:val="18"/>
                <w:szCs w:val="18"/>
                <w:lang w:eastAsia="sk-SK"/>
              </w:rPr>
            </w:pPr>
            <w:r w:rsidRPr="0009362B">
              <w:rPr>
                <w:rFonts w:eastAsia="Times New Roman" w:cs="Times New Roman"/>
                <w:b/>
                <w:bCs/>
                <w:color w:val="000000"/>
                <w:sz w:val="18"/>
                <w:szCs w:val="18"/>
                <w:lang w:eastAsia="sk-SK"/>
              </w:rPr>
              <w:t>Výdavky spolu</w:t>
            </w:r>
          </w:p>
        </w:tc>
        <w:tc>
          <w:tcPr>
            <w:tcW w:w="1121" w:type="dxa"/>
            <w:tcBorders>
              <w:top w:val="nil"/>
              <w:left w:val="nil"/>
              <w:bottom w:val="nil"/>
              <w:right w:val="nil"/>
            </w:tcBorders>
            <w:shd w:val="clear" w:color="auto" w:fill="auto"/>
            <w:vAlign w:val="center"/>
            <w:hideMark/>
          </w:tcPr>
          <w:p w14:paraId="61E7E844" w14:textId="77777777" w:rsidR="00ED135D" w:rsidRPr="0009362B" w:rsidRDefault="00ED135D" w:rsidP="00ED135D">
            <w:pPr>
              <w:spacing w:after="0" w:line="240" w:lineRule="auto"/>
              <w:jc w:val="right"/>
              <w:rPr>
                <w:rFonts w:eastAsia="Times New Roman" w:cs="Times New Roman"/>
                <w:b/>
                <w:bCs/>
                <w:color w:val="000000"/>
                <w:sz w:val="18"/>
                <w:szCs w:val="18"/>
                <w:lang w:eastAsia="sk-SK"/>
              </w:rPr>
            </w:pPr>
            <w:r w:rsidRPr="0009362B">
              <w:rPr>
                <w:rFonts w:eastAsia="Times New Roman" w:cs="Times New Roman"/>
                <w:b/>
                <w:bCs/>
                <w:color w:val="000000"/>
                <w:sz w:val="18"/>
                <w:szCs w:val="18"/>
                <w:lang w:eastAsia="sk-SK"/>
              </w:rPr>
              <w:t>15 256 172</w:t>
            </w:r>
          </w:p>
        </w:tc>
        <w:tc>
          <w:tcPr>
            <w:tcW w:w="992" w:type="dxa"/>
            <w:tcBorders>
              <w:top w:val="nil"/>
              <w:left w:val="nil"/>
              <w:bottom w:val="nil"/>
              <w:right w:val="nil"/>
            </w:tcBorders>
            <w:shd w:val="clear" w:color="auto" w:fill="auto"/>
            <w:noWrap/>
            <w:vAlign w:val="center"/>
            <w:hideMark/>
          </w:tcPr>
          <w:p w14:paraId="18C6716B" w14:textId="77777777" w:rsidR="00ED135D" w:rsidRPr="0009362B" w:rsidRDefault="00ED135D" w:rsidP="00ED135D">
            <w:pPr>
              <w:spacing w:after="0" w:line="240" w:lineRule="auto"/>
              <w:jc w:val="right"/>
              <w:rPr>
                <w:rFonts w:eastAsia="Times New Roman" w:cs="Times New Roman"/>
                <w:b/>
                <w:bCs/>
                <w:color w:val="000000"/>
                <w:sz w:val="18"/>
                <w:szCs w:val="18"/>
                <w:lang w:eastAsia="sk-SK"/>
              </w:rPr>
            </w:pPr>
            <w:r w:rsidRPr="0009362B">
              <w:rPr>
                <w:rFonts w:eastAsia="Times New Roman" w:cs="Times New Roman"/>
                <w:b/>
                <w:bCs/>
                <w:color w:val="000000"/>
                <w:sz w:val="18"/>
                <w:szCs w:val="18"/>
                <w:lang w:eastAsia="sk-SK"/>
              </w:rPr>
              <w:t>15 234 261</w:t>
            </w:r>
          </w:p>
        </w:tc>
        <w:tc>
          <w:tcPr>
            <w:tcW w:w="992" w:type="dxa"/>
            <w:tcBorders>
              <w:top w:val="nil"/>
              <w:left w:val="nil"/>
              <w:bottom w:val="nil"/>
              <w:right w:val="nil"/>
            </w:tcBorders>
            <w:shd w:val="clear" w:color="auto" w:fill="auto"/>
            <w:noWrap/>
            <w:vAlign w:val="center"/>
            <w:hideMark/>
          </w:tcPr>
          <w:p w14:paraId="0FF9C946" w14:textId="77777777" w:rsidR="00ED135D" w:rsidRPr="0009362B" w:rsidRDefault="00ED135D" w:rsidP="00ED135D">
            <w:pPr>
              <w:spacing w:after="0" w:line="240" w:lineRule="auto"/>
              <w:jc w:val="right"/>
              <w:rPr>
                <w:rFonts w:eastAsia="Times New Roman" w:cs="Times New Roman"/>
                <w:b/>
                <w:bCs/>
                <w:color w:val="000000"/>
                <w:sz w:val="18"/>
                <w:szCs w:val="18"/>
                <w:lang w:eastAsia="sk-SK"/>
              </w:rPr>
            </w:pPr>
            <w:r w:rsidRPr="0009362B">
              <w:rPr>
                <w:rFonts w:eastAsia="Times New Roman" w:cs="Times New Roman"/>
                <w:b/>
                <w:bCs/>
                <w:color w:val="000000"/>
                <w:sz w:val="18"/>
                <w:szCs w:val="18"/>
                <w:lang w:eastAsia="sk-SK"/>
              </w:rPr>
              <w:t>15 955 714</w:t>
            </w:r>
          </w:p>
        </w:tc>
        <w:tc>
          <w:tcPr>
            <w:tcW w:w="1134" w:type="dxa"/>
            <w:tcBorders>
              <w:top w:val="nil"/>
              <w:left w:val="nil"/>
              <w:bottom w:val="nil"/>
              <w:right w:val="nil"/>
            </w:tcBorders>
            <w:shd w:val="clear" w:color="auto" w:fill="auto"/>
            <w:noWrap/>
            <w:vAlign w:val="center"/>
            <w:hideMark/>
          </w:tcPr>
          <w:p w14:paraId="7CAB4D21" w14:textId="77777777" w:rsidR="00ED135D" w:rsidRPr="0009362B" w:rsidRDefault="00ED135D" w:rsidP="00ED135D">
            <w:pPr>
              <w:spacing w:after="0" w:line="240" w:lineRule="auto"/>
              <w:jc w:val="right"/>
              <w:rPr>
                <w:rFonts w:eastAsia="Times New Roman" w:cs="Times New Roman"/>
                <w:b/>
                <w:bCs/>
                <w:color w:val="000000"/>
                <w:sz w:val="18"/>
                <w:szCs w:val="18"/>
                <w:lang w:eastAsia="sk-SK"/>
              </w:rPr>
            </w:pPr>
            <w:r w:rsidRPr="0009362B">
              <w:rPr>
                <w:rFonts w:eastAsia="Times New Roman" w:cs="Times New Roman"/>
                <w:b/>
                <w:bCs/>
                <w:color w:val="000000"/>
                <w:sz w:val="18"/>
                <w:szCs w:val="18"/>
                <w:lang w:eastAsia="sk-SK"/>
              </w:rPr>
              <w:t>16 593 835</w:t>
            </w:r>
          </w:p>
        </w:tc>
        <w:tc>
          <w:tcPr>
            <w:tcW w:w="1134" w:type="dxa"/>
            <w:tcBorders>
              <w:top w:val="nil"/>
              <w:left w:val="nil"/>
              <w:bottom w:val="nil"/>
              <w:right w:val="nil"/>
            </w:tcBorders>
            <w:shd w:val="clear" w:color="auto" w:fill="auto"/>
            <w:noWrap/>
            <w:vAlign w:val="center"/>
            <w:hideMark/>
          </w:tcPr>
          <w:p w14:paraId="52BAEEDC" w14:textId="77777777" w:rsidR="00ED135D" w:rsidRPr="0009362B" w:rsidRDefault="00ED135D" w:rsidP="00ED135D">
            <w:pPr>
              <w:spacing w:after="0" w:line="240" w:lineRule="auto"/>
              <w:jc w:val="right"/>
              <w:rPr>
                <w:rFonts w:eastAsia="Times New Roman" w:cs="Times New Roman"/>
                <w:b/>
                <w:bCs/>
                <w:color w:val="000000"/>
                <w:sz w:val="18"/>
                <w:szCs w:val="18"/>
                <w:lang w:eastAsia="sk-SK"/>
              </w:rPr>
            </w:pPr>
            <w:r w:rsidRPr="0009362B">
              <w:rPr>
                <w:rFonts w:eastAsia="Times New Roman" w:cs="Times New Roman"/>
                <w:b/>
                <w:bCs/>
                <w:color w:val="000000"/>
                <w:sz w:val="18"/>
                <w:szCs w:val="18"/>
                <w:lang w:eastAsia="sk-SK"/>
              </w:rPr>
              <w:t>16 563 255</w:t>
            </w:r>
          </w:p>
        </w:tc>
        <w:tc>
          <w:tcPr>
            <w:tcW w:w="992" w:type="dxa"/>
            <w:tcBorders>
              <w:top w:val="nil"/>
              <w:left w:val="nil"/>
              <w:bottom w:val="nil"/>
              <w:right w:val="nil"/>
            </w:tcBorders>
            <w:shd w:val="clear" w:color="auto" w:fill="auto"/>
            <w:noWrap/>
            <w:vAlign w:val="center"/>
            <w:hideMark/>
          </w:tcPr>
          <w:p w14:paraId="686A6222" w14:textId="77777777" w:rsidR="00ED135D" w:rsidRPr="0009362B" w:rsidRDefault="00ED135D" w:rsidP="00ED135D">
            <w:pPr>
              <w:spacing w:after="0" w:line="240" w:lineRule="auto"/>
              <w:jc w:val="right"/>
              <w:rPr>
                <w:rFonts w:eastAsia="Times New Roman" w:cs="Times New Roman"/>
                <w:b/>
                <w:bCs/>
                <w:color w:val="000000"/>
                <w:sz w:val="18"/>
                <w:szCs w:val="18"/>
                <w:lang w:eastAsia="sk-SK"/>
              </w:rPr>
            </w:pPr>
            <w:r w:rsidRPr="0009362B">
              <w:rPr>
                <w:rFonts w:eastAsia="Times New Roman" w:cs="Times New Roman"/>
                <w:b/>
                <w:bCs/>
                <w:color w:val="000000"/>
                <w:sz w:val="18"/>
                <w:szCs w:val="18"/>
                <w:lang w:eastAsia="sk-SK"/>
              </w:rPr>
              <w:t>607 541</w:t>
            </w:r>
          </w:p>
        </w:tc>
      </w:tr>
      <w:tr w:rsidR="00ED135D" w:rsidRPr="0009362B" w14:paraId="65794E3C" w14:textId="77777777" w:rsidTr="00ED135D">
        <w:trPr>
          <w:trHeight w:val="300"/>
        </w:trPr>
        <w:tc>
          <w:tcPr>
            <w:tcW w:w="2140" w:type="dxa"/>
            <w:tcBorders>
              <w:top w:val="nil"/>
              <w:left w:val="nil"/>
              <w:bottom w:val="nil"/>
              <w:right w:val="nil"/>
            </w:tcBorders>
            <w:shd w:val="clear" w:color="auto" w:fill="auto"/>
            <w:noWrap/>
            <w:vAlign w:val="center"/>
            <w:hideMark/>
          </w:tcPr>
          <w:p w14:paraId="4290757E" w14:textId="77777777" w:rsidR="00ED135D" w:rsidRPr="0009362B" w:rsidRDefault="00ED135D" w:rsidP="00ED135D">
            <w:pPr>
              <w:spacing w:after="0" w:line="240" w:lineRule="auto"/>
              <w:rPr>
                <w:rFonts w:eastAsia="Times New Roman" w:cs="Times New Roman"/>
                <w:color w:val="000000"/>
                <w:sz w:val="18"/>
                <w:szCs w:val="18"/>
                <w:lang w:eastAsia="sk-SK"/>
              </w:rPr>
            </w:pPr>
            <w:r w:rsidRPr="0009362B">
              <w:rPr>
                <w:rFonts w:eastAsia="Times New Roman" w:cs="Times New Roman"/>
                <w:color w:val="000000"/>
                <w:sz w:val="18"/>
                <w:szCs w:val="18"/>
                <w:lang w:eastAsia="sk-SK"/>
              </w:rPr>
              <w:t>v tom: bežné výdavky</w:t>
            </w:r>
          </w:p>
        </w:tc>
        <w:tc>
          <w:tcPr>
            <w:tcW w:w="1121" w:type="dxa"/>
            <w:tcBorders>
              <w:top w:val="nil"/>
              <w:left w:val="nil"/>
              <w:bottom w:val="nil"/>
              <w:right w:val="nil"/>
            </w:tcBorders>
            <w:shd w:val="clear" w:color="auto" w:fill="auto"/>
            <w:vAlign w:val="center"/>
            <w:hideMark/>
          </w:tcPr>
          <w:p w14:paraId="3AF841C8" w14:textId="77777777" w:rsidR="00ED135D" w:rsidRPr="0009362B" w:rsidRDefault="00ED135D" w:rsidP="00ED135D">
            <w:pPr>
              <w:spacing w:after="0" w:line="240" w:lineRule="auto"/>
              <w:jc w:val="right"/>
              <w:rPr>
                <w:rFonts w:eastAsia="Times New Roman" w:cs="Times New Roman"/>
                <w:color w:val="000000"/>
                <w:sz w:val="18"/>
                <w:szCs w:val="18"/>
                <w:lang w:eastAsia="sk-SK"/>
              </w:rPr>
            </w:pPr>
            <w:r w:rsidRPr="0009362B">
              <w:rPr>
                <w:rFonts w:eastAsia="Times New Roman" w:cs="Times New Roman"/>
                <w:color w:val="000000"/>
                <w:sz w:val="18"/>
                <w:szCs w:val="18"/>
                <w:lang w:eastAsia="sk-SK"/>
              </w:rPr>
              <w:t>13 353 916</w:t>
            </w:r>
          </w:p>
        </w:tc>
        <w:tc>
          <w:tcPr>
            <w:tcW w:w="992" w:type="dxa"/>
            <w:tcBorders>
              <w:top w:val="nil"/>
              <w:left w:val="nil"/>
              <w:bottom w:val="nil"/>
              <w:right w:val="nil"/>
            </w:tcBorders>
            <w:shd w:val="clear" w:color="auto" w:fill="auto"/>
            <w:noWrap/>
            <w:vAlign w:val="center"/>
            <w:hideMark/>
          </w:tcPr>
          <w:p w14:paraId="61007BC8" w14:textId="77777777" w:rsidR="00ED135D" w:rsidRPr="0009362B" w:rsidRDefault="00ED135D" w:rsidP="00ED135D">
            <w:pPr>
              <w:spacing w:after="0" w:line="240" w:lineRule="auto"/>
              <w:jc w:val="right"/>
              <w:rPr>
                <w:rFonts w:eastAsia="Times New Roman" w:cs="Times New Roman"/>
                <w:color w:val="000000"/>
                <w:sz w:val="18"/>
                <w:szCs w:val="18"/>
                <w:lang w:eastAsia="sk-SK"/>
              </w:rPr>
            </w:pPr>
            <w:r w:rsidRPr="0009362B">
              <w:rPr>
                <w:rFonts w:eastAsia="Times New Roman" w:cs="Times New Roman"/>
                <w:color w:val="000000"/>
                <w:sz w:val="18"/>
                <w:szCs w:val="18"/>
                <w:lang w:eastAsia="sk-SK"/>
              </w:rPr>
              <w:t>13 681 468</w:t>
            </w:r>
          </w:p>
        </w:tc>
        <w:tc>
          <w:tcPr>
            <w:tcW w:w="992" w:type="dxa"/>
            <w:tcBorders>
              <w:top w:val="nil"/>
              <w:left w:val="nil"/>
              <w:bottom w:val="nil"/>
              <w:right w:val="nil"/>
            </w:tcBorders>
            <w:shd w:val="clear" w:color="auto" w:fill="auto"/>
            <w:noWrap/>
            <w:vAlign w:val="center"/>
            <w:hideMark/>
          </w:tcPr>
          <w:p w14:paraId="6A999799" w14:textId="77777777" w:rsidR="00ED135D" w:rsidRPr="0009362B" w:rsidRDefault="00ED135D" w:rsidP="00ED135D">
            <w:pPr>
              <w:spacing w:after="0" w:line="240" w:lineRule="auto"/>
              <w:jc w:val="right"/>
              <w:rPr>
                <w:rFonts w:eastAsia="Times New Roman" w:cs="Times New Roman"/>
                <w:color w:val="000000"/>
                <w:sz w:val="18"/>
                <w:szCs w:val="18"/>
                <w:lang w:eastAsia="sk-SK"/>
              </w:rPr>
            </w:pPr>
            <w:r w:rsidRPr="0009362B">
              <w:rPr>
                <w:rFonts w:eastAsia="Times New Roman" w:cs="Times New Roman"/>
                <w:color w:val="000000"/>
                <w:sz w:val="18"/>
                <w:szCs w:val="18"/>
                <w:lang w:eastAsia="sk-SK"/>
              </w:rPr>
              <w:t>14 624 299</w:t>
            </w:r>
          </w:p>
        </w:tc>
        <w:tc>
          <w:tcPr>
            <w:tcW w:w="1134" w:type="dxa"/>
            <w:tcBorders>
              <w:top w:val="nil"/>
              <w:left w:val="nil"/>
              <w:bottom w:val="nil"/>
              <w:right w:val="nil"/>
            </w:tcBorders>
            <w:shd w:val="clear" w:color="auto" w:fill="auto"/>
            <w:noWrap/>
            <w:vAlign w:val="center"/>
            <w:hideMark/>
          </w:tcPr>
          <w:p w14:paraId="2159B0A9" w14:textId="77777777" w:rsidR="00ED135D" w:rsidRPr="0009362B" w:rsidRDefault="00ED135D" w:rsidP="00ED135D">
            <w:pPr>
              <w:spacing w:after="0" w:line="240" w:lineRule="auto"/>
              <w:jc w:val="right"/>
              <w:rPr>
                <w:rFonts w:eastAsia="Times New Roman" w:cs="Times New Roman"/>
                <w:color w:val="000000"/>
                <w:sz w:val="18"/>
                <w:szCs w:val="18"/>
                <w:lang w:eastAsia="sk-SK"/>
              </w:rPr>
            </w:pPr>
            <w:r w:rsidRPr="0009362B">
              <w:rPr>
                <w:rFonts w:eastAsia="Times New Roman" w:cs="Times New Roman"/>
                <w:color w:val="000000"/>
                <w:sz w:val="18"/>
                <w:szCs w:val="18"/>
                <w:lang w:eastAsia="sk-SK"/>
              </w:rPr>
              <w:t>14 191 038</w:t>
            </w:r>
          </w:p>
        </w:tc>
        <w:tc>
          <w:tcPr>
            <w:tcW w:w="1134" w:type="dxa"/>
            <w:tcBorders>
              <w:top w:val="nil"/>
              <w:left w:val="nil"/>
              <w:bottom w:val="nil"/>
              <w:right w:val="nil"/>
            </w:tcBorders>
            <w:shd w:val="clear" w:color="auto" w:fill="auto"/>
            <w:noWrap/>
            <w:vAlign w:val="center"/>
            <w:hideMark/>
          </w:tcPr>
          <w:p w14:paraId="08DB0257" w14:textId="77777777" w:rsidR="00ED135D" w:rsidRPr="0009362B" w:rsidRDefault="00ED135D" w:rsidP="00ED135D">
            <w:pPr>
              <w:spacing w:after="0" w:line="240" w:lineRule="auto"/>
              <w:jc w:val="right"/>
              <w:rPr>
                <w:rFonts w:eastAsia="Times New Roman" w:cs="Times New Roman"/>
                <w:color w:val="000000"/>
                <w:sz w:val="18"/>
                <w:szCs w:val="18"/>
                <w:lang w:eastAsia="sk-SK"/>
              </w:rPr>
            </w:pPr>
            <w:r w:rsidRPr="0009362B">
              <w:rPr>
                <w:rFonts w:eastAsia="Times New Roman" w:cs="Times New Roman"/>
                <w:color w:val="000000"/>
                <w:sz w:val="18"/>
                <w:szCs w:val="18"/>
                <w:lang w:eastAsia="sk-SK"/>
              </w:rPr>
              <w:t>14 160 931</w:t>
            </w:r>
          </w:p>
        </w:tc>
        <w:tc>
          <w:tcPr>
            <w:tcW w:w="992" w:type="dxa"/>
            <w:tcBorders>
              <w:top w:val="nil"/>
              <w:left w:val="nil"/>
              <w:bottom w:val="nil"/>
              <w:right w:val="nil"/>
            </w:tcBorders>
            <w:shd w:val="clear" w:color="auto" w:fill="auto"/>
            <w:noWrap/>
            <w:vAlign w:val="center"/>
            <w:hideMark/>
          </w:tcPr>
          <w:p w14:paraId="54F566E5" w14:textId="77777777" w:rsidR="00ED135D" w:rsidRPr="0009362B" w:rsidRDefault="00ED135D" w:rsidP="00ED135D">
            <w:pPr>
              <w:spacing w:after="0" w:line="240" w:lineRule="auto"/>
              <w:jc w:val="right"/>
              <w:rPr>
                <w:rFonts w:eastAsia="Times New Roman" w:cs="Times New Roman"/>
                <w:b/>
                <w:bCs/>
                <w:color w:val="000000"/>
                <w:sz w:val="18"/>
                <w:szCs w:val="18"/>
                <w:lang w:eastAsia="sk-SK"/>
              </w:rPr>
            </w:pPr>
            <w:r w:rsidRPr="0009362B">
              <w:rPr>
                <w:rFonts w:eastAsia="Times New Roman" w:cs="Times New Roman"/>
                <w:b/>
                <w:bCs/>
                <w:color w:val="000000"/>
                <w:sz w:val="18"/>
                <w:szCs w:val="18"/>
                <w:lang w:eastAsia="sk-SK"/>
              </w:rPr>
              <w:t>-463 368</w:t>
            </w:r>
          </w:p>
        </w:tc>
      </w:tr>
      <w:tr w:rsidR="00ED135D" w:rsidRPr="0009362B" w14:paraId="3026D522" w14:textId="77777777" w:rsidTr="00ED135D">
        <w:trPr>
          <w:trHeight w:val="315"/>
        </w:trPr>
        <w:tc>
          <w:tcPr>
            <w:tcW w:w="2140" w:type="dxa"/>
            <w:tcBorders>
              <w:top w:val="nil"/>
              <w:left w:val="nil"/>
              <w:bottom w:val="single" w:sz="8" w:space="0" w:color="auto"/>
              <w:right w:val="nil"/>
            </w:tcBorders>
            <w:shd w:val="clear" w:color="auto" w:fill="auto"/>
            <w:noWrap/>
            <w:vAlign w:val="center"/>
            <w:hideMark/>
          </w:tcPr>
          <w:p w14:paraId="79BB34FA" w14:textId="5D4B7F96" w:rsidR="00ED135D" w:rsidRPr="0009362B" w:rsidRDefault="00ED135D" w:rsidP="00ED135D">
            <w:pPr>
              <w:spacing w:after="0" w:line="240" w:lineRule="auto"/>
              <w:rPr>
                <w:rFonts w:eastAsia="Times New Roman" w:cs="Times New Roman"/>
                <w:color w:val="000000"/>
                <w:sz w:val="18"/>
                <w:szCs w:val="18"/>
                <w:lang w:eastAsia="sk-SK"/>
              </w:rPr>
            </w:pPr>
            <w:r w:rsidRPr="0009362B">
              <w:rPr>
                <w:rFonts w:eastAsia="Times New Roman" w:cs="Times New Roman"/>
                <w:color w:val="000000"/>
                <w:sz w:val="18"/>
                <w:szCs w:val="18"/>
                <w:lang w:eastAsia="sk-SK"/>
              </w:rPr>
              <w:t xml:space="preserve">         </w:t>
            </w:r>
            <w:r w:rsidR="00F37B0F" w:rsidRPr="0009362B">
              <w:rPr>
                <w:rFonts w:eastAsia="Times New Roman" w:cs="Times New Roman"/>
                <w:color w:val="000000"/>
                <w:sz w:val="18"/>
                <w:szCs w:val="18"/>
                <w:lang w:eastAsia="sk-SK"/>
              </w:rPr>
              <w:t xml:space="preserve">  </w:t>
            </w:r>
            <w:r w:rsidRPr="0009362B">
              <w:rPr>
                <w:rFonts w:eastAsia="Times New Roman" w:cs="Times New Roman"/>
                <w:color w:val="000000"/>
                <w:sz w:val="18"/>
                <w:szCs w:val="18"/>
                <w:lang w:eastAsia="sk-SK"/>
              </w:rPr>
              <w:t xml:space="preserve"> kapitálové výdavky</w:t>
            </w:r>
          </w:p>
        </w:tc>
        <w:tc>
          <w:tcPr>
            <w:tcW w:w="1121" w:type="dxa"/>
            <w:tcBorders>
              <w:top w:val="nil"/>
              <w:left w:val="nil"/>
              <w:bottom w:val="single" w:sz="8" w:space="0" w:color="auto"/>
              <w:right w:val="nil"/>
            </w:tcBorders>
            <w:shd w:val="clear" w:color="auto" w:fill="auto"/>
            <w:vAlign w:val="center"/>
            <w:hideMark/>
          </w:tcPr>
          <w:p w14:paraId="1DEC4B37" w14:textId="77777777" w:rsidR="00ED135D" w:rsidRPr="0009362B" w:rsidRDefault="00ED135D" w:rsidP="00ED135D">
            <w:pPr>
              <w:spacing w:after="0" w:line="240" w:lineRule="auto"/>
              <w:jc w:val="right"/>
              <w:rPr>
                <w:rFonts w:eastAsia="Times New Roman" w:cs="Times New Roman"/>
                <w:color w:val="000000"/>
                <w:sz w:val="18"/>
                <w:szCs w:val="18"/>
                <w:lang w:eastAsia="sk-SK"/>
              </w:rPr>
            </w:pPr>
            <w:r w:rsidRPr="0009362B">
              <w:rPr>
                <w:rFonts w:eastAsia="Times New Roman" w:cs="Times New Roman"/>
                <w:color w:val="000000"/>
                <w:sz w:val="18"/>
                <w:szCs w:val="18"/>
                <w:lang w:eastAsia="sk-SK"/>
              </w:rPr>
              <w:t>1 902 256</w:t>
            </w:r>
          </w:p>
        </w:tc>
        <w:tc>
          <w:tcPr>
            <w:tcW w:w="992" w:type="dxa"/>
            <w:tcBorders>
              <w:top w:val="nil"/>
              <w:left w:val="nil"/>
              <w:bottom w:val="single" w:sz="8" w:space="0" w:color="auto"/>
              <w:right w:val="nil"/>
            </w:tcBorders>
            <w:shd w:val="clear" w:color="auto" w:fill="auto"/>
            <w:noWrap/>
            <w:vAlign w:val="center"/>
            <w:hideMark/>
          </w:tcPr>
          <w:p w14:paraId="0D0E4225" w14:textId="77777777" w:rsidR="00ED135D" w:rsidRPr="0009362B" w:rsidRDefault="00ED135D" w:rsidP="00ED135D">
            <w:pPr>
              <w:spacing w:after="0" w:line="240" w:lineRule="auto"/>
              <w:jc w:val="right"/>
              <w:rPr>
                <w:rFonts w:eastAsia="Times New Roman" w:cs="Times New Roman"/>
                <w:color w:val="000000"/>
                <w:sz w:val="18"/>
                <w:szCs w:val="18"/>
                <w:lang w:eastAsia="sk-SK"/>
              </w:rPr>
            </w:pPr>
            <w:r w:rsidRPr="0009362B">
              <w:rPr>
                <w:rFonts w:eastAsia="Times New Roman" w:cs="Times New Roman"/>
                <w:color w:val="000000"/>
                <w:sz w:val="18"/>
                <w:szCs w:val="18"/>
                <w:lang w:eastAsia="sk-SK"/>
              </w:rPr>
              <w:t>1 552 793</w:t>
            </w:r>
          </w:p>
        </w:tc>
        <w:tc>
          <w:tcPr>
            <w:tcW w:w="992" w:type="dxa"/>
            <w:tcBorders>
              <w:top w:val="nil"/>
              <w:left w:val="nil"/>
              <w:bottom w:val="single" w:sz="8" w:space="0" w:color="auto"/>
              <w:right w:val="nil"/>
            </w:tcBorders>
            <w:shd w:val="clear" w:color="auto" w:fill="auto"/>
            <w:noWrap/>
            <w:vAlign w:val="center"/>
            <w:hideMark/>
          </w:tcPr>
          <w:p w14:paraId="770C2BA7" w14:textId="77777777" w:rsidR="00ED135D" w:rsidRPr="0009362B" w:rsidRDefault="00ED135D" w:rsidP="00ED135D">
            <w:pPr>
              <w:spacing w:after="0" w:line="240" w:lineRule="auto"/>
              <w:jc w:val="right"/>
              <w:rPr>
                <w:rFonts w:eastAsia="Times New Roman" w:cs="Times New Roman"/>
                <w:color w:val="000000"/>
                <w:sz w:val="18"/>
                <w:szCs w:val="18"/>
                <w:lang w:eastAsia="sk-SK"/>
              </w:rPr>
            </w:pPr>
            <w:r w:rsidRPr="0009362B">
              <w:rPr>
                <w:rFonts w:eastAsia="Times New Roman" w:cs="Times New Roman"/>
                <w:color w:val="000000"/>
                <w:sz w:val="18"/>
                <w:szCs w:val="18"/>
                <w:lang w:eastAsia="sk-SK"/>
              </w:rPr>
              <w:t>1 331 415</w:t>
            </w:r>
          </w:p>
        </w:tc>
        <w:tc>
          <w:tcPr>
            <w:tcW w:w="1134" w:type="dxa"/>
            <w:tcBorders>
              <w:top w:val="nil"/>
              <w:left w:val="nil"/>
              <w:bottom w:val="single" w:sz="8" w:space="0" w:color="auto"/>
              <w:right w:val="nil"/>
            </w:tcBorders>
            <w:shd w:val="clear" w:color="auto" w:fill="auto"/>
            <w:noWrap/>
            <w:vAlign w:val="center"/>
            <w:hideMark/>
          </w:tcPr>
          <w:p w14:paraId="28F397EF" w14:textId="77777777" w:rsidR="00ED135D" w:rsidRPr="0009362B" w:rsidRDefault="00ED135D" w:rsidP="00ED135D">
            <w:pPr>
              <w:spacing w:after="0" w:line="240" w:lineRule="auto"/>
              <w:jc w:val="right"/>
              <w:rPr>
                <w:rFonts w:eastAsia="Times New Roman" w:cs="Times New Roman"/>
                <w:color w:val="000000"/>
                <w:sz w:val="18"/>
                <w:szCs w:val="18"/>
                <w:lang w:eastAsia="sk-SK"/>
              </w:rPr>
            </w:pPr>
            <w:r w:rsidRPr="0009362B">
              <w:rPr>
                <w:rFonts w:eastAsia="Times New Roman" w:cs="Times New Roman"/>
                <w:color w:val="000000"/>
                <w:sz w:val="18"/>
                <w:szCs w:val="18"/>
                <w:lang w:eastAsia="sk-SK"/>
              </w:rPr>
              <w:t>2 402 797</w:t>
            </w:r>
          </w:p>
        </w:tc>
        <w:tc>
          <w:tcPr>
            <w:tcW w:w="1134" w:type="dxa"/>
            <w:tcBorders>
              <w:top w:val="nil"/>
              <w:left w:val="nil"/>
              <w:bottom w:val="single" w:sz="8" w:space="0" w:color="auto"/>
              <w:right w:val="nil"/>
            </w:tcBorders>
            <w:shd w:val="clear" w:color="auto" w:fill="auto"/>
            <w:noWrap/>
            <w:vAlign w:val="center"/>
            <w:hideMark/>
          </w:tcPr>
          <w:p w14:paraId="241885D1" w14:textId="77777777" w:rsidR="00ED135D" w:rsidRPr="0009362B" w:rsidRDefault="00ED135D" w:rsidP="00ED135D">
            <w:pPr>
              <w:spacing w:after="0" w:line="240" w:lineRule="auto"/>
              <w:jc w:val="right"/>
              <w:rPr>
                <w:rFonts w:eastAsia="Times New Roman" w:cs="Times New Roman"/>
                <w:color w:val="000000"/>
                <w:sz w:val="18"/>
                <w:szCs w:val="18"/>
                <w:lang w:eastAsia="sk-SK"/>
              </w:rPr>
            </w:pPr>
            <w:r w:rsidRPr="0009362B">
              <w:rPr>
                <w:rFonts w:eastAsia="Times New Roman" w:cs="Times New Roman"/>
                <w:color w:val="000000"/>
                <w:sz w:val="18"/>
                <w:szCs w:val="18"/>
                <w:lang w:eastAsia="sk-SK"/>
              </w:rPr>
              <w:t>2 402 324</w:t>
            </w:r>
          </w:p>
        </w:tc>
        <w:tc>
          <w:tcPr>
            <w:tcW w:w="992" w:type="dxa"/>
            <w:tcBorders>
              <w:top w:val="nil"/>
              <w:left w:val="nil"/>
              <w:bottom w:val="single" w:sz="8" w:space="0" w:color="auto"/>
              <w:right w:val="nil"/>
            </w:tcBorders>
            <w:shd w:val="clear" w:color="auto" w:fill="auto"/>
            <w:noWrap/>
            <w:vAlign w:val="center"/>
            <w:hideMark/>
          </w:tcPr>
          <w:p w14:paraId="5BD25C2B" w14:textId="77777777" w:rsidR="00ED135D" w:rsidRPr="0009362B" w:rsidRDefault="00ED135D" w:rsidP="00ED135D">
            <w:pPr>
              <w:spacing w:after="0" w:line="240" w:lineRule="auto"/>
              <w:jc w:val="right"/>
              <w:rPr>
                <w:rFonts w:eastAsia="Times New Roman" w:cs="Times New Roman"/>
                <w:b/>
                <w:bCs/>
                <w:color w:val="000000"/>
                <w:sz w:val="18"/>
                <w:szCs w:val="18"/>
                <w:lang w:eastAsia="sk-SK"/>
              </w:rPr>
            </w:pPr>
            <w:r w:rsidRPr="0009362B">
              <w:rPr>
                <w:rFonts w:eastAsia="Times New Roman" w:cs="Times New Roman"/>
                <w:b/>
                <w:bCs/>
                <w:color w:val="000000"/>
                <w:sz w:val="18"/>
                <w:szCs w:val="18"/>
                <w:lang w:eastAsia="sk-SK"/>
              </w:rPr>
              <w:t>1 070 909</w:t>
            </w:r>
          </w:p>
        </w:tc>
      </w:tr>
      <w:tr w:rsidR="00712803" w:rsidRPr="0009362B" w14:paraId="7F76015A" w14:textId="77777777" w:rsidTr="00712803">
        <w:trPr>
          <w:trHeight w:val="315"/>
        </w:trPr>
        <w:tc>
          <w:tcPr>
            <w:tcW w:w="2140" w:type="dxa"/>
            <w:tcBorders>
              <w:top w:val="nil"/>
              <w:left w:val="nil"/>
              <w:bottom w:val="single" w:sz="8" w:space="0" w:color="auto"/>
              <w:right w:val="nil"/>
            </w:tcBorders>
            <w:shd w:val="clear" w:color="auto" w:fill="auto"/>
            <w:noWrap/>
            <w:vAlign w:val="center"/>
            <w:hideMark/>
          </w:tcPr>
          <w:p w14:paraId="5CCB4853" w14:textId="77777777" w:rsidR="00712803" w:rsidRPr="0009362B" w:rsidRDefault="00712803" w:rsidP="00712803">
            <w:pPr>
              <w:spacing w:after="0" w:line="240" w:lineRule="auto"/>
              <w:rPr>
                <w:rFonts w:eastAsia="Times New Roman" w:cs="Times New Roman"/>
                <w:b/>
                <w:bCs/>
                <w:color w:val="000000"/>
                <w:sz w:val="18"/>
                <w:szCs w:val="18"/>
                <w:lang w:eastAsia="sk-SK"/>
              </w:rPr>
            </w:pPr>
            <w:r w:rsidRPr="0009362B">
              <w:rPr>
                <w:rFonts w:eastAsia="Times New Roman" w:cs="Times New Roman"/>
                <w:b/>
                <w:bCs/>
                <w:color w:val="000000"/>
                <w:sz w:val="18"/>
                <w:szCs w:val="18"/>
                <w:lang w:eastAsia="sk-SK"/>
              </w:rPr>
              <w:t>Schodok (-)</w:t>
            </w:r>
          </w:p>
        </w:tc>
        <w:tc>
          <w:tcPr>
            <w:tcW w:w="1121" w:type="dxa"/>
            <w:tcBorders>
              <w:top w:val="nil"/>
              <w:left w:val="nil"/>
              <w:bottom w:val="single" w:sz="8" w:space="0" w:color="auto"/>
              <w:right w:val="nil"/>
            </w:tcBorders>
            <w:shd w:val="clear" w:color="auto" w:fill="auto"/>
            <w:vAlign w:val="center"/>
            <w:hideMark/>
          </w:tcPr>
          <w:p w14:paraId="7DA28339" w14:textId="77777777" w:rsidR="00712803" w:rsidRPr="0009362B" w:rsidRDefault="00712803" w:rsidP="00712803">
            <w:pPr>
              <w:spacing w:after="0" w:line="240" w:lineRule="auto"/>
              <w:jc w:val="right"/>
              <w:rPr>
                <w:rFonts w:eastAsia="Times New Roman" w:cs="Times New Roman"/>
                <w:b/>
                <w:bCs/>
                <w:color w:val="000000"/>
                <w:sz w:val="18"/>
                <w:szCs w:val="18"/>
                <w:lang w:eastAsia="sk-SK"/>
              </w:rPr>
            </w:pPr>
            <w:r w:rsidRPr="0009362B">
              <w:rPr>
                <w:rFonts w:eastAsia="Times New Roman" w:cs="Times New Roman"/>
                <w:b/>
                <w:bCs/>
                <w:color w:val="000000"/>
                <w:sz w:val="18"/>
                <w:szCs w:val="18"/>
                <w:lang w:eastAsia="sk-SK"/>
              </w:rPr>
              <w:t>-980 255</w:t>
            </w:r>
          </w:p>
        </w:tc>
        <w:tc>
          <w:tcPr>
            <w:tcW w:w="992" w:type="dxa"/>
            <w:tcBorders>
              <w:top w:val="nil"/>
              <w:left w:val="nil"/>
              <w:bottom w:val="single" w:sz="8" w:space="0" w:color="auto"/>
              <w:right w:val="nil"/>
            </w:tcBorders>
            <w:shd w:val="clear" w:color="auto" w:fill="auto"/>
            <w:noWrap/>
            <w:vAlign w:val="center"/>
            <w:hideMark/>
          </w:tcPr>
          <w:p w14:paraId="5E911133" w14:textId="77777777" w:rsidR="00712803" w:rsidRPr="0009362B" w:rsidRDefault="00712803" w:rsidP="00712803">
            <w:pPr>
              <w:spacing w:after="0" w:line="240" w:lineRule="auto"/>
              <w:jc w:val="right"/>
              <w:rPr>
                <w:rFonts w:eastAsia="Times New Roman" w:cs="Times New Roman"/>
                <w:b/>
                <w:bCs/>
                <w:color w:val="000000"/>
                <w:sz w:val="18"/>
                <w:szCs w:val="18"/>
                <w:lang w:eastAsia="sk-SK"/>
              </w:rPr>
            </w:pPr>
            <w:r w:rsidRPr="0009362B">
              <w:rPr>
                <w:rFonts w:eastAsia="Times New Roman" w:cs="Times New Roman"/>
                <w:b/>
                <w:bCs/>
                <w:color w:val="000000"/>
                <w:sz w:val="18"/>
                <w:szCs w:val="18"/>
                <w:lang w:eastAsia="sk-SK"/>
              </w:rPr>
              <w:t>-1 220 132</w:t>
            </w:r>
          </w:p>
        </w:tc>
        <w:tc>
          <w:tcPr>
            <w:tcW w:w="992" w:type="dxa"/>
            <w:tcBorders>
              <w:top w:val="nil"/>
              <w:left w:val="nil"/>
              <w:bottom w:val="single" w:sz="8" w:space="0" w:color="auto"/>
              <w:right w:val="nil"/>
            </w:tcBorders>
            <w:shd w:val="clear" w:color="auto" w:fill="auto"/>
            <w:noWrap/>
            <w:vAlign w:val="center"/>
            <w:hideMark/>
          </w:tcPr>
          <w:p w14:paraId="7E4DB627" w14:textId="1A8CC170" w:rsidR="00712803" w:rsidRPr="0009362B" w:rsidRDefault="00712803" w:rsidP="00712803">
            <w:pPr>
              <w:spacing w:after="0" w:line="240" w:lineRule="auto"/>
              <w:jc w:val="right"/>
              <w:rPr>
                <w:b/>
                <w:bCs/>
                <w:color w:val="000000"/>
                <w:sz w:val="18"/>
                <w:szCs w:val="18"/>
              </w:rPr>
            </w:pPr>
            <w:r w:rsidRPr="0009362B">
              <w:rPr>
                <w:b/>
                <w:bCs/>
                <w:color w:val="000000"/>
                <w:sz w:val="18"/>
                <w:szCs w:val="18"/>
              </w:rPr>
              <w:t>-1 972 904</w:t>
            </w:r>
          </w:p>
        </w:tc>
        <w:tc>
          <w:tcPr>
            <w:tcW w:w="1134" w:type="dxa"/>
            <w:tcBorders>
              <w:top w:val="nil"/>
              <w:left w:val="nil"/>
              <w:bottom w:val="single" w:sz="8" w:space="0" w:color="auto"/>
              <w:right w:val="nil"/>
            </w:tcBorders>
            <w:shd w:val="clear" w:color="auto" w:fill="auto"/>
            <w:noWrap/>
            <w:vAlign w:val="center"/>
          </w:tcPr>
          <w:p w14:paraId="0651F434" w14:textId="0FD7B49E" w:rsidR="00712803" w:rsidRPr="0009362B" w:rsidRDefault="00712803" w:rsidP="00712803">
            <w:pPr>
              <w:spacing w:after="0" w:line="240" w:lineRule="auto"/>
              <w:jc w:val="right"/>
              <w:rPr>
                <w:b/>
                <w:bCs/>
                <w:color w:val="000000"/>
                <w:sz w:val="18"/>
                <w:szCs w:val="18"/>
              </w:rPr>
            </w:pPr>
            <w:r w:rsidRPr="0009362B">
              <w:rPr>
                <w:b/>
                <w:bCs/>
                <w:color w:val="000000"/>
                <w:sz w:val="18"/>
                <w:szCs w:val="18"/>
              </w:rPr>
              <w:t>-1 825 849</w:t>
            </w:r>
          </w:p>
        </w:tc>
        <w:tc>
          <w:tcPr>
            <w:tcW w:w="1134" w:type="dxa"/>
            <w:tcBorders>
              <w:top w:val="nil"/>
              <w:left w:val="nil"/>
              <w:bottom w:val="single" w:sz="8" w:space="0" w:color="auto"/>
              <w:right w:val="nil"/>
            </w:tcBorders>
            <w:shd w:val="clear" w:color="auto" w:fill="auto"/>
            <w:noWrap/>
            <w:vAlign w:val="center"/>
          </w:tcPr>
          <w:p w14:paraId="11121016" w14:textId="6138DAC0" w:rsidR="00712803" w:rsidRPr="0009362B" w:rsidRDefault="00712803" w:rsidP="00712803">
            <w:pPr>
              <w:spacing w:after="0" w:line="240" w:lineRule="auto"/>
              <w:jc w:val="right"/>
              <w:rPr>
                <w:rFonts w:eastAsia="Times New Roman" w:cs="Times New Roman"/>
                <w:b/>
                <w:bCs/>
                <w:color w:val="000000"/>
                <w:sz w:val="18"/>
                <w:szCs w:val="18"/>
                <w:lang w:eastAsia="sk-SK"/>
              </w:rPr>
            </w:pPr>
            <w:r w:rsidRPr="0009362B">
              <w:rPr>
                <w:b/>
                <w:bCs/>
                <w:color w:val="000000"/>
                <w:sz w:val="18"/>
                <w:szCs w:val="18"/>
              </w:rPr>
              <w:t>-1 182 242</w:t>
            </w:r>
          </w:p>
        </w:tc>
        <w:tc>
          <w:tcPr>
            <w:tcW w:w="992" w:type="dxa"/>
            <w:tcBorders>
              <w:top w:val="nil"/>
              <w:left w:val="nil"/>
              <w:bottom w:val="single" w:sz="8" w:space="0" w:color="auto"/>
              <w:right w:val="nil"/>
            </w:tcBorders>
            <w:shd w:val="clear" w:color="auto" w:fill="auto"/>
            <w:noWrap/>
            <w:vAlign w:val="center"/>
          </w:tcPr>
          <w:p w14:paraId="7CFFE15F" w14:textId="5D2CF148" w:rsidR="00712803" w:rsidRPr="0009362B" w:rsidRDefault="00712803" w:rsidP="00712803">
            <w:pPr>
              <w:spacing w:after="0" w:line="240" w:lineRule="auto"/>
              <w:jc w:val="right"/>
              <w:rPr>
                <w:rFonts w:eastAsia="Times New Roman" w:cs="Times New Roman"/>
                <w:b/>
                <w:bCs/>
                <w:color w:val="000000"/>
                <w:sz w:val="18"/>
                <w:szCs w:val="18"/>
                <w:lang w:eastAsia="sk-SK"/>
              </w:rPr>
            </w:pPr>
            <w:r w:rsidRPr="0009362B">
              <w:rPr>
                <w:b/>
                <w:bCs/>
                <w:color w:val="000000"/>
                <w:sz w:val="18"/>
                <w:szCs w:val="18"/>
              </w:rPr>
              <w:t>790 662</w:t>
            </w:r>
          </w:p>
        </w:tc>
      </w:tr>
    </w:tbl>
    <w:p w14:paraId="17A35B35" w14:textId="77777777" w:rsidR="00FA1A9C" w:rsidRPr="00ED135D" w:rsidRDefault="00FA1A9C" w:rsidP="00FA1A9C">
      <w:pPr>
        <w:rPr>
          <w:highlight w:val="yellow"/>
        </w:rPr>
      </w:pPr>
    </w:p>
    <w:p w14:paraId="3791DA68" w14:textId="0B3F46BC" w:rsidR="00ED135D" w:rsidRPr="002D224F" w:rsidRDefault="00ED135D" w:rsidP="00ED135D">
      <w:r w:rsidRPr="00775872">
        <w:t>Schválené príjmy</w:t>
      </w:r>
      <w:r w:rsidRPr="00775872">
        <w:rPr>
          <w:rStyle w:val="Odkaznapoznmkupodiarou"/>
        </w:rPr>
        <w:footnoteReference w:id="16"/>
      </w:r>
      <w:r w:rsidRPr="00775872">
        <w:t xml:space="preserve"> štátneho rozpočtu na rok 201</w:t>
      </w:r>
      <w:r w:rsidR="00775872" w:rsidRPr="00775872">
        <w:t>8</w:t>
      </w:r>
      <w:r w:rsidRPr="00775872">
        <w:t xml:space="preserve"> boli oproti schváleným príjmom na rok 201</w:t>
      </w:r>
      <w:r w:rsidR="00775872" w:rsidRPr="00775872">
        <w:t>7</w:t>
      </w:r>
      <w:r w:rsidRPr="00775872">
        <w:t xml:space="preserve"> </w:t>
      </w:r>
      <w:r w:rsidR="00775872">
        <w:t>nižšie</w:t>
      </w:r>
      <w:r w:rsidRPr="00775872">
        <w:t xml:space="preserve"> úhrnom o 1 </w:t>
      </w:r>
      <w:r w:rsidR="00775872" w:rsidRPr="00775872">
        <w:t>407</w:t>
      </w:r>
      <w:r w:rsidRPr="00775872">
        <w:t> </w:t>
      </w:r>
      <w:r w:rsidR="00775872" w:rsidRPr="00775872">
        <w:t>337</w:t>
      </w:r>
      <w:r w:rsidRPr="00775872">
        <w:t xml:space="preserve"> tis. eur, pričom sa predpokladali </w:t>
      </w:r>
      <w:r w:rsidR="00775872" w:rsidRPr="00775872">
        <w:t>nižšie príjmy z grantov a transferov o</w:t>
      </w:r>
      <w:r w:rsidR="00775872">
        <w:t> 1 286 105 </w:t>
      </w:r>
      <w:r w:rsidR="00775872" w:rsidRPr="00775872">
        <w:t>tis. eur</w:t>
      </w:r>
      <w:r w:rsidR="005437C2">
        <w:t>,</w:t>
      </w:r>
      <w:r w:rsidR="00775872" w:rsidRPr="00775872">
        <w:t xml:space="preserve"> nižšie</w:t>
      </w:r>
      <w:r w:rsidRPr="00775872">
        <w:t xml:space="preserve"> daňové príjmy o </w:t>
      </w:r>
      <w:r w:rsidR="00775872" w:rsidRPr="00775872">
        <w:t>168</w:t>
      </w:r>
      <w:r w:rsidRPr="00775872">
        <w:t> </w:t>
      </w:r>
      <w:r w:rsidR="00775872" w:rsidRPr="00775872">
        <w:t>577</w:t>
      </w:r>
      <w:r w:rsidRPr="00775872">
        <w:t> tis. </w:t>
      </w:r>
      <w:r w:rsidRPr="005437C2">
        <w:t>eur</w:t>
      </w:r>
      <w:r w:rsidR="00795AAA">
        <w:t>, ktoré mali byť čiastočne kompenzované</w:t>
      </w:r>
      <w:r w:rsidRPr="005437C2">
        <w:t xml:space="preserve"> vyšš</w:t>
      </w:r>
      <w:r w:rsidR="00795AAA">
        <w:t>ími</w:t>
      </w:r>
      <w:r w:rsidRPr="005437C2">
        <w:t xml:space="preserve"> nedaňov</w:t>
      </w:r>
      <w:r w:rsidR="00795AAA">
        <w:t>ými</w:t>
      </w:r>
      <w:r w:rsidRPr="005437C2">
        <w:t xml:space="preserve"> príjm</w:t>
      </w:r>
      <w:r w:rsidR="00795AAA">
        <w:t>ami</w:t>
      </w:r>
      <w:r w:rsidRPr="005437C2">
        <w:t xml:space="preserve"> o </w:t>
      </w:r>
      <w:r w:rsidR="005437C2" w:rsidRPr="005437C2">
        <w:t>47 345 </w:t>
      </w:r>
      <w:r w:rsidRPr="005437C2">
        <w:t>tis. eur</w:t>
      </w:r>
      <w:r w:rsidR="00795AAA">
        <w:t>.</w:t>
      </w:r>
      <w:r w:rsidRPr="002D224F">
        <w:t xml:space="preserve"> </w:t>
      </w:r>
    </w:p>
    <w:p w14:paraId="7174A19E" w14:textId="789401EF" w:rsidR="00ED135D" w:rsidRPr="00ED135D" w:rsidRDefault="00A0658E" w:rsidP="00ED135D">
      <w:pPr>
        <w:rPr>
          <w:highlight w:val="yellow"/>
        </w:rPr>
      </w:pPr>
      <w:r w:rsidRPr="00D470AD">
        <w:t xml:space="preserve">Opatrenia </w:t>
      </w:r>
      <w:r>
        <w:t xml:space="preserve">rozpočtu </w:t>
      </w:r>
      <w:r w:rsidRPr="00D470AD">
        <w:t>na príjmovej strane sa týka</w:t>
      </w:r>
      <w:r>
        <w:t>li</w:t>
      </w:r>
      <w:r w:rsidRPr="00D470AD">
        <w:t xml:space="preserve"> v pre</w:t>
      </w:r>
      <w:r>
        <w:t>važnej väčšine daňových príjmov, a to s cieľom efektívnejšieho výberu daní a zníženia počtu daňových únikov.</w:t>
      </w:r>
      <w:r w:rsidRPr="00D470AD">
        <w:t xml:space="preserve"> </w:t>
      </w:r>
      <w:r>
        <w:t xml:space="preserve">Na príjmovej strane bolo okrem iných opatrení zapracované zrušenie daňovej licencie na dani z príjmu právnických osôb, zmena pri uplatňovaní </w:t>
      </w:r>
      <w:proofErr w:type="spellStart"/>
      <w:r>
        <w:t>superodpočtu</w:t>
      </w:r>
      <w:proofErr w:type="spellEnd"/>
      <w:r>
        <w:t xml:space="preserve"> výdavkov na vedu a výskum, úprava odpisovania technického zhodnotenia pre sektor kúpeľníctva a zavedenie nezdaniteľnej časti na kúpeľnú starostlivosť do daňového systému.</w:t>
      </w:r>
      <w:r w:rsidR="008C2638">
        <w:t xml:space="preserve"> </w:t>
      </w:r>
      <w:r w:rsidR="00ED135D" w:rsidRPr="002D224F">
        <w:t xml:space="preserve">Z daňových príjmov bola medziročne rozpočtovaná </w:t>
      </w:r>
      <w:r w:rsidR="003633EA">
        <w:t>nižšia</w:t>
      </w:r>
      <w:r w:rsidR="00ED135D" w:rsidRPr="002D224F">
        <w:t xml:space="preserve"> daň z príjmov právnickej osoby o </w:t>
      </w:r>
      <w:r w:rsidR="002D224F" w:rsidRPr="002D224F">
        <w:t>671</w:t>
      </w:r>
      <w:r w:rsidR="00ED135D" w:rsidRPr="002D224F">
        <w:t> </w:t>
      </w:r>
      <w:r w:rsidR="002D224F" w:rsidRPr="002D224F">
        <w:t>133</w:t>
      </w:r>
      <w:r w:rsidR="00ED135D" w:rsidRPr="002D224F">
        <w:t> tis. eur</w:t>
      </w:r>
      <w:r w:rsidR="00ED135D" w:rsidRPr="003633EA">
        <w:t>,</w:t>
      </w:r>
      <w:r w:rsidR="003633EA">
        <w:t xml:space="preserve"> </w:t>
      </w:r>
      <w:r w:rsidR="00ED135D" w:rsidRPr="003633EA">
        <w:t xml:space="preserve">daň z pridanej hodnoty </w:t>
      </w:r>
      <w:r w:rsidR="003633EA" w:rsidRPr="003633EA">
        <w:t>naopak vyššia o 330 384 </w:t>
      </w:r>
      <w:r w:rsidR="00ED135D" w:rsidRPr="003633EA">
        <w:t xml:space="preserve">tis. eur a spotrebné dane </w:t>
      </w:r>
      <w:r w:rsidR="0008539A">
        <w:t xml:space="preserve">vyššie </w:t>
      </w:r>
      <w:r w:rsidR="00ED135D" w:rsidRPr="003633EA">
        <w:t>o</w:t>
      </w:r>
      <w:r w:rsidR="003633EA" w:rsidRPr="003633EA">
        <w:t> 80 300 </w:t>
      </w:r>
      <w:r w:rsidR="00ED135D" w:rsidRPr="003633EA">
        <w:t>tis. eur.</w:t>
      </w:r>
    </w:p>
    <w:p w14:paraId="22692270" w14:textId="36DAE3BB" w:rsidR="00ED135D" w:rsidRPr="009A5E72" w:rsidRDefault="00ED135D" w:rsidP="00ED135D">
      <w:r w:rsidRPr="00795E45">
        <w:t xml:space="preserve">Príjmy z grantov a </w:t>
      </w:r>
      <w:r w:rsidR="00795E45" w:rsidRPr="00A265D6">
        <w:t xml:space="preserve">transferov sú </w:t>
      </w:r>
      <w:r w:rsidR="00CD1E8D" w:rsidRPr="00A265D6">
        <w:t xml:space="preserve">takmer </w:t>
      </w:r>
      <w:r w:rsidRPr="00A265D6">
        <w:t>z</w:t>
      </w:r>
      <w:r w:rsidR="00795E45" w:rsidRPr="00A265D6">
        <w:t>o</w:t>
      </w:r>
      <w:r w:rsidR="00DD15A3" w:rsidRPr="00A265D6">
        <w:t> </w:t>
      </w:r>
      <w:r w:rsidR="00795E45" w:rsidRPr="00A265D6">
        <w:t>100</w:t>
      </w:r>
      <w:r w:rsidR="00795E45">
        <w:t> </w:t>
      </w:r>
      <w:r w:rsidRPr="00795E45">
        <w:t xml:space="preserve">% tvorené transfermi z rozpočtu Európskej únie. </w:t>
      </w:r>
      <w:r w:rsidRPr="009A5E72">
        <w:t>V porovnaní s rokom 201</w:t>
      </w:r>
      <w:r w:rsidR="009A5E72">
        <w:t>7</w:t>
      </w:r>
      <w:r w:rsidRPr="009A5E72">
        <w:t xml:space="preserve"> sa rozpočtovali </w:t>
      </w:r>
      <w:r w:rsidR="009A5E72">
        <w:t>nižšie</w:t>
      </w:r>
      <w:r w:rsidRPr="009A5E72">
        <w:t xml:space="preserve"> o</w:t>
      </w:r>
      <w:r w:rsidR="009A5E72">
        <w:t> 1 286</w:t>
      </w:r>
      <w:r w:rsidRPr="009A5E72">
        <w:t> </w:t>
      </w:r>
      <w:r w:rsidR="009A5E72">
        <w:t>105</w:t>
      </w:r>
      <w:r w:rsidRPr="009A5E72">
        <w:t xml:space="preserve"> tis. eur. V rámci tuzemských transferov sa rozpočtoval medziročne </w:t>
      </w:r>
      <w:r w:rsidR="00DD15A3">
        <w:t>nižší</w:t>
      </w:r>
      <w:r w:rsidRPr="009A5E72">
        <w:t xml:space="preserve"> transfer zo Slovenského pozemkového fondu, a </w:t>
      </w:r>
      <w:r w:rsidR="00DD15A3">
        <w:t>to o 11</w:t>
      </w:r>
      <w:r w:rsidRPr="009A5E72">
        <w:t> </w:t>
      </w:r>
      <w:r w:rsidR="00DD15A3">
        <w:t>341</w:t>
      </w:r>
      <w:r w:rsidRPr="009A5E72">
        <w:t xml:space="preserve"> tis. eur.</w:t>
      </w:r>
    </w:p>
    <w:p w14:paraId="365AD5DD" w14:textId="3E30F987" w:rsidR="00ED135D" w:rsidRPr="00DD15A3" w:rsidRDefault="00ED135D" w:rsidP="00ED135D">
      <w:r w:rsidRPr="00DD15A3">
        <w:t>Z nedaňových príjmov sa medziročne vyššie rozpočtovali najmä príjmy z odvodov z hazardných hier a iných podobných hier o </w:t>
      </w:r>
      <w:r w:rsidR="00DD15A3" w:rsidRPr="00DD15A3">
        <w:t>77</w:t>
      </w:r>
      <w:r w:rsidR="00470D91">
        <w:t> </w:t>
      </w:r>
      <w:r w:rsidR="00DD15A3" w:rsidRPr="00DD15A3">
        <w:t>100</w:t>
      </w:r>
      <w:r w:rsidR="00470D91">
        <w:t> tis. </w:t>
      </w:r>
      <w:r w:rsidRPr="00DD15A3">
        <w:t xml:space="preserve">eur a príjmy z náhrad poistného plnenia </w:t>
      </w:r>
      <w:r w:rsidRPr="00F95476">
        <w:t>o 1</w:t>
      </w:r>
      <w:r w:rsidR="00F95476" w:rsidRPr="00F95476">
        <w:t>7</w:t>
      </w:r>
      <w:r w:rsidR="00340046" w:rsidRPr="00F95476">
        <w:t> </w:t>
      </w:r>
      <w:r w:rsidRPr="00F95476">
        <w:t>3</w:t>
      </w:r>
      <w:r w:rsidR="00F95476" w:rsidRPr="00F95476">
        <w:t>77</w:t>
      </w:r>
      <w:r w:rsidR="00340046" w:rsidRPr="00F95476">
        <w:t> tis</w:t>
      </w:r>
      <w:r w:rsidR="00340046">
        <w:t>. </w:t>
      </w:r>
      <w:r w:rsidRPr="00DD15A3">
        <w:t xml:space="preserve">eur, naopak medziročne nižšie sa rozpočtovali </w:t>
      </w:r>
      <w:r w:rsidR="00F95476">
        <w:t>napr. pokuty penále a iné sankcie o 7 292 tis. eur)</w:t>
      </w:r>
      <w:r w:rsidRPr="00DD15A3">
        <w:t xml:space="preserve">, z toho </w:t>
      </w:r>
      <w:r w:rsidR="00F95476">
        <w:t>takmer celú časť tvoria pokuty za porušenie predpisov</w:t>
      </w:r>
      <w:r w:rsidRPr="00DD15A3">
        <w:t xml:space="preserve"> (o </w:t>
      </w:r>
      <w:r w:rsidR="00F95476">
        <w:t>7</w:t>
      </w:r>
      <w:r w:rsidR="008C040F">
        <w:t> </w:t>
      </w:r>
      <w:r w:rsidR="00F95476">
        <w:t>291</w:t>
      </w:r>
      <w:r w:rsidRPr="00DD15A3">
        <w:t> </w:t>
      </w:r>
      <w:r w:rsidR="008C040F">
        <w:t>tis. </w:t>
      </w:r>
      <w:r w:rsidRPr="00DD15A3">
        <w:t>eur).</w:t>
      </w:r>
    </w:p>
    <w:p w14:paraId="175F69CB" w14:textId="2965AF38" w:rsidR="00A0658E" w:rsidRDefault="00ED135D" w:rsidP="00A0658E">
      <w:r w:rsidRPr="009E3910">
        <w:t>V medziročnom porovnaní schválených výdavkov štátneho rozpočtu na roky 201</w:t>
      </w:r>
      <w:r w:rsidR="009E3910" w:rsidRPr="009E3910">
        <w:t>8</w:t>
      </w:r>
      <w:r w:rsidRPr="009E3910">
        <w:t xml:space="preserve"> a 201</w:t>
      </w:r>
      <w:r w:rsidR="009E3910" w:rsidRPr="009E3910">
        <w:t>7</w:t>
      </w:r>
      <w:r w:rsidRPr="009E3910">
        <w:t xml:space="preserve"> sa predpokladalo ich </w:t>
      </w:r>
      <w:r w:rsidR="009E3910" w:rsidRPr="009E3910">
        <w:t>z</w:t>
      </w:r>
      <w:r w:rsidR="009E3910">
        <w:t>níženie</w:t>
      </w:r>
      <w:r w:rsidRPr="009E3910">
        <w:t xml:space="preserve"> o 1 </w:t>
      </w:r>
      <w:r w:rsidR="009E3910">
        <w:t>427</w:t>
      </w:r>
      <w:r w:rsidR="0077470F">
        <w:t> </w:t>
      </w:r>
      <w:r w:rsidR="009E3910" w:rsidRPr="009E3910">
        <w:t>652</w:t>
      </w:r>
      <w:r w:rsidR="0077470F">
        <w:t xml:space="preserve"> </w:t>
      </w:r>
      <w:r w:rsidRPr="009E3910">
        <w:t xml:space="preserve">tis. eur. Bežné výdavky sa rozpočtovali medziročne </w:t>
      </w:r>
      <w:r w:rsidR="009E3910" w:rsidRPr="009E3910">
        <w:t>nižšie</w:t>
      </w:r>
      <w:r w:rsidRPr="009E3910">
        <w:t xml:space="preserve"> o</w:t>
      </w:r>
      <w:r w:rsidR="00BF1990">
        <w:t> 20 048 </w:t>
      </w:r>
      <w:r w:rsidRPr="009E3910">
        <w:t>tis. eur a kapitálové výdavky vyššie o</w:t>
      </w:r>
      <w:r w:rsidR="00BF1990">
        <w:t> 1 407 604 </w:t>
      </w:r>
      <w:r w:rsidRPr="009E3910">
        <w:t>tis.</w:t>
      </w:r>
      <w:r w:rsidR="00BF1990">
        <w:t> </w:t>
      </w:r>
      <w:r w:rsidRPr="009E3910">
        <w:t>eur</w:t>
      </w:r>
      <w:r w:rsidR="00A0658E">
        <w:t>.</w:t>
      </w:r>
    </w:p>
    <w:p w14:paraId="570D032F" w14:textId="3EA0D3CE" w:rsidR="00A0658E" w:rsidRPr="00023521" w:rsidRDefault="00A0658E" w:rsidP="00A0658E">
      <w:r>
        <w:t>Legislatívne zmeny a priority prijaté vládou SR sa odzrkadlili aj na strane výdavkov rozpočtu verejnej správy. Vláda SR sa vo výdavkoch zamerala okrem iného na implementáciu rezortných politík v oblasti výstavby a modernizácie dopravnej infraštruktúry, podpory moderných a efektívnych spôsobov dopravy, podpory regionálneho rozvoja, podpory vedy a výskumu, či podpory investícií. Zapracované boli aj sociálne opatrenia, týkajúce sa okrem iného zvýšenia príspevku na opatrovanie, príspevku na dochádzanie za prácou, príplatkov za prácu cez víkend, sviatok, či v noci. V rozpočte bola zapracovaná aj úprava platových pomerov zamestnancov v štátnej službe a niektorých zamestnancov pri výkone práce vo verejnom záujme.</w:t>
      </w:r>
    </w:p>
    <w:p w14:paraId="75800E49" w14:textId="480A87EA" w:rsidR="00ED135D" w:rsidRPr="00FB3886" w:rsidRDefault="00ED135D" w:rsidP="00ED135D">
      <w:r w:rsidRPr="00FB3886">
        <w:t>Z bežných výdavkov boli predpokladané vyššie mzdy, platy, služobné príjmy a s tým súvisiace príspevky na poistné odvody a príspevky do poisťovní o</w:t>
      </w:r>
      <w:r w:rsidR="00FB3886" w:rsidRPr="00FB3886">
        <w:t> 75 861 </w:t>
      </w:r>
      <w:r w:rsidRPr="00FB3886">
        <w:t xml:space="preserve">tis. eur. Výdavky na tovary a služby sa rozpočtovali medziročne </w:t>
      </w:r>
      <w:r w:rsidR="00FB3886" w:rsidRPr="00FB3886">
        <w:t>nižšie</w:t>
      </w:r>
      <w:r w:rsidRPr="00FB3886">
        <w:t xml:space="preserve"> o</w:t>
      </w:r>
      <w:r w:rsidR="00FB3886">
        <w:t> 151 415</w:t>
      </w:r>
      <w:r w:rsidRPr="00FB3886">
        <w:t> tis.</w:t>
      </w:r>
      <w:r w:rsidR="00FB3886">
        <w:t> </w:t>
      </w:r>
      <w:r w:rsidRPr="00FB3886">
        <w:t xml:space="preserve">eur, z toho najmä na </w:t>
      </w:r>
      <w:r w:rsidR="00FB3886" w:rsidRPr="00FB3886">
        <w:t xml:space="preserve">poskytované služby </w:t>
      </w:r>
      <w:r w:rsidR="00FB3886">
        <w:t>(</w:t>
      </w:r>
      <w:r w:rsidR="00FB3886" w:rsidRPr="00FB3886">
        <w:t>v rámci nich aj spolufinancovanie k EÚ projektom)</w:t>
      </w:r>
      <w:r w:rsidR="00FB3886">
        <w:t xml:space="preserve"> </w:t>
      </w:r>
      <w:r w:rsidRPr="00FB3886">
        <w:t>a</w:t>
      </w:r>
      <w:r w:rsidR="00FB3886" w:rsidRPr="00FB3886">
        <w:t> na materiál, údržbu zariadení, budov a ostatného majetku štátu</w:t>
      </w:r>
      <w:r w:rsidRPr="00FB3886">
        <w:t>.</w:t>
      </w:r>
    </w:p>
    <w:p w14:paraId="4CB0F99C" w14:textId="55A1A281" w:rsidR="00ED135D" w:rsidRPr="00FB3886" w:rsidRDefault="00ED135D" w:rsidP="00ED135D">
      <w:r w:rsidRPr="00FB3886">
        <w:t>Výdavky na bežné transfery boli ro</w:t>
      </w:r>
      <w:r w:rsidR="00FB3886" w:rsidRPr="00FB3886">
        <w:t>zpočtované medziročne nižšie o 153 009 </w:t>
      </w:r>
      <w:r w:rsidRPr="00FB3886">
        <w:t xml:space="preserve">tis. eur, pričom tuzemské bežné transfery v rámci verejnej správy boli </w:t>
      </w:r>
      <w:r w:rsidR="00FB3886">
        <w:t>nižšie o</w:t>
      </w:r>
      <w:r w:rsidRPr="00FB3886">
        <w:t> </w:t>
      </w:r>
      <w:r w:rsidR="00FB3886">
        <w:t>175 190 </w:t>
      </w:r>
      <w:r w:rsidRPr="00FB3886">
        <w:t xml:space="preserve">tis. eur a transfery </w:t>
      </w:r>
      <w:r w:rsidR="00FB3886">
        <w:t>do zahraničia vyššie</w:t>
      </w:r>
      <w:r w:rsidRPr="00FB3886">
        <w:t xml:space="preserve"> o </w:t>
      </w:r>
      <w:r w:rsidR="00FB3886">
        <w:t>99 </w:t>
      </w:r>
      <w:r w:rsidR="00422C0A">
        <w:t>368</w:t>
      </w:r>
      <w:r w:rsidR="00FB3886">
        <w:t> </w:t>
      </w:r>
      <w:r w:rsidRPr="00FB3886">
        <w:t>tis. eur.</w:t>
      </w:r>
    </w:p>
    <w:p w14:paraId="3C64AF83" w14:textId="1B829D3B" w:rsidR="00ED135D" w:rsidRPr="00422C0A" w:rsidRDefault="00ED135D" w:rsidP="00ED135D">
      <w:r w:rsidRPr="00422C0A">
        <w:t xml:space="preserve">Z kapitálových výdavkov sa medziročne </w:t>
      </w:r>
      <w:r w:rsidR="00422C0A" w:rsidRPr="00422C0A">
        <w:t>nižšie</w:t>
      </w:r>
      <w:r w:rsidRPr="00422C0A">
        <w:t xml:space="preserve"> rozpočtovalo obstaranie kapitálových aktív (</w:t>
      </w:r>
      <w:r w:rsidR="00DC7CDE">
        <w:t>napr.</w:t>
      </w:r>
      <w:r w:rsidRPr="00DC7CDE">
        <w:t xml:space="preserve"> realizácia</w:t>
      </w:r>
      <w:r w:rsidRPr="00422C0A">
        <w:t xml:space="preserve"> nových stavieb a technické zhodnotenie existujúcich o</w:t>
      </w:r>
      <w:r w:rsidR="00422C0A">
        <w:t> </w:t>
      </w:r>
      <w:r w:rsidRPr="00422C0A">
        <w:t>1</w:t>
      </w:r>
      <w:r w:rsidR="00422C0A">
        <w:t>57 149</w:t>
      </w:r>
      <w:r w:rsidRPr="00422C0A">
        <w:t> tis. eur, ostatné kapitálové výdavky o </w:t>
      </w:r>
      <w:r w:rsidR="00422C0A">
        <w:t>104 871 </w:t>
      </w:r>
      <w:r w:rsidRPr="00422C0A">
        <w:t xml:space="preserve">tis. eur). </w:t>
      </w:r>
      <w:r w:rsidR="00422C0A">
        <w:t>Nižš</w:t>
      </w:r>
      <w:r w:rsidRPr="00422C0A">
        <w:t>ie sa rozpočtovali aj výdavky na kapitálové transfery o</w:t>
      </w:r>
      <w:r w:rsidR="00422C0A">
        <w:t> 1 150 884 </w:t>
      </w:r>
      <w:r w:rsidRPr="00422C0A">
        <w:t xml:space="preserve">tis. eur, a to najmä na transfery </w:t>
      </w:r>
      <w:r w:rsidR="00422C0A">
        <w:t>v rámci verejnej správy</w:t>
      </w:r>
      <w:r w:rsidRPr="00422C0A">
        <w:t xml:space="preserve"> o </w:t>
      </w:r>
      <w:r w:rsidR="00814529">
        <w:t>749 004 </w:t>
      </w:r>
      <w:r w:rsidRPr="00422C0A">
        <w:t>tis. eur.</w:t>
      </w:r>
    </w:p>
    <w:p w14:paraId="7DAE0642" w14:textId="463D17C2" w:rsidR="00ED135D" w:rsidRPr="00073B7D" w:rsidRDefault="00ED135D" w:rsidP="00ED135D">
      <w:pPr>
        <w:rPr>
          <w:b/>
        </w:rPr>
      </w:pPr>
      <w:r w:rsidRPr="00814529">
        <w:rPr>
          <w:b/>
        </w:rPr>
        <w:t>V priebehu rozpočtového roka 201</w:t>
      </w:r>
      <w:r w:rsidR="00814529" w:rsidRPr="00814529">
        <w:rPr>
          <w:b/>
        </w:rPr>
        <w:t>8</w:t>
      </w:r>
      <w:r w:rsidRPr="00814529">
        <w:rPr>
          <w:b/>
        </w:rPr>
        <w:t xml:space="preserve"> sa vykonali v súlade s rozpočtovými pravidlami rozpočtové opatrenia, ktoré z</w:t>
      </w:r>
      <w:r w:rsidR="00814529">
        <w:rPr>
          <w:b/>
        </w:rPr>
        <w:t>výšili</w:t>
      </w:r>
      <w:r w:rsidRPr="00814529">
        <w:rPr>
          <w:b/>
        </w:rPr>
        <w:t xml:space="preserve"> celkovo schválené príjmy na rok 201</w:t>
      </w:r>
      <w:r w:rsidR="00814529" w:rsidRPr="00814529">
        <w:rPr>
          <w:b/>
        </w:rPr>
        <w:t>8</w:t>
      </w:r>
      <w:r w:rsidRPr="00814529">
        <w:rPr>
          <w:b/>
        </w:rPr>
        <w:t xml:space="preserve"> o</w:t>
      </w:r>
      <w:r w:rsidR="00814529" w:rsidRPr="00814529">
        <w:rPr>
          <w:b/>
        </w:rPr>
        <w:t> 785 176 tis. </w:t>
      </w:r>
      <w:r w:rsidRPr="00814529">
        <w:rPr>
          <w:b/>
        </w:rPr>
        <w:t>eur na 14</w:t>
      </w:r>
      <w:r w:rsidR="00814529" w:rsidRPr="00814529">
        <w:rPr>
          <w:b/>
        </w:rPr>
        <w:t> 767 986</w:t>
      </w:r>
      <w:r w:rsidRPr="00814529">
        <w:rPr>
          <w:b/>
        </w:rPr>
        <w:t xml:space="preserve"> tis. eur a celkové schválené </w:t>
      </w:r>
      <w:r w:rsidRPr="00073B7D">
        <w:rPr>
          <w:b/>
        </w:rPr>
        <w:t>výdavky o</w:t>
      </w:r>
      <w:r w:rsidR="00073B7D" w:rsidRPr="00073B7D">
        <w:rPr>
          <w:b/>
        </w:rPr>
        <w:t> 638 12</w:t>
      </w:r>
      <w:r w:rsidRPr="00073B7D">
        <w:rPr>
          <w:b/>
        </w:rPr>
        <w:t>1 tis. eur na 1</w:t>
      </w:r>
      <w:r w:rsidR="00073B7D" w:rsidRPr="00073B7D">
        <w:rPr>
          <w:b/>
        </w:rPr>
        <w:t>6</w:t>
      </w:r>
      <w:r w:rsidRPr="00073B7D">
        <w:rPr>
          <w:b/>
        </w:rPr>
        <w:t> </w:t>
      </w:r>
      <w:r w:rsidR="00073B7D" w:rsidRPr="00073B7D">
        <w:rPr>
          <w:b/>
        </w:rPr>
        <w:t>539</w:t>
      </w:r>
      <w:r w:rsidRPr="00073B7D">
        <w:rPr>
          <w:b/>
        </w:rPr>
        <w:t> </w:t>
      </w:r>
      <w:r w:rsidR="00073B7D" w:rsidRPr="00073B7D">
        <w:rPr>
          <w:b/>
        </w:rPr>
        <w:t>835</w:t>
      </w:r>
      <w:r w:rsidRPr="00073B7D">
        <w:rPr>
          <w:b/>
        </w:rPr>
        <w:t> tis. eur. Plánovaný schodok štátneho rozpočtu po úpravách počas roka 201</w:t>
      </w:r>
      <w:r w:rsidR="00073B7D">
        <w:rPr>
          <w:b/>
        </w:rPr>
        <w:t>8</w:t>
      </w:r>
      <w:r w:rsidRPr="00073B7D">
        <w:rPr>
          <w:b/>
        </w:rPr>
        <w:t xml:space="preserve"> mal byť tak k </w:t>
      </w:r>
      <w:proofErr w:type="spellStart"/>
      <w:r w:rsidRPr="00073B7D">
        <w:rPr>
          <w:b/>
        </w:rPr>
        <w:t>ultimu</w:t>
      </w:r>
      <w:proofErr w:type="spellEnd"/>
      <w:r w:rsidRPr="00073B7D">
        <w:rPr>
          <w:b/>
        </w:rPr>
        <w:t xml:space="preserve"> roka nižší oproti schválenému o</w:t>
      </w:r>
      <w:r w:rsidR="00073B7D" w:rsidRPr="00073B7D">
        <w:rPr>
          <w:b/>
        </w:rPr>
        <w:t> 147 055</w:t>
      </w:r>
      <w:r w:rsidRPr="00073B7D">
        <w:rPr>
          <w:b/>
        </w:rPr>
        <w:t> tis. eur, vo výške 1</w:t>
      </w:r>
      <w:r w:rsidR="00073B7D" w:rsidRPr="00073B7D">
        <w:rPr>
          <w:b/>
        </w:rPr>
        <w:t> 825 849 </w:t>
      </w:r>
      <w:r w:rsidRPr="00073B7D">
        <w:rPr>
          <w:b/>
        </w:rPr>
        <w:t xml:space="preserve">tis. eur. </w:t>
      </w:r>
    </w:p>
    <w:p w14:paraId="183311BB" w14:textId="6735F33F" w:rsidR="00ED135D" w:rsidRPr="00ED135D" w:rsidRDefault="00ED135D" w:rsidP="00ED135D">
      <w:pPr>
        <w:rPr>
          <w:highlight w:val="yellow"/>
        </w:rPr>
      </w:pPr>
      <w:r w:rsidRPr="00073B7D">
        <w:t>Úpravy rozpočtu sa realizujú na základe aktualizovaných informácií o plnení úloh a požiadaviek jednotlivých kapitol ŠR počas rozpočtového roku, legislatívnych zmien, ktoré môžu priniesť zmenu v príjmoch alebo výdavkoch, ako aj na základe aktuálneho vývoja ekonomiky a verejných financií.</w:t>
      </w:r>
      <w:r w:rsidRPr="00ED135D">
        <w:rPr>
          <w:highlight w:val="yellow"/>
        </w:rPr>
        <w:t xml:space="preserve"> </w:t>
      </w:r>
    </w:p>
    <w:p w14:paraId="4704A60C" w14:textId="35180DCA" w:rsidR="006936FF" w:rsidRPr="00021DF5" w:rsidRDefault="00ED135D" w:rsidP="00ED135D">
      <w:r w:rsidRPr="00021DF5">
        <w:t xml:space="preserve">V rámci úpravy </w:t>
      </w:r>
      <w:r w:rsidR="002E30D8" w:rsidRPr="00021DF5">
        <w:t xml:space="preserve">pôvodne schváleného </w:t>
      </w:r>
      <w:r w:rsidRPr="00021DF5">
        <w:t xml:space="preserve">rozpočtu príjmov bolo zohľadnené </w:t>
      </w:r>
      <w:r w:rsidR="002E30D8" w:rsidRPr="00021DF5">
        <w:t>najmä vyššie</w:t>
      </w:r>
      <w:r w:rsidRPr="00021DF5">
        <w:t xml:space="preserve"> plnenie transferov z rozpočtu Európskej únie o</w:t>
      </w:r>
      <w:r w:rsidR="006936FF" w:rsidRPr="00021DF5">
        <w:t xml:space="preserve"> 791 306 </w:t>
      </w:r>
      <w:r w:rsidRPr="00021DF5">
        <w:t xml:space="preserve">tis. eur. </w:t>
      </w:r>
      <w:r w:rsidR="006936FF" w:rsidRPr="00021DF5">
        <w:t xml:space="preserve">Daňové príjmy zostali bez zmeny a v rámci nedaňových príjmov došlo k zníženiu očakávaného príjmu z predaja kapitálových aktív o 33 187 tis. eur a príjmu z pokút a </w:t>
      </w:r>
      <w:proofErr w:type="spellStart"/>
      <w:r w:rsidR="006936FF" w:rsidRPr="00021DF5">
        <w:t>penálov</w:t>
      </w:r>
      <w:proofErr w:type="spellEnd"/>
      <w:r w:rsidR="006936FF" w:rsidRPr="00021DF5">
        <w:t xml:space="preserve"> o 20 647 tis. eur.</w:t>
      </w:r>
      <w:r w:rsidR="00A13FDC" w:rsidRPr="00021DF5">
        <w:t xml:space="preserve"> T</w:t>
      </w:r>
      <w:r w:rsidR="00F83BC3">
        <w:t xml:space="preserve">oto zníženie príjmov </w:t>
      </w:r>
      <w:r w:rsidR="00A13FDC" w:rsidRPr="00021DF5">
        <w:t>bol</w:t>
      </w:r>
      <w:r w:rsidR="00F83BC3">
        <w:t>o</w:t>
      </w:r>
      <w:r w:rsidR="00A13FDC" w:rsidRPr="00021DF5">
        <w:t xml:space="preserve"> na druhej strane </w:t>
      </w:r>
      <w:r w:rsidR="00F83BC3">
        <w:t>kompenzované</w:t>
      </w:r>
      <w:r w:rsidR="00A13FDC" w:rsidRPr="00021DF5">
        <w:t xml:space="preserve"> vyššími </w:t>
      </w:r>
      <w:r w:rsidR="007D17DD">
        <w:t xml:space="preserve">ako schválenými </w:t>
      </w:r>
      <w:r w:rsidR="00A13FDC" w:rsidRPr="00021DF5">
        <w:t>príjmami z</w:t>
      </w:r>
      <w:r w:rsidR="00F83BC3">
        <w:t> </w:t>
      </w:r>
      <w:r w:rsidR="00A13FDC" w:rsidRPr="00021DF5">
        <w:t>dividend</w:t>
      </w:r>
      <w:r w:rsidR="00F83BC3">
        <w:t>, a to</w:t>
      </w:r>
      <w:r w:rsidR="00A13FDC" w:rsidRPr="00021DF5">
        <w:t xml:space="preserve"> o 46 491 tis. eur.</w:t>
      </w:r>
    </w:p>
    <w:p w14:paraId="05DD487C" w14:textId="00EF2CC0" w:rsidR="00F83BC3" w:rsidRPr="00E96173" w:rsidRDefault="00F83BC3" w:rsidP="00ED135D">
      <w:r w:rsidRPr="00E96173">
        <w:t>Úprava rozpočtu výdavkov zohľadňovala vyššie kapitálové transfery o 992 993 tis. eur, pričom išlo najmä o transfery obciam (vyššie o 307 724 tis. eur), Národnej diaľničnej spoločnosti, a. s. (vyššie o 380 704 tis. eur), Železniciam SR (vyššie o 163 299 tis. eur) a ostatných subjektom verejnej správy. Nárast kapitálových výdavkov kompenzoval pokles bežných výdavkov vo výške 433 261 tis. eur, a to najmä v rámci tovarov a služieb</w:t>
      </w:r>
      <w:r w:rsidR="00E96173">
        <w:rPr>
          <w:rStyle w:val="Odkaznapoznmkupodiarou"/>
        </w:rPr>
        <w:footnoteReference w:id="17"/>
      </w:r>
      <w:r w:rsidRPr="00E96173">
        <w:t xml:space="preserve"> o 356 688 tis. eur a bežných transferov</w:t>
      </w:r>
      <w:r w:rsidR="00E245DD" w:rsidRPr="00E96173">
        <w:t xml:space="preserve"> o 189 383 tis. eur.</w:t>
      </w:r>
    </w:p>
    <w:p w14:paraId="2BFD6FA4" w14:textId="6432500B" w:rsidR="00A0658E" w:rsidRPr="0097020C" w:rsidRDefault="00A0658E" w:rsidP="00A0658E">
      <w:pPr>
        <w:autoSpaceDE w:val="0"/>
        <w:autoSpaceDN w:val="0"/>
        <w:rPr>
          <w:highlight w:val="yellow"/>
        </w:rPr>
      </w:pPr>
      <w:r w:rsidRPr="0097020C">
        <w:t>V priebehu rok</w:t>
      </w:r>
      <w:r>
        <w:t>u</w:t>
      </w:r>
      <w:r w:rsidRPr="0097020C">
        <w:t xml:space="preserve"> 201</w:t>
      </w:r>
      <w:r>
        <w:t>8</w:t>
      </w:r>
      <w:r w:rsidRPr="0097020C">
        <w:t xml:space="preserve"> prebiehal pravidelný monitoring vývoja plnenia schváleného rozpočtu verejnej správy na mesačnej báze. Ministerstvo financií SR sledovalo vývoj v širšom rámci celých verejných financií formou pravidelnej analýzy očakávaných predpokladov hospodárenia kapitol štátneho rozpočtu a ostatných subjektov verejnej správy na hotovostnej báze a</w:t>
      </w:r>
      <w:r w:rsidR="00B8145B">
        <w:t xml:space="preserve"> </w:t>
      </w:r>
      <w:r w:rsidRPr="0097020C">
        <w:t>v</w:t>
      </w:r>
      <w:r w:rsidR="00F93545">
        <w:t xml:space="preserve"> európskej </w:t>
      </w:r>
      <w:r w:rsidRPr="0097020C">
        <w:t>metodike ESA 2010. Na základe aktuálne dostupných údajov o dosiahnutej skutočnosti a predpokladanom vývoji príjmov a výdavkov rozpočtu verejnej správy ku koncu rozpočtového roka sa kvantifikovali očakávané zmeny a riziká v hospodárení jednotlivých subjektov rozpočtu verejnej správy oproti schválenému rozpočtu na rok 201</w:t>
      </w:r>
      <w:r>
        <w:t>8</w:t>
      </w:r>
      <w:r w:rsidRPr="0097020C">
        <w:t>. V prípade odchýlenia sa vývoja verejných financií od schváleného rozpočtového cieľa sa pristupovalo k prijatiu opatrení, ktoré mali zvrátiť negatívny vývoj a zabezpečiť dosiahnutie rozpočtovaného cieľa.</w:t>
      </w:r>
    </w:p>
    <w:p w14:paraId="34B0B82D" w14:textId="5B1A1A11" w:rsidR="00A0658E" w:rsidRPr="0097020C" w:rsidRDefault="00A0658E" w:rsidP="00A0658E">
      <w:pPr>
        <w:autoSpaceDE w:val="0"/>
        <w:autoSpaceDN w:val="0"/>
        <w:rPr>
          <w:highlight w:val="yellow"/>
        </w:rPr>
      </w:pPr>
      <w:r w:rsidRPr="0097020C">
        <w:t>Mesačné predpoklady vývoja verejných financií vychádzali z najnovších analýz a prognóz makroekonomického vývoja a prognóz daňových a odvodových príjmov, ako aj z podkladov o očakávanom plnení príjmov a</w:t>
      </w:r>
      <w:r w:rsidR="00B8145B">
        <w:t xml:space="preserve"> </w:t>
      </w:r>
      <w:r w:rsidRPr="0097020C">
        <w:t>čerpaní výdavkov za prostriedky EÚ a</w:t>
      </w:r>
      <w:r w:rsidR="00B8145B">
        <w:t xml:space="preserve"> </w:t>
      </w:r>
      <w:r w:rsidRPr="0097020C">
        <w:t>prostriedky na spolufinancovanie zo štátneho rozpočtu.</w:t>
      </w:r>
    </w:p>
    <w:p w14:paraId="769DEC50" w14:textId="63953510" w:rsidR="00ED135D" w:rsidRPr="00ED135D" w:rsidRDefault="00ED135D" w:rsidP="00ED135D">
      <w:pPr>
        <w:rPr>
          <w:color w:val="000000"/>
          <w:highlight w:val="yellow"/>
        </w:rPr>
      </w:pPr>
      <w:r w:rsidRPr="00135126">
        <w:rPr>
          <w:color w:val="000000"/>
        </w:rPr>
        <w:t>Schodok štátneho rozpočtu vykázaný k 31. 12</w:t>
      </w:r>
      <w:r w:rsidRPr="00CE73C2">
        <w:rPr>
          <w:color w:val="000000"/>
        </w:rPr>
        <w:t>. 201</w:t>
      </w:r>
      <w:r w:rsidR="00135126" w:rsidRPr="00CE73C2">
        <w:rPr>
          <w:color w:val="000000"/>
        </w:rPr>
        <w:t>8</w:t>
      </w:r>
      <w:r w:rsidRPr="00CE73C2">
        <w:rPr>
          <w:color w:val="000000"/>
        </w:rPr>
        <w:t xml:space="preserve"> v sume </w:t>
      </w:r>
      <w:r w:rsidR="00135126" w:rsidRPr="00CE73C2">
        <w:rPr>
          <w:color w:val="000000"/>
        </w:rPr>
        <w:t>1 182 242 </w:t>
      </w:r>
      <w:r w:rsidRPr="00CE73C2">
        <w:rPr>
          <w:color w:val="000000"/>
        </w:rPr>
        <w:t>tis.</w:t>
      </w:r>
      <w:r w:rsidR="00135126" w:rsidRPr="00CE73C2">
        <w:rPr>
          <w:color w:val="000000"/>
        </w:rPr>
        <w:t> </w:t>
      </w:r>
      <w:r w:rsidRPr="00CE73C2">
        <w:rPr>
          <w:color w:val="000000"/>
        </w:rPr>
        <w:t xml:space="preserve">eur bol krytý </w:t>
      </w:r>
      <w:r w:rsidRPr="00CE73C2">
        <w:t>finančnými prostriedkami získanými z predaja štátnych cenných papierov</w:t>
      </w:r>
      <w:r w:rsidR="00CE73C2" w:rsidRPr="00CE73C2">
        <w:t>, a</w:t>
      </w:r>
      <w:r w:rsidR="00B8145B">
        <w:t xml:space="preserve"> </w:t>
      </w:r>
      <w:r w:rsidR="00CE73C2" w:rsidRPr="00CE73C2">
        <w:t>to dlhopisov v hodnote 382 242 tis. eur a</w:t>
      </w:r>
      <w:r w:rsidR="00B8145B">
        <w:t xml:space="preserve"> </w:t>
      </w:r>
      <w:r w:rsidR="00CE73C2" w:rsidRPr="00CE73C2">
        <w:t xml:space="preserve">ŠPP </w:t>
      </w:r>
      <w:r w:rsidRPr="00CE73C2">
        <w:t>v </w:t>
      </w:r>
      <w:r w:rsidRPr="00CE73C2">
        <w:rPr>
          <w:color w:val="000000"/>
        </w:rPr>
        <w:t xml:space="preserve">hodnote </w:t>
      </w:r>
      <w:r w:rsidR="00CE73C2" w:rsidRPr="00CE73C2">
        <w:rPr>
          <w:color w:val="000000"/>
        </w:rPr>
        <w:t>800 000</w:t>
      </w:r>
      <w:r w:rsidRPr="00CE73C2">
        <w:rPr>
          <w:color w:val="000000"/>
        </w:rPr>
        <w:t> tis. eur</w:t>
      </w:r>
      <w:r w:rsidR="00CE73C2" w:rsidRPr="00CE73C2">
        <w:rPr>
          <w:color w:val="000000"/>
        </w:rPr>
        <w:t>.</w:t>
      </w:r>
    </w:p>
    <w:p w14:paraId="237FB765" w14:textId="176DEB8A" w:rsidR="00ED135D" w:rsidRPr="00ED135D" w:rsidRDefault="00ED135D" w:rsidP="00ED135D">
      <w:pPr>
        <w:rPr>
          <w:color w:val="000000"/>
        </w:rPr>
      </w:pPr>
      <w:r w:rsidRPr="00ED135D">
        <w:rPr>
          <w:color w:val="000000"/>
        </w:rPr>
        <w:t>Nasledujúce informácie o príjmoch a výdavkoch štátneho rozpočtu popisujú ich hotovostné plnenie tak, a</w:t>
      </w:r>
      <w:r w:rsidR="00B8145B">
        <w:rPr>
          <w:color w:val="000000"/>
        </w:rPr>
        <w:t xml:space="preserve">ko sa prejavili na príjmových a </w:t>
      </w:r>
      <w:r w:rsidRPr="00ED135D">
        <w:rPr>
          <w:color w:val="000000"/>
        </w:rPr>
        <w:t>výdavkových účtoch štátnych rozpočtových organizácií v priebehu roka 201</w:t>
      </w:r>
      <w:r>
        <w:rPr>
          <w:color w:val="000000"/>
        </w:rPr>
        <w:t>8</w:t>
      </w:r>
      <w:r w:rsidRPr="00ED135D">
        <w:rPr>
          <w:color w:val="000000"/>
        </w:rPr>
        <w:t>. Komentár k jednotlivým položkám príjmov a výdavkov sa sústredí na opis faktorov majúcich vplyv na ich hotovostné plnenie, pričom porovnanie sa realizuje voči schválenému rozpočtu a skutočnosti predchádzajúceho obdobia.</w:t>
      </w:r>
    </w:p>
    <w:p w14:paraId="75AB5AC1" w14:textId="43E2E5ED" w:rsidR="000A3E55" w:rsidRDefault="00ED135D" w:rsidP="00ED135D">
      <w:pPr>
        <w:rPr>
          <w:color w:val="000000"/>
        </w:rPr>
      </w:pPr>
      <w:r w:rsidRPr="00ED135D">
        <w:rPr>
          <w:color w:val="000000"/>
        </w:rPr>
        <w:t>Prípadné číselné rozdiely medzi tabuľkovou prílohou a údajmi v textovej časti záverečného účtu sú spôsobené automatickým zaokrúhľovaním. Súčasťou Štátneho záverečného účtu SR je aj tabuľková príloha, ktorá dopĺňa opisnú časť hotovostných príjmov a výdavkov, v členení podľa ekonomickej a organizačnej klasifikácie. Podrobnejšie informácie o príjmoch a výdavkoch jednotlivých kapitol ŠR sú uvedené aj v záverečných účtoch kapitol, ktoré sa zverejňujú na ich webovom sídle.</w:t>
      </w:r>
    </w:p>
    <w:p w14:paraId="729B95E7" w14:textId="77777777" w:rsidR="000A3E55" w:rsidRDefault="000A3E55">
      <w:pPr>
        <w:spacing w:after="160" w:line="259" w:lineRule="auto"/>
        <w:jc w:val="left"/>
        <w:rPr>
          <w:color w:val="000000"/>
        </w:rPr>
      </w:pPr>
      <w:r>
        <w:rPr>
          <w:color w:val="000000"/>
        </w:rPr>
        <w:br w:type="page"/>
      </w:r>
    </w:p>
    <w:p w14:paraId="32FA6D11" w14:textId="77777777" w:rsidR="008254BE" w:rsidRDefault="008254BE" w:rsidP="0042635A">
      <w:pPr>
        <w:pStyle w:val="Nadpis2"/>
      </w:pPr>
      <w:bookmarkStart w:id="34" w:name="_Toc6415641"/>
      <w:bookmarkStart w:id="35" w:name="_Toc7502833"/>
      <w:r>
        <w:t>Príjmy štátneho rozpočtu</w:t>
      </w:r>
      <w:bookmarkEnd w:id="34"/>
      <w:bookmarkEnd w:id="35"/>
    </w:p>
    <w:p w14:paraId="4C36F68C" w14:textId="77777777" w:rsidR="008254BE" w:rsidRDefault="008254BE" w:rsidP="00C34E95">
      <w:pPr>
        <w:pStyle w:val="Nadpis3"/>
      </w:pPr>
      <w:bookmarkStart w:id="36" w:name="_Toc6415642"/>
      <w:bookmarkStart w:id="37" w:name="_Toc7502834"/>
      <w:r>
        <w:t>Daňové príjmy</w:t>
      </w:r>
      <w:bookmarkEnd w:id="36"/>
      <w:bookmarkEnd w:id="37"/>
    </w:p>
    <w:p w14:paraId="65072AC9" w14:textId="438EE26D" w:rsidR="00711B8C" w:rsidRDefault="008472BD" w:rsidP="008472BD">
      <w:r>
        <w:t>Pre rok 2018</w:t>
      </w:r>
      <w:r w:rsidRPr="00C54251">
        <w:t xml:space="preserve"> boli daňo</w:t>
      </w:r>
      <w:r>
        <w:t>vé príjmy rozpočtované vo výške </w:t>
      </w:r>
      <w:r w:rsidRPr="00172826">
        <w:t>11</w:t>
      </w:r>
      <w:r w:rsidR="00681CB9">
        <w:t> </w:t>
      </w:r>
      <w:r w:rsidRPr="00172826">
        <w:t>361</w:t>
      </w:r>
      <w:r w:rsidR="00681CB9">
        <w:t> </w:t>
      </w:r>
      <w:r w:rsidRPr="00172826">
        <w:t>518 tis</w:t>
      </w:r>
      <w:r w:rsidRPr="00C54251">
        <w:t>.</w:t>
      </w:r>
      <w:r w:rsidR="00681CB9">
        <w:t> </w:t>
      </w:r>
      <w:r w:rsidRPr="00C54251">
        <w:t>eur, čo bolo oproti rozpočt</w:t>
      </w:r>
      <w:r>
        <w:t xml:space="preserve">u 2017 </w:t>
      </w:r>
      <w:r w:rsidRPr="008C630B">
        <w:t>menej o</w:t>
      </w:r>
      <w:r>
        <w:t xml:space="preserve"> 168 577 tis. eur. </w:t>
      </w:r>
      <w:r w:rsidR="00077E5D">
        <w:t xml:space="preserve">Na rozpočtovanie hotovostného príjmu z daní vplýva najmä predpokladaný ekonomický rast a vývoj legislatívnych opatrení v daňovej oblasti, podnikateľského prostredia a zamestnanosti. </w:t>
      </w:r>
      <w:r w:rsidRPr="00C54251">
        <w:t xml:space="preserve">Rast HDP </w:t>
      </w:r>
      <w:r>
        <w:t xml:space="preserve">sa predpokladal </w:t>
      </w:r>
      <w:r w:rsidRPr="004416CE">
        <w:t>na úrovni 4,2 %,</w:t>
      </w:r>
      <w:r w:rsidRPr="00C54251">
        <w:t xml:space="preserve"> v skutočnosti dosiahol </w:t>
      </w:r>
      <w:r>
        <w:t xml:space="preserve">podľa predbežných </w:t>
      </w:r>
      <w:r w:rsidRPr="004416CE">
        <w:t>výsledkov 4,1 %</w:t>
      </w:r>
      <w:r w:rsidR="00711B8C">
        <w:t xml:space="preserve"> (2017: 3,4 %)</w:t>
      </w:r>
      <w:r w:rsidR="0053563F">
        <w:t xml:space="preserve">. Dôvodom rozpočtovania daňových príjmov na nižšej úrovni ako v roku 2017 bolo negatívne zúčtovanie dane </w:t>
      </w:r>
      <w:r w:rsidR="00AB0C4A">
        <w:t xml:space="preserve">z príjmov právnických osôb (DPPO) </w:t>
      </w:r>
      <w:r w:rsidR="0053563F">
        <w:t>v roku 2016</w:t>
      </w:r>
      <w:r w:rsidR="00AB0C4A">
        <w:t xml:space="preserve"> determinované poklesom </w:t>
      </w:r>
      <w:r w:rsidR="002379D7">
        <w:t>ziskovosti a kombináciou jednora</w:t>
      </w:r>
      <w:r w:rsidR="00AB0C4A">
        <w:t>zových faktorov v podobe pripočítateľných a odpočítateľných položiek upravujúcich zisk a základ dane. Príjem z DPPO sa rozpočtoval nižší o 671 133 tis. eur. Z legislatívnych zmien negatívne ovplyvňujúcich výšku daňových príjmov je možné uviesť najmä zrušenie daňových licencií, zavedenie samostatného technického zhodnotenia pre sektor kúpeľníctva a zvýšenie odpočtu výdavkov na vedu a výskum.</w:t>
      </w:r>
    </w:p>
    <w:p w14:paraId="72A63368" w14:textId="5233A1E5" w:rsidR="00AB0C4A" w:rsidRDefault="00AB0C4A" w:rsidP="008472BD">
      <w:r>
        <w:t>Pokles rozpočtovaného príjmu z </w:t>
      </w:r>
      <w:proofErr w:type="spellStart"/>
      <w:r>
        <w:t>korporátnej</w:t>
      </w:r>
      <w:proofErr w:type="spellEnd"/>
      <w:r>
        <w:t xml:space="preserve"> dane bol na druhej strane kompenzovaný nárastom rozpočtovan</w:t>
      </w:r>
      <w:r w:rsidR="003F25F2">
        <w:t>ých</w:t>
      </w:r>
      <w:r>
        <w:t xml:space="preserve"> </w:t>
      </w:r>
      <w:r w:rsidR="003F25F2">
        <w:t xml:space="preserve">príjmov z </w:t>
      </w:r>
      <w:r>
        <w:t>dane z pridanej hodnoty (</w:t>
      </w:r>
      <w:r w:rsidR="008720AB">
        <w:t xml:space="preserve">o </w:t>
      </w:r>
      <w:r>
        <w:t>330 384 tis. eur)</w:t>
      </w:r>
      <w:r w:rsidR="006C39C7">
        <w:t>,</w:t>
      </w:r>
      <w:r>
        <w:t> spotrebných daní (</w:t>
      </w:r>
      <w:r w:rsidR="008720AB">
        <w:t xml:space="preserve">o </w:t>
      </w:r>
      <w:r>
        <w:t xml:space="preserve">80 300 </w:t>
      </w:r>
      <w:r w:rsidR="006C39C7">
        <w:t>tis. eur)</w:t>
      </w:r>
      <w:r w:rsidR="00D570C8">
        <w:t>, zrážkovej dane (o</w:t>
      </w:r>
      <w:r w:rsidR="006E7C24">
        <w:t xml:space="preserve"> </w:t>
      </w:r>
      <w:r w:rsidR="00D570C8">
        <w:t>52 614 tis. eur)</w:t>
      </w:r>
      <w:r w:rsidR="006C39C7">
        <w:t xml:space="preserve"> a odvodu časti poistného z odvetví neživotného poistenia (o 33 500 tis. eur)</w:t>
      </w:r>
      <w:r>
        <w:t>.</w:t>
      </w:r>
    </w:p>
    <w:p w14:paraId="054B6D00" w14:textId="4828C0B8" w:rsidR="008472BD" w:rsidRPr="00681CB9" w:rsidRDefault="008472BD" w:rsidP="008472BD">
      <w:r>
        <w:t xml:space="preserve">Daňové príjmy </w:t>
      </w:r>
      <w:r w:rsidR="003A03FC">
        <w:t xml:space="preserve">štátneho rozpočtu </w:t>
      </w:r>
      <w:r>
        <w:t>za rok 2018 dosia</w:t>
      </w:r>
      <w:r w:rsidR="00681CB9">
        <w:t>hli skutočnú hodnotu 11 965 782 </w:t>
      </w:r>
      <w:r>
        <w:t xml:space="preserve">tis. eur. Celkový </w:t>
      </w:r>
      <w:r w:rsidR="003A03FC">
        <w:t xml:space="preserve">pozitívny </w:t>
      </w:r>
      <w:r>
        <w:t>rozdiel skutočnosti oproti rozpočtu bol v sume 604</w:t>
      </w:r>
      <w:r w:rsidR="00681CB9">
        <w:t> </w:t>
      </w:r>
      <w:r>
        <w:t>264</w:t>
      </w:r>
      <w:r w:rsidR="00681CB9">
        <w:t> </w:t>
      </w:r>
      <w:r>
        <w:t>tis.</w:t>
      </w:r>
      <w:r w:rsidR="00681CB9">
        <w:t> </w:t>
      </w:r>
      <w:r>
        <w:t xml:space="preserve">eur, čo predstavuje plnenie rozpočtu </w:t>
      </w:r>
      <w:r w:rsidRPr="00146265">
        <w:t>na 105,3</w:t>
      </w:r>
      <w:r>
        <w:t> </w:t>
      </w:r>
      <w:r w:rsidRPr="00146265">
        <w:t>%.</w:t>
      </w:r>
      <w:r w:rsidR="00CE6178">
        <w:t xml:space="preserve"> </w:t>
      </w:r>
      <w:r w:rsidRPr="00C737C7">
        <w:t>Celkové daňové príjmy štátneho rozpočtu na hotovostnej báze boli v porov</w:t>
      </w:r>
      <w:r>
        <w:t>naní so skutočnosťou v roku 2017 vyššie o</w:t>
      </w:r>
      <w:r w:rsidR="00681CB9">
        <w:t> </w:t>
      </w:r>
      <w:r>
        <w:t>813</w:t>
      </w:r>
      <w:r w:rsidR="00681CB9">
        <w:t> </w:t>
      </w:r>
      <w:r>
        <w:t>472</w:t>
      </w:r>
      <w:r w:rsidRPr="00C737C7">
        <w:t xml:space="preserve"> tis. eur, čo zodpovedá medziročnému rastu na úrovni </w:t>
      </w:r>
      <w:r w:rsidRPr="008A33C3">
        <w:t>7,3</w:t>
      </w:r>
      <w:r w:rsidR="00681CB9">
        <w:t> </w:t>
      </w:r>
      <w:r w:rsidRPr="008A33C3">
        <w:t>%.</w:t>
      </w:r>
      <w:r w:rsidRPr="002A5103">
        <w:t xml:space="preserve"> </w:t>
      </w:r>
      <w:r w:rsidRPr="00497F92">
        <w:t xml:space="preserve">Najvyšší nárast zaznamenali </w:t>
      </w:r>
      <w:r w:rsidRPr="00816FBC">
        <w:rPr>
          <w:i/>
        </w:rPr>
        <w:t xml:space="preserve">daň z pridanej hodnoty </w:t>
      </w:r>
      <w:r>
        <w:t>(</w:t>
      </w:r>
      <w:r w:rsidRPr="00816FBC">
        <w:t>499</w:t>
      </w:r>
      <w:r>
        <w:t> </w:t>
      </w:r>
      <w:r w:rsidRPr="00816FBC">
        <w:t>058</w:t>
      </w:r>
      <w:r>
        <w:t> </w:t>
      </w:r>
      <w:r w:rsidRPr="00816FBC">
        <w:t>tis.</w:t>
      </w:r>
      <w:r w:rsidR="00681CB9">
        <w:t> </w:t>
      </w:r>
      <w:r w:rsidRPr="00816FBC">
        <w:t>eur)</w:t>
      </w:r>
      <w:r>
        <w:t xml:space="preserve"> a </w:t>
      </w:r>
      <w:r w:rsidRPr="00497F92">
        <w:rPr>
          <w:i/>
        </w:rPr>
        <w:t xml:space="preserve">daň z príjmov právnických osôb </w:t>
      </w:r>
      <w:r>
        <w:t>(</w:t>
      </w:r>
      <w:r w:rsidRPr="00497F92">
        <w:t>194 07</w:t>
      </w:r>
      <w:r>
        <w:t>9</w:t>
      </w:r>
      <w:r w:rsidRPr="00497F92">
        <w:t> tis. eur</w:t>
      </w:r>
      <w:r>
        <w:t>)</w:t>
      </w:r>
      <w:r w:rsidRPr="00681CB9">
        <w:t>.</w:t>
      </w:r>
    </w:p>
    <w:p w14:paraId="39A15B16" w14:textId="50B17A36" w:rsidR="008472BD" w:rsidRPr="00C54251" w:rsidRDefault="008472BD" w:rsidP="008472BD">
      <w:r w:rsidRPr="00C54251">
        <w:rPr>
          <w:i/>
        </w:rPr>
        <w:t>Dane z príjmov a kapitálového majetku</w:t>
      </w:r>
      <w:r w:rsidRPr="00C54251">
        <w:t xml:space="preserve"> boli opr</w:t>
      </w:r>
      <w:r>
        <w:t>oti rozpočtu vyššie o 292 245</w:t>
      </w:r>
      <w:r w:rsidRPr="00C54251">
        <w:t> tis. eur a</w:t>
      </w:r>
      <w:r w:rsidRPr="00C54251">
        <w:rPr>
          <w:i/>
        </w:rPr>
        <w:t xml:space="preserve"> dane za tovary a služby</w:t>
      </w:r>
      <w:r w:rsidRPr="00C54251">
        <w:t xml:space="preserve"> boli v skutočnosti vyššie ako ro</w:t>
      </w:r>
      <w:r>
        <w:t>zpočtovaná suma o 313 079 tis. e</w:t>
      </w:r>
      <w:r w:rsidRPr="00C54251">
        <w:t>ur, čo vyplýva z</w:t>
      </w:r>
      <w:r w:rsidR="00CE6D28">
        <w:t>o vzájomného pôsobenia</w:t>
      </w:r>
      <w:r w:rsidRPr="00C54251">
        <w:t xml:space="preserve"> </w:t>
      </w:r>
      <w:r w:rsidR="00681CB9">
        <w:t xml:space="preserve">nárastu príjmov na DPH </w:t>
      </w:r>
      <w:r w:rsidR="00CE6D28">
        <w:t xml:space="preserve">o </w:t>
      </w:r>
      <w:r>
        <w:t>333</w:t>
      </w:r>
      <w:r w:rsidR="00681CB9">
        <w:t> </w:t>
      </w:r>
      <w:r>
        <w:t>248</w:t>
      </w:r>
      <w:r w:rsidR="00681CB9">
        <w:t> </w:t>
      </w:r>
      <w:r w:rsidRPr="00C54251">
        <w:t>tis</w:t>
      </w:r>
      <w:r>
        <w:t>.</w:t>
      </w:r>
      <w:r w:rsidR="00681CB9">
        <w:t> </w:t>
      </w:r>
      <w:r w:rsidRPr="00C54251">
        <w:t>eur, poklesu príjmov zo spotrebných daní o</w:t>
      </w:r>
      <w:r>
        <w:t> 1</w:t>
      </w:r>
      <w:r w:rsidRPr="00C54251">
        <w:t>2</w:t>
      </w:r>
      <w:r w:rsidR="00681CB9">
        <w:t> 168 tis. </w:t>
      </w:r>
      <w:r>
        <w:t>eur, poklesu príjmov</w:t>
      </w:r>
      <w:r w:rsidR="00681CB9">
        <w:t xml:space="preserve"> </w:t>
      </w:r>
      <w:r w:rsidRPr="00C54251">
        <w:t>dane z používania tovarov a</w:t>
      </w:r>
      <w:r>
        <w:t xml:space="preserve"> </w:t>
      </w:r>
      <w:r w:rsidRPr="00C54251">
        <w:t>z po</w:t>
      </w:r>
      <w:r>
        <w:t>volenia na výkon činnosti o 5 031 tis. eur a poklesu príjmov z iných daní za tovary a služby o 2 970 tis. eur.</w:t>
      </w:r>
    </w:p>
    <w:p w14:paraId="4D5AC2DB" w14:textId="77777777" w:rsidR="006D748A" w:rsidRDefault="006D748A">
      <w:pPr>
        <w:spacing w:after="160" w:line="259" w:lineRule="auto"/>
        <w:jc w:val="left"/>
      </w:pPr>
      <w:r>
        <w:br w:type="page"/>
      </w:r>
    </w:p>
    <w:p w14:paraId="0101A36C" w14:textId="34F845E7" w:rsidR="008472BD" w:rsidRDefault="008472BD" w:rsidP="008472BD">
      <w:r w:rsidRPr="006E50E2">
        <w:t>Prehľad o plnení daňových príjmov štátneho rozpočtu poskytujú nasledovné údaje:</w:t>
      </w:r>
    </w:p>
    <w:tbl>
      <w:tblPr>
        <w:tblW w:w="9271" w:type="dxa"/>
        <w:tblCellMar>
          <w:left w:w="70" w:type="dxa"/>
          <w:right w:w="70" w:type="dxa"/>
        </w:tblCellMar>
        <w:tblLook w:val="04A0" w:firstRow="1" w:lastRow="0" w:firstColumn="1" w:lastColumn="0" w:noHBand="0" w:noVBand="1"/>
      </w:tblPr>
      <w:tblGrid>
        <w:gridCol w:w="3402"/>
        <w:gridCol w:w="708"/>
        <w:gridCol w:w="426"/>
        <w:gridCol w:w="708"/>
        <w:gridCol w:w="426"/>
        <w:gridCol w:w="566"/>
        <w:gridCol w:w="482"/>
        <w:gridCol w:w="641"/>
        <w:gridCol w:w="426"/>
        <w:gridCol w:w="450"/>
        <w:gridCol w:w="426"/>
        <w:gridCol w:w="610"/>
      </w:tblGrid>
      <w:tr w:rsidR="00020746" w:rsidRPr="00022082" w14:paraId="76288EDF" w14:textId="77777777" w:rsidTr="00DD0108">
        <w:trPr>
          <w:trHeight w:val="276"/>
        </w:trPr>
        <w:tc>
          <w:tcPr>
            <w:tcW w:w="9271" w:type="dxa"/>
            <w:gridSpan w:val="12"/>
            <w:tcBorders>
              <w:top w:val="single" w:sz="8" w:space="0" w:color="auto"/>
              <w:left w:val="nil"/>
              <w:bottom w:val="nil"/>
              <w:right w:val="nil"/>
            </w:tcBorders>
            <w:shd w:val="clear" w:color="000000" w:fill="000000"/>
            <w:noWrap/>
            <w:vAlign w:val="center"/>
            <w:hideMark/>
          </w:tcPr>
          <w:p w14:paraId="62B934B9" w14:textId="61E9CBDF" w:rsidR="00020746" w:rsidRPr="00022082" w:rsidRDefault="00020746" w:rsidP="00F63F1C">
            <w:pPr>
              <w:spacing w:after="0" w:line="240" w:lineRule="auto"/>
              <w:jc w:val="left"/>
              <w:rPr>
                <w:rFonts w:eastAsia="Times New Roman" w:cs="Times New Roman"/>
                <w:b/>
                <w:bCs/>
                <w:color w:val="FFFFFF"/>
                <w:sz w:val="20"/>
                <w:szCs w:val="20"/>
                <w:lang w:eastAsia="sk-SK"/>
              </w:rPr>
            </w:pPr>
            <w:r w:rsidRPr="00022082">
              <w:rPr>
                <w:rFonts w:eastAsia="Times New Roman" w:cs="Times New Roman"/>
                <w:b/>
                <w:bCs/>
                <w:color w:val="FFFFFF"/>
                <w:sz w:val="20"/>
                <w:szCs w:val="20"/>
                <w:lang w:eastAsia="sk-SK"/>
              </w:rPr>
              <w:t>Daňové príjmy</w:t>
            </w:r>
            <w:r w:rsidR="00F63F1C">
              <w:rPr>
                <w:rFonts w:eastAsia="Times New Roman" w:cs="Times New Roman"/>
                <w:b/>
                <w:bCs/>
                <w:color w:val="FFFFFF"/>
                <w:sz w:val="20"/>
                <w:szCs w:val="20"/>
                <w:lang w:eastAsia="sk-SK"/>
              </w:rPr>
              <w:t xml:space="preserve"> na hotovostnej báze</w:t>
            </w:r>
            <w:r>
              <w:rPr>
                <w:rFonts w:eastAsia="Times New Roman" w:cs="Times New Roman"/>
                <w:b/>
                <w:bCs/>
                <w:color w:val="FFFFFF"/>
                <w:sz w:val="20"/>
                <w:szCs w:val="20"/>
                <w:lang w:eastAsia="sk-SK"/>
              </w:rPr>
              <w:t xml:space="preserve">                                                                                                       (v tis. eur)</w:t>
            </w:r>
          </w:p>
        </w:tc>
      </w:tr>
      <w:tr w:rsidR="00022082" w:rsidRPr="00022082" w14:paraId="63831988" w14:textId="77777777" w:rsidTr="00022082">
        <w:trPr>
          <w:trHeight w:val="276"/>
        </w:trPr>
        <w:tc>
          <w:tcPr>
            <w:tcW w:w="3402" w:type="dxa"/>
            <w:tcBorders>
              <w:top w:val="nil"/>
              <w:left w:val="nil"/>
              <w:bottom w:val="nil"/>
              <w:right w:val="nil"/>
            </w:tcBorders>
            <w:shd w:val="clear" w:color="000000" w:fill="BFBFBF"/>
            <w:noWrap/>
            <w:vAlign w:val="center"/>
            <w:hideMark/>
          </w:tcPr>
          <w:p w14:paraId="0CFDEFE9" w14:textId="77777777" w:rsidR="00022082" w:rsidRPr="00022082" w:rsidRDefault="00022082" w:rsidP="00022082">
            <w:pPr>
              <w:spacing w:after="0" w:line="240" w:lineRule="auto"/>
              <w:jc w:val="left"/>
              <w:rPr>
                <w:rFonts w:eastAsia="Times New Roman" w:cs="Times New Roman"/>
                <w:color w:val="000000"/>
                <w:sz w:val="20"/>
                <w:szCs w:val="20"/>
                <w:lang w:eastAsia="sk-SK"/>
              </w:rPr>
            </w:pPr>
            <w:r w:rsidRPr="00022082">
              <w:rPr>
                <w:rFonts w:eastAsia="Times New Roman" w:cs="Times New Roman"/>
                <w:color w:val="000000"/>
                <w:sz w:val="20"/>
                <w:szCs w:val="20"/>
                <w:lang w:eastAsia="sk-SK"/>
              </w:rPr>
              <w:t> </w:t>
            </w:r>
          </w:p>
        </w:tc>
        <w:tc>
          <w:tcPr>
            <w:tcW w:w="1842" w:type="dxa"/>
            <w:gridSpan w:val="3"/>
            <w:tcBorders>
              <w:top w:val="nil"/>
              <w:left w:val="nil"/>
              <w:bottom w:val="nil"/>
              <w:right w:val="nil"/>
            </w:tcBorders>
            <w:shd w:val="clear" w:color="000000" w:fill="BFBFBF"/>
            <w:noWrap/>
            <w:vAlign w:val="center"/>
            <w:hideMark/>
          </w:tcPr>
          <w:p w14:paraId="04E96A88" w14:textId="77777777" w:rsidR="00022082" w:rsidRPr="00022082" w:rsidRDefault="00022082" w:rsidP="00022082">
            <w:pPr>
              <w:spacing w:after="0" w:line="240" w:lineRule="auto"/>
              <w:jc w:val="center"/>
              <w:rPr>
                <w:rFonts w:eastAsia="Times New Roman" w:cs="Times New Roman"/>
                <w:b/>
                <w:bCs/>
                <w:sz w:val="20"/>
                <w:szCs w:val="20"/>
                <w:lang w:eastAsia="sk-SK"/>
              </w:rPr>
            </w:pPr>
            <w:r w:rsidRPr="00022082">
              <w:rPr>
                <w:rFonts w:eastAsia="Times New Roman" w:cs="Times New Roman"/>
                <w:b/>
                <w:bCs/>
                <w:sz w:val="20"/>
                <w:szCs w:val="20"/>
                <w:lang w:eastAsia="sk-SK"/>
              </w:rPr>
              <w:t>Skutočnosť</w:t>
            </w:r>
          </w:p>
        </w:tc>
        <w:tc>
          <w:tcPr>
            <w:tcW w:w="992" w:type="dxa"/>
            <w:gridSpan w:val="2"/>
            <w:tcBorders>
              <w:top w:val="nil"/>
              <w:left w:val="nil"/>
              <w:bottom w:val="nil"/>
              <w:right w:val="nil"/>
            </w:tcBorders>
            <w:shd w:val="clear" w:color="000000" w:fill="BFBFBF"/>
            <w:noWrap/>
            <w:vAlign w:val="center"/>
            <w:hideMark/>
          </w:tcPr>
          <w:p w14:paraId="09A88F51" w14:textId="77777777" w:rsidR="00022082" w:rsidRPr="00022082" w:rsidRDefault="00022082" w:rsidP="00022082">
            <w:pPr>
              <w:spacing w:after="0" w:line="240" w:lineRule="auto"/>
              <w:jc w:val="center"/>
              <w:rPr>
                <w:rFonts w:eastAsia="Times New Roman" w:cs="Times New Roman"/>
                <w:b/>
                <w:bCs/>
                <w:sz w:val="20"/>
                <w:szCs w:val="20"/>
                <w:lang w:eastAsia="sk-SK"/>
              </w:rPr>
            </w:pPr>
            <w:r w:rsidRPr="00022082">
              <w:rPr>
                <w:rFonts w:eastAsia="Times New Roman" w:cs="Times New Roman"/>
                <w:b/>
                <w:bCs/>
                <w:sz w:val="20"/>
                <w:szCs w:val="20"/>
                <w:lang w:eastAsia="sk-SK"/>
              </w:rPr>
              <w:t>Rozpočet 2018</w:t>
            </w:r>
          </w:p>
        </w:tc>
        <w:tc>
          <w:tcPr>
            <w:tcW w:w="1123" w:type="dxa"/>
            <w:gridSpan w:val="2"/>
            <w:tcBorders>
              <w:top w:val="nil"/>
              <w:left w:val="nil"/>
              <w:bottom w:val="nil"/>
              <w:right w:val="nil"/>
            </w:tcBorders>
            <w:shd w:val="clear" w:color="000000" w:fill="BFBFBF"/>
            <w:noWrap/>
            <w:vAlign w:val="center"/>
            <w:hideMark/>
          </w:tcPr>
          <w:p w14:paraId="228EDAD6" w14:textId="77777777" w:rsidR="00022082" w:rsidRPr="00022082" w:rsidRDefault="00022082" w:rsidP="00022082">
            <w:pPr>
              <w:spacing w:after="0" w:line="240" w:lineRule="auto"/>
              <w:jc w:val="left"/>
              <w:rPr>
                <w:rFonts w:eastAsia="Times New Roman" w:cs="Times New Roman"/>
                <w:b/>
                <w:bCs/>
                <w:sz w:val="20"/>
                <w:szCs w:val="20"/>
                <w:lang w:eastAsia="sk-SK"/>
              </w:rPr>
            </w:pPr>
            <w:r w:rsidRPr="00022082">
              <w:rPr>
                <w:rFonts w:eastAsia="Times New Roman" w:cs="Times New Roman"/>
                <w:b/>
                <w:bCs/>
                <w:sz w:val="20"/>
                <w:szCs w:val="20"/>
                <w:lang w:eastAsia="sk-SK"/>
              </w:rPr>
              <w:t>Skutočnosť</w:t>
            </w:r>
          </w:p>
        </w:tc>
        <w:tc>
          <w:tcPr>
            <w:tcW w:w="1912" w:type="dxa"/>
            <w:gridSpan w:val="4"/>
            <w:tcBorders>
              <w:top w:val="nil"/>
              <w:left w:val="nil"/>
              <w:bottom w:val="nil"/>
              <w:right w:val="nil"/>
            </w:tcBorders>
            <w:shd w:val="clear" w:color="000000" w:fill="BFBFBF"/>
            <w:noWrap/>
            <w:vAlign w:val="center"/>
            <w:hideMark/>
          </w:tcPr>
          <w:p w14:paraId="5D6E175C" w14:textId="77777777" w:rsidR="00022082" w:rsidRPr="00022082" w:rsidRDefault="00022082" w:rsidP="00022082">
            <w:pPr>
              <w:spacing w:after="0" w:line="240" w:lineRule="auto"/>
              <w:jc w:val="center"/>
              <w:rPr>
                <w:rFonts w:eastAsia="Times New Roman" w:cs="Times New Roman"/>
                <w:b/>
                <w:bCs/>
                <w:sz w:val="20"/>
                <w:szCs w:val="20"/>
                <w:lang w:eastAsia="sk-SK"/>
              </w:rPr>
            </w:pPr>
            <w:r w:rsidRPr="00022082">
              <w:rPr>
                <w:rFonts w:eastAsia="Times New Roman" w:cs="Times New Roman"/>
                <w:b/>
                <w:bCs/>
                <w:sz w:val="20"/>
                <w:szCs w:val="20"/>
                <w:lang w:eastAsia="sk-SK"/>
              </w:rPr>
              <w:t>Rozdiel</w:t>
            </w:r>
          </w:p>
        </w:tc>
      </w:tr>
      <w:tr w:rsidR="00022082" w:rsidRPr="00022082" w14:paraId="3059D2D8" w14:textId="77777777" w:rsidTr="00022082">
        <w:trPr>
          <w:trHeight w:val="276"/>
        </w:trPr>
        <w:tc>
          <w:tcPr>
            <w:tcW w:w="3402" w:type="dxa"/>
            <w:tcBorders>
              <w:top w:val="nil"/>
              <w:left w:val="nil"/>
              <w:bottom w:val="nil"/>
              <w:right w:val="nil"/>
            </w:tcBorders>
            <w:shd w:val="clear" w:color="000000" w:fill="BFBFBF"/>
            <w:noWrap/>
            <w:vAlign w:val="center"/>
            <w:hideMark/>
          </w:tcPr>
          <w:p w14:paraId="377772F0" w14:textId="77777777" w:rsidR="00022082" w:rsidRPr="00022082" w:rsidRDefault="00022082" w:rsidP="00022082">
            <w:pPr>
              <w:spacing w:after="0" w:line="240" w:lineRule="auto"/>
              <w:jc w:val="left"/>
              <w:rPr>
                <w:rFonts w:eastAsia="Times New Roman" w:cs="Times New Roman"/>
                <w:color w:val="000000"/>
                <w:sz w:val="20"/>
                <w:szCs w:val="20"/>
                <w:lang w:eastAsia="sk-SK"/>
              </w:rPr>
            </w:pPr>
            <w:r w:rsidRPr="00022082">
              <w:rPr>
                <w:rFonts w:eastAsia="Times New Roman" w:cs="Times New Roman"/>
                <w:color w:val="000000"/>
                <w:sz w:val="20"/>
                <w:szCs w:val="20"/>
                <w:lang w:eastAsia="sk-SK"/>
              </w:rPr>
              <w:t> </w:t>
            </w:r>
          </w:p>
        </w:tc>
        <w:tc>
          <w:tcPr>
            <w:tcW w:w="708" w:type="dxa"/>
            <w:tcBorders>
              <w:top w:val="nil"/>
              <w:left w:val="nil"/>
              <w:bottom w:val="nil"/>
              <w:right w:val="nil"/>
            </w:tcBorders>
            <w:shd w:val="clear" w:color="000000" w:fill="BFBFBF"/>
            <w:noWrap/>
            <w:vAlign w:val="center"/>
            <w:hideMark/>
          </w:tcPr>
          <w:p w14:paraId="7C8136AD" w14:textId="77777777" w:rsidR="00022082" w:rsidRPr="00022082" w:rsidRDefault="00022082" w:rsidP="00022082">
            <w:pPr>
              <w:spacing w:after="0" w:line="240" w:lineRule="auto"/>
              <w:jc w:val="center"/>
              <w:rPr>
                <w:rFonts w:eastAsia="Times New Roman" w:cs="Times New Roman"/>
                <w:b/>
                <w:bCs/>
                <w:sz w:val="20"/>
                <w:szCs w:val="20"/>
                <w:lang w:eastAsia="sk-SK"/>
              </w:rPr>
            </w:pPr>
            <w:r w:rsidRPr="00022082">
              <w:rPr>
                <w:rFonts w:eastAsia="Times New Roman" w:cs="Times New Roman"/>
                <w:b/>
                <w:bCs/>
                <w:sz w:val="20"/>
                <w:szCs w:val="20"/>
                <w:lang w:eastAsia="sk-SK"/>
              </w:rPr>
              <w:t>2016</w:t>
            </w:r>
          </w:p>
        </w:tc>
        <w:tc>
          <w:tcPr>
            <w:tcW w:w="1134" w:type="dxa"/>
            <w:gridSpan w:val="2"/>
            <w:tcBorders>
              <w:top w:val="nil"/>
              <w:left w:val="nil"/>
              <w:bottom w:val="nil"/>
              <w:right w:val="nil"/>
            </w:tcBorders>
            <w:shd w:val="clear" w:color="000000" w:fill="BFBFBF"/>
            <w:noWrap/>
            <w:vAlign w:val="center"/>
            <w:hideMark/>
          </w:tcPr>
          <w:p w14:paraId="041B94B8" w14:textId="77777777" w:rsidR="00022082" w:rsidRPr="00022082" w:rsidRDefault="00022082" w:rsidP="00022082">
            <w:pPr>
              <w:spacing w:after="0" w:line="240" w:lineRule="auto"/>
              <w:jc w:val="center"/>
              <w:rPr>
                <w:rFonts w:eastAsia="Times New Roman" w:cs="Times New Roman"/>
                <w:b/>
                <w:bCs/>
                <w:sz w:val="20"/>
                <w:szCs w:val="20"/>
                <w:lang w:eastAsia="sk-SK"/>
              </w:rPr>
            </w:pPr>
            <w:r w:rsidRPr="00022082">
              <w:rPr>
                <w:rFonts w:eastAsia="Times New Roman" w:cs="Times New Roman"/>
                <w:b/>
                <w:bCs/>
                <w:sz w:val="20"/>
                <w:szCs w:val="20"/>
                <w:lang w:eastAsia="sk-SK"/>
              </w:rPr>
              <w:t>2017</w:t>
            </w:r>
          </w:p>
        </w:tc>
        <w:tc>
          <w:tcPr>
            <w:tcW w:w="992" w:type="dxa"/>
            <w:gridSpan w:val="2"/>
            <w:tcBorders>
              <w:top w:val="nil"/>
              <w:left w:val="nil"/>
              <w:bottom w:val="nil"/>
              <w:right w:val="nil"/>
            </w:tcBorders>
            <w:shd w:val="clear" w:color="000000" w:fill="BFBFBF"/>
            <w:noWrap/>
            <w:vAlign w:val="center"/>
            <w:hideMark/>
          </w:tcPr>
          <w:p w14:paraId="312512B6" w14:textId="77777777" w:rsidR="00022082" w:rsidRPr="00022082" w:rsidRDefault="00022082" w:rsidP="00022082">
            <w:pPr>
              <w:spacing w:after="0" w:line="240" w:lineRule="auto"/>
              <w:jc w:val="center"/>
              <w:rPr>
                <w:rFonts w:eastAsia="Times New Roman" w:cs="Times New Roman"/>
                <w:b/>
                <w:bCs/>
                <w:sz w:val="20"/>
                <w:szCs w:val="20"/>
                <w:lang w:eastAsia="sk-SK"/>
              </w:rPr>
            </w:pPr>
            <w:r w:rsidRPr="00022082">
              <w:rPr>
                <w:rFonts w:eastAsia="Times New Roman" w:cs="Times New Roman"/>
                <w:b/>
                <w:bCs/>
                <w:sz w:val="20"/>
                <w:szCs w:val="20"/>
                <w:lang w:eastAsia="sk-SK"/>
              </w:rPr>
              <w:t>schválený</w:t>
            </w:r>
          </w:p>
        </w:tc>
        <w:tc>
          <w:tcPr>
            <w:tcW w:w="1123" w:type="dxa"/>
            <w:gridSpan w:val="2"/>
            <w:tcBorders>
              <w:top w:val="nil"/>
              <w:left w:val="nil"/>
              <w:bottom w:val="nil"/>
              <w:right w:val="nil"/>
            </w:tcBorders>
            <w:shd w:val="clear" w:color="000000" w:fill="BFBFBF"/>
            <w:noWrap/>
            <w:vAlign w:val="center"/>
            <w:hideMark/>
          </w:tcPr>
          <w:p w14:paraId="764BAEF9" w14:textId="77777777" w:rsidR="00022082" w:rsidRPr="00022082" w:rsidRDefault="00022082" w:rsidP="00022082">
            <w:pPr>
              <w:spacing w:after="0" w:line="240" w:lineRule="auto"/>
              <w:jc w:val="center"/>
              <w:rPr>
                <w:rFonts w:eastAsia="Times New Roman" w:cs="Times New Roman"/>
                <w:b/>
                <w:bCs/>
                <w:sz w:val="20"/>
                <w:szCs w:val="20"/>
                <w:lang w:eastAsia="sk-SK"/>
              </w:rPr>
            </w:pPr>
            <w:r w:rsidRPr="00022082">
              <w:rPr>
                <w:rFonts w:eastAsia="Times New Roman" w:cs="Times New Roman"/>
                <w:b/>
                <w:bCs/>
                <w:sz w:val="20"/>
                <w:szCs w:val="20"/>
                <w:lang w:eastAsia="sk-SK"/>
              </w:rPr>
              <w:t>2018</w:t>
            </w:r>
          </w:p>
        </w:tc>
        <w:tc>
          <w:tcPr>
            <w:tcW w:w="876" w:type="dxa"/>
            <w:gridSpan w:val="2"/>
            <w:tcBorders>
              <w:top w:val="nil"/>
              <w:left w:val="nil"/>
              <w:bottom w:val="nil"/>
              <w:right w:val="nil"/>
            </w:tcBorders>
            <w:shd w:val="clear" w:color="000000" w:fill="BFBFBF"/>
            <w:noWrap/>
            <w:vAlign w:val="center"/>
            <w:hideMark/>
          </w:tcPr>
          <w:p w14:paraId="50848503" w14:textId="77777777" w:rsidR="00022082" w:rsidRPr="00022082" w:rsidRDefault="00022082" w:rsidP="00022082">
            <w:pPr>
              <w:spacing w:after="0" w:line="240" w:lineRule="auto"/>
              <w:jc w:val="center"/>
              <w:rPr>
                <w:rFonts w:eastAsia="Times New Roman" w:cs="Times New Roman"/>
                <w:b/>
                <w:bCs/>
                <w:sz w:val="20"/>
                <w:szCs w:val="20"/>
                <w:lang w:eastAsia="sk-SK"/>
              </w:rPr>
            </w:pPr>
            <w:r w:rsidRPr="00022082">
              <w:rPr>
                <w:rFonts w:eastAsia="Times New Roman" w:cs="Times New Roman"/>
                <w:b/>
                <w:bCs/>
                <w:sz w:val="20"/>
                <w:szCs w:val="20"/>
                <w:lang w:eastAsia="sk-SK"/>
              </w:rPr>
              <w:t>v tis. eur</w:t>
            </w:r>
          </w:p>
        </w:tc>
        <w:tc>
          <w:tcPr>
            <w:tcW w:w="1036" w:type="dxa"/>
            <w:gridSpan w:val="2"/>
            <w:tcBorders>
              <w:top w:val="nil"/>
              <w:left w:val="nil"/>
              <w:bottom w:val="nil"/>
              <w:right w:val="nil"/>
            </w:tcBorders>
            <w:shd w:val="clear" w:color="000000" w:fill="BFBFBF"/>
            <w:noWrap/>
            <w:vAlign w:val="center"/>
            <w:hideMark/>
          </w:tcPr>
          <w:p w14:paraId="06EF95FE" w14:textId="77777777" w:rsidR="00022082" w:rsidRPr="00022082" w:rsidRDefault="00022082" w:rsidP="00022082">
            <w:pPr>
              <w:spacing w:after="0" w:line="240" w:lineRule="auto"/>
              <w:jc w:val="center"/>
              <w:rPr>
                <w:rFonts w:eastAsia="Times New Roman" w:cs="Times New Roman"/>
                <w:b/>
                <w:bCs/>
                <w:sz w:val="20"/>
                <w:szCs w:val="20"/>
                <w:lang w:eastAsia="sk-SK"/>
              </w:rPr>
            </w:pPr>
            <w:r w:rsidRPr="00022082">
              <w:rPr>
                <w:rFonts w:eastAsia="Times New Roman" w:cs="Times New Roman"/>
                <w:b/>
                <w:bCs/>
                <w:sz w:val="20"/>
                <w:szCs w:val="20"/>
                <w:lang w:eastAsia="sk-SK"/>
              </w:rPr>
              <w:t>v %</w:t>
            </w:r>
          </w:p>
        </w:tc>
      </w:tr>
      <w:tr w:rsidR="00022082" w:rsidRPr="00022082" w14:paraId="72B262CF" w14:textId="77777777" w:rsidTr="00022082">
        <w:trPr>
          <w:trHeight w:val="288"/>
        </w:trPr>
        <w:tc>
          <w:tcPr>
            <w:tcW w:w="3402" w:type="dxa"/>
            <w:tcBorders>
              <w:top w:val="nil"/>
              <w:left w:val="nil"/>
              <w:bottom w:val="single" w:sz="8" w:space="0" w:color="auto"/>
              <w:right w:val="nil"/>
            </w:tcBorders>
            <w:shd w:val="clear" w:color="000000" w:fill="BFBFBF"/>
            <w:noWrap/>
            <w:vAlign w:val="center"/>
            <w:hideMark/>
          </w:tcPr>
          <w:p w14:paraId="00FA6A56" w14:textId="77777777" w:rsidR="00022082" w:rsidRPr="00022082" w:rsidRDefault="00022082" w:rsidP="00022082">
            <w:pPr>
              <w:spacing w:after="0" w:line="240" w:lineRule="auto"/>
              <w:jc w:val="left"/>
              <w:rPr>
                <w:rFonts w:eastAsia="Times New Roman" w:cs="Times New Roman"/>
                <w:color w:val="000000"/>
                <w:sz w:val="20"/>
                <w:szCs w:val="20"/>
                <w:lang w:eastAsia="sk-SK"/>
              </w:rPr>
            </w:pPr>
            <w:r w:rsidRPr="00022082">
              <w:rPr>
                <w:rFonts w:eastAsia="Times New Roman" w:cs="Times New Roman"/>
                <w:color w:val="000000"/>
                <w:sz w:val="20"/>
                <w:szCs w:val="20"/>
                <w:lang w:eastAsia="sk-SK"/>
              </w:rPr>
              <w:t> </w:t>
            </w:r>
          </w:p>
        </w:tc>
        <w:tc>
          <w:tcPr>
            <w:tcW w:w="1134" w:type="dxa"/>
            <w:gridSpan w:val="2"/>
            <w:tcBorders>
              <w:top w:val="nil"/>
              <w:left w:val="nil"/>
              <w:bottom w:val="single" w:sz="8" w:space="0" w:color="auto"/>
              <w:right w:val="nil"/>
            </w:tcBorders>
            <w:shd w:val="clear" w:color="000000" w:fill="BFBFBF"/>
            <w:noWrap/>
            <w:vAlign w:val="center"/>
            <w:hideMark/>
          </w:tcPr>
          <w:p w14:paraId="21CE0BC2" w14:textId="77777777" w:rsidR="00022082" w:rsidRPr="00022082" w:rsidRDefault="00022082" w:rsidP="00022082">
            <w:pPr>
              <w:spacing w:after="0" w:line="240" w:lineRule="auto"/>
              <w:jc w:val="center"/>
              <w:rPr>
                <w:rFonts w:eastAsia="Times New Roman" w:cs="Times New Roman"/>
                <w:b/>
                <w:bCs/>
                <w:color w:val="000000"/>
                <w:sz w:val="20"/>
                <w:szCs w:val="20"/>
                <w:lang w:eastAsia="sk-SK"/>
              </w:rPr>
            </w:pPr>
            <w:r w:rsidRPr="00022082">
              <w:rPr>
                <w:rFonts w:eastAsia="Times New Roman" w:cs="Times New Roman"/>
                <w:b/>
                <w:bCs/>
                <w:color w:val="000000"/>
                <w:sz w:val="20"/>
                <w:szCs w:val="20"/>
                <w:lang w:eastAsia="sk-SK"/>
              </w:rPr>
              <w:t>1</w:t>
            </w:r>
          </w:p>
        </w:tc>
        <w:tc>
          <w:tcPr>
            <w:tcW w:w="1134" w:type="dxa"/>
            <w:gridSpan w:val="2"/>
            <w:tcBorders>
              <w:top w:val="nil"/>
              <w:left w:val="nil"/>
              <w:bottom w:val="single" w:sz="8" w:space="0" w:color="auto"/>
              <w:right w:val="nil"/>
            </w:tcBorders>
            <w:shd w:val="clear" w:color="000000" w:fill="BFBFBF"/>
            <w:noWrap/>
            <w:vAlign w:val="center"/>
            <w:hideMark/>
          </w:tcPr>
          <w:p w14:paraId="78A5D2E3" w14:textId="77777777" w:rsidR="00022082" w:rsidRPr="00022082" w:rsidRDefault="00022082" w:rsidP="00022082">
            <w:pPr>
              <w:spacing w:after="0" w:line="240" w:lineRule="auto"/>
              <w:jc w:val="center"/>
              <w:rPr>
                <w:rFonts w:eastAsia="Times New Roman" w:cs="Times New Roman"/>
                <w:b/>
                <w:bCs/>
                <w:color w:val="000000"/>
                <w:sz w:val="20"/>
                <w:szCs w:val="20"/>
                <w:lang w:eastAsia="sk-SK"/>
              </w:rPr>
            </w:pPr>
            <w:r w:rsidRPr="00022082">
              <w:rPr>
                <w:rFonts w:eastAsia="Times New Roman" w:cs="Times New Roman"/>
                <w:b/>
                <w:bCs/>
                <w:color w:val="000000"/>
                <w:sz w:val="20"/>
                <w:szCs w:val="20"/>
                <w:lang w:eastAsia="sk-SK"/>
              </w:rPr>
              <w:t>2</w:t>
            </w:r>
          </w:p>
        </w:tc>
        <w:tc>
          <w:tcPr>
            <w:tcW w:w="1048" w:type="dxa"/>
            <w:gridSpan w:val="2"/>
            <w:tcBorders>
              <w:top w:val="nil"/>
              <w:left w:val="nil"/>
              <w:bottom w:val="single" w:sz="8" w:space="0" w:color="auto"/>
              <w:right w:val="nil"/>
            </w:tcBorders>
            <w:shd w:val="clear" w:color="000000" w:fill="BFBFBF"/>
            <w:noWrap/>
            <w:vAlign w:val="center"/>
            <w:hideMark/>
          </w:tcPr>
          <w:p w14:paraId="0C9849C3" w14:textId="77777777" w:rsidR="00022082" w:rsidRPr="00022082" w:rsidRDefault="00022082" w:rsidP="00022082">
            <w:pPr>
              <w:spacing w:after="0" w:line="240" w:lineRule="auto"/>
              <w:jc w:val="center"/>
              <w:rPr>
                <w:rFonts w:eastAsia="Times New Roman" w:cs="Times New Roman"/>
                <w:b/>
                <w:bCs/>
                <w:color w:val="000000"/>
                <w:sz w:val="20"/>
                <w:szCs w:val="20"/>
                <w:lang w:eastAsia="sk-SK"/>
              </w:rPr>
            </w:pPr>
            <w:r w:rsidRPr="00022082">
              <w:rPr>
                <w:rFonts w:eastAsia="Times New Roman" w:cs="Times New Roman"/>
                <w:b/>
                <w:bCs/>
                <w:color w:val="000000"/>
                <w:sz w:val="20"/>
                <w:szCs w:val="20"/>
                <w:lang w:eastAsia="sk-SK"/>
              </w:rPr>
              <w:t>3</w:t>
            </w:r>
          </w:p>
        </w:tc>
        <w:tc>
          <w:tcPr>
            <w:tcW w:w="1067" w:type="dxa"/>
            <w:gridSpan w:val="2"/>
            <w:tcBorders>
              <w:top w:val="nil"/>
              <w:left w:val="nil"/>
              <w:bottom w:val="single" w:sz="8" w:space="0" w:color="auto"/>
              <w:right w:val="nil"/>
            </w:tcBorders>
            <w:shd w:val="clear" w:color="000000" w:fill="BFBFBF"/>
            <w:noWrap/>
            <w:vAlign w:val="center"/>
            <w:hideMark/>
          </w:tcPr>
          <w:p w14:paraId="4952804D" w14:textId="77777777" w:rsidR="00022082" w:rsidRPr="00022082" w:rsidRDefault="00022082" w:rsidP="00022082">
            <w:pPr>
              <w:spacing w:after="0" w:line="240" w:lineRule="auto"/>
              <w:jc w:val="center"/>
              <w:rPr>
                <w:rFonts w:eastAsia="Times New Roman" w:cs="Times New Roman"/>
                <w:b/>
                <w:bCs/>
                <w:color w:val="000000"/>
                <w:sz w:val="20"/>
                <w:szCs w:val="20"/>
                <w:lang w:eastAsia="sk-SK"/>
              </w:rPr>
            </w:pPr>
            <w:r w:rsidRPr="00022082">
              <w:rPr>
                <w:rFonts w:eastAsia="Times New Roman" w:cs="Times New Roman"/>
                <w:b/>
                <w:bCs/>
                <w:color w:val="000000"/>
                <w:sz w:val="20"/>
                <w:szCs w:val="20"/>
                <w:lang w:eastAsia="sk-SK"/>
              </w:rPr>
              <w:t>4</w:t>
            </w:r>
          </w:p>
        </w:tc>
        <w:tc>
          <w:tcPr>
            <w:tcW w:w="876" w:type="dxa"/>
            <w:gridSpan w:val="2"/>
            <w:tcBorders>
              <w:top w:val="nil"/>
              <w:left w:val="nil"/>
              <w:bottom w:val="single" w:sz="8" w:space="0" w:color="auto"/>
              <w:right w:val="nil"/>
            </w:tcBorders>
            <w:shd w:val="clear" w:color="000000" w:fill="BFBFBF"/>
            <w:noWrap/>
            <w:vAlign w:val="center"/>
            <w:hideMark/>
          </w:tcPr>
          <w:p w14:paraId="7D10E83B" w14:textId="77777777" w:rsidR="00022082" w:rsidRPr="00022082" w:rsidRDefault="00022082" w:rsidP="00022082">
            <w:pPr>
              <w:spacing w:after="0" w:line="240" w:lineRule="auto"/>
              <w:jc w:val="center"/>
              <w:rPr>
                <w:rFonts w:eastAsia="Times New Roman" w:cs="Times New Roman"/>
                <w:b/>
                <w:bCs/>
                <w:sz w:val="20"/>
                <w:szCs w:val="20"/>
                <w:lang w:eastAsia="sk-SK"/>
              </w:rPr>
            </w:pPr>
            <w:r w:rsidRPr="00022082">
              <w:rPr>
                <w:rFonts w:eastAsia="Times New Roman" w:cs="Times New Roman"/>
                <w:b/>
                <w:bCs/>
                <w:sz w:val="20"/>
                <w:szCs w:val="20"/>
                <w:lang w:eastAsia="sk-SK"/>
              </w:rPr>
              <w:t>5=4-3</w:t>
            </w:r>
          </w:p>
        </w:tc>
        <w:tc>
          <w:tcPr>
            <w:tcW w:w="610" w:type="dxa"/>
            <w:tcBorders>
              <w:top w:val="nil"/>
              <w:left w:val="nil"/>
              <w:bottom w:val="single" w:sz="8" w:space="0" w:color="auto"/>
              <w:right w:val="nil"/>
            </w:tcBorders>
            <w:shd w:val="clear" w:color="000000" w:fill="BFBFBF"/>
            <w:noWrap/>
            <w:vAlign w:val="center"/>
            <w:hideMark/>
          </w:tcPr>
          <w:p w14:paraId="0CAA0C9C" w14:textId="77777777" w:rsidR="00022082" w:rsidRPr="00022082" w:rsidRDefault="00022082" w:rsidP="00022082">
            <w:pPr>
              <w:spacing w:after="0" w:line="240" w:lineRule="auto"/>
              <w:jc w:val="center"/>
              <w:rPr>
                <w:rFonts w:eastAsia="Times New Roman" w:cs="Times New Roman"/>
                <w:b/>
                <w:bCs/>
                <w:sz w:val="20"/>
                <w:szCs w:val="20"/>
                <w:lang w:eastAsia="sk-SK"/>
              </w:rPr>
            </w:pPr>
            <w:r w:rsidRPr="00022082">
              <w:rPr>
                <w:rFonts w:eastAsia="Times New Roman" w:cs="Times New Roman"/>
                <w:b/>
                <w:bCs/>
                <w:sz w:val="20"/>
                <w:szCs w:val="20"/>
                <w:lang w:eastAsia="sk-SK"/>
              </w:rPr>
              <w:t>6=4/3</w:t>
            </w:r>
          </w:p>
        </w:tc>
      </w:tr>
      <w:tr w:rsidR="00022082" w:rsidRPr="00022082" w14:paraId="4581944F" w14:textId="77777777" w:rsidTr="00022082">
        <w:trPr>
          <w:trHeight w:val="276"/>
        </w:trPr>
        <w:tc>
          <w:tcPr>
            <w:tcW w:w="3402" w:type="dxa"/>
            <w:tcBorders>
              <w:top w:val="nil"/>
              <w:left w:val="nil"/>
              <w:bottom w:val="nil"/>
              <w:right w:val="nil"/>
            </w:tcBorders>
            <w:shd w:val="clear" w:color="auto" w:fill="auto"/>
            <w:noWrap/>
            <w:vAlign w:val="center"/>
            <w:hideMark/>
          </w:tcPr>
          <w:p w14:paraId="40858A7F" w14:textId="77777777" w:rsidR="00022082" w:rsidRPr="00022082" w:rsidRDefault="00022082" w:rsidP="00022082">
            <w:pPr>
              <w:spacing w:after="0" w:line="240" w:lineRule="auto"/>
              <w:jc w:val="left"/>
              <w:rPr>
                <w:rFonts w:eastAsia="Times New Roman" w:cs="Times New Roman"/>
                <w:b/>
                <w:color w:val="000000"/>
                <w:sz w:val="20"/>
                <w:szCs w:val="20"/>
                <w:lang w:eastAsia="sk-SK"/>
              </w:rPr>
            </w:pPr>
            <w:r w:rsidRPr="00022082">
              <w:rPr>
                <w:rFonts w:eastAsia="Times New Roman" w:cs="Times New Roman"/>
                <w:b/>
                <w:color w:val="000000"/>
                <w:sz w:val="20"/>
                <w:szCs w:val="20"/>
                <w:lang w:eastAsia="sk-SK"/>
              </w:rPr>
              <w:t>Dane za tovary a služby</w:t>
            </w:r>
          </w:p>
        </w:tc>
        <w:tc>
          <w:tcPr>
            <w:tcW w:w="1134" w:type="dxa"/>
            <w:gridSpan w:val="2"/>
            <w:tcBorders>
              <w:top w:val="nil"/>
              <w:left w:val="nil"/>
              <w:bottom w:val="nil"/>
              <w:right w:val="nil"/>
            </w:tcBorders>
            <w:shd w:val="clear" w:color="auto" w:fill="auto"/>
            <w:noWrap/>
            <w:vAlign w:val="center"/>
            <w:hideMark/>
          </w:tcPr>
          <w:p w14:paraId="5E1F082C" w14:textId="77777777" w:rsidR="00022082" w:rsidRPr="00022082" w:rsidRDefault="00022082" w:rsidP="00022082">
            <w:pPr>
              <w:spacing w:after="0" w:line="240" w:lineRule="auto"/>
              <w:jc w:val="right"/>
              <w:rPr>
                <w:rFonts w:eastAsia="Times New Roman" w:cs="Times New Roman"/>
                <w:b/>
                <w:color w:val="000000"/>
                <w:sz w:val="20"/>
                <w:szCs w:val="20"/>
                <w:lang w:eastAsia="sk-SK"/>
              </w:rPr>
            </w:pPr>
            <w:r w:rsidRPr="00022082">
              <w:rPr>
                <w:rFonts w:eastAsia="Times New Roman" w:cs="Times New Roman"/>
                <w:b/>
                <w:color w:val="000000"/>
                <w:sz w:val="20"/>
                <w:szCs w:val="20"/>
                <w:lang w:eastAsia="sk-SK"/>
              </w:rPr>
              <w:t>7 671 330</w:t>
            </w:r>
          </w:p>
        </w:tc>
        <w:tc>
          <w:tcPr>
            <w:tcW w:w="1134" w:type="dxa"/>
            <w:gridSpan w:val="2"/>
            <w:tcBorders>
              <w:top w:val="nil"/>
              <w:left w:val="nil"/>
              <w:bottom w:val="nil"/>
              <w:right w:val="nil"/>
            </w:tcBorders>
            <w:shd w:val="clear" w:color="auto" w:fill="auto"/>
            <w:noWrap/>
            <w:vAlign w:val="center"/>
            <w:hideMark/>
          </w:tcPr>
          <w:p w14:paraId="6789583F" w14:textId="77777777" w:rsidR="00022082" w:rsidRPr="00022082" w:rsidRDefault="00022082" w:rsidP="00022082">
            <w:pPr>
              <w:spacing w:after="0" w:line="240" w:lineRule="auto"/>
              <w:jc w:val="right"/>
              <w:rPr>
                <w:rFonts w:eastAsia="Times New Roman" w:cs="Times New Roman"/>
                <w:b/>
                <w:color w:val="000000"/>
                <w:sz w:val="20"/>
                <w:szCs w:val="20"/>
                <w:lang w:eastAsia="sk-SK"/>
              </w:rPr>
            </w:pPr>
            <w:r w:rsidRPr="00022082">
              <w:rPr>
                <w:rFonts w:eastAsia="Times New Roman" w:cs="Times New Roman"/>
                <w:b/>
                <w:color w:val="000000"/>
                <w:sz w:val="20"/>
                <w:szCs w:val="20"/>
                <w:lang w:eastAsia="sk-SK"/>
              </w:rPr>
              <w:t>8 328 646</w:t>
            </w:r>
          </w:p>
        </w:tc>
        <w:tc>
          <w:tcPr>
            <w:tcW w:w="1048" w:type="dxa"/>
            <w:gridSpan w:val="2"/>
            <w:tcBorders>
              <w:top w:val="nil"/>
              <w:left w:val="nil"/>
              <w:bottom w:val="nil"/>
              <w:right w:val="nil"/>
            </w:tcBorders>
            <w:shd w:val="clear" w:color="auto" w:fill="auto"/>
            <w:noWrap/>
            <w:vAlign w:val="center"/>
            <w:hideMark/>
          </w:tcPr>
          <w:p w14:paraId="1B0B680B" w14:textId="77777777" w:rsidR="00022082" w:rsidRPr="00022082" w:rsidRDefault="00022082" w:rsidP="00022082">
            <w:pPr>
              <w:spacing w:after="0" w:line="240" w:lineRule="auto"/>
              <w:jc w:val="right"/>
              <w:rPr>
                <w:rFonts w:eastAsia="Times New Roman" w:cs="Times New Roman"/>
                <w:b/>
                <w:color w:val="000000"/>
                <w:sz w:val="20"/>
                <w:szCs w:val="20"/>
                <w:lang w:eastAsia="sk-SK"/>
              </w:rPr>
            </w:pPr>
            <w:r w:rsidRPr="00022082">
              <w:rPr>
                <w:rFonts w:eastAsia="Times New Roman" w:cs="Times New Roman"/>
                <w:b/>
                <w:color w:val="000000"/>
                <w:sz w:val="20"/>
                <w:szCs w:val="20"/>
                <w:lang w:eastAsia="sk-SK"/>
              </w:rPr>
              <w:t>8 606 238</w:t>
            </w:r>
          </w:p>
        </w:tc>
        <w:tc>
          <w:tcPr>
            <w:tcW w:w="1067" w:type="dxa"/>
            <w:gridSpan w:val="2"/>
            <w:tcBorders>
              <w:top w:val="nil"/>
              <w:left w:val="nil"/>
              <w:bottom w:val="nil"/>
              <w:right w:val="nil"/>
            </w:tcBorders>
            <w:shd w:val="clear" w:color="000000" w:fill="BFBFBF"/>
            <w:noWrap/>
            <w:vAlign w:val="center"/>
            <w:hideMark/>
          </w:tcPr>
          <w:p w14:paraId="1FA32AD7" w14:textId="77777777" w:rsidR="00022082" w:rsidRPr="00022082" w:rsidRDefault="00022082" w:rsidP="00022082">
            <w:pPr>
              <w:spacing w:after="0" w:line="240" w:lineRule="auto"/>
              <w:jc w:val="right"/>
              <w:rPr>
                <w:rFonts w:eastAsia="Times New Roman" w:cs="Times New Roman"/>
                <w:b/>
                <w:sz w:val="20"/>
                <w:szCs w:val="20"/>
                <w:lang w:eastAsia="sk-SK"/>
              </w:rPr>
            </w:pPr>
            <w:r w:rsidRPr="00022082">
              <w:rPr>
                <w:rFonts w:eastAsia="Times New Roman" w:cs="Times New Roman"/>
                <w:b/>
                <w:sz w:val="20"/>
                <w:szCs w:val="20"/>
                <w:lang w:eastAsia="sk-SK"/>
              </w:rPr>
              <w:t>8 919 317</w:t>
            </w:r>
          </w:p>
        </w:tc>
        <w:tc>
          <w:tcPr>
            <w:tcW w:w="876" w:type="dxa"/>
            <w:gridSpan w:val="2"/>
            <w:tcBorders>
              <w:top w:val="nil"/>
              <w:left w:val="nil"/>
              <w:bottom w:val="nil"/>
              <w:right w:val="nil"/>
            </w:tcBorders>
            <w:shd w:val="clear" w:color="auto" w:fill="auto"/>
            <w:noWrap/>
            <w:vAlign w:val="center"/>
            <w:hideMark/>
          </w:tcPr>
          <w:p w14:paraId="51AF4076" w14:textId="77777777" w:rsidR="00022082" w:rsidRPr="00022082" w:rsidRDefault="00022082" w:rsidP="00022082">
            <w:pPr>
              <w:spacing w:after="0" w:line="240" w:lineRule="auto"/>
              <w:jc w:val="right"/>
              <w:rPr>
                <w:rFonts w:eastAsia="Times New Roman" w:cs="Times New Roman"/>
                <w:b/>
                <w:sz w:val="20"/>
                <w:szCs w:val="20"/>
                <w:lang w:eastAsia="sk-SK"/>
              </w:rPr>
            </w:pPr>
            <w:r w:rsidRPr="00022082">
              <w:rPr>
                <w:rFonts w:eastAsia="Times New Roman" w:cs="Times New Roman"/>
                <w:b/>
                <w:sz w:val="20"/>
                <w:szCs w:val="20"/>
                <w:lang w:eastAsia="sk-SK"/>
              </w:rPr>
              <w:t>313 079</w:t>
            </w:r>
          </w:p>
        </w:tc>
        <w:tc>
          <w:tcPr>
            <w:tcW w:w="610" w:type="dxa"/>
            <w:tcBorders>
              <w:top w:val="nil"/>
              <w:left w:val="nil"/>
              <w:bottom w:val="nil"/>
              <w:right w:val="nil"/>
            </w:tcBorders>
            <w:shd w:val="clear" w:color="auto" w:fill="auto"/>
            <w:noWrap/>
            <w:vAlign w:val="bottom"/>
            <w:hideMark/>
          </w:tcPr>
          <w:p w14:paraId="4B48DE36" w14:textId="77777777" w:rsidR="00022082" w:rsidRPr="00022082" w:rsidRDefault="00022082" w:rsidP="00022082">
            <w:pPr>
              <w:spacing w:after="0" w:line="240" w:lineRule="auto"/>
              <w:jc w:val="right"/>
              <w:rPr>
                <w:rFonts w:eastAsia="Times New Roman" w:cs="Times New Roman"/>
                <w:b/>
                <w:color w:val="000000"/>
                <w:sz w:val="20"/>
                <w:szCs w:val="20"/>
                <w:lang w:eastAsia="sk-SK"/>
              </w:rPr>
            </w:pPr>
            <w:r w:rsidRPr="00022082">
              <w:rPr>
                <w:rFonts w:eastAsia="Times New Roman" w:cs="Times New Roman"/>
                <w:b/>
                <w:color w:val="000000"/>
                <w:sz w:val="20"/>
                <w:szCs w:val="20"/>
                <w:lang w:eastAsia="sk-SK"/>
              </w:rPr>
              <w:t>3,6</w:t>
            </w:r>
          </w:p>
        </w:tc>
      </w:tr>
      <w:tr w:rsidR="00022082" w:rsidRPr="00077D54" w14:paraId="4FC509A6" w14:textId="77777777" w:rsidTr="00022082">
        <w:trPr>
          <w:trHeight w:val="276"/>
        </w:trPr>
        <w:tc>
          <w:tcPr>
            <w:tcW w:w="3402" w:type="dxa"/>
            <w:tcBorders>
              <w:top w:val="nil"/>
              <w:left w:val="nil"/>
              <w:bottom w:val="nil"/>
              <w:right w:val="nil"/>
            </w:tcBorders>
            <w:shd w:val="clear" w:color="auto" w:fill="auto"/>
            <w:noWrap/>
            <w:vAlign w:val="center"/>
            <w:hideMark/>
          </w:tcPr>
          <w:p w14:paraId="4C3B7881" w14:textId="77777777" w:rsidR="00022082" w:rsidRPr="00077D54" w:rsidRDefault="00022082" w:rsidP="00022082">
            <w:pPr>
              <w:spacing w:after="0" w:line="240" w:lineRule="auto"/>
              <w:jc w:val="left"/>
              <w:rPr>
                <w:rFonts w:eastAsia="Times New Roman" w:cs="Times New Roman"/>
                <w:i/>
                <w:color w:val="000000"/>
                <w:sz w:val="20"/>
                <w:szCs w:val="20"/>
                <w:lang w:eastAsia="sk-SK"/>
              </w:rPr>
            </w:pPr>
            <w:r w:rsidRPr="00022082">
              <w:rPr>
                <w:rFonts w:eastAsia="Times New Roman" w:cs="Times New Roman"/>
                <w:i/>
                <w:color w:val="000000"/>
                <w:sz w:val="20"/>
                <w:szCs w:val="20"/>
                <w:lang w:eastAsia="sk-SK"/>
              </w:rPr>
              <w:t xml:space="preserve">z toho: </w:t>
            </w:r>
          </w:p>
          <w:p w14:paraId="17237A9C" w14:textId="208AD936" w:rsidR="00022082" w:rsidRPr="00022082" w:rsidRDefault="00022082" w:rsidP="00022082">
            <w:pPr>
              <w:spacing w:after="0" w:line="240" w:lineRule="auto"/>
              <w:jc w:val="left"/>
              <w:rPr>
                <w:rFonts w:eastAsia="Times New Roman" w:cs="Times New Roman"/>
                <w:i/>
                <w:color w:val="000000"/>
                <w:sz w:val="20"/>
                <w:szCs w:val="20"/>
                <w:lang w:eastAsia="sk-SK"/>
              </w:rPr>
            </w:pPr>
            <w:r w:rsidRPr="00022082">
              <w:rPr>
                <w:rFonts w:eastAsia="Times New Roman" w:cs="Times New Roman"/>
                <w:i/>
                <w:color w:val="000000"/>
                <w:sz w:val="20"/>
                <w:szCs w:val="20"/>
                <w:lang w:eastAsia="sk-SK"/>
              </w:rPr>
              <w:t>DPH</w:t>
            </w:r>
          </w:p>
        </w:tc>
        <w:tc>
          <w:tcPr>
            <w:tcW w:w="1134" w:type="dxa"/>
            <w:gridSpan w:val="2"/>
            <w:tcBorders>
              <w:top w:val="nil"/>
              <w:left w:val="nil"/>
              <w:bottom w:val="nil"/>
              <w:right w:val="nil"/>
            </w:tcBorders>
            <w:shd w:val="clear" w:color="auto" w:fill="auto"/>
            <w:noWrap/>
            <w:vAlign w:val="center"/>
            <w:hideMark/>
          </w:tcPr>
          <w:p w14:paraId="26804141" w14:textId="77777777" w:rsidR="00534CE2" w:rsidRDefault="00534CE2" w:rsidP="00022082">
            <w:pPr>
              <w:spacing w:after="0" w:line="240" w:lineRule="auto"/>
              <w:jc w:val="right"/>
              <w:rPr>
                <w:rFonts w:eastAsia="Times New Roman" w:cs="Times New Roman"/>
                <w:i/>
                <w:color w:val="000000"/>
                <w:sz w:val="20"/>
                <w:szCs w:val="20"/>
                <w:lang w:eastAsia="sk-SK"/>
              </w:rPr>
            </w:pPr>
          </w:p>
          <w:p w14:paraId="47237954" w14:textId="366D17D0" w:rsidR="00022082" w:rsidRPr="00022082" w:rsidRDefault="00022082" w:rsidP="00022082">
            <w:pPr>
              <w:spacing w:after="0" w:line="240" w:lineRule="auto"/>
              <w:jc w:val="right"/>
              <w:rPr>
                <w:rFonts w:eastAsia="Times New Roman" w:cs="Times New Roman"/>
                <w:i/>
                <w:color w:val="000000"/>
                <w:sz w:val="20"/>
                <w:szCs w:val="20"/>
                <w:lang w:eastAsia="sk-SK"/>
              </w:rPr>
            </w:pPr>
            <w:r w:rsidRPr="00022082">
              <w:rPr>
                <w:rFonts w:eastAsia="Times New Roman" w:cs="Times New Roman"/>
                <w:i/>
                <w:color w:val="000000"/>
                <w:sz w:val="20"/>
                <w:szCs w:val="20"/>
                <w:lang w:eastAsia="sk-SK"/>
              </w:rPr>
              <w:t>5 360</w:t>
            </w:r>
            <w:r w:rsidR="00534CE2">
              <w:rPr>
                <w:rFonts w:eastAsia="Times New Roman" w:cs="Times New Roman"/>
                <w:i/>
                <w:color w:val="000000"/>
                <w:sz w:val="20"/>
                <w:szCs w:val="20"/>
                <w:lang w:eastAsia="sk-SK"/>
              </w:rPr>
              <w:t> </w:t>
            </w:r>
            <w:r w:rsidRPr="00022082">
              <w:rPr>
                <w:rFonts w:eastAsia="Times New Roman" w:cs="Times New Roman"/>
                <w:i/>
                <w:color w:val="000000"/>
                <w:sz w:val="20"/>
                <w:szCs w:val="20"/>
                <w:lang w:eastAsia="sk-SK"/>
              </w:rPr>
              <w:t>699</w:t>
            </w:r>
          </w:p>
        </w:tc>
        <w:tc>
          <w:tcPr>
            <w:tcW w:w="1134" w:type="dxa"/>
            <w:gridSpan w:val="2"/>
            <w:tcBorders>
              <w:top w:val="nil"/>
              <w:left w:val="nil"/>
              <w:bottom w:val="nil"/>
              <w:right w:val="nil"/>
            </w:tcBorders>
            <w:shd w:val="clear" w:color="auto" w:fill="auto"/>
            <w:noWrap/>
            <w:vAlign w:val="center"/>
            <w:hideMark/>
          </w:tcPr>
          <w:p w14:paraId="12375FF4" w14:textId="77777777" w:rsidR="00534CE2" w:rsidRDefault="00534CE2" w:rsidP="00022082">
            <w:pPr>
              <w:spacing w:after="0" w:line="240" w:lineRule="auto"/>
              <w:jc w:val="right"/>
              <w:rPr>
                <w:rFonts w:eastAsia="Times New Roman" w:cs="Times New Roman"/>
                <w:i/>
                <w:color w:val="000000"/>
                <w:sz w:val="20"/>
                <w:szCs w:val="20"/>
                <w:lang w:eastAsia="sk-SK"/>
              </w:rPr>
            </w:pPr>
          </w:p>
          <w:p w14:paraId="36F2705F" w14:textId="5FADCD66" w:rsidR="00022082" w:rsidRPr="00022082" w:rsidRDefault="00022082" w:rsidP="00022082">
            <w:pPr>
              <w:spacing w:after="0" w:line="240" w:lineRule="auto"/>
              <w:jc w:val="right"/>
              <w:rPr>
                <w:rFonts w:eastAsia="Times New Roman" w:cs="Times New Roman"/>
                <w:i/>
                <w:color w:val="000000"/>
                <w:sz w:val="20"/>
                <w:szCs w:val="20"/>
                <w:lang w:eastAsia="sk-SK"/>
              </w:rPr>
            </w:pPr>
            <w:r w:rsidRPr="00022082">
              <w:rPr>
                <w:rFonts w:eastAsia="Times New Roman" w:cs="Times New Roman"/>
                <w:i/>
                <w:color w:val="000000"/>
                <w:sz w:val="20"/>
                <w:szCs w:val="20"/>
                <w:lang w:eastAsia="sk-SK"/>
              </w:rPr>
              <w:t>5 913</w:t>
            </w:r>
            <w:r w:rsidR="00534CE2">
              <w:rPr>
                <w:rFonts w:eastAsia="Times New Roman" w:cs="Times New Roman"/>
                <w:i/>
                <w:color w:val="000000"/>
                <w:sz w:val="20"/>
                <w:szCs w:val="20"/>
                <w:lang w:eastAsia="sk-SK"/>
              </w:rPr>
              <w:t> </w:t>
            </w:r>
            <w:r w:rsidRPr="00022082">
              <w:rPr>
                <w:rFonts w:eastAsia="Times New Roman" w:cs="Times New Roman"/>
                <w:i/>
                <w:color w:val="000000"/>
                <w:sz w:val="20"/>
                <w:szCs w:val="20"/>
                <w:lang w:eastAsia="sk-SK"/>
              </w:rPr>
              <w:t>368</w:t>
            </w:r>
          </w:p>
        </w:tc>
        <w:tc>
          <w:tcPr>
            <w:tcW w:w="1048" w:type="dxa"/>
            <w:gridSpan w:val="2"/>
            <w:tcBorders>
              <w:top w:val="nil"/>
              <w:left w:val="nil"/>
              <w:bottom w:val="nil"/>
              <w:right w:val="nil"/>
            </w:tcBorders>
            <w:shd w:val="clear" w:color="auto" w:fill="auto"/>
            <w:noWrap/>
            <w:vAlign w:val="center"/>
            <w:hideMark/>
          </w:tcPr>
          <w:p w14:paraId="29ADB479" w14:textId="77777777" w:rsidR="00534CE2" w:rsidRDefault="00534CE2" w:rsidP="00022082">
            <w:pPr>
              <w:spacing w:after="0" w:line="240" w:lineRule="auto"/>
              <w:jc w:val="right"/>
              <w:rPr>
                <w:rFonts w:eastAsia="Times New Roman" w:cs="Times New Roman"/>
                <w:i/>
                <w:color w:val="000000"/>
                <w:sz w:val="20"/>
                <w:szCs w:val="20"/>
                <w:lang w:eastAsia="sk-SK"/>
              </w:rPr>
            </w:pPr>
          </w:p>
          <w:p w14:paraId="0DCDB2B9" w14:textId="4E4EB0D0" w:rsidR="00022082" w:rsidRPr="00022082" w:rsidRDefault="00022082" w:rsidP="00022082">
            <w:pPr>
              <w:spacing w:after="0" w:line="240" w:lineRule="auto"/>
              <w:jc w:val="right"/>
              <w:rPr>
                <w:rFonts w:eastAsia="Times New Roman" w:cs="Times New Roman"/>
                <w:i/>
                <w:color w:val="000000"/>
                <w:sz w:val="20"/>
                <w:szCs w:val="20"/>
                <w:lang w:eastAsia="sk-SK"/>
              </w:rPr>
            </w:pPr>
            <w:r w:rsidRPr="00022082">
              <w:rPr>
                <w:rFonts w:eastAsia="Times New Roman" w:cs="Times New Roman"/>
                <w:i/>
                <w:color w:val="000000"/>
                <w:sz w:val="20"/>
                <w:szCs w:val="20"/>
                <w:lang w:eastAsia="sk-SK"/>
              </w:rPr>
              <w:t>6 079</w:t>
            </w:r>
            <w:r w:rsidR="00534CE2">
              <w:rPr>
                <w:rFonts w:eastAsia="Times New Roman" w:cs="Times New Roman"/>
                <w:i/>
                <w:color w:val="000000"/>
                <w:sz w:val="20"/>
                <w:szCs w:val="20"/>
                <w:lang w:eastAsia="sk-SK"/>
              </w:rPr>
              <w:t> </w:t>
            </w:r>
            <w:r w:rsidRPr="00022082">
              <w:rPr>
                <w:rFonts w:eastAsia="Times New Roman" w:cs="Times New Roman"/>
                <w:i/>
                <w:color w:val="000000"/>
                <w:sz w:val="20"/>
                <w:szCs w:val="20"/>
                <w:lang w:eastAsia="sk-SK"/>
              </w:rPr>
              <w:t>178</w:t>
            </w:r>
          </w:p>
        </w:tc>
        <w:tc>
          <w:tcPr>
            <w:tcW w:w="1067" w:type="dxa"/>
            <w:gridSpan w:val="2"/>
            <w:tcBorders>
              <w:top w:val="nil"/>
              <w:left w:val="nil"/>
              <w:bottom w:val="nil"/>
              <w:right w:val="nil"/>
            </w:tcBorders>
            <w:shd w:val="clear" w:color="000000" w:fill="BFBFBF"/>
            <w:noWrap/>
            <w:vAlign w:val="center"/>
            <w:hideMark/>
          </w:tcPr>
          <w:p w14:paraId="3BE1F195" w14:textId="77777777" w:rsidR="00534CE2" w:rsidRDefault="00534CE2" w:rsidP="00022082">
            <w:pPr>
              <w:spacing w:after="0" w:line="240" w:lineRule="auto"/>
              <w:jc w:val="right"/>
              <w:rPr>
                <w:rFonts w:eastAsia="Times New Roman" w:cs="Times New Roman"/>
                <w:i/>
                <w:sz w:val="20"/>
                <w:szCs w:val="20"/>
                <w:lang w:eastAsia="sk-SK"/>
              </w:rPr>
            </w:pPr>
          </w:p>
          <w:p w14:paraId="274E1E41" w14:textId="4F3D2D52" w:rsidR="00022082" w:rsidRPr="00022082" w:rsidRDefault="00022082" w:rsidP="00022082">
            <w:pPr>
              <w:spacing w:after="0" w:line="240" w:lineRule="auto"/>
              <w:jc w:val="right"/>
              <w:rPr>
                <w:rFonts w:eastAsia="Times New Roman" w:cs="Times New Roman"/>
                <w:i/>
                <w:sz w:val="20"/>
                <w:szCs w:val="20"/>
                <w:lang w:eastAsia="sk-SK"/>
              </w:rPr>
            </w:pPr>
            <w:r w:rsidRPr="00022082">
              <w:rPr>
                <w:rFonts w:eastAsia="Times New Roman" w:cs="Times New Roman"/>
                <w:i/>
                <w:sz w:val="20"/>
                <w:szCs w:val="20"/>
                <w:lang w:eastAsia="sk-SK"/>
              </w:rPr>
              <w:t>6 412</w:t>
            </w:r>
            <w:r w:rsidR="00534CE2">
              <w:rPr>
                <w:rFonts w:eastAsia="Times New Roman" w:cs="Times New Roman"/>
                <w:i/>
                <w:sz w:val="20"/>
                <w:szCs w:val="20"/>
                <w:lang w:eastAsia="sk-SK"/>
              </w:rPr>
              <w:t> </w:t>
            </w:r>
            <w:r w:rsidRPr="00022082">
              <w:rPr>
                <w:rFonts w:eastAsia="Times New Roman" w:cs="Times New Roman"/>
                <w:i/>
                <w:sz w:val="20"/>
                <w:szCs w:val="20"/>
                <w:lang w:eastAsia="sk-SK"/>
              </w:rPr>
              <w:t>426</w:t>
            </w:r>
          </w:p>
        </w:tc>
        <w:tc>
          <w:tcPr>
            <w:tcW w:w="876" w:type="dxa"/>
            <w:gridSpan w:val="2"/>
            <w:tcBorders>
              <w:top w:val="nil"/>
              <w:left w:val="nil"/>
              <w:bottom w:val="nil"/>
              <w:right w:val="nil"/>
            </w:tcBorders>
            <w:shd w:val="clear" w:color="auto" w:fill="auto"/>
            <w:noWrap/>
            <w:vAlign w:val="center"/>
            <w:hideMark/>
          </w:tcPr>
          <w:p w14:paraId="79008445" w14:textId="77777777" w:rsidR="00534CE2" w:rsidRDefault="00534CE2" w:rsidP="00022082">
            <w:pPr>
              <w:spacing w:after="0" w:line="240" w:lineRule="auto"/>
              <w:jc w:val="right"/>
              <w:rPr>
                <w:rFonts w:eastAsia="Times New Roman" w:cs="Times New Roman"/>
                <w:i/>
                <w:sz w:val="20"/>
                <w:szCs w:val="20"/>
                <w:lang w:eastAsia="sk-SK"/>
              </w:rPr>
            </w:pPr>
          </w:p>
          <w:p w14:paraId="7AEB5C2E" w14:textId="77777777" w:rsidR="00022082" w:rsidRPr="00022082" w:rsidRDefault="00022082" w:rsidP="00022082">
            <w:pPr>
              <w:spacing w:after="0" w:line="240" w:lineRule="auto"/>
              <w:jc w:val="right"/>
              <w:rPr>
                <w:rFonts w:eastAsia="Times New Roman" w:cs="Times New Roman"/>
                <w:i/>
                <w:sz w:val="20"/>
                <w:szCs w:val="20"/>
                <w:lang w:eastAsia="sk-SK"/>
              </w:rPr>
            </w:pPr>
            <w:r w:rsidRPr="00022082">
              <w:rPr>
                <w:rFonts w:eastAsia="Times New Roman" w:cs="Times New Roman"/>
                <w:i/>
                <w:sz w:val="20"/>
                <w:szCs w:val="20"/>
                <w:lang w:eastAsia="sk-SK"/>
              </w:rPr>
              <w:t>333 248</w:t>
            </w:r>
          </w:p>
        </w:tc>
        <w:tc>
          <w:tcPr>
            <w:tcW w:w="610" w:type="dxa"/>
            <w:tcBorders>
              <w:top w:val="nil"/>
              <w:left w:val="nil"/>
              <w:bottom w:val="nil"/>
              <w:right w:val="nil"/>
            </w:tcBorders>
            <w:shd w:val="clear" w:color="auto" w:fill="auto"/>
            <w:noWrap/>
            <w:vAlign w:val="bottom"/>
            <w:hideMark/>
          </w:tcPr>
          <w:p w14:paraId="323C563C" w14:textId="77777777" w:rsidR="00022082" w:rsidRPr="00022082" w:rsidRDefault="00022082" w:rsidP="00022082">
            <w:pPr>
              <w:spacing w:after="0" w:line="240" w:lineRule="auto"/>
              <w:jc w:val="right"/>
              <w:rPr>
                <w:rFonts w:eastAsia="Times New Roman" w:cs="Times New Roman"/>
                <w:i/>
                <w:color w:val="000000"/>
                <w:sz w:val="20"/>
                <w:szCs w:val="20"/>
                <w:lang w:eastAsia="sk-SK"/>
              </w:rPr>
            </w:pPr>
            <w:r w:rsidRPr="00022082">
              <w:rPr>
                <w:rFonts w:eastAsia="Times New Roman" w:cs="Times New Roman"/>
                <w:i/>
                <w:color w:val="000000"/>
                <w:sz w:val="20"/>
                <w:szCs w:val="20"/>
                <w:lang w:eastAsia="sk-SK"/>
              </w:rPr>
              <w:t>5,5</w:t>
            </w:r>
          </w:p>
        </w:tc>
      </w:tr>
      <w:tr w:rsidR="00022082" w:rsidRPr="00077D54" w14:paraId="6BDA4848" w14:textId="77777777" w:rsidTr="00022082">
        <w:trPr>
          <w:trHeight w:val="276"/>
        </w:trPr>
        <w:tc>
          <w:tcPr>
            <w:tcW w:w="3402" w:type="dxa"/>
            <w:tcBorders>
              <w:top w:val="nil"/>
              <w:left w:val="nil"/>
              <w:bottom w:val="nil"/>
              <w:right w:val="nil"/>
            </w:tcBorders>
            <w:shd w:val="clear" w:color="auto" w:fill="auto"/>
            <w:noWrap/>
            <w:vAlign w:val="center"/>
            <w:hideMark/>
          </w:tcPr>
          <w:p w14:paraId="550FF494" w14:textId="2809362E" w:rsidR="00022082" w:rsidRPr="00022082" w:rsidRDefault="00022082" w:rsidP="00022082">
            <w:pPr>
              <w:spacing w:after="0" w:line="240" w:lineRule="auto"/>
              <w:jc w:val="left"/>
              <w:rPr>
                <w:rFonts w:eastAsia="Times New Roman" w:cs="Times New Roman"/>
                <w:i/>
                <w:color w:val="000000"/>
                <w:sz w:val="20"/>
                <w:szCs w:val="20"/>
                <w:lang w:eastAsia="sk-SK"/>
              </w:rPr>
            </w:pPr>
            <w:r w:rsidRPr="00022082">
              <w:rPr>
                <w:rFonts w:eastAsia="Times New Roman" w:cs="Times New Roman"/>
                <w:i/>
                <w:color w:val="000000"/>
                <w:sz w:val="20"/>
                <w:szCs w:val="20"/>
                <w:lang w:eastAsia="sk-SK"/>
              </w:rPr>
              <w:t>spotrebné dane</w:t>
            </w:r>
          </w:p>
        </w:tc>
        <w:tc>
          <w:tcPr>
            <w:tcW w:w="1134" w:type="dxa"/>
            <w:gridSpan w:val="2"/>
            <w:tcBorders>
              <w:top w:val="nil"/>
              <w:left w:val="nil"/>
              <w:bottom w:val="nil"/>
              <w:right w:val="nil"/>
            </w:tcBorders>
            <w:shd w:val="clear" w:color="auto" w:fill="auto"/>
            <w:noWrap/>
            <w:vAlign w:val="center"/>
            <w:hideMark/>
          </w:tcPr>
          <w:p w14:paraId="6026B259" w14:textId="77777777" w:rsidR="00022082" w:rsidRPr="00022082" w:rsidRDefault="00022082" w:rsidP="00022082">
            <w:pPr>
              <w:spacing w:after="0" w:line="240" w:lineRule="auto"/>
              <w:jc w:val="right"/>
              <w:rPr>
                <w:rFonts w:eastAsia="Times New Roman" w:cs="Times New Roman"/>
                <w:i/>
                <w:color w:val="000000"/>
                <w:sz w:val="20"/>
                <w:szCs w:val="20"/>
                <w:lang w:eastAsia="sk-SK"/>
              </w:rPr>
            </w:pPr>
            <w:r w:rsidRPr="00022082">
              <w:rPr>
                <w:rFonts w:eastAsia="Times New Roman" w:cs="Times New Roman"/>
                <w:i/>
                <w:color w:val="000000"/>
                <w:sz w:val="20"/>
                <w:szCs w:val="20"/>
                <w:lang w:eastAsia="sk-SK"/>
              </w:rPr>
              <w:t>2 170 497</w:t>
            </w:r>
          </w:p>
        </w:tc>
        <w:tc>
          <w:tcPr>
            <w:tcW w:w="1134" w:type="dxa"/>
            <w:gridSpan w:val="2"/>
            <w:tcBorders>
              <w:top w:val="nil"/>
              <w:left w:val="nil"/>
              <w:bottom w:val="nil"/>
              <w:right w:val="nil"/>
            </w:tcBorders>
            <w:shd w:val="clear" w:color="auto" w:fill="auto"/>
            <w:noWrap/>
            <w:vAlign w:val="center"/>
            <w:hideMark/>
          </w:tcPr>
          <w:p w14:paraId="4794DF57" w14:textId="77777777" w:rsidR="00022082" w:rsidRPr="00022082" w:rsidRDefault="00022082" w:rsidP="00022082">
            <w:pPr>
              <w:spacing w:after="0" w:line="240" w:lineRule="auto"/>
              <w:jc w:val="right"/>
              <w:rPr>
                <w:rFonts w:eastAsia="Times New Roman" w:cs="Times New Roman"/>
                <w:i/>
                <w:color w:val="000000"/>
                <w:sz w:val="20"/>
                <w:szCs w:val="20"/>
                <w:lang w:eastAsia="sk-SK"/>
              </w:rPr>
            </w:pPr>
            <w:r w:rsidRPr="00022082">
              <w:rPr>
                <w:rFonts w:eastAsia="Times New Roman" w:cs="Times New Roman"/>
                <w:i/>
                <w:color w:val="000000"/>
                <w:sz w:val="20"/>
                <w:szCs w:val="20"/>
                <w:lang w:eastAsia="sk-SK"/>
              </w:rPr>
              <w:t>2 252 396</w:t>
            </w:r>
          </w:p>
        </w:tc>
        <w:tc>
          <w:tcPr>
            <w:tcW w:w="1048" w:type="dxa"/>
            <w:gridSpan w:val="2"/>
            <w:tcBorders>
              <w:top w:val="nil"/>
              <w:left w:val="nil"/>
              <w:bottom w:val="nil"/>
              <w:right w:val="nil"/>
            </w:tcBorders>
            <w:shd w:val="clear" w:color="auto" w:fill="auto"/>
            <w:noWrap/>
            <w:vAlign w:val="center"/>
            <w:hideMark/>
          </w:tcPr>
          <w:p w14:paraId="3548F2BC" w14:textId="77777777" w:rsidR="00022082" w:rsidRPr="00022082" w:rsidRDefault="00022082" w:rsidP="00022082">
            <w:pPr>
              <w:spacing w:after="0" w:line="240" w:lineRule="auto"/>
              <w:jc w:val="right"/>
              <w:rPr>
                <w:rFonts w:eastAsia="Times New Roman" w:cs="Times New Roman"/>
                <w:i/>
                <w:color w:val="000000"/>
                <w:sz w:val="20"/>
                <w:szCs w:val="20"/>
                <w:lang w:eastAsia="sk-SK"/>
              </w:rPr>
            </w:pPr>
            <w:r w:rsidRPr="00022082">
              <w:rPr>
                <w:rFonts w:eastAsia="Times New Roman" w:cs="Times New Roman"/>
                <w:i/>
                <w:color w:val="000000"/>
                <w:sz w:val="20"/>
                <w:szCs w:val="20"/>
                <w:lang w:eastAsia="sk-SK"/>
              </w:rPr>
              <w:t>2 335 690</w:t>
            </w:r>
          </w:p>
        </w:tc>
        <w:tc>
          <w:tcPr>
            <w:tcW w:w="1067" w:type="dxa"/>
            <w:gridSpan w:val="2"/>
            <w:tcBorders>
              <w:top w:val="nil"/>
              <w:left w:val="nil"/>
              <w:bottom w:val="nil"/>
              <w:right w:val="nil"/>
            </w:tcBorders>
            <w:shd w:val="clear" w:color="000000" w:fill="BFBFBF"/>
            <w:noWrap/>
            <w:vAlign w:val="center"/>
            <w:hideMark/>
          </w:tcPr>
          <w:p w14:paraId="4A94DFE0" w14:textId="77777777" w:rsidR="00022082" w:rsidRPr="00022082" w:rsidRDefault="00022082" w:rsidP="00022082">
            <w:pPr>
              <w:spacing w:after="0" w:line="240" w:lineRule="auto"/>
              <w:jc w:val="right"/>
              <w:rPr>
                <w:rFonts w:eastAsia="Times New Roman" w:cs="Times New Roman"/>
                <w:i/>
                <w:sz w:val="20"/>
                <w:szCs w:val="20"/>
                <w:lang w:eastAsia="sk-SK"/>
              </w:rPr>
            </w:pPr>
            <w:r w:rsidRPr="00022082">
              <w:rPr>
                <w:rFonts w:eastAsia="Times New Roman" w:cs="Times New Roman"/>
                <w:i/>
                <w:sz w:val="20"/>
                <w:szCs w:val="20"/>
                <w:lang w:eastAsia="sk-SK"/>
              </w:rPr>
              <w:t>2 323 521</w:t>
            </w:r>
          </w:p>
        </w:tc>
        <w:tc>
          <w:tcPr>
            <w:tcW w:w="876" w:type="dxa"/>
            <w:gridSpan w:val="2"/>
            <w:tcBorders>
              <w:top w:val="nil"/>
              <w:left w:val="nil"/>
              <w:bottom w:val="nil"/>
              <w:right w:val="nil"/>
            </w:tcBorders>
            <w:shd w:val="clear" w:color="auto" w:fill="auto"/>
            <w:noWrap/>
            <w:vAlign w:val="center"/>
            <w:hideMark/>
          </w:tcPr>
          <w:p w14:paraId="4C5D7C73" w14:textId="77777777" w:rsidR="00022082" w:rsidRPr="00022082" w:rsidRDefault="00022082" w:rsidP="00022082">
            <w:pPr>
              <w:spacing w:after="0" w:line="240" w:lineRule="auto"/>
              <w:jc w:val="right"/>
              <w:rPr>
                <w:rFonts w:eastAsia="Times New Roman" w:cs="Times New Roman"/>
                <w:i/>
                <w:sz w:val="20"/>
                <w:szCs w:val="20"/>
                <w:lang w:eastAsia="sk-SK"/>
              </w:rPr>
            </w:pPr>
            <w:r w:rsidRPr="00022082">
              <w:rPr>
                <w:rFonts w:eastAsia="Times New Roman" w:cs="Times New Roman"/>
                <w:i/>
                <w:sz w:val="20"/>
                <w:szCs w:val="20"/>
                <w:lang w:eastAsia="sk-SK"/>
              </w:rPr>
              <w:t>-12 169</w:t>
            </w:r>
          </w:p>
        </w:tc>
        <w:tc>
          <w:tcPr>
            <w:tcW w:w="610" w:type="dxa"/>
            <w:tcBorders>
              <w:top w:val="nil"/>
              <w:left w:val="nil"/>
              <w:bottom w:val="nil"/>
              <w:right w:val="nil"/>
            </w:tcBorders>
            <w:shd w:val="clear" w:color="auto" w:fill="auto"/>
            <w:noWrap/>
            <w:vAlign w:val="bottom"/>
            <w:hideMark/>
          </w:tcPr>
          <w:p w14:paraId="397C2D15" w14:textId="77777777" w:rsidR="00022082" w:rsidRPr="00022082" w:rsidRDefault="00022082" w:rsidP="00022082">
            <w:pPr>
              <w:spacing w:after="0" w:line="240" w:lineRule="auto"/>
              <w:jc w:val="right"/>
              <w:rPr>
                <w:rFonts w:eastAsia="Times New Roman" w:cs="Times New Roman"/>
                <w:i/>
                <w:color w:val="000000"/>
                <w:sz w:val="20"/>
                <w:szCs w:val="20"/>
                <w:lang w:eastAsia="sk-SK"/>
              </w:rPr>
            </w:pPr>
            <w:r w:rsidRPr="00022082">
              <w:rPr>
                <w:rFonts w:eastAsia="Times New Roman" w:cs="Times New Roman"/>
                <w:i/>
                <w:color w:val="000000"/>
                <w:sz w:val="20"/>
                <w:szCs w:val="20"/>
                <w:lang w:eastAsia="sk-SK"/>
              </w:rPr>
              <w:t>-0,5</w:t>
            </w:r>
          </w:p>
        </w:tc>
      </w:tr>
      <w:tr w:rsidR="00022082" w:rsidRPr="00077D54" w14:paraId="2E8143DF" w14:textId="77777777" w:rsidTr="00022082">
        <w:trPr>
          <w:trHeight w:val="276"/>
        </w:trPr>
        <w:tc>
          <w:tcPr>
            <w:tcW w:w="3402" w:type="dxa"/>
            <w:tcBorders>
              <w:top w:val="nil"/>
              <w:left w:val="nil"/>
              <w:bottom w:val="nil"/>
              <w:right w:val="nil"/>
            </w:tcBorders>
            <w:shd w:val="clear" w:color="auto" w:fill="auto"/>
            <w:noWrap/>
            <w:vAlign w:val="center"/>
            <w:hideMark/>
          </w:tcPr>
          <w:p w14:paraId="3013E134" w14:textId="5F609552" w:rsidR="00022082" w:rsidRPr="00022082" w:rsidRDefault="00022082" w:rsidP="00022082">
            <w:pPr>
              <w:spacing w:after="0" w:line="240" w:lineRule="auto"/>
              <w:jc w:val="left"/>
              <w:rPr>
                <w:rFonts w:eastAsia="Times New Roman" w:cs="Times New Roman"/>
                <w:i/>
                <w:color w:val="000000"/>
                <w:sz w:val="20"/>
                <w:szCs w:val="20"/>
                <w:lang w:eastAsia="sk-SK"/>
              </w:rPr>
            </w:pPr>
            <w:r w:rsidRPr="00022082">
              <w:rPr>
                <w:rFonts w:eastAsia="Times New Roman" w:cs="Times New Roman"/>
                <w:i/>
                <w:color w:val="000000"/>
                <w:sz w:val="20"/>
                <w:szCs w:val="20"/>
                <w:lang w:eastAsia="sk-SK"/>
              </w:rPr>
              <w:t>dane z používania tovarov a z povolenia na výkon činnosti</w:t>
            </w:r>
          </w:p>
        </w:tc>
        <w:tc>
          <w:tcPr>
            <w:tcW w:w="1134" w:type="dxa"/>
            <w:gridSpan w:val="2"/>
            <w:tcBorders>
              <w:top w:val="nil"/>
              <w:left w:val="nil"/>
              <w:bottom w:val="nil"/>
              <w:right w:val="nil"/>
            </w:tcBorders>
            <w:shd w:val="clear" w:color="auto" w:fill="auto"/>
            <w:noWrap/>
            <w:vAlign w:val="center"/>
            <w:hideMark/>
          </w:tcPr>
          <w:p w14:paraId="23DF30F9" w14:textId="77777777" w:rsidR="00534CE2" w:rsidRDefault="00534CE2" w:rsidP="00022082">
            <w:pPr>
              <w:spacing w:after="0" w:line="240" w:lineRule="auto"/>
              <w:jc w:val="right"/>
              <w:rPr>
                <w:rFonts w:eastAsia="Times New Roman" w:cs="Times New Roman"/>
                <w:i/>
                <w:color w:val="000000"/>
                <w:sz w:val="20"/>
                <w:szCs w:val="20"/>
                <w:lang w:eastAsia="sk-SK"/>
              </w:rPr>
            </w:pPr>
          </w:p>
          <w:p w14:paraId="05B342DD" w14:textId="29A8676E" w:rsidR="00022082" w:rsidRPr="00022082" w:rsidRDefault="00022082" w:rsidP="00022082">
            <w:pPr>
              <w:spacing w:after="0" w:line="240" w:lineRule="auto"/>
              <w:jc w:val="right"/>
              <w:rPr>
                <w:rFonts w:eastAsia="Times New Roman" w:cs="Times New Roman"/>
                <w:i/>
                <w:color w:val="000000"/>
                <w:sz w:val="20"/>
                <w:szCs w:val="20"/>
                <w:lang w:eastAsia="sk-SK"/>
              </w:rPr>
            </w:pPr>
            <w:r w:rsidRPr="00022082">
              <w:rPr>
                <w:rFonts w:eastAsia="Times New Roman" w:cs="Times New Roman"/>
                <w:i/>
                <w:color w:val="000000"/>
                <w:sz w:val="20"/>
                <w:szCs w:val="20"/>
                <w:lang w:eastAsia="sk-SK"/>
              </w:rPr>
              <w:t>140</w:t>
            </w:r>
            <w:r w:rsidR="00534CE2">
              <w:rPr>
                <w:rFonts w:eastAsia="Times New Roman" w:cs="Times New Roman"/>
                <w:i/>
                <w:color w:val="000000"/>
                <w:sz w:val="20"/>
                <w:szCs w:val="20"/>
                <w:lang w:eastAsia="sk-SK"/>
              </w:rPr>
              <w:t> </w:t>
            </w:r>
            <w:r w:rsidRPr="00022082">
              <w:rPr>
                <w:rFonts w:eastAsia="Times New Roman" w:cs="Times New Roman"/>
                <w:i/>
                <w:color w:val="000000"/>
                <w:sz w:val="20"/>
                <w:szCs w:val="20"/>
                <w:lang w:eastAsia="sk-SK"/>
              </w:rPr>
              <w:t>134</w:t>
            </w:r>
          </w:p>
        </w:tc>
        <w:tc>
          <w:tcPr>
            <w:tcW w:w="1134" w:type="dxa"/>
            <w:gridSpan w:val="2"/>
            <w:tcBorders>
              <w:top w:val="nil"/>
              <w:left w:val="nil"/>
              <w:bottom w:val="nil"/>
              <w:right w:val="nil"/>
            </w:tcBorders>
            <w:shd w:val="clear" w:color="auto" w:fill="auto"/>
            <w:noWrap/>
            <w:vAlign w:val="center"/>
            <w:hideMark/>
          </w:tcPr>
          <w:p w14:paraId="3C94A4C7" w14:textId="77777777" w:rsidR="00534CE2" w:rsidRDefault="00534CE2" w:rsidP="00022082">
            <w:pPr>
              <w:spacing w:after="0" w:line="240" w:lineRule="auto"/>
              <w:jc w:val="right"/>
              <w:rPr>
                <w:rFonts w:eastAsia="Times New Roman" w:cs="Times New Roman"/>
                <w:i/>
                <w:color w:val="000000"/>
                <w:sz w:val="20"/>
                <w:szCs w:val="20"/>
                <w:lang w:eastAsia="sk-SK"/>
              </w:rPr>
            </w:pPr>
          </w:p>
          <w:p w14:paraId="4918C9E3" w14:textId="780B93B8" w:rsidR="00022082" w:rsidRPr="00022082" w:rsidRDefault="00022082" w:rsidP="00022082">
            <w:pPr>
              <w:spacing w:after="0" w:line="240" w:lineRule="auto"/>
              <w:jc w:val="right"/>
              <w:rPr>
                <w:rFonts w:eastAsia="Times New Roman" w:cs="Times New Roman"/>
                <w:i/>
                <w:color w:val="000000"/>
                <w:sz w:val="20"/>
                <w:szCs w:val="20"/>
                <w:lang w:eastAsia="sk-SK"/>
              </w:rPr>
            </w:pPr>
            <w:r w:rsidRPr="00022082">
              <w:rPr>
                <w:rFonts w:eastAsia="Times New Roman" w:cs="Times New Roman"/>
                <w:i/>
                <w:color w:val="000000"/>
                <w:sz w:val="20"/>
                <w:szCs w:val="20"/>
                <w:lang w:eastAsia="sk-SK"/>
              </w:rPr>
              <w:t>149</w:t>
            </w:r>
            <w:r w:rsidR="00534CE2">
              <w:rPr>
                <w:rFonts w:eastAsia="Times New Roman" w:cs="Times New Roman"/>
                <w:i/>
                <w:color w:val="000000"/>
                <w:sz w:val="20"/>
                <w:szCs w:val="20"/>
                <w:lang w:eastAsia="sk-SK"/>
              </w:rPr>
              <w:t> </w:t>
            </w:r>
            <w:r w:rsidRPr="00022082">
              <w:rPr>
                <w:rFonts w:eastAsia="Times New Roman" w:cs="Times New Roman"/>
                <w:i/>
                <w:color w:val="000000"/>
                <w:sz w:val="20"/>
                <w:szCs w:val="20"/>
                <w:lang w:eastAsia="sk-SK"/>
              </w:rPr>
              <w:t>943</w:t>
            </w:r>
          </w:p>
        </w:tc>
        <w:tc>
          <w:tcPr>
            <w:tcW w:w="1048" w:type="dxa"/>
            <w:gridSpan w:val="2"/>
            <w:tcBorders>
              <w:top w:val="nil"/>
              <w:left w:val="nil"/>
              <w:bottom w:val="nil"/>
              <w:right w:val="nil"/>
            </w:tcBorders>
            <w:shd w:val="clear" w:color="auto" w:fill="auto"/>
            <w:noWrap/>
            <w:vAlign w:val="center"/>
            <w:hideMark/>
          </w:tcPr>
          <w:p w14:paraId="6F2EFBC4" w14:textId="77777777" w:rsidR="00534CE2" w:rsidRDefault="00534CE2" w:rsidP="00022082">
            <w:pPr>
              <w:spacing w:after="0" w:line="240" w:lineRule="auto"/>
              <w:jc w:val="right"/>
              <w:rPr>
                <w:rFonts w:eastAsia="Times New Roman" w:cs="Times New Roman"/>
                <w:i/>
                <w:color w:val="000000"/>
                <w:sz w:val="20"/>
                <w:szCs w:val="20"/>
                <w:lang w:eastAsia="sk-SK"/>
              </w:rPr>
            </w:pPr>
          </w:p>
          <w:p w14:paraId="5705ECBE" w14:textId="039EFF9A" w:rsidR="00022082" w:rsidRPr="00022082" w:rsidRDefault="00022082" w:rsidP="00022082">
            <w:pPr>
              <w:spacing w:after="0" w:line="240" w:lineRule="auto"/>
              <w:jc w:val="right"/>
              <w:rPr>
                <w:rFonts w:eastAsia="Times New Roman" w:cs="Times New Roman"/>
                <w:i/>
                <w:color w:val="000000"/>
                <w:sz w:val="20"/>
                <w:szCs w:val="20"/>
                <w:lang w:eastAsia="sk-SK"/>
              </w:rPr>
            </w:pPr>
            <w:r w:rsidRPr="00022082">
              <w:rPr>
                <w:rFonts w:eastAsia="Times New Roman" w:cs="Times New Roman"/>
                <w:i/>
                <w:color w:val="000000"/>
                <w:sz w:val="20"/>
                <w:szCs w:val="20"/>
                <w:lang w:eastAsia="sk-SK"/>
              </w:rPr>
              <w:t>157</w:t>
            </w:r>
            <w:r w:rsidR="00534CE2">
              <w:rPr>
                <w:rFonts w:eastAsia="Times New Roman" w:cs="Times New Roman"/>
                <w:i/>
                <w:color w:val="000000"/>
                <w:sz w:val="20"/>
                <w:szCs w:val="20"/>
                <w:lang w:eastAsia="sk-SK"/>
              </w:rPr>
              <w:t> </w:t>
            </w:r>
            <w:r w:rsidRPr="00022082">
              <w:rPr>
                <w:rFonts w:eastAsia="Times New Roman" w:cs="Times New Roman"/>
                <w:i/>
                <w:color w:val="000000"/>
                <w:sz w:val="20"/>
                <w:szCs w:val="20"/>
                <w:lang w:eastAsia="sk-SK"/>
              </w:rPr>
              <w:t>870</w:t>
            </w:r>
          </w:p>
        </w:tc>
        <w:tc>
          <w:tcPr>
            <w:tcW w:w="1067" w:type="dxa"/>
            <w:gridSpan w:val="2"/>
            <w:tcBorders>
              <w:top w:val="nil"/>
              <w:left w:val="nil"/>
              <w:bottom w:val="nil"/>
              <w:right w:val="nil"/>
            </w:tcBorders>
            <w:shd w:val="clear" w:color="000000" w:fill="BFBFBF"/>
            <w:noWrap/>
            <w:vAlign w:val="center"/>
            <w:hideMark/>
          </w:tcPr>
          <w:p w14:paraId="05C0663B" w14:textId="77777777" w:rsidR="00534CE2" w:rsidRDefault="00534CE2" w:rsidP="00022082">
            <w:pPr>
              <w:spacing w:after="0" w:line="240" w:lineRule="auto"/>
              <w:jc w:val="right"/>
              <w:rPr>
                <w:rFonts w:eastAsia="Times New Roman" w:cs="Times New Roman"/>
                <w:i/>
                <w:sz w:val="20"/>
                <w:szCs w:val="20"/>
                <w:lang w:eastAsia="sk-SK"/>
              </w:rPr>
            </w:pPr>
          </w:p>
          <w:p w14:paraId="195828B7" w14:textId="4BA6ADCB" w:rsidR="00022082" w:rsidRPr="00022082" w:rsidRDefault="00022082" w:rsidP="00022082">
            <w:pPr>
              <w:spacing w:after="0" w:line="240" w:lineRule="auto"/>
              <w:jc w:val="right"/>
              <w:rPr>
                <w:rFonts w:eastAsia="Times New Roman" w:cs="Times New Roman"/>
                <w:i/>
                <w:sz w:val="20"/>
                <w:szCs w:val="20"/>
                <w:lang w:eastAsia="sk-SK"/>
              </w:rPr>
            </w:pPr>
            <w:r w:rsidRPr="00022082">
              <w:rPr>
                <w:rFonts w:eastAsia="Times New Roman" w:cs="Times New Roman"/>
                <w:i/>
                <w:sz w:val="20"/>
                <w:szCs w:val="20"/>
                <w:lang w:eastAsia="sk-SK"/>
              </w:rPr>
              <w:t>152</w:t>
            </w:r>
            <w:r w:rsidR="00534CE2">
              <w:rPr>
                <w:rFonts w:eastAsia="Times New Roman" w:cs="Times New Roman"/>
                <w:i/>
                <w:sz w:val="20"/>
                <w:szCs w:val="20"/>
                <w:lang w:eastAsia="sk-SK"/>
              </w:rPr>
              <w:t> </w:t>
            </w:r>
            <w:r w:rsidRPr="00022082">
              <w:rPr>
                <w:rFonts w:eastAsia="Times New Roman" w:cs="Times New Roman"/>
                <w:i/>
                <w:sz w:val="20"/>
                <w:szCs w:val="20"/>
                <w:lang w:eastAsia="sk-SK"/>
              </w:rPr>
              <w:t>839</w:t>
            </w:r>
          </w:p>
        </w:tc>
        <w:tc>
          <w:tcPr>
            <w:tcW w:w="876" w:type="dxa"/>
            <w:gridSpan w:val="2"/>
            <w:tcBorders>
              <w:top w:val="nil"/>
              <w:left w:val="nil"/>
              <w:bottom w:val="nil"/>
              <w:right w:val="nil"/>
            </w:tcBorders>
            <w:shd w:val="clear" w:color="auto" w:fill="auto"/>
            <w:noWrap/>
            <w:vAlign w:val="center"/>
            <w:hideMark/>
          </w:tcPr>
          <w:p w14:paraId="5466245B" w14:textId="77777777" w:rsidR="00534CE2" w:rsidRDefault="00534CE2" w:rsidP="00022082">
            <w:pPr>
              <w:spacing w:after="0" w:line="240" w:lineRule="auto"/>
              <w:jc w:val="right"/>
              <w:rPr>
                <w:rFonts w:eastAsia="Times New Roman" w:cs="Times New Roman"/>
                <w:i/>
                <w:sz w:val="20"/>
                <w:szCs w:val="20"/>
                <w:lang w:eastAsia="sk-SK"/>
              </w:rPr>
            </w:pPr>
          </w:p>
          <w:p w14:paraId="661EB956" w14:textId="77777777" w:rsidR="00022082" w:rsidRPr="00022082" w:rsidRDefault="00022082" w:rsidP="00022082">
            <w:pPr>
              <w:spacing w:after="0" w:line="240" w:lineRule="auto"/>
              <w:jc w:val="right"/>
              <w:rPr>
                <w:rFonts w:eastAsia="Times New Roman" w:cs="Times New Roman"/>
                <w:i/>
                <w:sz w:val="20"/>
                <w:szCs w:val="20"/>
                <w:lang w:eastAsia="sk-SK"/>
              </w:rPr>
            </w:pPr>
            <w:r w:rsidRPr="00022082">
              <w:rPr>
                <w:rFonts w:eastAsia="Times New Roman" w:cs="Times New Roman"/>
                <w:i/>
                <w:sz w:val="20"/>
                <w:szCs w:val="20"/>
                <w:lang w:eastAsia="sk-SK"/>
              </w:rPr>
              <w:t>-5 031</w:t>
            </w:r>
          </w:p>
        </w:tc>
        <w:tc>
          <w:tcPr>
            <w:tcW w:w="610" w:type="dxa"/>
            <w:tcBorders>
              <w:top w:val="nil"/>
              <w:left w:val="nil"/>
              <w:bottom w:val="nil"/>
              <w:right w:val="nil"/>
            </w:tcBorders>
            <w:shd w:val="clear" w:color="auto" w:fill="auto"/>
            <w:noWrap/>
            <w:vAlign w:val="bottom"/>
            <w:hideMark/>
          </w:tcPr>
          <w:p w14:paraId="43B915AC" w14:textId="77777777" w:rsidR="00022082" w:rsidRPr="00022082" w:rsidRDefault="00022082" w:rsidP="00022082">
            <w:pPr>
              <w:spacing w:after="0" w:line="240" w:lineRule="auto"/>
              <w:jc w:val="right"/>
              <w:rPr>
                <w:rFonts w:eastAsia="Times New Roman" w:cs="Times New Roman"/>
                <w:i/>
                <w:color w:val="000000"/>
                <w:sz w:val="20"/>
                <w:szCs w:val="20"/>
                <w:lang w:eastAsia="sk-SK"/>
              </w:rPr>
            </w:pPr>
            <w:r w:rsidRPr="00022082">
              <w:rPr>
                <w:rFonts w:eastAsia="Times New Roman" w:cs="Times New Roman"/>
                <w:i/>
                <w:color w:val="000000"/>
                <w:sz w:val="20"/>
                <w:szCs w:val="20"/>
                <w:lang w:eastAsia="sk-SK"/>
              </w:rPr>
              <w:t>-3,2</w:t>
            </w:r>
          </w:p>
        </w:tc>
      </w:tr>
      <w:tr w:rsidR="00022082" w:rsidRPr="00022082" w14:paraId="3BA7469F" w14:textId="77777777" w:rsidTr="00022082">
        <w:trPr>
          <w:trHeight w:val="276"/>
        </w:trPr>
        <w:tc>
          <w:tcPr>
            <w:tcW w:w="3402" w:type="dxa"/>
            <w:tcBorders>
              <w:top w:val="nil"/>
              <w:left w:val="nil"/>
              <w:bottom w:val="nil"/>
              <w:right w:val="nil"/>
            </w:tcBorders>
            <w:shd w:val="clear" w:color="auto" w:fill="auto"/>
            <w:noWrap/>
            <w:vAlign w:val="center"/>
            <w:hideMark/>
          </w:tcPr>
          <w:p w14:paraId="30159A6E" w14:textId="77777777" w:rsidR="00022082" w:rsidRPr="00022082" w:rsidRDefault="00022082" w:rsidP="00022082">
            <w:pPr>
              <w:spacing w:after="0" w:line="240" w:lineRule="auto"/>
              <w:jc w:val="left"/>
              <w:rPr>
                <w:rFonts w:eastAsia="Times New Roman" w:cs="Times New Roman"/>
                <w:b/>
                <w:color w:val="000000"/>
                <w:sz w:val="20"/>
                <w:szCs w:val="20"/>
                <w:lang w:eastAsia="sk-SK"/>
              </w:rPr>
            </w:pPr>
            <w:r w:rsidRPr="00022082">
              <w:rPr>
                <w:rFonts w:eastAsia="Times New Roman" w:cs="Times New Roman"/>
                <w:b/>
                <w:color w:val="000000"/>
                <w:sz w:val="20"/>
                <w:szCs w:val="20"/>
                <w:lang w:eastAsia="sk-SK"/>
              </w:rPr>
              <w:t>Iné dane za tovary a služby</w:t>
            </w:r>
          </w:p>
        </w:tc>
        <w:tc>
          <w:tcPr>
            <w:tcW w:w="1134" w:type="dxa"/>
            <w:gridSpan w:val="2"/>
            <w:tcBorders>
              <w:top w:val="nil"/>
              <w:left w:val="nil"/>
              <w:bottom w:val="nil"/>
              <w:right w:val="nil"/>
            </w:tcBorders>
            <w:shd w:val="clear" w:color="auto" w:fill="auto"/>
            <w:noWrap/>
            <w:vAlign w:val="center"/>
            <w:hideMark/>
          </w:tcPr>
          <w:p w14:paraId="47D22E53" w14:textId="77777777" w:rsidR="00022082" w:rsidRPr="00022082" w:rsidRDefault="00022082" w:rsidP="00022082">
            <w:pPr>
              <w:spacing w:after="0" w:line="240" w:lineRule="auto"/>
              <w:jc w:val="center"/>
              <w:rPr>
                <w:rFonts w:eastAsia="Times New Roman" w:cs="Times New Roman"/>
                <w:b/>
                <w:color w:val="000000"/>
                <w:sz w:val="20"/>
                <w:szCs w:val="20"/>
                <w:lang w:eastAsia="sk-SK"/>
              </w:rPr>
            </w:pPr>
            <w:r w:rsidRPr="00022082">
              <w:rPr>
                <w:rFonts w:eastAsia="Times New Roman" w:cs="Times New Roman"/>
                <w:b/>
                <w:color w:val="000000"/>
                <w:sz w:val="20"/>
                <w:szCs w:val="20"/>
                <w:lang w:eastAsia="sk-SK"/>
              </w:rPr>
              <w:t xml:space="preserve"> - </w:t>
            </w:r>
          </w:p>
        </w:tc>
        <w:tc>
          <w:tcPr>
            <w:tcW w:w="1134" w:type="dxa"/>
            <w:gridSpan w:val="2"/>
            <w:tcBorders>
              <w:top w:val="nil"/>
              <w:left w:val="nil"/>
              <w:bottom w:val="nil"/>
              <w:right w:val="nil"/>
            </w:tcBorders>
            <w:shd w:val="clear" w:color="auto" w:fill="auto"/>
            <w:noWrap/>
            <w:vAlign w:val="center"/>
            <w:hideMark/>
          </w:tcPr>
          <w:p w14:paraId="6548011D" w14:textId="77777777" w:rsidR="00022082" w:rsidRPr="00022082" w:rsidRDefault="00022082" w:rsidP="00022082">
            <w:pPr>
              <w:spacing w:after="0" w:line="240" w:lineRule="auto"/>
              <w:jc w:val="right"/>
              <w:rPr>
                <w:rFonts w:eastAsia="Times New Roman" w:cs="Times New Roman"/>
                <w:b/>
                <w:color w:val="000000"/>
                <w:sz w:val="20"/>
                <w:szCs w:val="20"/>
                <w:lang w:eastAsia="sk-SK"/>
              </w:rPr>
            </w:pPr>
            <w:r w:rsidRPr="00022082">
              <w:rPr>
                <w:rFonts w:eastAsia="Times New Roman" w:cs="Times New Roman"/>
                <w:b/>
                <w:color w:val="000000"/>
                <w:sz w:val="20"/>
                <w:szCs w:val="20"/>
                <w:lang w:eastAsia="sk-SK"/>
              </w:rPr>
              <w:t>12 939</w:t>
            </w:r>
          </w:p>
        </w:tc>
        <w:tc>
          <w:tcPr>
            <w:tcW w:w="1048" w:type="dxa"/>
            <w:gridSpan w:val="2"/>
            <w:tcBorders>
              <w:top w:val="nil"/>
              <w:left w:val="nil"/>
              <w:bottom w:val="nil"/>
              <w:right w:val="nil"/>
            </w:tcBorders>
            <w:shd w:val="clear" w:color="auto" w:fill="auto"/>
            <w:noWrap/>
            <w:vAlign w:val="center"/>
            <w:hideMark/>
          </w:tcPr>
          <w:p w14:paraId="165FA302" w14:textId="77777777" w:rsidR="00022082" w:rsidRPr="00022082" w:rsidRDefault="00022082" w:rsidP="00022082">
            <w:pPr>
              <w:spacing w:after="0" w:line="240" w:lineRule="auto"/>
              <w:jc w:val="right"/>
              <w:rPr>
                <w:rFonts w:eastAsia="Times New Roman" w:cs="Times New Roman"/>
                <w:b/>
                <w:color w:val="000000"/>
                <w:sz w:val="20"/>
                <w:szCs w:val="20"/>
                <w:lang w:eastAsia="sk-SK"/>
              </w:rPr>
            </w:pPr>
            <w:r w:rsidRPr="00022082">
              <w:rPr>
                <w:rFonts w:eastAsia="Times New Roman" w:cs="Times New Roman"/>
                <w:b/>
                <w:color w:val="000000"/>
                <w:sz w:val="20"/>
                <w:szCs w:val="20"/>
                <w:lang w:eastAsia="sk-SK"/>
              </w:rPr>
              <w:t>33 500</w:t>
            </w:r>
          </w:p>
        </w:tc>
        <w:tc>
          <w:tcPr>
            <w:tcW w:w="1067" w:type="dxa"/>
            <w:gridSpan w:val="2"/>
            <w:tcBorders>
              <w:top w:val="nil"/>
              <w:left w:val="nil"/>
              <w:bottom w:val="nil"/>
              <w:right w:val="nil"/>
            </w:tcBorders>
            <w:shd w:val="clear" w:color="000000" w:fill="BFBFBF"/>
            <w:noWrap/>
            <w:vAlign w:val="center"/>
            <w:hideMark/>
          </w:tcPr>
          <w:p w14:paraId="6DFD45A9" w14:textId="77777777" w:rsidR="00022082" w:rsidRPr="00022082" w:rsidRDefault="00022082" w:rsidP="00022082">
            <w:pPr>
              <w:spacing w:after="0" w:line="240" w:lineRule="auto"/>
              <w:jc w:val="right"/>
              <w:rPr>
                <w:rFonts w:eastAsia="Times New Roman" w:cs="Times New Roman"/>
                <w:b/>
                <w:sz w:val="20"/>
                <w:szCs w:val="20"/>
                <w:lang w:eastAsia="sk-SK"/>
              </w:rPr>
            </w:pPr>
            <w:r w:rsidRPr="00022082">
              <w:rPr>
                <w:rFonts w:eastAsia="Times New Roman" w:cs="Times New Roman"/>
                <w:b/>
                <w:sz w:val="20"/>
                <w:szCs w:val="20"/>
                <w:lang w:eastAsia="sk-SK"/>
              </w:rPr>
              <w:t>30 530</w:t>
            </w:r>
          </w:p>
        </w:tc>
        <w:tc>
          <w:tcPr>
            <w:tcW w:w="876" w:type="dxa"/>
            <w:gridSpan w:val="2"/>
            <w:tcBorders>
              <w:top w:val="nil"/>
              <w:left w:val="nil"/>
              <w:bottom w:val="nil"/>
              <w:right w:val="nil"/>
            </w:tcBorders>
            <w:shd w:val="clear" w:color="auto" w:fill="auto"/>
            <w:noWrap/>
            <w:vAlign w:val="center"/>
            <w:hideMark/>
          </w:tcPr>
          <w:p w14:paraId="28665E9B" w14:textId="77777777" w:rsidR="00022082" w:rsidRPr="00022082" w:rsidRDefault="00022082" w:rsidP="00022082">
            <w:pPr>
              <w:spacing w:after="0" w:line="240" w:lineRule="auto"/>
              <w:jc w:val="right"/>
              <w:rPr>
                <w:rFonts w:eastAsia="Times New Roman" w:cs="Times New Roman"/>
                <w:b/>
                <w:sz w:val="20"/>
                <w:szCs w:val="20"/>
                <w:lang w:eastAsia="sk-SK"/>
              </w:rPr>
            </w:pPr>
            <w:r w:rsidRPr="00022082">
              <w:rPr>
                <w:rFonts w:eastAsia="Times New Roman" w:cs="Times New Roman"/>
                <w:b/>
                <w:sz w:val="20"/>
                <w:szCs w:val="20"/>
                <w:lang w:eastAsia="sk-SK"/>
              </w:rPr>
              <w:t>-2 970</w:t>
            </w:r>
          </w:p>
        </w:tc>
        <w:tc>
          <w:tcPr>
            <w:tcW w:w="610" w:type="dxa"/>
            <w:tcBorders>
              <w:top w:val="nil"/>
              <w:left w:val="nil"/>
              <w:bottom w:val="nil"/>
              <w:right w:val="nil"/>
            </w:tcBorders>
            <w:shd w:val="clear" w:color="auto" w:fill="auto"/>
            <w:noWrap/>
            <w:vAlign w:val="bottom"/>
            <w:hideMark/>
          </w:tcPr>
          <w:p w14:paraId="7A481DAC" w14:textId="77777777" w:rsidR="00022082" w:rsidRPr="00022082" w:rsidRDefault="00022082" w:rsidP="00022082">
            <w:pPr>
              <w:spacing w:after="0" w:line="240" w:lineRule="auto"/>
              <w:jc w:val="right"/>
              <w:rPr>
                <w:rFonts w:eastAsia="Times New Roman" w:cs="Times New Roman"/>
                <w:b/>
                <w:color w:val="000000"/>
                <w:sz w:val="20"/>
                <w:szCs w:val="20"/>
                <w:lang w:eastAsia="sk-SK"/>
              </w:rPr>
            </w:pPr>
            <w:r w:rsidRPr="00022082">
              <w:rPr>
                <w:rFonts w:eastAsia="Times New Roman" w:cs="Times New Roman"/>
                <w:b/>
                <w:color w:val="000000"/>
                <w:sz w:val="20"/>
                <w:szCs w:val="20"/>
                <w:lang w:eastAsia="sk-SK"/>
              </w:rPr>
              <w:t>-8,9</w:t>
            </w:r>
          </w:p>
        </w:tc>
      </w:tr>
      <w:tr w:rsidR="00022082" w:rsidRPr="00022082" w14:paraId="3DD445FE" w14:textId="77777777" w:rsidTr="00022082">
        <w:trPr>
          <w:trHeight w:val="276"/>
        </w:trPr>
        <w:tc>
          <w:tcPr>
            <w:tcW w:w="3402" w:type="dxa"/>
            <w:tcBorders>
              <w:top w:val="nil"/>
              <w:left w:val="nil"/>
              <w:bottom w:val="nil"/>
              <w:right w:val="nil"/>
            </w:tcBorders>
            <w:shd w:val="clear" w:color="auto" w:fill="auto"/>
            <w:noWrap/>
            <w:vAlign w:val="center"/>
            <w:hideMark/>
          </w:tcPr>
          <w:p w14:paraId="1B4D1469" w14:textId="369093BB" w:rsidR="00022082" w:rsidRPr="00022082" w:rsidRDefault="00022082" w:rsidP="00077D54">
            <w:pPr>
              <w:spacing w:after="0" w:line="240" w:lineRule="auto"/>
              <w:jc w:val="left"/>
              <w:rPr>
                <w:rFonts w:eastAsia="Times New Roman" w:cs="Times New Roman"/>
                <w:b/>
                <w:color w:val="000000"/>
                <w:sz w:val="20"/>
                <w:szCs w:val="20"/>
                <w:lang w:eastAsia="sk-SK"/>
              </w:rPr>
            </w:pPr>
            <w:r w:rsidRPr="00022082">
              <w:rPr>
                <w:rFonts w:eastAsia="Times New Roman" w:cs="Times New Roman"/>
                <w:b/>
                <w:color w:val="000000"/>
                <w:sz w:val="20"/>
                <w:szCs w:val="20"/>
                <w:lang w:eastAsia="sk-SK"/>
              </w:rPr>
              <w:t>Dane z príjmov a</w:t>
            </w:r>
            <w:r w:rsidR="00077D54">
              <w:rPr>
                <w:rFonts w:eastAsia="Times New Roman" w:cs="Times New Roman"/>
                <w:b/>
                <w:color w:val="000000"/>
                <w:sz w:val="20"/>
                <w:szCs w:val="20"/>
                <w:lang w:eastAsia="sk-SK"/>
              </w:rPr>
              <w:t> </w:t>
            </w:r>
            <w:r w:rsidRPr="00022082">
              <w:rPr>
                <w:rFonts w:eastAsia="Times New Roman" w:cs="Times New Roman"/>
                <w:b/>
                <w:color w:val="000000"/>
                <w:sz w:val="20"/>
                <w:szCs w:val="20"/>
                <w:lang w:eastAsia="sk-SK"/>
              </w:rPr>
              <w:t>kap</w:t>
            </w:r>
            <w:r w:rsidR="00077D54">
              <w:rPr>
                <w:rFonts w:eastAsia="Times New Roman" w:cs="Times New Roman"/>
                <w:b/>
                <w:color w:val="000000"/>
                <w:sz w:val="20"/>
                <w:szCs w:val="20"/>
                <w:lang w:eastAsia="sk-SK"/>
              </w:rPr>
              <w:t>. ma</w:t>
            </w:r>
            <w:r w:rsidRPr="00022082">
              <w:rPr>
                <w:rFonts w:eastAsia="Times New Roman" w:cs="Times New Roman"/>
                <w:b/>
                <w:color w:val="000000"/>
                <w:sz w:val="20"/>
                <w:szCs w:val="20"/>
                <w:lang w:eastAsia="sk-SK"/>
              </w:rPr>
              <w:t>jetku</w:t>
            </w:r>
          </w:p>
        </w:tc>
        <w:tc>
          <w:tcPr>
            <w:tcW w:w="1134" w:type="dxa"/>
            <w:gridSpan w:val="2"/>
            <w:tcBorders>
              <w:top w:val="nil"/>
              <w:left w:val="nil"/>
              <w:bottom w:val="nil"/>
              <w:right w:val="nil"/>
            </w:tcBorders>
            <w:shd w:val="clear" w:color="auto" w:fill="auto"/>
            <w:noWrap/>
            <w:vAlign w:val="center"/>
            <w:hideMark/>
          </w:tcPr>
          <w:p w14:paraId="7714C108" w14:textId="77777777" w:rsidR="00022082" w:rsidRPr="00022082" w:rsidRDefault="00022082" w:rsidP="00022082">
            <w:pPr>
              <w:spacing w:after="0" w:line="240" w:lineRule="auto"/>
              <w:jc w:val="right"/>
              <w:rPr>
                <w:rFonts w:eastAsia="Times New Roman" w:cs="Times New Roman"/>
                <w:b/>
                <w:color w:val="000000"/>
                <w:sz w:val="20"/>
                <w:szCs w:val="20"/>
                <w:lang w:eastAsia="sk-SK"/>
              </w:rPr>
            </w:pPr>
            <w:r w:rsidRPr="00022082">
              <w:rPr>
                <w:rFonts w:eastAsia="Times New Roman" w:cs="Times New Roman"/>
                <w:b/>
                <w:color w:val="000000"/>
                <w:sz w:val="20"/>
                <w:szCs w:val="20"/>
                <w:lang w:eastAsia="sk-SK"/>
              </w:rPr>
              <w:t>3 357 745</w:t>
            </w:r>
          </w:p>
        </w:tc>
        <w:tc>
          <w:tcPr>
            <w:tcW w:w="1134" w:type="dxa"/>
            <w:gridSpan w:val="2"/>
            <w:tcBorders>
              <w:top w:val="nil"/>
              <w:left w:val="nil"/>
              <w:bottom w:val="nil"/>
              <w:right w:val="nil"/>
            </w:tcBorders>
            <w:shd w:val="clear" w:color="auto" w:fill="auto"/>
            <w:noWrap/>
            <w:vAlign w:val="center"/>
            <w:hideMark/>
          </w:tcPr>
          <w:p w14:paraId="723E3548" w14:textId="77777777" w:rsidR="00022082" w:rsidRPr="00022082" w:rsidRDefault="00022082" w:rsidP="00022082">
            <w:pPr>
              <w:spacing w:after="0" w:line="240" w:lineRule="auto"/>
              <w:jc w:val="right"/>
              <w:rPr>
                <w:rFonts w:eastAsia="Times New Roman" w:cs="Times New Roman"/>
                <w:b/>
                <w:color w:val="000000"/>
                <w:sz w:val="20"/>
                <w:szCs w:val="20"/>
                <w:lang w:eastAsia="sk-SK"/>
              </w:rPr>
            </w:pPr>
            <w:r w:rsidRPr="00022082">
              <w:rPr>
                <w:rFonts w:eastAsia="Times New Roman" w:cs="Times New Roman"/>
                <w:b/>
                <w:color w:val="000000"/>
                <w:sz w:val="20"/>
                <w:szCs w:val="20"/>
                <w:lang w:eastAsia="sk-SK"/>
              </w:rPr>
              <w:t>2 787 249</w:t>
            </w:r>
          </w:p>
        </w:tc>
        <w:tc>
          <w:tcPr>
            <w:tcW w:w="1048" w:type="dxa"/>
            <w:gridSpan w:val="2"/>
            <w:tcBorders>
              <w:top w:val="nil"/>
              <w:left w:val="nil"/>
              <w:bottom w:val="nil"/>
              <w:right w:val="nil"/>
            </w:tcBorders>
            <w:shd w:val="clear" w:color="auto" w:fill="auto"/>
            <w:noWrap/>
            <w:vAlign w:val="center"/>
            <w:hideMark/>
          </w:tcPr>
          <w:p w14:paraId="578F0237" w14:textId="77777777" w:rsidR="00022082" w:rsidRPr="00022082" w:rsidRDefault="00022082" w:rsidP="00022082">
            <w:pPr>
              <w:spacing w:after="0" w:line="240" w:lineRule="auto"/>
              <w:jc w:val="right"/>
              <w:rPr>
                <w:rFonts w:eastAsia="Times New Roman" w:cs="Times New Roman"/>
                <w:b/>
                <w:color w:val="000000"/>
                <w:sz w:val="20"/>
                <w:szCs w:val="20"/>
                <w:lang w:eastAsia="sk-SK"/>
              </w:rPr>
            </w:pPr>
            <w:r w:rsidRPr="00022082">
              <w:rPr>
                <w:rFonts w:eastAsia="Times New Roman" w:cs="Times New Roman"/>
                <w:b/>
                <w:color w:val="000000"/>
                <w:sz w:val="20"/>
                <w:szCs w:val="20"/>
                <w:lang w:eastAsia="sk-SK"/>
              </w:rPr>
              <w:t>2 718 778</w:t>
            </w:r>
          </w:p>
        </w:tc>
        <w:tc>
          <w:tcPr>
            <w:tcW w:w="1067" w:type="dxa"/>
            <w:gridSpan w:val="2"/>
            <w:tcBorders>
              <w:top w:val="nil"/>
              <w:left w:val="nil"/>
              <w:bottom w:val="nil"/>
              <w:right w:val="nil"/>
            </w:tcBorders>
            <w:shd w:val="clear" w:color="000000" w:fill="BFBFBF"/>
            <w:noWrap/>
            <w:vAlign w:val="center"/>
            <w:hideMark/>
          </w:tcPr>
          <w:p w14:paraId="2454E9F3" w14:textId="77777777" w:rsidR="00022082" w:rsidRPr="00022082" w:rsidRDefault="00022082" w:rsidP="00022082">
            <w:pPr>
              <w:spacing w:after="0" w:line="240" w:lineRule="auto"/>
              <w:jc w:val="right"/>
              <w:rPr>
                <w:rFonts w:eastAsia="Times New Roman" w:cs="Times New Roman"/>
                <w:b/>
                <w:sz w:val="20"/>
                <w:szCs w:val="20"/>
                <w:lang w:eastAsia="sk-SK"/>
              </w:rPr>
            </w:pPr>
            <w:r w:rsidRPr="00022082">
              <w:rPr>
                <w:rFonts w:eastAsia="Times New Roman" w:cs="Times New Roman"/>
                <w:b/>
                <w:sz w:val="20"/>
                <w:szCs w:val="20"/>
                <w:lang w:eastAsia="sk-SK"/>
              </w:rPr>
              <w:t>3 015 714</w:t>
            </w:r>
          </w:p>
        </w:tc>
        <w:tc>
          <w:tcPr>
            <w:tcW w:w="876" w:type="dxa"/>
            <w:gridSpan w:val="2"/>
            <w:tcBorders>
              <w:top w:val="nil"/>
              <w:left w:val="nil"/>
              <w:bottom w:val="nil"/>
              <w:right w:val="nil"/>
            </w:tcBorders>
            <w:shd w:val="clear" w:color="auto" w:fill="auto"/>
            <w:noWrap/>
            <w:vAlign w:val="center"/>
            <w:hideMark/>
          </w:tcPr>
          <w:p w14:paraId="689FCD51" w14:textId="77777777" w:rsidR="00022082" w:rsidRPr="00022082" w:rsidRDefault="00022082" w:rsidP="00022082">
            <w:pPr>
              <w:spacing w:after="0" w:line="240" w:lineRule="auto"/>
              <w:jc w:val="right"/>
              <w:rPr>
                <w:rFonts w:eastAsia="Times New Roman" w:cs="Times New Roman"/>
                <w:b/>
                <w:sz w:val="20"/>
                <w:szCs w:val="20"/>
                <w:lang w:eastAsia="sk-SK"/>
              </w:rPr>
            </w:pPr>
            <w:r w:rsidRPr="00022082">
              <w:rPr>
                <w:rFonts w:eastAsia="Times New Roman" w:cs="Times New Roman"/>
                <w:b/>
                <w:sz w:val="20"/>
                <w:szCs w:val="20"/>
                <w:lang w:eastAsia="sk-SK"/>
              </w:rPr>
              <w:t>296 936</w:t>
            </w:r>
          </w:p>
        </w:tc>
        <w:tc>
          <w:tcPr>
            <w:tcW w:w="610" w:type="dxa"/>
            <w:tcBorders>
              <w:top w:val="nil"/>
              <w:left w:val="nil"/>
              <w:bottom w:val="nil"/>
              <w:right w:val="nil"/>
            </w:tcBorders>
            <w:shd w:val="clear" w:color="auto" w:fill="auto"/>
            <w:noWrap/>
            <w:vAlign w:val="bottom"/>
            <w:hideMark/>
          </w:tcPr>
          <w:p w14:paraId="5594858D" w14:textId="77777777" w:rsidR="00022082" w:rsidRPr="00022082" w:rsidRDefault="00022082" w:rsidP="00022082">
            <w:pPr>
              <w:spacing w:after="0" w:line="240" w:lineRule="auto"/>
              <w:jc w:val="right"/>
              <w:rPr>
                <w:rFonts w:eastAsia="Times New Roman" w:cs="Times New Roman"/>
                <w:b/>
                <w:color w:val="000000"/>
                <w:sz w:val="20"/>
                <w:szCs w:val="20"/>
                <w:lang w:eastAsia="sk-SK"/>
              </w:rPr>
            </w:pPr>
            <w:r w:rsidRPr="00022082">
              <w:rPr>
                <w:rFonts w:eastAsia="Times New Roman" w:cs="Times New Roman"/>
                <w:b/>
                <w:color w:val="000000"/>
                <w:sz w:val="20"/>
                <w:szCs w:val="20"/>
                <w:lang w:eastAsia="sk-SK"/>
              </w:rPr>
              <w:t>10,9</w:t>
            </w:r>
          </w:p>
        </w:tc>
      </w:tr>
      <w:tr w:rsidR="00022082" w:rsidRPr="00077D54" w14:paraId="0B2DCEC2" w14:textId="77777777" w:rsidTr="00022082">
        <w:trPr>
          <w:trHeight w:val="276"/>
        </w:trPr>
        <w:tc>
          <w:tcPr>
            <w:tcW w:w="3402" w:type="dxa"/>
            <w:tcBorders>
              <w:top w:val="nil"/>
              <w:left w:val="nil"/>
              <w:bottom w:val="nil"/>
              <w:right w:val="nil"/>
            </w:tcBorders>
            <w:shd w:val="clear" w:color="auto" w:fill="auto"/>
            <w:noWrap/>
            <w:vAlign w:val="center"/>
            <w:hideMark/>
          </w:tcPr>
          <w:p w14:paraId="638039E2" w14:textId="77777777" w:rsidR="00077D54" w:rsidRDefault="00022082" w:rsidP="00022082">
            <w:pPr>
              <w:spacing w:after="0" w:line="240" w:lineRule="auto"/>
              <w:jc w:val="left"/>
              <w:rPr>
                <w:rFonts w:eastAsia="Times New Roman" w:cs="Times New Roman"/>
                <w:i/>
                <w:color w:val="000000"/>
                <w:sz w:val="20"/>
                <w:szCs w:val="20"/>
                <w:lang w:eastAsia="sk-SK"/>
              </w:rPr>
            </w:pPr>
            <w:r w:rsidRPr="00022082">
              <w:rPr>
                <w:rFonts w:eastAsia="Times New Roman" w:cs="Times New Roman"/>
                <w:i/>
                <w:color w:val="000000"/>
                <w:sz w:val="20"/>
                <w:szCs w:val="20"/>
                <w:lang w:eastAsia="sk-SK"/>
              </w:rPr>
              <w:t xml:space="preserve">z toho: </w:t>
            </w:r>
          </w:p>
          <w:p w14:paraId="138DFDF6" w14:textId="493981D8" w:rsidR="00022082" w:rsidRPr="00022082" w:rsidRDefault="00022082" w:rsidP="00022082">
            <w:pPr>
              <w:spacing w:after="0" w:line="240" w:lineRule="auto"/>
              <w:jc w:val="left"/>
              <w:rPr>
                <w:rFonts w:eastAsia="Times New Roman" w:cs="Times New Roman"/>
                <w:i/>
                <w:color w:val="000000"/>
                <w:sz w:val="20"/>
                <w:szCs w:val="20"/>
                <w:lang w:eastAsia="sk-SK"/>
              </w:rPr>
            </w:pPr>
            <w:r w:rsidRPr="00022082">
              <w:rPr>
                <w:rFonts w:eastAsia="Times New Roman" w:cs="Times New Roman"/>
                <w:i/>
                <w:color w:val="000000"/>
                <w:sz w:val="20"/>
                <w:szCs w:val="20"/>
                <w:lang w:eastAsia="sk-SK"/>
              </w:rPr>
              <w:t>daň z príjmov FO</w:t>
            </w:r>
          </w:p>
        </w:tc>
        <w:tc>
          <w:tcPr>
            <w:tcW w:w="1134" w:type="dxa"/>
            <w:gridSpan w:val="2"/>
            <w:tcBorders>
              <w:top w:val="nil"/>
              <w:left w:val="nil"/>
              <w:bottom w:val="nil"/>
              <w:right w:val="nil"/>
            </w:tcBorders>
            <w:shd w:val="clear" w:color="auto" w:fill="auto"/>
            <w:noWrap/>
            <w:vAlign w:val="center"/>
            <w:hideMark/>
          </w:tcPr>
          <w:p w14:paraId="4065DF80" w14:textId="77777777" w:rsidR="00534CE2" w:rsidRDefault="00534CE2" w:rsidP="00022082">
            <w:pPr>
              <w:spacing w:after="0" w:line="240" w:lineRule="auto"/>
              <w:jc w:val="right"/>
              <w:rPr>
                <w:rFonts w:eastAsia="Times New Roman" w:cs="Times New Roman"/>
                <w:i/>
                <w:color w:val="000000"/>
                <w:sz w:val="20"/>
                <w:szCs w:val="20"/>
                <w:lang w:eastAsia="sk-SK"/>
              </w:rPr>
            </w:pPr>
          </w:p>
          <w:p w14:paraId="4954944B" w14:textId="5F382702" w:rsidR="00022082" w:rsidRPr="00022082" w:rsidRDefault="00022082" w:rsidP="00022082">
            <w:pPr>
              <w:spacing w:after="0" w:line="240" w:lineRule="auto"/>
              <w:jc w:val="right"/>
              <w:rPr>
                <w:rFonts w:eastAsia="Times New Roman" w:cs="Times New Roman"/>
                <w:i/>
                <w:color w:val="000000"/>
                <w:sz w:val="20"/>
                <w:szCs w:val="20"/>
                <w:lang w:eastAsia="sk-SK"/>
              </w:rPr>
            </w:pPr>
            <w:r w:rsidRPr="00022082">
              <w:rPr>
                <w:rFonts w:eastAsia="Times New Roman" w:cs="Times New Roman"/>
                <w:i/>
                <w:color w:val="000000"/>
                <w:sz w:val="20"/>
                <w:szCs w:val="20"/>
                <w:lang w:eastAsia="sk-SK"/>
              </w:rPr>
              <w:t>-8</w:t>
            </w:r>
            <w:r w:rsidR="00534CE2">
              <w:rPr>
                <w:rFonts w:eastAsia="Times New Roman" w:cs="Times New Roman"/>
                <w:i/>
                <w:color w:val="000000"/>
                <w:sz w:val="20"/>
                <w:szCs w:val="20"/>
                <w:lang w:eastAsia="sk-SK"/>
              </w:rPr>
              <w:t> </w:t>
            </w:r>
            <w:r w:rsidRPr="00022082">
              <w:rPr>
                <w:rFonts w:eastAsia="Times New Roman" w:cs="Times New Roman"/>
                <w:i/>
                <w:color w:val="000000"/>
                <w:sz w:val="20"/>
                <w:szCs w:val="20"/>
                <w:lang w:eastAsia="sk-SK"/>
              </w:rPr>
              <w:t>529</w:t>
            </w:r>
          </w:p>
        </w:tc>
        <w:tc>
          <w:tcPr>
            <w:tcW w:w="1134" w:type="dxa"/>
            <w:gridSpan w:val="2"/>
            <w:tcBorders>
              <w:top w:val="nil"/>
              <w:left w:val="nil"/>
              <w:bottom w:val="nil"/>
              <w:right w:val="nil"/>
            </w:tcBorders>
            <w:shd w:val="clear" w:color="auto" w:fill="auto"/>
            <w:noWrap/>
            <w:vAlign w:val="center"/>
            <w:hideMark/>
          </w:tcPr>
          <w:p w14:paraId="083D50E5" w14:textId="77777777" w:rsidR="00534CE2" w:rsidRDefault="00534CE2" w:rsidP="00022082">
            <w:pPr>
              <w:spacing w:after="0" w:line="240" w:lineRule="auto"/>
              <w:jc w:val="right"/>
              <w:rPr>
                <w:rFonts w:eastAsia="Times New Roman" w:cs="Times New Roman"/>
                <w:i/>
                <w:color w:val="000000"/>
                <w:sz w:val="20"/>
                <w:szCs w:val="20"/>
                <w:lang w:eastAsia="sk-SK"/>
              </w:rPr>
            </w:pPr>
          </w:p>
          <w:p w14:paraId="4CC9D77D" w14:textId="62E6EBB4" w:rsidR="00022082" w:rsidRPr="00022082" w:rsidRDefault="00022082" w:rsidP="00022082">
            <w:pPr>
              <w:spacing w:after="0" w:line="240" w:lineRule="auto"/>
              <w:jc w:val="right"/>
              <w:rPr>
                <w:rFonts w:eastAsia="Times New Roman" w:cs="Times New Roman"/>
                <w:i/>
                <w:color w:val="000000"/>
                <w:sz w:val="20"/>
                <w:szCs w:val="20"/>
                <w:lang w:eastAsia="sk-SK"/>
              </w:rPr>
            </w:pPr>
            <w:r w:rsidRPr="00022082">
              <w:rPr>
                <w:rFonts w:eastAsia="Times New Roman" w:cs="Times New Roman"/>
                <w:i/>
                <w:color w:val="000000"/>
                <w:sz w:val="20"/>
                <w:szCs w:val="20"/>
                <w:lang w:eastAsia="sk-SK"/>
              </w:rPr>
              <w:t>6</w:t>
            </w:r>
            <w:r w:rsidR="00534CE2">
              <w:rPr>
                <w:rFonts w:eastAsia="Times New Roman" w:cs="Times New Roman"/>
                <w:i/>
                <w:color w:val="000000"/>
                <w:sz w:val="20"/>
                <w:szCs w:val="20"/>
                <w:lang w:eastAsia="sk-SK"/>
              </w:rPr>
              <w:t> </w:t>
            </w:r>
            <w:r w:rsidRPr="00022082">
              <w:rPr>
                <w:rFonts w:eastAsia="Times New Roman" w:cs="Times New Roman"/>
                <w:i/>
                <w:color w:val="000000"/>
                <w:sz w:val="20"/>
                <w:szCs w:val="20"/>
                <w:lang w:eastAsia="sk-SK"/>
              </w:rPr>
              <w:t>961</w:t>
            </w:r>
          </w:p>
        </w:tc>
        <w:tc>
          <w:tcPr>
            <w:tcW w:w="1048" w:type="dxa"/>
            <w:gridSpan w:val="2"/>
            <w:tcBorders>
              <w:top w:val="nil"/>
              <w:left w:val="nil"/>
              <w:bottom w:val="nil"/>
              <w:right w:val="nil"/>
            </w:tcBorders>
            <w:shd w:val="clear" w:color="auto" w:fill="auto"/>
            <w:noWrap/>
            <w:vAlign w:val="center"/>
            <w:hideMark/>
          </w:tcPr>
          <w:p w14:paraId="4FED499B" w14:textId="77777777" w:rsidR="00534CE2" w:rsidRDefault="00534CE2" w:rsidP="00022082">
            <w:pPr>
              <w:spacing w:after="0" w:line="240" w:lineRule="auto"/>
              <w:jc w:val="right"/>
              <w:rPr>
                <w:rFonts w:eastAsia="Times New Roman" w:cs="Times New Roman"/>
                <w:i/>
                <w:color w:val="000000"/>
                <w:sz w:val="20"/>
                <w:szCs w:val="20"/>
                <w:lang w:eastAsia="sk-SK"/>
              </w:rPr>
            </w:pPr>
          </w:p>
          <w:p w14:paraId="765CB2DE" w14:textId="3BFC9A16" w:rsidR="00022082" w:rsidRPr="00022082" w:rsidRDefault="00022082" w:rsidP="00022082">
            <w:pPr>
              <w:spacing w:after="0" w:line="240" w:lineRule="auto"/>
              <w:jc w:val="right"/>
              <w:rPr>
                <w:rFonts w:eastAsia="Times New Roman" w:cs="Times New Roman"/>
                <w:i/>
                <w:color w:val="000000"/>
                <w:sz w:val="20"/>
                <w:szCs w:val="20"/>
                <w:lang w:eastAsia="sk-SK"/>
              </w:rPr>
            </w:pPr>
            <w:r w:rsidRPr="00022082">
              <w:rPr>
                <w:rFonts w:eastAsia="Times New Roman" w:cs="Times New Roman"/>
                <w:i/>
                <w:color w:val="000000"/>
                <w:sz w:val="20"/>
                <w:szCs w:val="20"/>
                <w:lang w:eastAsia="sk-SK"/>
              </w:rPr>
              <w:t>3</w:t>
            </w:r>
            <w:r w:rsidR="00534CE2">
              <w:rPr>
                <w:rFonts w:eastAsia="Times New Roman" w:cs="Times New Roman"/>
                <w:i/>
                <w:color w:val="000000"/>
                <w:sz w:val="20"/>
                <w:szCs w:val="20"/>
                <w:lang w:eastAsia="sk-SK"/>
              </w:rPr>
              <w:t> </w:t>
            </w:r>
            <w:r w:rsidRPr="00022082">
              <w:rPr>
                <w:rFonts w:eastAsia="Times New Roman" w:cs="Times New Roman"/>
                <w:i/>
                <w:color w:val="000000"/>
                <w:sz w:val="20"/>
                <w:szCs w:val="20"/>
                <w:lang w:eastAsia="sk-SK"/>
              </w:rPr>
              <w:t>518</w:t>
            </w:r>
          </w:p>
        </w:tc>
        <w:tc>
          <w:tcPr>
            <w:tcW w:w="1067" w:type="dxa"/>
            <w:gridSpan w:val="2"/>
            <w:tcBorders>
              <w:top w:val="nil"/>
              <w:left w:val="nil"/>
              <w:bottom w:val="nil"/>
              <w:right w:val="nil"/>
            </w:tcBorders>
            <w:shd w:val="clear" w:color="000000" w:fill="BFBFBF"/>
            <w:noWrap/>
            <w:vAlign w:val="center"/>
            <w:hideMark/>
          </w:tcPr>
          <w:p w14:paraId="64B00E04" w14:textId="77777777" w:rsidR="00534CE2" w:rsidRDefault="00534CE2" w:rsidP="00022082">
            <w:pPr>
              <w:spacing w:after="0" w:line="240" w:lineRule="auto"/>
              <w:jc w:val="right"/>
              <w:rPr>
                <w:rFonts w:eastAsia="Times New Roman" w:cs="Times New Roman"/>
                <w:i/>
                <w:sz w:val="20"/>
                <w:szCs w:val="20"/>
                <w:lang w:eastAsia="sk-SK"/>
              </w:rPr>
            </w:pPr>
          </w:p>
          <w:p w14:paraId="5D46F465" w14:textId="6892546F" w:rsidR="00022082" w:rsidRPr="00022082" w:rsidRDefault="00022082" w:rsidP="00022082">
            <w:pPr>
              <w:spacing w:after="0" w:line="240" w:lineRule="auto"/>
              <w:jc w:val="right"/>
              <w:rPr>
                <w:rFonts w:eastAsia="Times New Roman" w:cs="Times New Roman"/>
                <w:i/>
                <w:sz w:val="20"/>
                <w:szCs w:val="20"/>
                <w:lang w:eastAsia="sk-SK"/>
              </w:rPr>
            </w:pPr>
            <w:r w:rsidRPr="00022082">
              <w:rPr>
                <w:rFonts w:eastAsia="Times New Roman" w:cs="Times New Roman"/>
                <w:i/>
                <w:sz w:val="20"/>
                <w:szCs w:val="20"/>
                <w:lang w:eastAsia="sk-SK"/>
              </w:rPr>
              <w:t>10</w:t>
            </w:r>
            <w:r w:rsidR="00534CE2">
              <w:rPr>
                <w:rFonts w:eastAsia="Times New Roman" w:cs="Times New Roman"/>
                <w:i/>
                <w:sz w:val="20"/>
                <w:szCs w:val="20"/>
                <w:lang w:eastAsia="sk-SK"/>
              </w:rPr>
              <w:t> </w:t>
            </w:r>
            <w:r w:rsidRPr="00022082">
              <w:rPr>
                <w:rFonts w:eastAsia="Times New Roman" w:cs="Times New Roman"/>
                <w:i/>
                <w:sz w:val="20"/>
                <w:szCs w:val="20"/>
                <w:lang w:eastAsia="sk-SK"/>
              </w:rPr>
              <w:t>609</w:t>
            </w:r>
          </w:p>
        </w:tc>
        <w:tc>
          <w:tcPr>
            <w:tcW w:w="876" w:type="dxa"/>
            <w:gridSpan w:val="2"/>
            <w:tcBorders>
              <w:top w:val="nil"/>
              <w:left w:val="nil"/>
              <w:bottom w:val="nil"/>
              <w:right w:val="nil"/>
            </w:tcBorders>
            <w:shd w:val="clear" w:color="auto" w:fill="auto"/>
            <w:noWrap/>
            <w:vAlign w:val="center"/>
            <w:hideMark/>
          </w:tcPr>
          <w:p w14:paraId="50BE1032" w14:textId="77777777" w:rsidR="00534CE2" w:rsidRDefault="00534CE2" w:rsidP="00022082">
            <w:pPr>
              <w:spacing w:after="0" w:line="240" w:lineRule="auto"/>
              <w:jc w:val="right"/>
              <w:rPr>
                <w:rFonts w:eastAsia="Times New Roman" w:cs="Times New Roman"/>
                <w:i/>
                <w:sz w:val="20"/>
                <w:szCs w:val="20"/>
                <w:lang w:eastAsia="sk-SK"/>
              </w:rPr>
            </w:pPr>
          </w:p>
          <w:p w14:paraId="061AA960" w14:textId="77777777" w:rsidR="00022082" w:rsidRPr="00022082" w:rsidRDefault="00022082" w:rsidP="00022082">
            <w:pPr>
              <w:spacing w:after="0" w:line="240" w:lineRule="auto"/>
              <w:jc w:val="right"/>
              <w:rPr>
                <w:rFonts w:eastAsia="Times New Roman" w:cs="Times New Roman"/>
                <w:i/>
                <w:sz w:val="20"/>
                <w:szCs w:val="20"/>
                <w:lang w:eastAsia="sk-SK"/>
              </w:rPr>
            </w:pPr>
            <w:r w:rsidRPr="00022082">
              <w:rPr>
                <w:rFonts w:eastAsia="Times New Roman" w:cs="Times New Roman"/>
                <w:i/>
                <w:sz w:val="20"/>
                <w:szCs w:val="20"/>
                <w:lang w:eastAsia="sk-SK"/>
              </w:rPr>
              <w:t>7 091</w:t>
            </w:r>
          </w:p>
        </w:tc>
        <w:tc>
          <w:tcPr>
            <w:tcW w:w="610" w:type="dxa"/>
            <w:tcBorders>
              <w:top w:val="nil"/>
              <w:left w:val="nil"/>
              <w:bottom w:val="nil"/>
              <w:right w:val="nil"/>
            </w:tcBorders>
            <w:shd w:val="clear" w:color="auto" w:fill="auto"/>
            <w:noWrap/>
            <w:vAlign w:val="bottom"/>
            <w:hideMark/>
          </w:tcPr>
          <w:p w14:paraId="47E083D1" w14:textId="77777777" w:rsidR="00022082" w:rsidRPr="00022082" w:rsidRDefault="00022082" w:rsidP="00022082">
            <w:pPr>
              <w:spacing w:after="0" w:line="240" w:lineRule="auto"/>
              <w:jc w:val="right"/>
              <w:rPr>
                <w:rFonts w:eastAsia="Times New Roman" w:cs="Times New Roman"/>
                <w:i/>
                <w:color w:val="000000"/>
                <w:sz w:val="20"/>
                <w:szCs w:val="20"/>
                <w:lang w:eastAsia="sk-SK"/>
              </w:rPr>
            </w:pPr>
            <w:r w:rsidRPr="00022082">
              <w:rPr>
                <w:rFonts w:eastAsia="Times New Roman" w:cs="Times New Roman"/>
                <w:i/>
                <w:color w:val="000000"/>
                <w:sz w:val="20"/>
                <w:szCs w:val="20"/>
                <w:lang w:eastAsia="sk-SK"/>
              </w:rPr>
              <w:t>201,6</w:t>
            </w:r>
          </w:p>
        </w:tc>
      </w:tr>
      <w:tr w:rsidR="00022082" w:rsidRPr="00077D54" w14:paraId="0D625B9F" w14:textId="77777777" w:rsidTr="00022082">
        <w:trPr>
          <w:trHeight w:val="276"/>
        </w:trPr>
        <w:tc>
          <w:tcPr>
            <w:tcW w:w="3402" w:type="dxa"/>
            <w:tcBorders>
              <w:top w:val="nil"/>
              <w:left w:val="nil"/>
              <w:bottom w:val="nil"/>
              <w:right w:val="nil"/>
            </w:tcBorders>
            <w:shd w:val="clear" w:color="auto" w:fill="auto"/>
            <w:vAlign w:val="center"/>
            <w:hideMark/>
          </w:tcPr>
          <w:p w14:paraId="7761962E" w14:textId="3E372724" w:rsidR="00022082" w:rsidRPr="00022082" w:rsidRDefault="00022082" w:rsidP="00022082">
            <w:pPr>
              <w:spacing w:after="0" w:line="240" w:lineRule="auto"/>
              <w:jc w:val="left"/>
              <w:rPr>
                <w:rFonts w:eastAsia="Times New Roman" w:cs="Times New Roman"/>
                <w:i/>
                <w:color w:val="000000"/>
                <w:sz w:val="20"/>
                <w:szCs w:val="20"/>
                <w:lang w:eastAsia="sk-SK"/>
              </w:rPr>
            </w:pPr>
            <w:r w:rsidRPr="00022082">
              <w:rPr>
                <w:rFonts w:eastAsia="Times New Roman" w:cs="Times New Roman"/>
                <w:i/>
                <w:color w:val="000000"/>
                <w:sz w:val="20"/>
                <w:szCs w:val="20"/>
                <w:lang w:eastAsia="sk-SK"/>
              </w:rPr>
              <w:t>daň z príjmov PO</w:t>
            </w:r>
          </w:p>
        </w:tc>
        <w:tc>
          <w:tcPr>
            <w:tcW w:w="1134" w:type="dxa"/>
            <w:gridSpan w:val="2"/>
            <w:tcBorders>
              <w:top w:val="nil"/>
              <w:left w:val="nil"/>
              <w:bottom w:val="nil"/>
              <w:right w:val="nil"/>
            </w:tcBorders>
            <w:shd w:val="clear" w:color="auto" w:fill="auto"/>
            <w:noWrap/>
            <w:vAlign w:val="center"/>
            <w:hideMark/>
          </w:tcPr>
          <w:p w14:paraId="75CB5B45" w14:textId="77777777" w:rsidR="00022082" w:rsidRPr="00022082" w:rsidRDefault="00022082" w:rsidP="00022082">
            <w:pPr>
              <w:spacing w:after="0" w:line="240" w:lineRule="auto"/>
              <w:jc w:val="right"/>
              <w:rPr>
                <w:rFonts w:eastAsia="Times New Roman" w:cs="Times New Roman"/>
                <w:i/>
                <w:color w:val="000000"/>
                <w:sz w:val="20"/>
                <w:szCs w:val="20"/>
                <w:lang w:eastAsia="sk-SK"/>
              </w:rPr>
            </w:pPr>
            <w:r w:rsidRPr="00022082">
              <w:rPr>
                <w:rFonts w:eastAsia="Times New Roman" w:cs="Times New Roman"/>
                <w:i/>
                <w:color w:val="000000"/>
                <w:sz w:val="20"/>
                <w:szCs w:val="20"/>
                <w:lang w:eastAsia="sk-SK"/>
              </w:rPr>
              <w:t>3 187 063</w:t>
            </w:r>
          </w:p>
        </w:tc>
        <w:tc>
          <w:tcPr>
            <w:tcW w:w="1134" w:type="dxa"/>
            <w:gridSpan w:val="2"/>
            <w:tcBorders>
              <w:top w:val="nil"/>
              <w:left w:val="nil"/>
              <w:bottom w:val="nil"/>
              <w:right w:val="nil"/>
            </w:tcBorders>
            <w:shd w:val="clear" w:color="auto" w:fill="auto"/>
            <w:noWrap/>
            <w:vAlign w:val="center"/>
            <w:hideMark/>
          </w:tcPr>
          <w:p w14:paraId="157949F3" w14:textId="77777777" w:rsidR="00022082" w:rsidRPr="00022082" w:rsidRDefault="00022082" w:rsidP="00022082">
            <w:pPr>
              <w:spacing w:after="0" w:line="240" w:lineRule="auto"/>
              <w:jc w:val="right"/>
              <w:rPr>
                <w:rFonts w:eastAsia="Times New Roman" w:cs="Times New Roman"/>
                <w:i/>
                <w:color w:val="000000"/>
                <w:sz w:val="20"/>
                <w:szCs w:val="20"/>
                <w:lang w:eastAsia="sk-SK"/>
              </w:rPr>
            </w:pPr>
            <w:r w:rsidRPr="00022082">
              <w:rPr>
                <w:rFonts w:eastAsia="Times New Roman" w:cs="Times New Roman"/>
                <w:i/>
                <w:color w:val="000000"/>
                <w:sz w:val="20"/>
                <w:szCs w:val="20"/>
                <w:lang w:eastAsia="sk-SK"/>
              </w:rPr>
              <w:t>2 601 856</w:t>
            </w:r>
          </w:p>
        </w:tc>
        <w:tc>
          <w:tcPr>
            <w:tcW w:w="1048" w:type="dxa"/>
            <w:gridSpan w:val="2"/>
            <w:tcBorders>
              <w:top w:val="nil"/>
              <w:left w:val="nil"/>
              <w:bottom w:val="nil"/>
              <w:right w:val="nil"/>
            </w:tcBorders>
            <w:shd w:val="clear" w:color="auto" w:fill="auto"/>
            <w:noWrap/>
            <w:vAlign w:val="center"/>
            <w:hideMark/>
          </w:tcPr>
          <w:p w14:paraId="6916A7B2" w14:textId="77777777" w:rsidR="00022082" w:rsidRPr="00022082" w:rsidRDefault="00022082" w:rsidP="00022082">
            <w:pPr>
              <w:spacing w:after="0" w:line="240" w:lineRule="auto"/>
              <w:jc w:val="right"/>
              <w:rPr>
                <w:rFonts w:eastAsia="Times New Roman" w:cs="Times New Roman"/>
                <w:i/>
                <w:color w:val="000000"/>
                <w:sz w:val="20"/>
                <w:szCs w:val="20"/>
                <w:lang w:eastAsia="sk-SK"/>
              </w:rPr>
            </w:pPr>
            <w:r w:rsidRPr="00022082">
              <w:rPr>
                <w:rFonts w:eastAsia="Times New Roman" w:cs="Times New Roman"/>
                <w:i/>
                <w:color w:val="000000"/>
                <w:sz w:val="20"/>
                <w:szCs w:val="20"/>
                <w:lang w:eastAsia="sk-SK"/>
              </w:rPr>
              <w:t>2 472 622</w:t>
            </w:r>
          </w:p>
        </w:tc>
        <w:tc>
          <w:tcPr>
            <w:tcW w:w="1067" w:type="dxa"/>
            <w:gridSpan w:val="2"/>
            <w:tcBorders>
              <w:top w:val="nil"/>
              <w:left w:val="nil"/>
              <w:bottom w:val="nil"/>
              <w:right w:val="nil"/>
            </w:tcBorders>
            <w:shd w:val="clear" w:color="000000" w:fill="BFBFBF"/>
            <w:noWrap/>
            <w:vAlign w:val="center"/>
            <w:hideMark/>
          </w:tcPr>
          <w:p w14:paraId="252C4F40" w14:textId="77777777" w:rsidR="00022082" w:rsidRPr="00022082" w:rsidRDefault="00022082" w:rsidP="00022082">
            <w:pPr>
              <w:spacing w:after="0" w:line="240" w:lineRule="auto"/>
              <w:jc w:val="right"/>
              <w:rPr>
                <w:rFonts w:eastAsia="Times New Roman" w:cs="Times New Roman"/>
                <w:i/>
                <w:sz w:val="20"/>
                <w:szCs w:val="20"/>
                <w:lang w:eastAsia="sk-SK"/>
              </w:rPr>
            </w:pPr>
            <w:r w:rsidRPr="00022082">
              <w:rPr>
                <w:rFonts w:eastAsia="Times New Roman" w:cs="Times New Roman"/>
                <w:i/>
                <w:sz w:val="20"/>
                <w:szCs w:val="20"/>
                <w:lang w:eastAsia="sk-SK"/>
              </w:rPr>
              <w:t>2 795 935</w:t>
            </w:r>
          </w:p>
        </w:tc>
        <w:tc>
          <w:tcPr>
            <w:tcW w:w="876" w:type="dxa"/>
            <w:gridSpan w:val="2"/>
            <w:tcBorders>
              <w:top w:val="nil"/>
              <w:left w:val="nil"/>
              <w:bottom w:val="nil"/>
              <w:right w:val="nil"/>
            </w:tcBorders>
            <w:shd w:val="clear" w:color="auto" w:fill="auto"/>
            <w:noWrap/>
            <w:vAlign w:val="center"/>
            <w:hideMark/>
          </w:tcPr>
          <w:p w14:paraId="2FE92032" w14:textId="77777777" w:rsidR="00022082" w:rsidRPr="00022082" w:rsidRDefault="00022082" w:rsidP="00022082">
            <w:pPr>
              <w:spacing w:after="0" w:line="240" w:lineRule="auto"/>
              <w:jc w:val="right"/>
              <w:rPr>
                <w:rFonts w:eastAsia="Times New Roman" w:cs="Times New Roman"/>
                <w:i/>
                <w:sz w:val="20"/>
                <w:szCs w:val="20"/>
                <w:lang w:eastAsia="sk-SK"/>
              </w:rPr>
            </w:pPr>
            <w:r w:rsidRPr="00022082">
              <w:rPr>
                <w:rFonts w:eastAsia="Times New Roman" w:cs="Times New Roman"/>
                <w:i/>
                <w:sz w:val="20"/>
                <w:szCs w:val="20"/>
                <w:lang w:eastAsia="sk-SK"/>
              </w:rPr>
              <w:t>323 313</w:t>
            </w:r>
          </w:p>
        </w:tc>
        <w:tc>
          <w:tcPr>
            <w:tcW w:w="610" w:type="dxa"/>
            <w:tcBorders>
              <w:top w:val="nil"/>
              <w:left w:val="nil"/>
              <w:bottom w:val="nil"/>
              <w:right w:val="nil"/>
            </w:tcBorders>
            <w:shd w:val="clear" w:color="auto" w:fill="auto"/>
            <w:noWrap/>
            <w:vAlign w:val="bottom"/>
            <w:hideMark/>
          </w:tcPr>
          <w:p w14:paraId="1D84DEC1" w14:textId="77777777" w:rsidR="00022082" w:rsidRPr="00022082" w:rsidRDefault="00022082" w:rsidP="00022082">
            <w:pPr>
              <w:spacing w:after="0" w:line="240" w:lineRule="auto"/>
              <w:jc w:val="right"/>
              <w:rPr>
                <w:rFonts w:eastAsia="Times New Roman" w:cs="Times New Roman"/>
                <w:i/>
                <w:color w:val="000000"/>
                <w:sz w:val="20"/>
                <w:szCs w:val="20"/>
                <w:lang w:eastAsia="sk-SK"/>
              </w:rPr>
            </w:pPr>
            <w:r w:rsidRPr="00022082">
              <w:rPr>
                <w:rFonts w:eastAsia="Times New Roman" w:cs="Times New Roman"/>
                <w:i/>
                <w:color w:val="000000"/>
                <w:sz w:val="20"/>
                <w:szCs w:val="20"/>
                <w:lang w:eastAsia="sk-SK"/>
              </w:rPr>
              <w:t>13,1</w:t>
            </w:r>
          </w:p>
        </w:tc>
      </w:tr>
      <w:tr w:rsidR="00022082" w:rsidRPr="00077D54" w14:paraId="38BED8F4" w14:textId="77777777" w:rsidTr="00022082">
        <w:trPr>
          <w:trHeight w:val="276"/>
        </w:trPr>
        <w:tc>
          <w:tcPr>
            <w:tcW w:w="3402" w:type="dxa"/>
            <w:tcBorders>
              <w:top w:val="nil"/>
              <w:left w:val="nil"/>
              <w:bottom w:val="nil"/>
              <w:right w:val="nil"/>
            </w:tcBorders>
            <w:shd w:val="clear" w:color="auto" w:fill="auto"/>
            <w:vAlign w:val="center"/>
            <w:hideMark/>
          </w:tcPr>
          <w:p w14:paraId="11619D82" w14:textId="755D5B3A" w:rsidR="00022082" w:rsidRPr="00022082" w:rsidRDefault="00077D54" w:rsidP="00077D54">
            <w:pPr>
              <w:spacing w:after="0" w:line="240" w:lineRule="auto"/>
              <w:jc w:val="left"/>
              <w:rPr>
                <w:rFonts w:eastAsia="Times New Roman" w:cs="Times New Roman"/>
                <w:i/>
                <w:color w:val="000000"/>
                <w:sz w:val="20"/>
                <w:szCs w:val="20"/>
                <w:lang w:eastAsia="sk-SK"/>
              </w:rPr>
            </w:pPr>
            <w:r>
              <w:rPr>
                <w:rFonts w:eastAsia="Times New Roman" w:cs="Times New Roman"/>
                <w:i/>
                <w:color w:val="000000"/>
                <w:sz w:val="20"/>
                <w:szCs w:val="20"/>
                <w:lang w:eastAsia="sk-SK"/>
              </w:rPr>
              <w:t xml:space="preserve">daň z príjmov vyberaná </w:t>
            </w:r>
            <w:r w:rsidR="00022082" w:rsidRPr="00022082">
              <w:rPr>
                <w:rFonts w:eastAsia="Times New Roman" w:cs="Times New Roman"/>
                <w:i/>
                <w:color w:val="000000"/>
                <w:sz w:val="20"/>
                <w:szCs w:val="20"/>
                <w:lang w:eastAsia="sk-SK"/>
              </w:rPr>
              <w:t>zrážk</w:t>
            </w:r>
            <w:r>
              <w:rPr>
                <w:rFonts w:eastAsia="Times New Roman" w:cs="Times New Roman"/>
                <w:i/>
                <w:color w:val="000000"/>
                <w:sz w:val="20"/>
                <w:szCs w:val="20"/>
                <w:lang w:eastAsia="sk-SK"/>
              </w:rPr>
              <w:t>ou</w:t>
            </w:r>
          </w:p>
        </w:tc>
        <w:tc>
          <w:tcPr>
            <w:tcW w:w="1134" w:type="dxa"/>
            <w:gridSpan w:val="2"/>
            <w:tcBorders>
              <w:top w:val="nil"/>
              <w:left w:val="nil"/>
              <w:bottom w:val="nil"/>
              <w:right w:val="nil"/>
            </w:tcBorders>
            <w:shd w:val="clear" w:color="auto" w:fill="auto"/>
            <w:noWrap/>
            <w:vAlign w:val="center"/>
            <w:hideMark/>
          </w:tcPr>
          <w:p w14:paraId="68E44749" w14:textId="77777777" w:rsidR="00022082" w:rsidRPr="00022082" w:rsidRDefault="00022082" w:rsidP="00022082">
            <w:pPr>
              <w:spacing w:after="0" w:line="240" w:lineRule="auto"/>
              <w:jc w:val="right"/>
              <w:rPr>
                <w:rFonts w:eastAsia="Times New Roman" w:cs="Times New Roman"/>
                <w:i/>
                <w:color w:val="000000"/>
                <w:sz w:val="20"/>
                <w:szCs w:val="20"/>
                <w:lang w:eastAsia="sk-SK"/>
              </w:rPr>
            </w:pPr>
            <w:r w:rsidRPr="00022082">
              <w:rPr>
                <w:rFonts w:eastAsia="Times New Roman" w:cs="Times New Roman"/>
                <w:i/>
                <w:color w:val="000000"/>
                <w:sz w:val="20"/>
                <w:szCs w:val="20"/>
                <w:lang w:eastAsia="sk-SK"/>
              </w:rPr>
              <w:t>162 005</w:t>
            </w:r>
          </w:p>
        </w:tc>
        <w:tc>
          <w:tcPr>
            <w:tcW w:w="1134" w:type="dxa"/>
            <w:gridSpan w:val="2"/>
            <w:tcBorders>
              <w:top w:val="nil"/>
              <w:left w:val="nil"/>
              <w:bottom w:val="nil"/>
              <w:right w:val="nil"/>
            </w:tcBorders>
            <w:shd w:val="clear" w:color="auto" w:fill="auto"/>
            <w:noWrap/>
            <w:vAlign w:val="center"/>
            <w:hideMark/>
          </w:tcPr>
          <w:p w14:paraId="188FAB2A" w14:textId="77777777" w:rsidR="00022082" w:rsidRPr="00022082" w:rsidRDefault="00022082" w:rsidP="00022082">
            <w:pPr>
              <w:spacing w:after="0" w:line="240" w:lineRule="auto"/>
              <w:jc w:val="right"/>
              <w:rPr>
                <w:rFonts w:eastAsia="Times New Roman" w:cs="Times New Roman"/>
                <w:i/>
                <w:color w:val="000000"/>
                <w:sz w:val="20"/>
                <w:szCs w:val="20"/>
                <w:lang w:eastAsia="sk-SK"/>
              </w:rPr>
            </w:pPr>
            <w:r w:rsidRPr="00022082">
              <w:rPr>
                <w:rFonts w:eastAsia="Times New Roman" w:cs="Times New Roman"/>
                <w:i/>
                <w:color w:val="000000"/>
                <w:sz w:val="20"/>
                <w:szCs w:val="20"/>
                <w:lang w:eastAsia="sk-SK"/>
              </w:rPr>
              <w:t>178 431</w:t>
            </w:r>
          </w:p>
        </w:tc>
        <w:tc>
          <w:tcPr>
            <w:tcW w:w="1048" w:type="dxa"/>
            <w:gridSpan w:val="2"/>
            <w:tcBorders>
              <w:top w:val="nil"/>
              <w:left w:val="nil"/>
              <w:bottom w:val="nil"/>
              <w:right w:val="nil"/>
            </w:tcBorders>
            <w:shd w:val="clear" w:color="auto" w:fill="auto"/>
            <w:noWrap/>
            <w:vAlign w:val="center"/>
            <w:hideMark/>
          </w:tcPr>
          <w:p w14:paraId="5AA63675" w14:textId="77777777" w:rsidR="00022082" w:rsidRPr="00022082" w:rsidRDefault="00022082" w:rsidP="00022082">
            <w:pPr>
              <w:spacing w:after="0" w:line="240" w:lineRule="auto"/>
              <w:jc w:val="right"/>
              <w:rPr>
                <w:rFonts w:eastAsia="Times New Roman" w:cs="Times New Roman"/>
                <w:i/>
                <w:color w:val="000000"/>
                <w:sz w:val="20"/>
                <w:szCs w:val="20"/>
                <w:lang w:eastAsia="sk-SK"/>
              </w:rPr>
            </w:pPr>
            <w:r w:rsidRPr="00022082">
              <w:rPr>
                <w:rFonts w:eastAsia="Times New Roman" w:cs="Times New Roman"/>
                <w:i/>
                <w:color w:val="000000"/>
                <w:sz w:val="20"/>
                <w:szCs w:val="20"/>
                <w:lang w:eastAsia="sk-SK"/>
              </w:rPr>
              <w:t>242 638</w:t>
            </w:r>
          </w:p>
        </w:tc>
        <w:tc>
          <w:tcPr>
            <w:tcW w:w="1067" w:type="dxa"/>
            <w:gridSpan w:val="2"/>
            <w:tcBorders>
              <w:top w:val="nil"/>
              <w:left w:val="nil"/>
              <w:bottom w:val="nil"/>
              <w:right w:val="nil"/>
            </w:tcBorders>
            <w:shd w:val="clear" w:color="000000" w:fill="BFBFBF"/>
            <w:noWrap/>
            <w:vAlign w:val="center"/>
            <w:hideMark/>
          </w:tcPr>
          <w:p w14:paraId="35841C4B" w14:textId="77777777" w:rsidR="00022082" w:rsidRPr="00022082" w:rsidRDefault="00022082" w:rsidP="00022082">
            <w:pPr>
              <w:spacing w:after="0" w:line="240" w:lineRule="auto"/>
              <w:jc w:val="right"/>
              <w:rPr>
                <w:rFonts w:eastAsia="Times New Roman" w:cs="Times New Roman"/>
                <w:i/>
                <w:sz w:val="20"/>
                <w:szCs w:val="20"/>
                <w:lang w:eastAsia="sk-SK"/>
              </w:rPr>
            </w:pPr>
            <w:r w:rsidRPr="00022082">
              <w:rPr>
                <w:rFonts w:eastAsia="Times New Roman" w:cs="Times New Roman"/>
                <w:i/>
                <w:sz w:val="20"/>
                <w:szCs w:val="20"/>
                <w:lang w:eastAsia="sk-SK"/>
              </w:rPr>
              <w:t>209 170</w:t>
            </w:r>
          </w:p>
        </w:tc>
        <w:tc>
          <w:tcPr>
            <w:tcW w:w="876" w:type="dxa"/>
            <w:gridSpan w:val="2"/>
            <w:tcBorders>
              <w:top w:val="nil"/>
              <w:left w:val="nil"/>
              <w:bottom w:val="nil"/>
              <w:right w:val="nil"/>
            </w:tcBorders>
            <w:shd w:val="clear" w:color="auto" w:fill="auto"/>
            <w:noWrap/>
            <w:vAlign w:val="center"/>
            <w:hideMark/>
          </w:tcPr>
          <w:p w14:paraId="283E3167" w14:textId="77777777" w:rsidR="00022082" w:rsidRPr="00022082" w:rsidRDefault="00022082" w:rsidP="00022082">
            <w:pPr>
              <w:spacing w:after="0" w:line="240" w:lineRule="auto"/>
              <w:jc w:val="right"/>
              <w:rPr>
                <w:rFonts w:eastAsia="Times New Roman" w:cs="Times New Roman"/>
                <w:i/>
                <w:sz w:val="20"/>
                <w:szCs w:val="20"/>
                <w:lang w:eastAsia="sk-SK"/>
              </w:rPr>
            </w:pPr>
            <w:r w:rsidRPr="00022082">
              <w:rPr>
                <w:rFonts w:eastAsia="Times New Roman" w:cs="Times New Roman"/>
                <w:i/>
                <w:sz w:val="20"/>
                <w:szCs w:val="20"/>
                <w:lang w:eastAsia="sk-SK"/>
              </w:rPr>
              <w:t>-33 468</w:t>
            </w:r>
          </w:p>
        </w:tc>
        <w:tc>
          <w:tcPr>
            <w:tcW w:w="610" w:type="dxa"/>
            <w:tcBorders>
              <w:top w:val="nil"/>
              <w:left w:val="nil"/>
              <w:bottom w:val="nil"/>
              <w:right w:val="nil"/>
            </w:tcBorders>
            <w:shd w:val="clear" w:color="auto" w:fill="auto"/>
            <w:noWrap/>
            <w:vAlign w:val="bottom"/>
            <w:hideMark/>
          </w:tcPr>
          <w:p w14:paraId="74FA132F" w14:textId="77777777" w:rsidR="00022082" w:rsidRPr="00022082" w:rsidRDefault="00022082" w:rsidP="00022082">
            <w:pPr>
              <w:spacing w:after="0" w:line="240" w:lineRule="auto"/>
              <w:jc w:val="right"/>
              <w:rPr>
                <w:rFonts w:eastAsia="Times New Roman" w:cs="Times New Roman"/>
                <w:i/>
                <w:color w:val="000000"/>
                <w:sz w:val="20"/>
                <w:szCs w:val="20"/>
                <w:lang w:eastAsia="sk-SK"/>
              </w:rPr>
            </w:pPr>
            <w:r w:rsidRPr="00022082">
              <w:rPr>
                <w:rFonts w:eastAsia="Times New Roman" w:cs="Times New Roman"/>
                <w:i/>
                <w:color w:val="000000"/>
                <w:sz w:val="20"/>
                <w:szCs w:val="20"/>
                <w:lang w:eastAsia="sk-SK"/>
              </w:rPr>
              <w:t>-13,8</w:t>
            </w:r>
          </w:p>
        </w:tc>
      </w:tr>
      <w:tr w:rsidR="00022082" w:rsidRPr="00022082" w14:paraId="2EA45056" w14:textId="77777777" w:rsidTr="00022082">
        <w:trPr>
          <w:trHeight w:val="276"/>
        </w:trPr>
        <w:tc>
          <w:tcPr>
            <w:tcW w:w="3402" w:type="dxa"/>
            <w:tcBorders>
              <w:top w:val="nil"/>
              <w:left w:val="nil"/>
              <w:bottom w:val="nil"/>
              <w:right w:val="nil"/>
            </w:tcBorders>
            <w:shd w:val="clear" w:color="auto" w:fill="auto"/>
            <w:vAlign w:val="center"/>
            <w:hideMark/>
          </w:tcPr>
          <w:p w14:paraId="0C95CB41" w14:textId="77777777" w:rsidR="00022082" w:rsidRPr="00022082" w:rsidRDefault="00022082" w:rsidP="00022082">
            <w:pPr>
              <w:spacing w:after="0" w:line="240" w:lineRule="auto"/>
              <w:jc w:val="left"/>
              <w:rPr>
                <w:rFonts w:eastAsia="Times New Roman" w:cs="Times New Roman"/>
                <w:b/>
                <w:color w:val="000000"/>
                <w:sz w:val="20"/>
                <w:szCs w:val="20"/>
                <w:lang w:eastAsia="sk-SK"/>
              </w:rPr>
            </w:pPr>
            <w:r w:rsidRPr="00022082">
              <w:rPr>
                <w:rFonts w:eastAsia="Times New Roman" w:cs="Times New Roman"/>
                <w:b/>
                <w:color w:val="000000"/>
                <w:sz w:val="20"/>
                <w:szCs w:val="20"/>
                <w:lang w:eastAsia="sk-SK"/>
              </w:rPr>
              <w:t>Dane z medzinárodného obchodu a transakcií</w:t>
            </w:r>
          </w:p>
        </w:tc>
        <w:tc>
          <w:tcPr>
            <w:tcW w:w="1134" w:type="dxa"/>
            <w:gridSpan w:val="2"/>
            <w:tcBorders>
              <w:top w:val="nil"/>
              <w:left w:val="nil"/>
              <w:bottom w:val="nil"/>
              <w:right w:val="nil"/>
            </w:tcBorders>
            <w:shd w:val="clear" w:color="auto" w:fill="auto"/>
            <w:noWrap/>
            <w:vAlign w:val="center"/>
            <w:hideMark/>
          </w:tcPr>
          <w:p w14:paraId="6D8D8834" w14:textId="77777777" w:rsidR="00534CE2" w:rsidRDefault="00534CE2" w:rsidP="00022082">
            <w:pPr>
              <w:spacing w:after="0" w:line="240" w:lineRule="auto"/>
              <w:jc w:val="right"/>
              <w:rPr>
                <w:rFonts w:eastAsia="Times New Roman" w:cs="Times New Roman"/>
                <w:b/>
                <w:color w:val="000000"/>
                <w:sz w:val="20"/>
                <w:szCs w:val="20"/>
                <w:lang w:eastAsia="sk-SK"/>
              </w:rPr>
            </w:pPr>
          </w:p>
          <w:p w14:paraId="69A34272" w14:textId="7FA7244A" w:rsidR="00022082" w:rsidRPr="00022082" w:rsidRDefault="00022082" w:rsidP="00022082">
            <w:pPr>
              <w:spacing w:after="0" w:line="240" w:lineRule="auto"/>
              <w:jc w:val="right"/>
              <w:rPr>
                <w:rFonts w:eastAsia="Times New Roman" w:cs="Times New Roman"/>
                <w:b/>
                <w:color w:val="000000"/>
                <w:sz w:val="20"/>
                <w:szCs w:val="20"/>
                <w:lang w:eastAsia="sk-SK"/>
              </w:rPr>
            </w:pPr>
            <w:r w:rsidRPr="00022082">
              <w:rPr>
                <w:rFonts w:eastAsia="Times New Roman" w:cs="Times New Roman"/>
                <w:b/>
                <w:color w:val="000000"/>
                <w:sz w:val="20"/>
                <w:szCs w:val="20"/>
                <w:lang w:eastAsia="sk-SK"/>
              </w:rPr>
              <w:t>28</w:t>
            </w:r>
            <w:r w:rsidR="00534CE2">
              <w:rPr>
                <w:rFonts w:eastAsia="Times New Roman" w:cs="Times New Roman"/>
                <w:b/>
                <w:color w:val="000000"/>
                <w:sz w:val="20"/>
                <w:szCs w:val="20"/>
                <w:lang w:eastAsia="sk-SK"/>
              </w:rPr>
              <w:t> </w:t>
            </w:r>
            <w:r w:rsidRPr="00022082">
              <w:rPr>
                <w:rFonts w:eastAsia="Times New Roman" w:cs="Times New Roman"/>
                <w:b/>
                <w:color w:val="000000"/>
                <w:sz w:val="20"/>
                <w:szCs w:val="20"/>
                <w:lang w:eastAsia="sk-SK"/>
              </w:rPr>
              <w:t>887</w:t>
            </w:r>
          </w:p>
        </w:tc>
        <w:tc>
          <w:tcPr>
            <w:tcW w:w="1134" w:type="dxa"/>
            <w:gridSpan w:val="2"/>
            <w:tcBorders>
              <w:top w:val="nil"/>
              <w:left w:val="nil"/>
              <w:bottom w:val="nil"/>
              <w:right w:val="nil"/>
            </w:tcBorders>
            <w:shd w:val="clear" w:color="auto" w:fill="auto"/>
            <w:noWrap/>
            <w:vAlign w:val="center"/>
            <w:hideMark/>
          </w:tcPr>
          <w:p w14:paraId="4A282850" w14:textId="77777777" w:rsidR="00534CE2" w:rsidRDefault="00534CE2" w:rsidP="00022082">
            <w:pPr>
              <w:spacing w:after="0" w:line="240" w:lineRule="auto"/>
              <w:jc w:val="right"/>
              <w:rPr>
                <w:rFonts w:eastAsia="Times New Roman" w:cs="Times New Roman"/>
                <w:b/>
                <w:color w:val="000000"/>
                <w:sz w:val="20"/>
                <w:szCs w:val="20"/>
                <w:lang w:eastAsia="sk-SK"/>
              </w:rPr>
            </w:pPr>
          </w:p>
          <w:p w14:paraId="3738F458" w14:textId="5A7010EF" w:rsidR="00022082" w:rsidRPr="00022082" w:rsidRDefault="00022082" w:rsidP="00022082">
            <w:pPr>
              <w:spacing w:after="0" w:line="240" w:lineRule="auto"/>
              <w:jc w:val="right"/>
              <w:rPr>
                <w:rFonts w:eastAsia="Times New Roman" w:cs="Times New Roman"/>
                <w:b/>
                <w:color w:val="000000"/>
                <w:sz w:val="20"/>
                <w:szCs w:val="20"/>
                <w:lang w:eastAsia="sk-SK"/>
              </w:rPr>
            </w:pPr>
            <w:r w:rsidRPr="00022082">
              <w:rPr>
                <w:rFonts w:eastAsia="Times New Roman" w:cs="Times New Roman"/>
                <w:b/>
                <w:color w:val="000000"/>
                <w:sz w:val="20"/>
                <w:szCs w:val="20"/>
                <w:lang w:eastAsia="sk-SK"/>
              </w:rPr>
              <w:t>22</w:t>
            </w:r>
            <w:r w:rsidR="00534CE2">
              <w:rPr>
                <w:rFonts w:eastAsia="Times New Roman" w:cs="Times New Roman"/>
                <w:b/>
                <w:color w:val="000000"/>
                <w:sz w:val="20"/>
                <w:szCs w:val="20"/>
                <w:lang w:eastAsia="sk-SK"/>
              </w:rPr>
              <w:t> </w:t>
            </w:r>
            <w:r w:rsidRPr="00022082">
              <w:rPr>
                <w:rFonts w:eastAsia="Times New Roman" w:cs="Times New Roman"/>
                <w:b/>
                <w:color w:val="000000"/>
                <w:sz w:val="20"/>
                <w:szCs w:val="20"/>
                <w:lang w:eastAsia="sk-SK"/>
              </w:rPr>
              <w:t>433</w:t>
            </w:r>
          </w:p>
        </w:tc>
        <w:tc>
          <w:tcPr>
            <w:tcW w:w="1048" w:type="dxa"/>
            <w:gridSpan w:val="2"/>
            <w:tcBorders>
              <w:top w:val="nil"/>
              <w:left w:val="nil"/>
              <w:bottom w:val="nil"/>
              <w:right w:val="nil"/>
            </w:tcBorders>
            <w:shd w:val="clear" w:color="auto" w:fill="auto"/>
            <w:noWrap/>
            <w:vAlign w:val="center"/>
            <w:hideMark/>
          </w:tcPr>
          <w:p w14:paraId="18467F50" w14:textId="77777777" w:rsidR="00534CE2" w:rsidRDefault="00534CE2" w:rsidP="00022082">
            <w:pPr>
              <w:spacing w:after="0" w:line="240" w:lineRule="auto"/>
              <w:jc w:val="right"/>
              <w:rPr>
                <w:rFonts w:eastAsia="Times New Roman" w:cs="Times New Roman"/>
                <w:b/>
                <w:color w:val="000000"/>
                <w:sz w:val="20"/>
                <w:szCs w:val="20"/>
                <w:lang w:eastAsia="sk-SK"/>
              </w:rPr>
            </w:pPr>
          </w:p>
          <w:p w14:paraId="1F02A126" w14:textId="7B55CFC8" w:rsidR="00022082" w:rsidRPr="00022082" w:rsidRDefault="00022082" w:rsidP="00022082">
            <w:pPr>
              <w:spacing w:after="0" w:line="240" w:lineRule="auto"/>
              <w:jc w:val="right"/>
              <w:rPr>
                <w:rFonts w:eastAsia="Times New Roman" w:cs="Times New Roman"/>
                <w:b/>
                <w:color w:val="000000"/>
                <w:sz w:val="20"/>
                <w:szCs w:val="20"/>
                <w:lang w:eastAsia="sk-SK"/>
              </w:rPr>
            </w:pPr>
            <w:r w:rsidRPr="00022082">
              <w:rPr>
                <w:rFonts w:eastAsia="Times New Roman" w:cs="Times New Roman"/>
                <w:b/>
                <w:color w:val="000000"/>
                <w:sz w:val="20"/>
                <w:szCs w:val="20"/>
                <w:lang w:eastAsia="sk-SK"/>
              </w:rPr>
              <w:t>25</w:t>
            </w:r>
            <w:r w:rsidR="00534CE2">
              <w:rPr>
                <w:rFonts w:eastAsia="Times New Roman" w:cs="Times New Roman"/>
                <w:b/>
                <w:color w:val="000000"/>
                <w:sz w:val="20"/>
                <w:szCs w:val="20"/>
                <w:lang w:eastAsia="sk-SK"/>
              </w:rPr>
              <w:t> </w:t>
            </w:r>
            <w:r w:rsidRPr="00022082">
              <w:rPr>
                <w:rFonts w:eastAsia="Times New Roman" w:cs="Times New Roman"/>
                <w:b/>
                <w:color w:val="000000"/>
                <w:sz w:val="20"/>
                <w:szCs w:val="20"/>
                <w:lang w:eastAsia="sk-SK"/>
              </w:rPr>
              <w:t>259</w:t>
            </w:r>
          </w:p>
        </w:tc>
        <w:tc>
          <w:tcPr>
            <w:tcW w:w="1067" w:type="dxa"/>
            <w:gridSpan w:val="2"/>
            <w:tcBorders>
              <w:top w:val="nil"/>
              <w:left w:val="nil"/>
              <w:bottom w:val="nil"/>
              <w:right w:val="nil"/>
            </w:tcBorders>
            <w:shd w:val="clear" w:color="000000" w:fill="BFBFBF"/>
            <w:noWrap/>
            <w:vAlign w:val="center"/>
            <w:hideMark/>
          </w:tcPr>
          <w:p w14:paraId="261126C4" w14:textId="77777777" w:rsidR="00534CE2" w:rsidRDefault="00534CE2" w:rsidP="00022082">
            <w:pPr>
              <w:spacing w:after="0" w:line="240" w:lineRule="auto"/>
              <w:jc w:val="right"/>
              <w:rPr>
                <w:rFonts w:eastAsia="Times New Roman" w:cs="Times New Roman"/>
                <w:b/>
                <w:sz w:val="20"/>
                <w:szCs w:val="20"/>
                <w:lang w:eastAsia="sk-SK"/>
              </w:rPr>
            </w:pPr>
          </w:p>
          <w:p w14:paraId="42ECE5BA" w14:textId="212427EA" w:rsidR="00022082" w:rsidRPr="00022082" w:rsidRDefault="00022082" w:rsidP="00022082">
            <w:pPr>
              <w:spacing w:after="0" w:line="240" w:lineRule="auto"/>
              <w:jc w:val="right"/>
              <w:rPr>
                <w:rFonts w:eastAsia="Times New Roman" w:cs="Times New Roman"/>
                <w:b/>
                <w:sz w:val="20"/>
                <w:szCs w:val="20"/>
                <w:lang w:eastAsia="sk-SK"/>
              </w:rPr>
            </w:pPr>
            <w:r w:rsidRPr="00022082">
              <w:rPr>
                <w:rFonts w:eastAsia="Times New Roman" w:cs="Times New Roman"/>
                <w:b/>
                <w:sz w:val="20"/>
                <w:szCs w:val="20"/>
                <w:lang w:eastAsia="sk-SK"/>
              </w:rPr>
              <w:t>23</w:t>
            </w:r>
            <w:r w:rsidR="00534CE2">
              <w:rPr>
                <w:rFonts w:eastAsia="Times New Roman" w:cs="Times New Roman"/>
                <w:b/>
                <w:sz w:val="20"/>
                <w:szCs w:val="20"/>
                <w:lang w:eastAsia="sk-SK"/>
              </w:rPr>
              <w:t> </w:t>
            </w:r>
            <w:r w:rsidRPr="00022082">
              <w:rPr>
                <w:rFonts w:eastAsia="Times New Roman" w:cs="Times New Roman"/>
                <w:b/>
                <w:sz w:val="20"/>
                <w:szCs w:val="20"/>
                <w:lang w:eastAsia="sk-SK"/>
              </w:rPr>
              <w:t>365</w:t>
            </w:r>
          </w:p>
        </w:tc>
        <w:tc>
          <w:tcPr>
            <w:tcW w:w="876" w:type="dxa"/>
            <w:gridSpan w:val="2"/>
            <w:tcBorders>
              <w:top w:val="nil"/>
              <w:left w:val="nil"/>
              <w:bottom w:val="nil"/>
              <w:right w:val="nil"/>
            </w:tcBorders>
            <w:shd w:val="clear" w:color="auto" w:fill="auto"/>
            <w:noWrap/>
            <w:vAlign w:val="center"/>
            <w:hideMark/>
          </w:tcPr>
          <w:p w14:paraId="031C1327" w14:textId="77777777" w:rsidR="00534CE2" w:rsidRDefault="00534CE2" w:rsidP="00022082">
            <w:pPr>
              <w:spacing w:after="0" w:line="240" w:lineRule="auto"/>
              <w:jc w:val="right"/>
              <w:rPr>
                <w:rFonts w:eastAsia="Times New Roman" w:cs="Times New Roman"/>
                <w:b/>
                <w:sz w:val="20"/>
                <w:szCs w:val="20"/>
                <w:lang w:eastAsia="sk-SK"/>
              </w:rPr>
            </w:pPr>
          </w:p>
          <w:p w14:paraId="1535EFE2" w14:textId="77777777" w:rsidR="00022082" w:rsidRPr="00022082" w:rsidRDefault="00022082" w:rsidP="00022082">
            <w:pPr>
              <w:spacing w:after="0" w:line="240" w:lineRule="auto"/>
              <w:jc w:val="right"/>
              <w:rPr>
                <w:rFonts w:eastAsia="Times New Roman" w:cs="Times New Roman"/>
                <w:b/>
                <w:sz w:val="20"/>
                <w:szCs w:val="20"/>
                <w:lang w:eastAsia="sk-SK"/>
              </w:rPr>
            </w:pPr>
            <w:r w:rsidRPr="00022082">
              <w:rPr>
                <w:rFonts w:eastAsia="Times New Roman" w:cs="Times New Roman"/>
                <w:b/>
                <w:sz w:val="20"/>
                <w:szCs w:val="20"/>
                <w:lang w:eastAsia="sk-SK"/>
              </w:rPr>
              <w:t>-1 894</w:t>
            </w:r>
          </w:p>
        </w:tc>
        <w:tc>
          <w:tcPr>
            <w:tcW w:w="610" w:type="dxa"/>
            <w:tcBorders>
              <w:top w:val="nil"/>
              <w:left w:val="nil"/>
              <w:bottom w:val="nil"/>
              <w:right w:val="nil"/>
            </w:tcBorders>
            <w:shd w:val="clear" w:color="auto" w:fill="auto"/>
            <w:noWrap/>
            <w:vAlign w:val="bottom"/>
            <w:hideMark/>
          </w:tcPr>
          <w:p w14:paraId="51406660" w14:textId="77777777" w:rsidR="00022082" w:rsidRPr="00022082" w:rsidRDefault="00022082" w:rsidP="00022082">
            <w:pPr>
              <w:spacing w:after="0" w:line="240" w:lineRule="auto"/>
              <w:jc w:val="right"/>
              <w:rPr>
                <w:rFonts w:eastAsia="Times New Roman" w:cs="Times New Roman"/>
                <w:b/>
                <w:color w:val="000000"/>
                <w:sz w:val="20"/>
                <w:szCs w:val="20"/>
                <w:lang w:eastAsia="sk-SK"/>
              </w:rPr>
            </w:pPr>
            <w:r w:rsidRPr="00022082">
              <w:rPr>
                <w:rFonts w:eastAsia="Times New Roman" w:cs="Times New Roman"/>
                <w:b/>
                <w:color w:val="000000"/>
                <w:sz w:val="20"/>
                <w:szCs w:val="20"/>
                <w:lang w:eastAsia="sk-SK"/>
              </w:rPr>
              <w:t>-7,5</w:t>
            </w:r>
          </w:p>
        </w:tc>
      </w:tr>
      <w:tr w:rsidR="00022082" w:rsidRPr="00022082" w14:paraId="283E7C5A" w14:textId="77777777" w:rsidTr="00022082">
        <w:trPr>
          <w:trHeight w:val="276"/>
        </w:trPr>
        <w:tc>
          <w:tcPr>
            <w:tcW w:w="3402" w:type="dxa"/>
            <w:tcBorders>
              <w:top w:val="nil"/>
              <w:left w:val="nil"/>
              <w:bottom w:val="nil"/>
              <w:right w:val="nil"/>
            </w:tcBorders>
            <w:shd w:val="clear" w:color="auto" w:fill="auto"/>
            <w:noWrap/>
            <w:vAlign w:val="center"/>
            <w:hideMark/>
          </w:tcPr>
          <w:p w14:paraId="70AAB673" w14:textId="77777777" w:rsidR="00022082" w:rsidRPr="00022082" w:rsidRDefault="00022082" w:rsidP="00022082">
            <w:pPr>
              <w:spacing w:after="0" w:line="240" w:lineRule="auto"/>
              <w:jc w:val="left"/>
              <w:rPr>
                <w:rFonts w:eastAsia="Times New Roman" w:cs="Times New Roman"/>
                <w:b/>
                <w:color w:val="000000"/>
                <w:sz w:val="20"/>
                <w:szCs w:val="20"/>
                <w:lang w:eastAsia="sk-SK"/>
              </w:rPr>
            </w:pPr>
            <w:r w:rsidRPr="00022082">
              <w:rPr>
                <w:rFonts w:eastAsia="Times New Roman" w:cs="Times New Roman"/>
                <w:b/>
                <w:color w:val="000000"/>
                <w:sz w:val="20"/>
                <w:szCs w:val="20"/>
                <w:lang w:eastAsia="sk-SK"/>
              </w:rPr>
              <w:t>Sankcie uložené v daňovom konaní a ostatné dane</w:t>
            </w:r>
          </w:p>
        </w:tc>
        <w:tc>
          <w:tcPr>
            <w:tcW w:w="1134" w:type="dxa"/>
            <w:gridSpan w:val="2"/>
            <w:tcBorders>
              <w:top w:val="nil"/>
              <w:left w:val="nil"/>
              <w:bottom w:val="nil"/>
              <w:right w:val="nil"/>
            </w:tcBorders>
            <w:shd w:val="clear" w:color="auto" w:fill="auto"/>
            <w:noWrap/>
            <w:vAlign w:val="center"/>
            <w:hideMark/>
          </w:tcPr>
          <w:p w14:paraId="67177C28" w14:textId="77777777" w:rsidR="00534CE2" w:rsidRDefault="00534CE2" w:rsidP="00022082">
            <w:pPr>
              <w:spacing w:after="0" w:line="240" w:lineRule="auto"/>
              <w:jc w:val="right"/>
              <w:rPr>
                <w:rFonts w:eastAsia="Times New Roman" w:cs="Times New Roman"/>
                <w:b/>
                <w:color w:val="000000"/>
                <w:sz w:val="20"/>
                <w:szCs w:val="20"/>
                <w:lang w:eastAsia="sk-SK"/>
              </w:rPr>
            </w:pPr>
          </w:p>
          <w:p w14:paraId="6026575B" w14:textId="0DEB008C" w:rsidR="00022082" w:rsidRPr="00022082" w:rsidRDefault="00022082" w:rsidP="00022082">
            <w:pPr>
              <w:spacing w:after="0" w:line="240" w:lineRule="auto"/>
              <w:jc w:val="right"/>
              <w:rPr>
                <w:rFonts w:eastAsia="Times New Roman" w:cs="Times New Roman"/>
                <w:b/>
                <w:color w:val="000000"/>
                <w:sz w:val="20"/>
                <w:szCs w:val="20"/>
                <w:lang w:eastAsia="sk-SK"/>
              </w:rPr>
            </w:pPr>
            <w:r w:rsidRPr="00022082">
              <w:rPr>
                <w:rFonts w:eastAsia="Times New Roman" w:cs="Times New Roman"/>
                <w:b/>
                <w:color w:val="000000"/>
                <w:sz w:val="20"/>
                <w:szCs w:val="20"/>
                <w:lang w:eastAsia="sk-SK"/>
              </w:rPr>
              <w:t>10</w:t>
            </w:r>
            <w:r w:rsidR="00534CE2">
              <w:rPr>
                <w:rFonts w:eastAsia="Times New Roman" w:cs="Times New Roman"/>
                <w:b/>
                <w:color w:val="000000"/>
                <w:sz w:val="20"/>
                <w:szCs w:val="20"/>
                <w:lang w:eastAsia="sk-SK"/>
              </w:rPr>
              <w:t> </w:t>
            </w:r>
            <w:r w:rsidRPr="00022082">
              <w:rPr>
                <w:rFonts w:eastAsia="Times New Roman" w:cs="Times New Roman"/>
                <w:b/>
                <w:color w:val="000000"/>
                <w:sz w:val="20"/>
                <w:szCs w:val="20"/>
                <w:lang w:eastAsia="sk-SK"/>
              </w:rPr>
              <w:t>193</w:t>
            </w:r>
          </w:p>
        </w:tc>
        <w:tc>
          <w:tcPr>
            <w:tcW w:w="1134" w:type="dxa"/>
            <w:gridSpan w:val="2"/>
            <w:tcBorders>
              <w:top w:val="nil"/>
              <w:left w:val="nil"/>
              <w:bottom w:val="nil"/>
              <w:right w:val="nil"/>
            </w:tcBorders>
            <w:shd w:val="clear" w:color="auto" w:fill="auto"/>
            <w:noWrap/>
            <w:vAlign w:val="center"/>
            <w:hideMark/>
          </w:tcPr>
          <w:p w14:paraId="0B80A2E0" w14:textId="77777777" w:rsidR="00534CE2" w:rsidRDefault="00534CE2" w:rsidP="00022082">
            <w:pPr>
              <w:spacing w:after="0" w:line="240" w:lineRule="auto"/>
              <w:jc w:val="right"/>
              <w:rPr>
                <w:rFonts w:eastAsia="Times New Roman" w:cs="Times New Roman"/>
                <w:b/>
                <w:color w:val="000000"/>
                <w:sz w:val="20"/>
                <w:szCs w:val="20"/>
                <w:lang w:eastAsia="sk-SK"/>
              </w:rPr>
            </w:pPr>
          </w:p>
          <w:p w14:paraId="39F22862" w14:textId="36A7A320" w:rsidR="00022082" w:rsidRPr="00022082" w:rsidRDefault="00022082" w:rsidP="00022082">
            <w:pPr>
              <w:spacing w:after="0" w:line="240" w:lineRule="auto"/>
              <w:jc w:val="right"/>
              <w:rPr>
                <w:rFonts w:eastAsia="Times New Roman" w:cs="Times New Roman"/>
                <w:b/>
                <w:color w:val="000000"/>
                <w:sz w:val="20"/>
                <w:szCs w:val="20"/>
                <w:lang w:eastAsia="sk-SK"/>
              </w:rPr>
            </w:pPr>
            <w:r w:rsidRPr="00022082">
              <w:rPr>
                <w:rFonts w:eastAsia="Times New Roman" w:cs="Times New Roman"/>
                <w:b/>
                <w:color w:val="000000"/>
                <w:sz w:val="20"/>
                <w:szCs w:val="20"/>
                <w:lang w:eastAsia="sk-SK"/>
              </w:rPr>
              <w:t>13</w:t>
            </w:r>
            <w:r w:rsidR="00534CE2">
              <w:rPr>
                <w:rFonts w:eastAsia="Times New Roman" w:cs="Times New Roman"/>
                <w:b/>
                <w:color w:val="000000"/>
                <w:sz w:val="20"/>
                <w:szCs w:val="20"/>
                <w:lang w:eastAsia="sk-SK"/>
              </w:rPr>
              <w:t> </w:t>
            </w:r>
            <w:r w:rsidRPr="00022082">
              <w:rPr>
                <w:rFonts w:eastAsia="Times New Roman" w:cs="Times New Roman"/>
                <w:b/>
                <w:color w:val="000000"/>
                <w:sz w:val="20"/>
                <w:szCs w:val="20"/>
                <w:lang w:eastAsia="sk-SK"/>
              </w:rPr>
              <w:t>983</w:t>
            </w:r>
          </w:p>
        </w:tc>
        <w:tc>
          <w:tcPr>
            <w:tcW w:w="1048" w:type="dxa"/>
            <w:gridSpan w:val="2"/>
            <w:tcBorders>
              <w:top w:val="nil"/>
              <w:left w:val="nil"/>
              <w:bottom w:val="nil"/>
              <w:right w:val="nil"/>
            </w:tcBorders>
            <w:shd w:val="clear" w:color="auto" w:fill="auto"/>
            <w:noWrap/>
            <w:vAlign w:val="center"/>
            <w:hideMark/>
          </w:tcPr>
          <w:p w14:paraId="5829E441" w14:textId="77777777" w:rsidR="00534CE2" w:rsidRDefault="00534CE2" w:rsidP="00022082">
            <w:pPr>
              <w:spacing w:after="0" w:line="240" w:lineRule="auto"/>
              <w:jc w:val="right"/>
              <w:rPr>
                <w:rFonts w:eastAsia="Times New Roman" w:cs="Times New Roman"/>
                <w:b/>
                <w:color w:val="000000"/>
                <w:sz w:val="20"/>
                <w:szCs w:val="20"/>
                <w:lang w:eastAsia="sk-SK"/>
              </w:rPr>
            </w:pPr>
          </w:p>
          <w:p w14:paraId="1A0407C7" w14:textId="12DA85F1" w:rsidR="00022082" w:rsidRPr="00022082" w:rsidRDefault="00022082" w:rsidP="00022082">
            <w:pPr>
              <w:spacing w:after="0" w:line="240" w:lineRule="auto"/>
              <w:jc w:val="right"/>
              <w:rPr>
                <w:rFonts w:eastAsia="Times New Roman" w:cs="Times New Roman"/>
                <w:b/>
                <w:color w:val="000000"/>
                <w:sz w:val="20"/>
                <w:szCs w:val="20"/>
                <w:lang w:eastAsia="sk-SK"/>
              </w:rPr>
            </w:pPr>
            <w:r w:rsidRPr="00022082">
              <w:rPr>
                <w:rFonts w:eastAsia="Times New Roman" w:cs="Times New Roman"/>
                <w:b/>
                <w:color w:val="000000"/>
                <w:sz w:val="20"/>
                <w:szCs w:val="20"/>
                <w:lang w:eastAsia="sk-SK"/>
              </w:rPr>
              <w:t>11</w:t>
            </w:r>
            <w:r w:rsidR="00534CE2">
              <w:rPr>
                <w:rFonts w:eastAsia="Times New Roman" w:cs="Times New Roman"/>
                <w:b/>
                <w:color w:val="000000"/>
                <w:sz w:val="20"/>
                <w:szCs w:val="20"/>
                <w:lang w:eastAsia="sk-SK"/>
              </w:rPr>
              <w:t> </w:t>
            </w:r>
            <w:r w:rsidRPr="00022082">
              <w:rPr>
                <w:rFonts w:eastAsia="Times New Roman" w:cs="Times New Roman"/>
                <w:b/>
                <w:color w:val="000000"/>
                <w:sz w:val="20"/>
                <w:szCs w:val="20"/>
                <w:lang w:eastAsia="sk-SK"/>
              </w:rPr>
              <w:t>243</w:t>
            </w:r>
          </w:p>
        </w:tc>
        <w:tc>
          <w:tcPr>
            <w:tcW w:w="1067" w:type="dxa"/>
            <w:gridSpan w:val="2"/>
            <w:tcBorders>
              <w:top w:val="nil"/>
              <w:left w:val="nil"/>
              <w:bottom w:val="nil"/>
              <w:right w:val="nil"/>
            </w:tcBorders>
            <w:shd w:val="clear" w:color="000000" w:fill="BFBFBF"/>
            <w:noWrap/>
            <w:vAlign w:val="center"/>
            <w:hideMark/>
          </w:tcPr>
          <w:p w14:paraId="64511703" w14:textId="77777777" w:rsidR="00534CE2" w:rsidRDefault="00534CE2" w:rsidP="00022082">
            <w:pPr>
              <w:spacing w:after="0" w:line="240" w:lineRule="auto"/>
              <w:jc w:val="right"/>
              <w:rPr>
                <w:rFonts w:eastAsia="Times New Roman" w:cs="Times New Roman"/>
                <w:b/>
                <w:sz w:val="20"/>
                <w:szCs w:val="20"/>
                <w:lang w:eastAsia="sk-SK"/>
              </w:rPr>
            </w:pPr>
          </w:p>
          <w:p w14:paraId="27AB1E68" w14:textId="3371A172" w:rsidR="00022082" w:rsidRPr="00022082" w:rsidRDefault="00022082" w:rsidP="00022082">
            <w:pPr>
              <w:spacing w:after="0" w:line="240" w:lineRule="auto"/>
              <w:jc w:val="right"/>
              <w:rPr>
                <w:rFonts w:eastAsia="Times New Roman" w:cs="Times New Roman"/>
                <w:b/>
                <w:sz w:val="20"/>
                <w:szCs w:val="20"/>
                <w:lang w:eastAsia="sk-SK"/>
              </w:rPr>
            </w:pPr>
            <w:r w:rsidRPr="00022082">
              <w:rPr>
                <w:rFonts w:eastAsia="Times New Roman" w:cs="Times New Roman"/>
                <w:b/>
                <w:sz w:val="20"/>
                <w:szCs w:val="20"/>
                <w:lang w:eastAsia="sk-SK"/>
              </w:rPr>
              <w:t>7</w:t>
            </w:r>
            <w:r w:rsidR="00534CE2">
              <w:rPr>
                <w:rFonts w:eastAsia="Times New Roman" w:cs="Times New Roman"/>
                <w:b/>
                <w:sz w:val="20"/>
                <w:szCs w:val="20"/>
                <w:lang w:eastAsia="sk-SK"/>
              </w:rPr>
              <w:t> </w:t>
            </w:r>
            <w:r w:rsidRPr="00022082">
              <w:rPr>
                <w:rFonts w:eastAsia="Times New Roman" w:cs="Times New Roman"/>
                <w:b/>
                <w:sz w:val="20"/>
                <w:szCs w:val="20"/>
                <w:lang w:eastAsia="sk-SK"/>
              </w:rPr>
              <w:t>386</w:t>
            </w:r>
          </w:p>
        </w:tc>
        <w:tc>
          <w:tcPr>
            <w:tcW w:w="876" w:type="dxa"/>
            <w:gridSpan w:val="2"/>
            <w:tcBorders>
              <w:top w:val="nil"/>
              <w:left w:val="nil"/>
              <w:bottom w:val="nil"/>
              <w:right w:val="nil"/>
            </w:tcBorders>
            <w:shd w:val="clear" w:color="auto" w:fill="auto"/>
            <w:noWrap/>
            <w:vAlign w:val="center"/>
            <w:hideMark/>
          </w:tcPr>
          <w:p w14:paraId="294B4FEF" w14:textId="77777777" w:rsidR="00534CE2" w:rsidRDefault="00534CE2" w:rsidP="00022082">
            <w:pPr>
              <w:spacing w:after="0" w:line="240" w:lineRule="auto"/>
              <w:jc w:val="right"/>
              <w:rPr>
                <w:rFonts w:eastAsia="Times New Roman" w:cs="Times New Roman"/>
                <w:b/>
                <w:sz w:val="20"/>
                <w:szCs w:val="20"/>
                <w:lang w:eastAsia="sk-SK"/>
              </w:rPr>
            </w:pPr>
          </w:p>
          <w:p w14:paraId="6ABA4FB3" w14:textId="77777777" w:rsidR="00022082" w:rsidRPr="00022082" w:rsidRDefault="00022082" w:rsidP="00022082">
            <w:pPr>
              <w:spacing w:after="0" w:line="240" w:lineRule="auto"/>
              <w:jc w:val="right"/>
              <w:rPr>
                <w:rFonts w:eastAsia="Times New Roman" w:cs="Times New Roman"/>
                <w:b/>
                <w:sz w:val="20"/>
                <w:szCs w:val="20"/>
                <w:lang w:eastAsia="sk-SK"/>
              </w:rPr>
            </w:pPr>
            <w:r w:rsidRPr="00022082">
              <w:rPr>
                <w:rFonts w:eastAsia="Times New Roman" w:cs="Times New Roman"/>
                <w:b/>
                <w:sz w:val="20"/>
                <w:szCs w:val="20"/>
                <w:lang w:eastAsia="sk-SK"/>
              </w:rPr>
              <w:t>-3 857</w:t>
            </w:r>
          </w:p>
        </w:tc>
        <w:tc>
          <w:tcPr>
            <w:tcW w:w="610" w:type="dxa"/>
            <w:tcBorders>
              <w:top w:val="nil"/>
              <w:left w:val="nil"/>
              <w:bottom w:val="nil"/>
              <w:right w:val="nil"/>
            </w:tcBorders>
            <w:shd w:val="clear" w:color="auto" w:fill="auto"/>
            <w:noWrap/>
            <w:vAlign w:val="bottom"/>
            <w:hideMark/>
          </w:tcPr>
          <w:p w14:paraId="089070A7" w14:textId="77777777" w:rsidR="00022082" w:rsidRPr="00022082" w:rsidRDefault="00022082" w:rsidP="00022082">
            <w:pPr>
              <w:spacing w:after="0" w:line="240" w:lineRule="auto"/>
              <w:jc w:val="right"/>
              <w:rPr>
                <w:rFonts w:eastAsia="Times New Roman" w:cs="Times New Roman"/>
                <w:b/>
                <w:color w:val="000000"/>
                <w:sz w:val="20"/>
                <w:szCs w:val="20"/>
                <w:lang w:eastAsia="sk-SK"/>
              </w:rPr>
            </w:pPr>
            <w:r w:rsidRPr="00022082">
              <w:rPr>
                <w:rFonts w:eastAsia="Times New Roman" w:cs="Times New Roman"/>
                <w:b/>
                <w:color w:val="000000"/>
                <w:sz w:val="20"/>
                <w:szCs w:val="20"/>
                <w:lang w:eastAsia="sk-SK"/>
              </w:rPr>
              <w:t>-34,3</w:t>
            </w:r>
          </w:p>
        </w:tc>
      </w:tr>
      <w:tr w:rsidR="00022082" w:rsidRPr="00022082" w14:paraId="40B2439F" w14:textId="77777777" w:rsidTr="00022082">
        <w:trPr>
          <w:trHeight w:val="288"/>
        </w:trPr>
        <w:tc>
          <w:tcPr>
            <w:tcW w:w="3402" w:type="dxa"/>
            <w:tcBorders>
              <w:top w:val="nil"/>
              <w:left w:val="nil"/>
              <w:bottom w:val="single" w:sz="8" w:space="0" w:color="auto"/>
              <w:right w:val="nil"/>
            </w:tcBorders>
            <w:shd w:val="clear" w:color="auto" w:fill="auto"/>
            <w:noWrap/>
            <w:vAlign w:val="center"/>
            <w:hideMark/>
          </w:tcPr>
          <w:p w14:paraId="00355FB1" w14:textId="77777777" w:rsidR="00022082" w:rsidRPr="00022082" w:rsidRDefault="00022082" w:rsidP="00022082">
            <w:pPr>
              <w:spacing w:after="0" w:line="240" w:lineRule="auto"/>
              <w:jc w:val="left"/>
              <w:rPr>
                <w:rFonts w:eastAsia="Times New Roman" w:cs="Times New Roman"/>
                <w:b/>
                <w:bCs/>
                <w:color w:val="000000"/>
                <w:sz w:val="20"/>
                <w:szCs w:val="20"/>
                <w:lang w:eastAsia="sk-SK"/>
              </w:rPr>
            </w:pPr>
            <w:r w:rsidRPr="00022082">
              <w:rPr>
                <w:rFonts w:eastAsia="Times New Roman" w:cs="Times New Roman"/>
                <w:b/>
                <w:bCs/>
                <w:color w:val="000000"/>
                <w:sz w:val="20"/>
                <w:szCs w:val="20"/>
                <w:lang w:eastAsia="sk-SK"/>
              </w:rPr>
              <w:t>Daňové príjmy spolu</w:t>
            </w:r>
          </w:p>
        </w:tc>
        <w:tc>
          <w:tcPr>
            <w:tcW w:w="1134" w:type="dxa"/>
            <w:gridSpan w:val="2"/>
            <w:tcBorders>
              <w:top w:val="nil"/>
              <w:left w:val="nil"/>
              <w:bottom w:val="single" w:sz="8" w:space="0" w:color="auto"/>
              <w:right w:val="nil"/>
            </w:tcBorders>
            <w:shd w:val="clear" w:color="auto" w:fill="auto"/>
            <w:noWrap/>
            <w:vAlign w:val="center"/>
            <w:hideMark/>
          </w:tcPr>
          <w:p w14:paraId="1AA4B85C" w14:textId="77777777" w:rsidR="00022082" w:rsidRPr="00022082" w:rsidRDefault="00022082" w:rsidP="00022082">
            <w:pPr>
              <w:spacing w:after="0" w:line="240" w:lineRule="auto"/>
              <w:jc w:val="right"/>
              <w:rPr>
                <w:rFonts w:eastAsia="Times New Roman" w:cs="Times New Roman"/>
                <w:b/>
                <w:bCs/>
                <w:sz w:val="20"/>
                <w:szCs w:val="20"/>
                <w:lang w:eastAsia="sk-SK"/>
              </w:rPr>
            </w:pPr>
            <w:r w:rsidRPr="00022082">
              <w:rPr>
                <w:rFonts w:eastAsia="Times New Roman" w:cs="Times New Roman"/>
                <w:b/>
                <w:bCs/>
                <w:sz w:val="20"/>
                <w:szCs w:val="20"/>
                <w:lang w:eastAsia="sk-SK"/>
              </w:rPr>
              <w:t>11 068 156</w:t>
            </w:r>
          </w:p>
        </w:tc>
        <w:tc>
          <w:tcPr>
            <w:tcW w:w="1134" w:type="dxa"/>
            <w:gridSpan w:val="2"/>
            <w:tcBorders>
              <w:top w:val="nil"/>
              <w:left w:val="nil"/>
              <w:bottom w:val="single" w:sz="8" w:space="0" w:color="auto"/>
              <w:right w:val="nil"/>
            </w:tcBorders>
            <w:shd w:val="clear" w:color="auto" w:fill="auto"/>
            <w:noWrap/>
            <w:vAlign w:val="center"/>
            <w:hideMark/>
          </w:tcPr>
          <w:p w14:paraId="3C415799" w14:textId="77777777" w:rsidR="00022082" w:rsidRPr="00022082" w:rsidRDefault="00022082" w:rsidP="00022082">
            <w:pPr>
              <w:spacing w:after="0" w:line="240" w:lineRule="auto"/>
              <w:jc w:val="right"/>
              <w:rPr>
                <w:rFonts w:eastAsia="Times New Roman" w:cs="Times New Roman"/>
                <w:b/>
                <w:bCs/>
                <w:sz w:val="20"/>
                <w:szCs w:val="20"/>
                <w:lang w:eastAsia="sk-SK"/>
              </w:rPr>
            </w:pPr>
            <w:r w:rsidRPr="00022082">
              <w:rPr>
                <w:rFonts w:eastAsia="Times New Roman" w:cs="Times New Roman"/>
                <w:b/>
                <w:bCs/>
                <w:sz w:val="20"/>
                <w:szCs w:val="20"/>
                <w:lang w:eastAsia="sk-SK"/>
              </w:rPr>
              <w:t>11 152 310</w:t>
            </w:r>
          </w:p>
        </w:tc>
        <w:tc>
          <w:tcPr>
            <w:tcW w:w="1048" w:type="dxa"/>
            <w:gridSpan w:val="2"/>
            <w:tcBorders>
              <w:top w:val="nil"/>
              <w:left w:val="nil"/>
              <w:bottom w:val="single" w:sz="8" w:space="0" w:color="auto"/>
              <w:right w:val="nil"/>
            </w:tcBorders>
            <w:shd w:val="clear" w:color="auto" w:fill="auto"/>
            <w:noWrap/>
            <w:vAlign w:val="center"/>
            <w:hideMark/>
          </w:tcPr>
          <w:p w14:paraId="31CA56F1" w14:textId="77777777" w:rsidR="00022082" w:rsidRPr="00022082" w:rsidRDefault="00022082" w:rsidP="00022082">
            <w:pPr>
              <w:spacing w:after="0" w:line="240" w:lineRule="auto"/>
              <w:jc w:val="right"/>
              <w:rPr>
                <w:rFonts w:eastAsia="Times New Roman" w:cs="Times New Roman"/>
                <w:b/>
                <w:bCs/>
                <w:sz w:val="20"/>
                <w:szCs w:val="20"/>
                <w:lang w:eastAsia="sk-SK"/>
              </w:rPr>
            </w:pPr>
            <w:r w:rsidRPr="00022082">
              <w:rPr>
                <w:rFonts w:eastAsia="Times New Roman" w:cs="Times New Roman"/>
                <w:b/>
                <w:bCs/>
                <w:sz w:val="20"/>
                <w:szCs w:val="20"/>
                <w:lang w:eastAsia="sk-SK"/>
              </w:rPr>
              <w:t>11 361 518</w:t>
            </w:r>
          </w:p>
        </w:tc>
        <w:tc>
          <w:tcPr>
            <w:tcW w:w="1067" w:type="dxa"/>
            <w:gridSpan w:val="2"/>
            <w:tcBorders>
              <w:top w:val="nil"/>
              <w:left w:val="nil"/>
              <w:bottom w:val="single" w:sz="8" w:space="0" w:color="auto"/>
              <w:right w:val="nil"/>
            </w:tcBorders>
            <w:shd w:val="clear" w:color="000000" w:fill="BFBFBF"/>
            <w:noWrap/>
            <w:vAlign w:val="center"/>
            <w:hideMark/>
          </w:tcPr>
          <w:p w14:paraId="3A7616BF" w14:textId="77777777" w:rsidR="00022082" w:rsidRPr="00022082" w:rsidRDefault="00022082" w:rsidP="00022082">
            <w:pPr>
              <w:spacing w:after="0" w:line="240" w:lineRule="auto"/>
              <w:jc w:val="right"/>
              <w:rPr>
                <w:rFonts w:eastAsia="Times New Roman" w:cs="Times New Roman"/>
                <w:b/>
                <w:bCs/>
                <w:sz w:val="20"/>
                <w:szCs w:val="20"/>
                <w:lang w:eastAsia="sk-SK"/>
              </w:rPr>
            </w:pPr>
            <w:r w:rsidRPr="00022082">
              <w:rPr>
                <w:rFonts w:eastAsia="Times New Roman" w:cs="Times New Roman"/>
                <w:b/>
                <w:bCs/>
                <w:sz w:val="20"/>
                <w:szCs w:val="20"/>
                <w:lang w:eastAsia="sk-SK"/>
              </w:rPr>
              <w:t>11 965 782</w:t>
            </w:r>
          </w:p>
        </w:tc>
        <w:tc>
          <w:tcPr>
            <w:tcW w:w="876" w:type="dxa"/>
            <w:gridSpan w:val="2"/>
            <w:tcBorders>
              <w:top w:val="nil"/>
              <w:left w:val="nil"/>
              <w:bottom w:val="single" w:sz="8" w:space="0" w:color="auto"/>
              <w:right w:val="nil"/>
            </w:tcBorders>
            <w:shd w:val="clear" w:color="auto" w:fill="auto"/>
            <w:noWrap/>
            <w:vAlign w:val="center"/>
            <w:hideMark/>
          </w:tcPr>
          <w:p w14:paraId="5F5363E5" w14:textId="77777777" w:rsidR="00022082" w:rsidRPr="00022082" w:rsidRDefault="00022082" w:rsidP="00022082">
            <w:pPr>
              <w:spacing w:after="0" w:line="240" w:lineRule="auto"/>
              <w:jc w:val="right"/>
              <w:rPr>
                <w:rFonts w:eastAsia="Times New Roman" w:cs="Times New Roman"/>
                <w:b/>
                <w:bCs/>
                <w:sz w:val="20"/>
                <w:szCs w:val="20"/>
                <w:lang w:eastAsia="sk-SK"/>
              </w:rPr>
            </w:pPr>
            <w:r w:rsidRPr="00022082">
              <w:rPr>
                <w:rFonts w:eastAsia="Times New Roman" w:cs="Times New Roman"/>
                <w:b/>
                <w:bCs/>
                <w:sz w:val="20"/>
                <w:szCs w:val="20"/>
                <w:lang w:eastAsia="sk-SK"/>
              </w:rPr>
              <w:t>604 264</w:t>
            </w:r>
          </w:p>
        </w:tc>
        <w:tc>
          <w:tcPr>
            <w:tcW w:w="610" w:type="dxa"/>
            <w:tcBorders>
              <w:top w:val="nil"/>
              <w:left w:val="nil"/>
              <w:bottom w:val="single" w:sz="8" w:space="0" w:color="auto"/>
              <w:right w:val="nil"/>
            </w:tcBorders>
            <w:shd w:val="clear" w:color="auto" w:fill="auto"/>
            <w:noWrap/>
            <w:vAlign w:val="bottom"/>
            <w:hideMark/>
          </w:tcPr>
          <w:p w14:paraId="1D2C1F1C" w14:textId="77777777" w:rsidR="00022082" w:rsidRPr="00022082" w:rsidRDefault="00022082" w:rsidP="00022082">
            <w:pPr>
              <w:spacing w:after="0" w:line="240" w:lineRule="auto"/>
              <w:jc w:val="right"/>
              <w:rPr>
                <w:rFonts w:eastAsia="Times New Roman" w:cs="Times New Roman"/>
                <w:b/>
                <w:bCs/>
                <w:color w:val="000000"/>
                <w:sz w:val="20"/>
                <w:szCs w:val="20"/>
                <w:lang w:eastAsia="sk-SK"/>
              </w:rPr>
            </w:pPr>
            <w:r w:rsidRPr="00022082">
              <w:rPr>
                <w:rFonts w:eastAsia="Times New Roman" w:cs="Times New Roman"/>
                <w:b/>
                <w:bCs/>
                <w:color w:val="000000"/>
                <w:sz w:val="20"/>
                <w:szCs w:val="20"/>
                <w:lang w:eastAsia="sk-SK"/>
              </w:rPr>
              <w:t>5,3</w:t>
            </w:r>
          </w:p>
        </w:tc>
      </w:tr>
    </w:tbl>
    <w:p w14:paraId="21142C70" w14:textId="77777777" w:rsidR="008472BD" w:rsidRPr="001420D7" w:rsidRDefault="008472BD" w:rsidP="008472BD">
      <w:pPr>
        <w:jc w:val="right"/>
        <w:rPr>
          <w:sz w:val="18"/>
          <w:szCs w:val="18"/>
        </w:rPr>
      </w:pPr>
      <w:r>
        <w:rPr>
          <w:sz w:val="18"/>
          <w:szCs w:val="18"/>
        </w:rPr>
        <w:t xml:space="preserve"> </w:t>
      </w:r>
      <w:r w:rsidRPr="001420D7">
        <w:rPr>
          <w:sz w:val="18"/>
          <w:szCs w:val="18"/>
        </w:rPr>
        <w:t>Zdroj: MF SR</w:t>
      </w:r>
    </w:p>
    <w:p w14:paraId="1DF9958A" w14:textId="42449797" w:rsidR="008472BD" w:rsidRDefault="008472BD" w:rsidP="008472BD">
      <w:pPr>
        <w:tabs>
          <w:tab w:val="left" w:pos="1134"/>
        </w:tabs>
      </w:pPr>
      <w:r w:rsidRPr="00485BB7">
        <w:t>Tak ako v predchádzajúcich rokoch najvyšší podiel z daňových príjmov pripadá na dane za tovary a služby (74,5 %) a na dane z príjmov a kapitálového majetku (25</w:t>
      </w:r>
      <w:r>
        <w:t>,2 </w:t>
      </w:r>
      <w:r w:rsidRPr="00485BB7">
        <w:t>%).</w:t>
      </w:r>
    </w:p>
    <w:p w14:paraId="61930CFD" w14:textId="47A2C341" w:rsidR="008472BD" w:rsidRDefault="008472BD" w:rsidP="008472BD">
      <w:pPr>
        <w:tabs>
          <w:tab w:val="left" w:pos="1134"/>
        </w:tabs>
      </w:pPr>
      <w:r w:rsidRPr="00DB7BC3">
        <w:rPr>
          <w:b/>
          <w:bCs/>
          <w:color w:val="000000"/>
        </w:rPr>
        <w:t>Dane za tovary a služby</w:t>
      </w:r>
      <w:r>
        <w:rPr>
          <w:color w:val="000000"/>
        </w:rPr>
        <w:t xml:space="preserve"> sa rozpočtovali vo výške 8</w:t>
      </w:r>
      <w:r w:rsidR="00681CB9">
        <w:rPr>
          <w:color w:val="000000"/>
        </w:rPr>
        <w:t> </w:t>
      </w:r>
      <w:r>
        <w:rPr>
          <w:color w:val="000000"/>
        </w:rPr>
        <w:t>606</w:t>
      </w:r>
      <w:r w:rsidR="00681CB9">
        <w:rPr>
          <w:color w:val="000000"/>
        </w:rPr>
        <w:t> </w:t>
      </w:r>
      <w:r>
        <w:rPr>
          <w:color w:val="000000"/>
        </w:rPr>
        <w:t>238</w:t>
      </w:r>
      <w:r w:rsidR="00681CB9">
        <w:rPr>
          <w:color w:val="000000"/>
        </w:rPr>
        <w:t> </w:t>
      </w:r>
      <w:r>
        <w:rPr>
          <w:color w:val="000000"/>
        </w:rPr>
        <w:t>tis.</w:t>
      </w:r>
      <w:r w:rsidR="00681CB9">
        <w:rPr>
          <w:color w:val="000000"/>
        </w:rPr>
        <w:t> </w:t>
      </w:r>
      <w:r>
        <w:t>e</w:t>
      </w:r>
      <w:r>
        <w:rPr>
          <w:color w:val="000000"/>
        </w:rPr>
        <w:t>ur, pričom skutočný výnos vo výške 8 919</w:t>
      </w:r>
      <w:r w:rsidR="00681CB9">
        <w:rPr>
          <w:color w:val="000000"/>
        </w:rPr>
        <w:t> </w:t>
      </w:r>
      <w:r>
        <w:rPr>
          <w:color w:val="000000"/>
        </w:rPr>
        <w:t>317</w:t>
      </w:r>
      <w:r w:rsidR="00681CB9">
        <w:rPr>
          <w:color w:val="000000"/>
        </w:rPr>
        <w:t> </w:t>
      </w:r>
      <w:r>
        <w:rPr>
          <w:color w:val="000000"/>
        </w:rPr>
        <w:t>tis.</w:t>
      </w:r>
      <w:r w:rsidR="00681CB9">
        <w:rPr>
          <w:color w:val="000000"/>
        </w:rPr>
        <w:t> </w:t>
      </w:r>
      <w:r>
        <w:rPr>
          <w:color w:val="000000"/>
        </w:rPr>
        <w:t>eur je oproti rozpočtu o</w:t>
      </w:r>
      <w:r w:rsidR="00681CB9">
        <w:rPr>
          <w:color w:val="000000"/>
        </w:rPr>
        <w:t> </w:t>
      </w:r>
      <w:r>
        <w:rPr>
          <w:color w:val="000000"/>
        </w:rPr>
        <w:t>313</w:t>
      </w:r>
      <w:r w:rsidR="00681CB9">
        <w:rPr>
          <w:color w:val="000000"/>
        </w:rPr>
        <w:t> </w:t>
      </w:r>
      <w:r>
        <w:rPr>
          <w:color w:val="000000"/>
        </w:rPr>
        <w:t>079 tis.</w:t>
      </w:r>
      <w:r w:rsidR="00681CB9">
        <w:rPr>
          <w:color w:val="000000"/>
        </w:rPr>
        <w:t> </w:t>
      </w:r>
      <w:r>
        <w:rPr>
          <w:color w:val="000000"/>
        </w:rPr>
        <w:t xml:space="preserve">eur vyšší. Nárast bol spôsobený najmä vyšším výberom DPH </w:t>
      </w:r>
      <w:r>
        <w:t xml:space="preserve">oproti predpokladanému </w:t>
      </w:r>
      <w:r>
        <w:rPr>
          <w:color w:val="000000"/>
        </w:rPr>
        <w:t>o 333 248 </w:t>
      </w:r>
      <w:r w:rsidRPr="00425E24">
        <w:t>ti</w:t>
      </w:r>
      <w:r>
        <w:t>s.</w:t>
      </w:r>
      <w:r w:rsidR="00681CB9">
        <w:t> </w:t>
      </w:r>
      <w:r>
        <w:t>eur. V porovnaní s rokom 2017</w:t>
      </w:r>
      <w:r w:rsidRPr="00425E24">
        <w:t xml:space="preserve"> došlo k nárastu hotovostného výnosu za dane za tovary a služby o</w:t>
      </w:r>
      <w:r>
        <w:t> 590 671 </w:t>
      </w:r>
      <w:r w:rsidRPr="00425E24">
        <w:t>tis. eur, ktorý bol spôsobený najme medziročným nárastom výberu DPH o</w:t>
      </w:r>
      <w:r>
        <w:t> 499 058</w:t>
      </w:r>
      <w:r w:rsidRPr="00425E24">
        <w:t xml:space="preserve"> tis. eur. </w:t>
      </w:r>
    </w:p>
    <w:p w14:paraId="616633E7" w14:textId="4EC61979" w:rsidR="008472BD" w:rsidRDefault="008472BD" w:rsidP="008472BD">
      <w:r w:rsidRPr="002A5103">
        <w:rPr>
          <w:b/>
          <w:i/>
        </w:rPr>
        <w:t xml:space="preserve">Daň z pridanej hodnoty (DPH) </w:t>
      </w:r>
      <w:r w:rsidRPr="002A5103">
        <w:t>sa rozpočto</w:t>
      </w:r>
      <w:r>
        <w:t>vala sumou 6</w:t>
      </w:r>
      <w:r w:rsidR="00681CB9">
        <w:t> </w:t>
      </w:r>
      <w:r>
        <w:t>079</w:t>
      </w:r>
      <w:r w:rsidR="00681CB9">
        <w:t> </w:t>
      </w:r>
      <w:r>
        <w:t>178</w:t>
      </w:r>
      <w:r w:rsidR="00681CB9">
        <w:t> </w:t>
      </w:r>
      <w:r>
        <w:t>tis.</w:t>
      </w:r>
      <w:r w:rsidR="00681CB9">
        <w:t> </w:t>
      </w:r>
      <w:r>
        <w:t xml:space="preserve">eur a </w:t>
      </w:r>
      <w:r w:rsidRPr="002A5103">
        <w:t xml:space="preserve">jej skutočný výber vo výške </w:t>
      </w:r>
      <w:r>
        <w:t>6 412 426 </w:t>
      </w:r>
      <w:r w:rsidR="00497D9E">
        <w:t xml:space="preserve">tis. eur. </w:t>
      </w:r>
      <w:r w:rsidR="00681CB9">
        <w:t>Vyšší výnos je z </w:t>
      </w:r>
      <w:r w:rsidRPr="00E83272">
        <w:t>dôvodu lepšieho makroekonomického prostredia, najmä spotreby domácnost</w:t>
      </w:r>
      <w:r>
        <w:t>í</w:t>
      </w:r>
      <w:r w:rsidRPr="00E83272">
        <w:t>. Svoju úloh</w:t>
      </w:r>
      <w:r w:rsidR="00890D7C">
        <w:t>u zohralo aj lepšie plnenie dane</w:t>
      </w:r>
      <w:r w:rsidRPr="00E83272">
        <w:t xml:space="preserve"> z titulu vyššej efektivity výberu. </w:t>
      </w:r>
      <w:r w:rsidRPr="002A5103">
        <w:t xml:space="preserve">Skutočný </w:t>
      </w:r>
      <w:r w:rsidR="00890D7C">
        <w:t>príjem</w:t>
      </w:r>
      <w:r w:rsidRPr="002A5103">
        <w:t xml:space="preserve"> tejto dane bol vyšší oproti rozpočtovanej hodnote o</w:t>
      </w:r>
      <w:r>
        <w:t> 333</w:t>
      </w:r>
      <w:r w:rsidR="00681CB9">
        <w:t> </w:t>
      </w:r>
      <w:r>
        <w:t>248</w:t>
      </w:r>
      <w:r w:rsidR="00681CB9">
        <w:t> </w:t>
      </w:r>
      <w:r>
        <w:t>tis.</w:t>
      </w:r>
      <w:r w:rsidR="00681CB9">
        <w:t> </w:t>
      </w:r>
      <w:r>
        <w:t xml:space="preserve">eur a </w:t>
      </w:r>
      <w:r w:rsidRPr="002A5103">
        <w:t>v porovnaní s rok</w:t>
      </w:r>
      <w:r w:rsidR="00890D7C">
        <w:t>om</w:t>
      </w:r>
      <w:r w:rsidRPr="002A5103">
        <w:t xml:space="preserve"> </w:t>
      </w:r>
      <w:r>
        <w:t>2017</w:t>
      </w:r>
      <w:r w:rsidRPr="002A5103">
        <w:t xml:space="preserve"> bol vyšší o</w:t>
      </w:r>
      <w:r>
        <w:t> 499 058 </w:t>
      </w:r>
      <w:r w:rsidRPr="002A5103">
        <w:t xml:space="preserve">tis. eur. </w:t>
      </w:r>
    </w:p>
    <w:p w14:paraId="28E217A3" w14:textId="6D6424DB" w:rsidR="008472BD" w:rsidRPr="00EC782D" w:rsidRDefault="008472BD" w:rsidP="008472BD">
      <w:r w:rsidRPr="000F0918">
        <w:rPr>
          <w:b/>
          <w:bCs/>
          <w:i/>
          <w:iCs/>
        </w:rPr>
        <w:t>Spotrebné dane</w:t>
      </w:r>
      <w:r w:rsidRPr="000F0918">
        <w:t xml:space="preserve"> sa rozpočtovali sumou </w:t>
      </w:r>
      <w:r>
        <w:t>2</w:t>
      </w:r>
      <w:r w:rsidR="00681CB9">
        <w:t> </w:t>
      </w:r>
      <w:r>
        <w:t>335</w:t>
      </w:r>
      <w:r w:rsidR="00681CB9">
        <w:t> </w:t>
      </w:r>
      <w:r>
        <w:t>690</w:t>
      </w:r>
      <w:r w:rsidR="00681CB9">
        <w:t> </w:t>
      </w:r>
      <w:r>
        <w:t>tis.</w:t>
      </w:r>
      <w:r w:rsidR="00681CB9">
        <w:t> </w:t>
      </w:r>
      <w:r>
        <w:t xml:space="preserve">eur. Skutočný </w:t>
      </w:r>
      <w:r w:rsidR="00722558">
        <w:t>príjem</w:t>
      </w:r>
      <w:r>
        <w:t xml:space="preserve"> bol </w:t>
      </w:r>
      <w:r w:rsidR="00722558">
        <w:t xml:space="preserve">mierne nižší, a to </w:t>
      </w:r>
      <w:r>
        <w:t>o 12</w:t>
      </w:r>
      <w:r w:rsidR="00681CB9">
        <w:t> </w:t>
      </w:r>
      <w:r>
        <w:t>169</w:t>
      </w:r>
      <w:r w:rsidR="00681CB9">
        <w:t> </w:t>
      </w:r>
      <w:r>
        <w:t>tis.</w:t>
      </w:r>
      <w:r w:rsidR="00681CB9">
        <w:t> </w:t>
      </w:r>
      <w:r>
        <w:t>eur</w:t>
      </w:r>
      <w:r w:rsidR="006C3825">
        <w:t xml:space="preserve">. </w:t>
      </w:r>
      <w:r>
        <w:t>Výpadok bol zaznamenaný najmä pri spotrebnej dani z minerálnych olejov </w:t>
      </w:r>
      <w:r w:rsidRPr="00FB6000">
        <w:t>(</w:t>
      </w:r>
      <w:r>
        <w:t>- 23 279 tis. eur</w:t>
      </w:r>
      <w:r w:rsidRPr="000F0918">
        <w:t>)</w:t>
      </w:r>
      <w:r>
        <w:t xml:space="preserve">. </w:t>
      </w:r>
      <w:r w:rsidRPr="00FF4C12">
        <w:t>Nenaplnenie rozpočtu je dôsled</w:t>
      </w:r>
      <w:r w:rsidR="007A5A77">
        <w:t>kom optimistickejšieho odhadu v </w:t>
      </w:r>
      <w:r w:rsidRPr="00FF4C12">
        <w:t>procese tvorby rozpočtu spolu s horším vývojom makroekonomickej základne</w:t>
      </w:r>
      <w:r w:rsidR="00084D1A">
        <w:t xml:space="preserve"> pre tieto dane</w:t>
      </w:r>
      <w:r w:rsidRPr="00FF4C12">
        <w:t>.</w:t>
      </w:r>
      <w:r>
        <w:t xml:space="preserve"> </w:t>
      </w:r>
      <w:r w:rsidR="00C7303B">
        <w:t xml:space="preserve">Tento výpadok bol kompenzovaný </w:t>
      </w:r>
      <w:r w:rsidRPr="000F0918">
        <w:t>príjm</w:t>
      </w:r>
      <w:r w:rsidR="00C7303B">
        <w:t>om</w:t>
      </w:r>
      <w:r w:rsidRPr="000F0918">
        <w:t xml:space="preserve"> spotrebnej dane z tabakových vý</w:t>
      </w:r>
      <w:r>
        <w:t>robkov</w:t>
      </w:r>
      <w:r w:rsidR="00C7303B">
        <w:t>, ktorý</w:t>
      </w:r>
      <w:r>
        <w:t xml:space="preserve"> bol oproti rozpočtu vyšší</w:t>
      </w:r>
      <w:r w:rsidRPr="000F0918">
        <w:t xml:space="preserve"> o</w:t>
      </w:r>
      <w:r w:rsidR="00681CB9">
        <w:t> </w:t>
      </w:r>
      <w:r>
        <w:t>10</w:t>
      </w:r>
      <w:r w:rsidR="00681CB9">
        <w:t> </w:t>
      </w:r>
      <w:r>
        <w:t>018</w:t>
      </w:r>
      <w:r w:rsidRPr="000F0918">
        <w:t xml:space="preserve"> tis. eur. </w:t>
      </w:r>
      <w:r>
        <w:t>V porovnaní s rokom 2017</w:t>
      </w:r>
      <w:r w:rsidRPr="000F0918">
        <w:t xml:space="preserve"> bol však celkový </w:t>
      </w:r>
      <w:r w:rsidR="00C7303B">
        <w:t>príjem</w:t>
      </w:r>
      <w:r w:rsidRPr="000F0918">
        <w:t xml:space="preserve"> spotrebných daní vyšší o</w:t>
      </w:r>
      <w:r>
        <w:t> 71 126 tis. eur, t. j. o 3,2</w:t>
      </w:r>
      <w:r w:rsidRPr="000F0918">
        <w:t> %.</w:t>
      </w:r>
    </w:p>
    <w:p w14:paraId="04B17F37" w14:textId="43FF58E2" w:rsidR="008472BD" w:rsidRDefault="008472BD" w:rsidP="008472BD">
      <w:r w:rsidRPr="002A5103">
        <w:rPr>
          <w:b/>
          <w:i/>
        </w:rPr>
        <w:t xml:space="preserve">Dane z používania tovarov a z povolenia na výkon činnosti </w:t>
      </w:r>
      <w:r>
        <w:t>boli rozpočtované vo výške 157 870</w:t>
      </w:r>
      <w:r w:rsidRPr="002A5103">
        <w:t xml:space="preserve"> tis. eur. V skutočnosti dosiahli výnos </w:t>
      </w:r>
      <w:r>
        <w:t>152</w:t>
      </w:r>
      <w:r w:rsidR="00681CB9">
        <w:t> </w:t>
      </w:r>
      <w:r>
        <w:t>839</w:t>
      </w:r>
      <w:r w:rsidR="00681CB9">
        <w:t> tis. </w:t>
      </w:r>
      <w:r w:rsidRPr="002A5103">
        <w:t xml:space="preserve">eur. </w:t>
      </w:r>
      <w:r w:rsidR="006D499E">
        <w:t>Prakticky celú</w:t>
      </w:r>
      <w:r w:rsidRPr="002A5103">
        <w:t xml:space="preserve"> </w:t>
      </w:r>
      <w:r w:rsidR="006D499E">
        <w:t>hodnotu v rozpočte ako aj v skutočnosti</w:t>
      </w:r>
      <w:r w:rsidRPr="002A5103">
        <w:t xml:space="preserve"> tvorí daň z motorových vozidiel</w:t>
      </w:r>
      <w:r>
        <w:rPr>
          <w:rStyle w:val="Odkaznapoznmkupodiarou"/>
        </w:rPr>
        <w:footnoteReference w:id="18"/>
      </w:r>
      <w:r w:rsidRPr="002A5103">
        <w:t>,</w:t>
      </w:r>
      <w:r w:rsidR="00681CB9">
        <w:t xml:space="preserve"> ktorá </w:t>
      </w:r>
      <w:r w:rsidR="00CA27C6">
        <w:t xml:space="preserve">je od roku </w:t>
      </w:r>
      <w:r w:rsidR="00EE41D4">
        <w:t>2015</w:t>
      </w:r>
      <w:r w:rsidR="00CA27C6">
        <w:t xml:space="preserve"> príjmom štátneho rozpočtu. R</w:t>
      </w:r>
      <w:r w:rsidR="00681CB9">
        <w:t xml:space="preserve">ozpočtovaná </w:t>
      </w:r>
      <w:r w:rsidR="00CA27C6">
        <w:t xml:space="preserve">bola </w:t>
      </w:r>
      <w:r w:rsidR="00681CB9">
        <w:t xml:space="preserve">v sume </w:t>
      </w:r>
      <w:r>
        <w:t>157 768 </w:t>
      </w:r>
      <w:r w:rsidRPr="002A5103">
        <w:t>tis. eur, v skutočnosti b</w:t>
      </w:r>
      <w:r>
        <w:t>ola o 5 026 tis. eur nižšia a dosiahla 152</w:t>
      </w:r>
      <w:r w:rsidR="00681CB9">
        <w:t> </w:t>
      </w:r>
      <w:r>
        <w:t>742</w:t>
      </w:r>
      <w:r w:rsidR="00681CB9">
        <w:t> </w:t>
      </w:r>
      <w:r w:rsidRPr="002A5103">
        <w:t>tis.</w:t>
      </w:r>
      <w:r w:rsidR="00681CB9">
        <w:t> </w:t>
      </w:r>
      <w:r w:rsidRPr="002A5103">
        <w:t>eu</w:t>
      </w:r>
      <w:r>
        <w:t xml:space="preserve">r. </w:t>
      </w:r>
    </w:p>
    <w:p w14:paraId="286A20E5" w14:textId="591313A4" w:rsidR="008472BD" w:rsidRPr="0018663E" w:rsidRDefault="008472BD" w:rsidP="008472BD">
      <w:r w:rsidRPr="00816FBC">
        <w:rPr>
          <w:b/>
          <w:i/>
        </w:rPr>
        <w:t xml:space="preserve">Iné dane za tovary a služby </w:t>
      </w:r>
      <w:r w:rsidRPr="00816FBC">
        <w:t xml:space="preserve">predstavuje odvod časti poistného z odvetví neživotného </w:t>
      </w:r>
      <w:r w:rsidR="00EF45AE">
        <w:t>poistenia. Rozpočtovaná suma 33 </w:t>
      </w:r>
      <w:r w:rsidRPr="00816FBC">
        <w:t>500</w:t>
      </w:r>
      <w:r w:rsidR="00EF45AE">
        <w:t> tis. </w:t>
      </w:r>
      <w:r w:rsidRPr="00816FBC">
        <w:t>eur obsahovala okrem príjmu z odvodu (20</w:t>
      </w:r>
      <w:r w:rsidR="00EF45AE">
        <w:t> </w:t>
      </w:r>
      <w:r w:rsidRPr="00816FBC">
        <w:t>000</w:t>
      </w:r>
      <w:r w:rsidR="00EF45AE">
        <w:t> </w:t>
      </w:r>
      <w:r w:rsidRPr="00816FBC">
        <w:t>tis.</w:t>
      </w:r>
      <w:r w:rsidR="00EF45AE">
        <w:t> </w:t>
      </w:r>
      <w:r w:rsidRPr="00816FBC">
        <w:t>eur) aj príjem z plánovaného zavedenia dane z poistenia v priebehu roka 2018 (13 500 tis. eur). Skutočn</w:t>
      </w:r>
      <w:r>
        <w:t>ý príjem z odvodu bol vo výške 30</w:t>
      </w:r>
      <w:r w:rsidR="00EF45AE">
        <w:t> </w:t>
      </w:r>
      <w:r>
        <w:t>530</w:t>
      </w:r>
      <w:r w:rsidR="00EF45AE">
        <w:t> </w:t>
      </w:r>
      <w:r>
        <w:t>tis.</w:t>
      </w:r>
      <w:r w:rsidR="00EF45AE">
        <w:t> </w:t>
      </w:r>
      <w:r>
        <w:t>eur, čo predstavuje medziročný nárast o 17</w:t>
      </w:r>
      <w:r w:rsidR="00EF45AE">
        <w:t> </w:t>
      </w:r>
      <w:r>
        <w:t>591</w:t>
      </w:r>
      <w:r w:rsidR="00EF45AE">
        <w:t> </w:t>
      </w:r>
      <w:r>
        <w:t>tis.</w:t>
      </w:r>
      <w:r w:rsidR="00EF45AE">
        <w:t> </w:t>
      </w:r>
      <w:r>
        <w:t>eur.</w:t>
      </w:r>
      <w:r w:rsidRPr="00816FBC">
        <w:t xml:space="preserve"> Zavedenie dane z poistenia sa posunulo až na rok 2019.</w:t>
      </w:r>
      <w:r>
        <w:t xml:space="preserve"> </w:t>
      </w:r>
    </w:p>
    <w:p w14:paraId="0A7CC8B6" w14:textId="44848231" w:rsidR="008472BD" w:rsidRPr="00EF45AE" w:rsidRDefault="008472BD" w:rsidP="008472BD">
      <w:pPr>
        <w:tabs>
          <w:tab w:val="left" w:pos="284"/>
        </w:tabs>
      </w:pPr>
      <w:r w:rsidRPr="002A5103">
        <w:rPr>
          <w:b/>
        </w:rPr>
        <w:t>Dane z príjmov a kapitálového majetku</w:t>
      </w:r>
      <w:r w:rsidRPr="002A5103">
        <w:t xml:space="preserve"> sa rozpočtovali sumou </w:t>
      </w:r>
      <w:r w:rsidR="00EF45AE">
        <w:t>2 718 </w:t>
      </w:r>
      <w:r>
        <w:t>778</w:t>
      </w:r>
      <w:r w:rsidRPr="002A5103">
        <w:t xml:space="preserve"> tis. eur. Skutočný </w:t>
      </w:r>
      <w:r w:rsidR="00FF36A7">
        <w:t>príjem</w:t>
      </w:r>
      <w:r w:rsidRPr="002A5103">
        <w:t xml:space="preserve"> dosiahol </w:t>
      </w:r>
      <w:r>
        <w:t>3</w:t>
      </w:r>
      <w:r w:rsidR="00E46A5C">
        <w:t> </w:t>
      </w:r>
      <w:r>
        <w:t>011</w:t>
      </w:r>
      <w:r w:rsidR="00EF45AE">
        <w:t> </w:t>
      </w:r>
      <w:r>
        <w:t>023</w:t>
      </w:r>
      <w:r w:rsidR="00EF45AE">
        <w:t> tis. </w:t>
      </w:r>
      <w:r>
        <w:t>eur, resp. </w:t>
      </w:r>
      <w:r w:rsidRPr="00537F66">
        <w:t>3</w:t>
      </w:r>
      <w:r w:rsidR="00EF45AE">
        <w:t> </w:t>
      </w:r>
      <w:r w:rsidR="003B57EC">
        <w:t>01</w:t>
      </w:r>
      <w:r w:rsidRPr="00537F66">
        <w:t>5</w:t>
      </w:r>
      <w:r w:rsidR="00EF45AE">
        <w:t> </w:t>
      </w:r>
      <w:r w:rsidRPr="00537F66">
        <w:t>714</w:t>
      </w:r>
      <w:r w:rsidR="00EF45AE">
        <w:t> </w:t>
      </w:r>
      <w:r w:rsidRPr="00537F66">
        <w:t>tis.</w:t>
      </w:r>
      <w:r w:rsidR="00EF45AE">
        <w:t> </w:t>
      </w:r>
      <w:r w:rsidRPr="00537F66">
        <w:t>eur po premietnutí</w:t>
      </w:r>
      <w:r w:rsidR="00E46A5C">
        <w:t> </w:t>
      </w:r>
      <w:r w:rsidR="00437F0A">
        <w:t>4 691</w:t>
      </w:r>
      <w:r w:rsidR="00EF45AE">
        <w:t> </w:t>
      </w:r>
      <w:r w:rsidRPr="00537F66">
        <w:t>tis.</w:t>
      </w:r>
      <w:r w:rsidR="00EF45AE">
        <w:t> </w:t>
      </w:r>
      <w:r w:rsidRPr="00537F66">
        <w:t>eur zo sankcií</w:t>
      </w:r>
      <w:r w:rsidR="00480B55">
        <w:rPr>
          <w:rStyle w:val="Odkaznapoznmkupodiarou"/>
        </w:rPr>
        <w:footnoteReference w:id="19"/>
      </w:r>
      <w:r w:rsidRPr="00537F66">
        <w:t xml:space="preserve">. </w:t>
      </w:r>
      <w:r w:rsidRPr="00054437">
        <w:t>Oprot</w:t>
      </w:r>
      <w:r>
        <w:t xml:space="preserve">i rozpočtu </w:t>
      </w:r>
      <w:r w:rsidR="006E7E3B">
        <w:t xml:space="preserve">tak </w:t>
      </w:r>
      <w:r>
        <w:t>boli vyššie o</w:t>
      </w:r>
      <w:r w:rsidR="00EF45AE">
        <w:t> </w:t>
      </w:r>
      <w:r>
        <w:t>292</w:t>
      </w:r>
      <w:r w:rsidR="00EF45AE">
        <w:t> </w:t>
      </w:r>
      <w:r>
        <w:t>246</w:t>
      </w:r>
      <w:r w:rsidR="00EF45AE">
        <w:t> </w:t>
      </w:r>
      <w:r w:rsidRPr="00054437">
        <w:t>tis.</w:t>
      </w:r>
      <w:r w:rsidR="00EF45AE">
        <w:t> </w:t>
      </w:r>
      <w:r w:rsidRPr="00054437">
        <w:t xml:space="preserve">eur </w:t>
      </w:r>
      <w:r w:rsidRPr="00537F66">
        <w:t>(resp. o</w:t>
      </w:r>
      <w:r>
        <w:t> </w:t>
      </w:r>
      <w:r w:rsidRPr="00537F66">
        <w:t>296</w:t>
      </w:r>
      <w:r>
        <w:t> </w:t>
      </w:r>
      <w:r w:rsidRPr="00537F66">
        <w:t>936</w:t>
      </w:r>
      <w:r>
        <w:t> </w:t>
      </w:r>
      <w:r w:rsidR="00EF45AE">
        <w:t>tis. </w:t>
      </w:r>
      <w:r w:rsidRPr="00537F66">
        <w:t>eur</w:t>
      </w:r>
      <w:r w:rsidRPr="00EF45AE">
        <w:t xml:space="preserve">). </w:t>
      </w:r>
      <w:r w:rsidR="00074436">
        <w:t xml:space="preserve">Keďže daň z príjmov fyzickej osoby zo závislej činnosti je predmetom ,,podielových daní“ smerujúcich do rozpočtu obcí, miest a vyšších územných celkov, dane z príjmov a kapitálového majetku patriacich do štátneho rozpočtu sú tvorené </w:t>
      </w:r>
      <w:r w:rsidR="00044F35">
        <w:t>najmä</w:t>
      </w:r>
      <w:r w:rsidR="00074436">
        <w:t xml:space="preserve"> DPPO </w:t>
      </w:r>
      <w:r w:rsidR="00044F35">
        <w:t xml:space="preserve">(92,8 %) </w:t>
      </w:r>
      <w:r w:rsidR="00074436">
        <w:t>a zrážkovou daňou</w:t>
      </w:r>
      <w:r w:rsidR="00044F35">
        <w:t xml:space="preserve"> (6,9 %)</w:t>
      </w:r>
      <w:r w:rsidR="00074436">
        <w:t>.</w:t>
      </w:r>
    </w:p>
    <w:p w14:paraId="702CA796" w14:textId="41A33A58" w:rsidR="008472BD" w:rsidRPr="00D1210D" w:rsidRDefault="008472BD" w:rsidP="008472BD">
      <w:r w:rsidRPr="002A5103">
        <w:rPr>
          <w:b/>
          <w:i/>
        </w:rPr>
        <w:t>Daň z príjmov právnických osôb</w:t>
      </w:r>
      <w:r w:rsidRPr="002A5103">
        <w:rPr>
          <w:b/>
        </w:rPr>
        <w:t xml:space="preserve"> </w:t>
      </w:r>
      <w:r w:rsidRPr="002A5103">
        <w:t xml:space="preserve">sa rozpočtovala vo výške </w:t>
      </w:r>
      <w:r>
        <w:t>2</w:t>
      </w:r>
      <w:r w:rsidR="00EF45AE">
        <w:t> </w:t>
      </w:r>
      <w:r>
        <w:t>472</w:t>
      </w:r>
      <w:r w:rsidR="00EF45AE">
        <w:t> </w:t>
      </w:r>
      <w:r>
        <w:t>622</w:t>
      </w:r>
      <w:r w:rsidR="00EF45AE">
        <w:t> </w:t>
      </w:r>
      <w:r w:rsidRPr="002A5103">
        <w:t>ti</w:t>
      </w:r>
      <w:r w:rsidR="00EF45AE">
        <w:t>s. </w:t>
      </w:r>
      <w:r w:rsidRPr="002A5103">
        <w:t xml:space="preserve">eur. Skutočný </w:t>
      </w:r>
      <w:r w:rsidR="004A7EE5">
        <w:t>príjem</w:t>
      </w:r>
      <w:r w:rsidRPr="002A5103">
        <w:t xml:space="preserve"> dosiahol </w:t>
      </w:r>
      <w:r>
        <w:t>2 795 935 </w:t>
      </w:r>
      <w:r w:rsidRPr="002A5103">
        <w:t xml:space="preserve">tis. eur, čo predstavuje plnenie rozpočtu na </w:t>
      </w:r>
      <w:r>
        <w:t>113,1 </w:t>
      </w:r>
      <w:r w:rsidRPr="002A5103">
        <w:t>%.</w:t>
      </w:r>
      <w:r>
        <w:t xml:space="preserve"> </w:t>
      </w:r>
      <w:r w:rsidRPr="002A5103">
        <w:t>Pln</w:t>
      </w:r>
      <w:r>
        <w:t>enie bolo oproti rozpočtu vyššie</w:t>
      </w:r>
      <w:r w:rsidRPr="002A5103">
        <w:t xml:space="preserve"> o</w:t>
      </w:r>
      <w:r>
        <w:t> 323 313 </w:t>
      </w:r>
      <w:r w:rsidRPr="002A5103">
        <w:t>tis.</w:t>
      </w:r>
      <w:r w:rsidR="00EF45AE">
        <w:t> </w:t>
      </w:r>
      <w:r w:rsidRPr="002A5103">
        <w:t>eur.</w:t>
      </w:r>
      <w:r w:rsidRPr="00F46901">
        <w:t xml:space="preserve"> </w:t>
      </w:r>
      <w:r w:rsidR="00FC3877">
        <w:t>V</w:t>
      </w:r>
      <w:r w:rsidRPr="009840C0">
        <w:t>yšš</w:t>
      </w:r>
      <w:r w:rsidR="00FC3877">
        <w:t>ie príjmy boli dosiahnuté</w:t>
      </w:r>
      <w:r w:rsidRPr="009840C0">
        <w:t xml:space="preserve"> najmä </w:t>
      </w:r>
      <w:r w:rsidR="00FC3877">
        <w:t xml:space="preserve">vďaka </w:t>
      </w:r>
      <w:r w:rsidRPr="009840C0">
        <w:t>pokračujúc</w:t>
      </w:r>
      <w:r w:rsidR="00FC3877">
        <w:t>emu</w:t>
      </w:r>
      <w:r w:rsidRPr="009840C0">
        <w:t xml:space="preserve"> rast</w:t>
      </w:r>
      <w:r w:rsidR="00FC3877">
        <w:t>u</w:t>
      </w:r>
      <w:r w:rsidRPr="009840C0">
        <w:t xml:space="preserve"> domácej ekonomiky a ziskovosti podnikov, ktoré viedli k lepšiemu vyrovnaniu </w:t>
      </w:r>
      <w:proofErr w:type="spellStart"/>
      <w:r w:rsidRPr="009840C0">
        <w:t>korporátnej</w:t>
      </w:r>
      <w:proofErr w:type="spellEnd"/>
      <w:r w:rsidRPr="009840C0">
        <w:t xml:space="preserve"> dane za rok 2017.</w:t>
      </w:r>
      <w:r w:rsidRPr="002A5103">
        <w:t xml:space="preserve"> </w:t>
      </w:r>
      <w:r>
        <w:t>Medziročne stúpol</w:t>
      </w:r>
      <w:r w:rsidRPr="002A5103">
        <w:t xml:space="preserve"> hotovostný </w:t>
      </w:r>
      <w:r w:rsidR="00FC3877">
        <w:t>príjem</w:t>
      </w:r>
      <w:r w:rsidRPr="002A5103">
        <w:t xml:space="preserve"> tejto dane o</w:t>
      </w:r>
      <w:r w:rsidR="00EF45AE">
        <w:t> </w:t>
      </w:r>
      <w:r>
        <w:t>194</w:t>
      </w:r>
      <w:r w:rsidR="00EF45AE">
        <w:t> </w:t>
      </w:r>
      <w:r>
        <w:t>079</w:t>
      </w:r>
      <w:r w:rsidR="00EF45AE">
        <w:t> tis. </w:t>
      </w:r>
      <w:r w:rsidRPr="002A5103">
        <w:t>eur</w:t>
      </w:r>
      <w:r>
        <w:t>.</w:t>
      </w:r>
    </w:p>
    <w:p w14:paraId="6FB4F357" w14:textId="6F449311" w:rsidR="00B70436" w:rsidRPr="002A5103" w:rsidRDefault="00B70436" w:rsidP="00B70436">
      <w:r>
        <w:rPr>
          <w:b/>
          <w:bCs/>
          <w:i/>
        </w:rPr>
        <w:t xml:space="preserve">Daň </w:t>
      </w:r>
      <w:r w:rsidRPr="002A5103">
        <w:rPr>
          <w:b/>
          <w:bCs/>
          <w:i/>
        </w:rPr>
        <w:t>z príjmov vyberaná zrážkou</w:t>
      </w:r>
      <w:r w:rsidRPr="002A5103">
        <w:t xml:space="preserve"> sa rozpočtovala sumou </w:t>
      </w:r>
      <w:r>
        <w:t>242 638 </w:t>
      </w:r>
      <w:r w:rsidRPr="002A5103">
        <w:t>tis.</w:t>
      </w:r>
      <w:r>
        <w:t> </w:t>
      </w:r>
      <w:r w:rsidRPr="002A5103">
        <w:t xml:space="preserve">eur a v skutočnosti dosiahla </w:t>
      </w:r>
      <w:r>
        <w:t>209 170 tis. </w:t>
      </w:r>
      <w:r w:rsidRPr="002A5103">
        <w:t>eu</w:t>
      </w:r>
      <w:r>
        <w:t>r,</w:t>
      </w:r>
      <w:r w:rsidRPr="002A5103">
        <w:t xml:space="preserve"> </w:t>
      </w:r>
      <w:r>
        <w:t>r</w:t>
      </w:r>
      <w:r w:rsidRPr="002A5103">
        <w:t xml:space="preserve">ozpočtovaný </w:t>
      </w:r>
      <w:r>
        <w:t>príjem</w:t>
      </w:r>
      <w:r w:rsidRPr="002A5103">
        <w:t xml:space="preserve"> sa </w:t>
      </w:r>
      <w:r>
        <w:t xml:space="preserve">tak </w:t>
      </w:r>
      <w:r w:rsidRPr="002A5103">
        <w:t xml:space="preserve">naplnil na </w:t>
      </w:r>
      <w:r>
        <w:t xml:space="preserve">86,2 %. </w:t>
      </w:r>
      <w:r w:rsidRPr="0018663E">
        <w:t xml:space="preserve">Nižšia skutočnosť </w:t>
      </w:r>
      <w:r w:rsidR="00B3763F">
        <w:t xml:space="preserve">ako predpoklad rozpočtu </w:t>
      </w:r>
      <w:r w:rsidRPr="0018663E">
        <w:t>bol najmä z dôvodu očakávan</w:t>
      </w:r>
      <w:r w:rsidR="00B3763F">
        <w:t>ého</w:t>
      </w:r>
      <w:r w:rsidRPr="0018663E">
        <w:t xml:space="preserve"> zavedenia dane z dividend. </w:t>
      </w:r>
      <w:r w:rsidR="00C15DD8">
        <w:t xml:space="preserve">Pri medziročnom porovnaní skutočnosti </w:t>
      </w:r>
      <w:r w:rsidR="00105B67">
        <w:t>bolo</w:t>
      </w:r>
      <w:r w:rsidR="00C15DD8">
        <w:t xml:space="preserve"> p</w:t>
      </w:r>
      <w:r>
        <w:t>lnenie tejto dane vyššie</w:t>
      </w:r>
      <w:r w:rsidRPr="002A5103">
        <w:t xml:space="preserve"> o</w:t>
      </w:r>
      <w:r>
        <w:t> </w:t>
      </w:r>
      <w:r w:rsidRPr="00770A39">
        <w:t>30</w:t>
      </w:r>
      <w:r>
        <w:t> </w:t>
      </w:r>
      <w:r w:rsidRPr="00770A39">
        <w:t>738</w:t>
      </w:r>
      <w:r>
        <w:t> </w:t>
      </w:r>
      <w:r w:rsidRPr="002A5103">
        <w:t>tis.</w:t>
      </w:r>
      <w:r>
        <w:t> </w:t>
      </w:r>
      <w:r w:rsidRPr="002A5103">
        <w:t xml:space="preserve">eur. </w:t>
      </w:r>
    </w:p>
    <w:p w14:paraId="7C260B8B" w14:textId="6A2EBF1C" w:rsidR="008472BD" w:rsidRPr="009840C0" w:rsidRDefault="008472BD" w:rsidP="008472BD">
      <w:pPr>
        <w:tabs>
          <w:tab w:val="left" w:pos="284"/>
        </w:tabs>
      </w:pPr>
      <w:r w:rsidRPr="00A62514">
        <w:t xml:space="preserve">Celkový </w:t>
      </w:r>
      <w:r w:rsidR="00024D82">
        <w:t>príjem</w:t>
      </w:r>
      <w:r w:rsidRPr="00A62514">
        <w:t xml:space="preserve"> podielovej </w:t>
      </w:r>
      <w:r w:rsidRPr="00A62514">
        <w:rPr>
          <w:b/>
          <w:i/>
        </w:rPr>
        <w:t>dane z príjmov fyzických osôb,</w:t>
      </w:r>
      <w:r w:rsidRPr="00A62514">
        <w:t xml:space="preserve"> vrátane prevodov do obc</w:t>
      </w:r>
      <w:r w:rsidR="00EF45AE">
        <w:t xml:space="preserve">í a VÚC sa rozpočtoval vo výške </w:t>
      </w:r>
      <w:r w:rsidRPr="009840C0">
        <w:t>2 749 321 </w:t>
      </w:r>
      <w:r w:rsidRPr="00A62514">
        <w:t>tis. eur</w:t>
      </w:r>
      <w:r w:rsidRPr="000F74BB">
        <w:t xml:space="preserve">. Skutočný </w:t>
      </w:r>
      <w:r w:rsidR="00024D82">
        <w:t>príjem</w:t>
      </w:r>
      <w:r w:rsidRPr="000F74BB">
        <w:t xml:space="preserve"> dane z príjmov fyzických osôb vrátane </w:t>
      </w:r>
      <w:r w:rsidR="00EF45AE">
        <w:t>prevodov do obcí a VÚC dosiahol 2 866 </w:t>
      </w:r>
      <w:r w:rsidRPr="000F74BB">
        <w:t xml:space="preserve">022 tis. eur. </w:t>
      </w:r>
      <w:r w:rsidRPr="007E7772">
        <w:t>Z toho da</w:t>
      </w:r>
      <w:r w:rsidR="00B86748">
        <w:t>ň</w:t>
      </w:r>
      <w:r w:rsidRPr="007E7772">
        <w:t xml:space="preserve"> zo závisle</w:t>
      </w:r>
      <w:r>
        <w:t>j činnosti predstavuje 2</w:t>
      </w:r>
      <w:r w:rsidR="00EF45AE">
        <w:t> </w:t>
      </w:r>
      <w:r>
        <w:t>836</w:t>
      </w:r>
      <w:r w:rsidR="00EF45AE">
        <w:t> </w:t>
      </w:r>
      <w:r>
        <w:t>353</w:t>
      </w:r>
      <w:r w:rsidR="00EF45AE">
        <w:t xml:space="preserve"> tis. eur a </w:t>
      </w:r>
      <w:r w:rsidRPr="007E7772">
        <w:t>da</w:t>
      </w:r>
      <w:r w:rsidR="00B86748">
        <w:t>ň</w:t>
      </w:r>
      <w:r w:rsidRPr="007E7772">
        <w:t xml:space="preserve"> z podnikania, z inej samostatnej zárobko</w:t>
      </w:r>
      <w:r>
        <w:t>vej činnosti a z prenájmu 61 919 </w:t>
      </w:r>
      <w:r w:rsidRPr="007E7772">
        <w:t>tis.</w:t>
      </w:r>
      <w:r>
        <w:t> </w:t>
      </w:r>
      <w:r w:rsidRPr="007E7772">
        <w:t xml:space="preserve">eur. </w:t>
      </w:r>
      <w:r w:rsidRPr="009840C0">
        <w:t>Prevod</w:t>
      </w:r>
      <w:r w:rsidR="00EF45AE">
        <w:t xml:space="preserve"> prostriedkov </w:t>
      </w:r>
      <w:r>
        <w:t>v zmysle </w:t>
      </w:r>
      <w:r w:rsidRPr="009840C0">
        <w:t xml:space="preserve">§ 50 zákona č. 595/2003 Z. z. o dani z príjmov v znení neskorších predpisov, ktorý znižuje celkový </w:t>
      </w:r>
      <w:r w:rsidR="00626E4F">
        <w:t>príjem</w:t>
      </w:r>
      <w:r w:rsidRPr="009840C0">
        <w:t xml:space="preserve"> dane z príjmov fyzických osôb dosiahol sumu 32</w:t>
      </w:r>
      <w:r w:rsidR="00EF45AE">
        <w:t> </w:t>
      </w:r>
      <w:r w:rsidRPr="009840C0">
        <w:t>250</w:t>
      </w:r>
      <w:r w:rsidR="00EF45AE">
        <w:t> </w:t>
      </w:r>
      <w:r w:rsidRPr="009840C0">
        <w:t>tis.</w:t>
      </w:r>
      <w:r w:rsidR="00EF45AE">
        <w:t> </w:t>
      </w:r>
      <w:r w:rsidRPr="009840C0">
        <w:t>eur.</w:t>
      </w:r>
    </w:p>
    <w:p w14:paraId="5A95BC9F" w14:textId="2751B2A1" w:rsidR="008472BD" w:rsidRPr="009840C0" w:rsidRDefault="008472BD" w:rsidP="008472BD">
      <w:pPr>
        <w:tabs>
          <w:tab w:val="left" w:pos="284"/>
        </w:tabs>
      </w:pPr>
      <w:r w:rsidRPr="009840C0">
        <w:t xml:space="preserve">Od roku 2005 je daň z príjmov fyzických osôb podielovou daňou. V zmysle zákona č. 564/2004 Z. z. o rozpočtovom určení výnosu dane z príjmov územnej samospráve a o zmene a doplnení niektorých zákonov sa výnos dane prerozdeľuje stanoveným mechanizmom medzi obce a vyššie územné celky. Od roku 2016 sa celý výnos dane </w:t>
      </w:r>
      <w:r w:rsidR="00EF45AE">
        <w:t xml:space="preserve">prerozdeľuje medzi obce a </w:t>
      </w:r>
      <w:r w:rsidRPr="009840C0">
        <w:t>vyššie územné celky. Podiel obcí na dan</w:t>
      </w:r>
      <w:r w:rsidR="00FD6BDC">
        <w:t>i</w:t>
      </w:r>
      <w:r w:rsidRPr="009840C0">
        <w:t xml:space="preserve"> z príjmov fyzických osôb je 70 %. Vyšším územným celkom pripadá zvyšných 30 % z</w:t>
      </w:r>
      <w:r w:rsidR="00D8751E">
        <w:t> tejto dane</w:t>
      </w:r>
      <w:r w:rsidRPr="009840C0">
        <w:t>. Na účte štátneho rozpočtu zostávajú priebežne len časti výnosu dane z dôvodu posunu medzi prip</w:t>
      </w:r>
      <w:r w:rsidR="00EF45AE">
        <w:t xml:space="preserve">ísaním dane na účet ŠR a </w:t>
      </w:r>
      <w:r w:rsidRPr="009840C0">
        <w:t>jej prevedením na obce a</w:t>
      </w:r>
      <w:r w:rsidR="00EF45AE">
        <w:t xml:space="preserve"> </w:t>
      </w:r>
      <w:r w:rsidRPr="009840C0">
        <w:t xml:space="preserve">vyššie územné celky. </w:t>
      </w:r>
    </w:p>
    <w:p w14:paraId="3D71F39B" w14:textId="6B720A74" w:rsidR="008472BD" w:rsidRPr="00A648B6" w:rsidRDefault="008472BD" w:rsidP="008472BD">
      <w:pPr>
        <w:tabs>
          <w:tab w:val="left" w:pos="284"/>
        </w:tabs>
      </w:pPr>
      <w:r w:rsidRPr="002A5103">
        <w:rPr>
          <w:b/>
          <w:i/>
        </w:rPr>
        <w:t>Príjem štátneho rozpočtu z dane z príjmov fyzických osôb</w:t>
      </w:r>
      <w:r w:rsidRPr="002A5103">
        <w:rPr>
          <w:b/>
        </w:rPr>
        <w:t xml:space="preserve"> </w:t>
      </w:r>
      <w:r w:rsidRPr="002A5103">
        <w:t xml:space="preserve">sa s ohľadom na uvedené pravidlá fiškálnej decentralizácie rozpočtoval sumou </w:t>
      </w:r>
      <w:r>
        <w:t>3 518</w:t>
      </w:r>
      <w:r w:rsidRPr="002A5103">
        <w:t xml:space="preserve"> tis. eur a skutočné plnenie dosiahlo hodnotu </w:t>
      </w:r>
      <w:r w:rsidR="00122D00">
        <w:t>5 919</w:t>
      </w:r>
      <w:r>
        <w:t> </w:t>
      </w:r>
      <w:r w:rsidRPr="002A5103">
        <w:t>tis. eur</w:t>
      </w:r>
      <w:r w:rsidR="00EA2261">
        <w:t>.</w:t>
      </w:r>
      <w:r w:rsidR="00122D00">
        <w:t>, resp. 10 609 tis. eur.</w:t>
      </w:r>
      <w:r w:rsidRPr="002A5103">
        <w:t xml:space="preserve"> po presune časti sankcií.</w:t>
      </w:r>
    </w:p>
    <w:p w14:paraId="7F7D2188" w14:textId="25E9E635" w:rsidR="008472BD" w:rsidRPr="00BF176F" w:rsidRDefault="008472BD" w:rsidP="00027919">
      <w:pPr>
        <w:pStyle w:val="Odsekzoznamu"/>
        <w:spacing w:after="120" w:line="336" w:lineRule="auto"/>
        <w:ind w:left="0"/>
        <w:jc w:val="both"/>
        <w:rPr>
          <w:sz w:val="18"/>
          <w:szCs w:val="18"/>
        </w:rPr>
      </w:pPr>
      <w:r w:rsidRPr="00B63DD7">
        <w:rPr>
          <w:rFonts w:ascii="Times New Roman" w:hAnsi="Times New Roman"/>
        </w:rPr>
        <w:t>V roku 2018 mali fyzické a právnické osoby možnosť poukázať 2</w:t>
      </w:r>
      <w:r w:rsidR="00EF45AE">
        <w:rPr>
          <w:rFonts w:ascii="Times New Roman" w:hAnsi="Times New Roman"/>
        </w:rPr>
        <w:t> </w:t>
      </w:r>
      <w:r w:rsidRPr="00B63DD7">
        <w:rPr>
          <w:rFonts w:ascii="Times New Roman" w:hAnsi="Times New Roman"/>
        </w:rPr>
        <w:t>% (v špecifických prípadoch právnické osoby len 1,5</w:t>
      </w:r>
      <w:r w:rsidR="00EF45AE">
        <w:rPr>
          <w:rFonts w:ascii="Times New Roman" w:hAnsi="Times New Roman"/>
        </w:rPr>
        <w:t> </w:t>
      </w:r>
      <w:r w:rsidRPr="00B63DD7">
        <w:rPr>
          <w:rFonts w:ascii="Times New Roman" w:hAnsi="Times New Roman"/>
        </w:rPr>
        <w:t>% a fyzické osoby až 3</w:t>
      </w:r>
      <w:r w:rsidR="00EF45AE">
        <w:rPr>
          <w:rFonts w:ascii="Times New Roman" w:hAnsi="Times New Roman"/>
        </w:rPr>
        <w:t> </w:t>
      </w:r>
      <w:r w:rsidRPr="00B63DD7">
        <w:rPr>
          <w:rFonts w:ascii="Times New Roman" w:hAnsi="Times New Roman"/>
        </w:rPr>
        <w:t xml:space="preserve">%) z odvedenej dane na verejnoprospešný účel. V priebehu roka 2018 bolo týmto spôsobom prevedených 68 343 tis. eur, čo je v porovnaní s minulým </w:t>
      </w:r>
      <w:r w:rsidRPr="00AF586A">
        <w:rPr>
          <w:rFonts w:ascii="Times New Roman" w:hAnsi="Times New Roman"/>
        </w:rPr>
        <w:t>rokom nárast o 4 914 tis.</w:t>
      </w:r>
      <w:r w:rsidR="00EF45AE">
        <w:rPr>
          <w:rFonts w:ascii="Times New Roman" w:hAnsi="Times New Roman"/>
        </w:rPr>
        <w:t> </w:t>
      </w:r>
      <w:r w:rsidRPr="00AF586A">
        <w:rPr>
          <w:rFonts w:ascii="Times New Roman" w:hAnsi="Times New Roman"/>
        </w:rPr>
        <w:t>eur. Fyzické osoby poukázali 30</w:t>
      </w:r>
      <w:r w:rsidR="00EF45AE">
        <w:rPr>
          <w:rFonts w:ascii="Times New Roman" w:hAnsi="Times New Roman"/>
        </w:rPr>
        <w:t> </w:t>
      </w:r>
      <w:r w:rsidRPr="00AF586A">
        <w:rPr>
          <w:rFonts w:ascii="Times New Roman" w:hAnsi="Times New Roman"/>
        </w:rPr>
        <w:t>250</w:t>
      </w:r>
      <w:r w:rsidR="00EF45AE">
        <w:rPr>
          <w:rFonts w:ascii="Times New Roman" w:hAnsi="Times New Roman"/>
        </w:rPr>
        <w:t> </w:t>
      </w:r>
      <w:r w:rsidRPr="00AF586A">
        <w:rPr>
          <w:rFonts w:ascii="Times New Roman" w:hAnsi="Times New Roman"/>
        </w:rPr>
        <w:t>tis.</w:t>
      </w:r>
      <w:r w:rsidR="00EF45AE">
        <w:rPr>
          <w:rFonts w:ascii="Times New Roman" w:hAnsi="Times New Roman"/>
        </w:rPr>
        <w:t> </w:t>
      </w:r>
      <w:r w:rsidRPr="00AF586A">
        <w:rPr>
          <w:rFonts w:ascii="Times New Roman" w:hAnsi="Times New Roman"/>
        </w:rPr>
        <w:t>eur a právnické osoby 36</w:t>
      </w:r>
      <w:r w:rsidR="00EF45AE">
        <w:rPr>
          <w:rFonts w:ascii="Times New Roman" w:hAnsi="Times New Roman"/>
        </w:rPr>
        <w:t> </w:t>
      </w:r>
      <w:r w:rsidRPr="00AF586A">
        <w:rPr>
          <w:rFonts w:ascii="Times New Roman" w:hAnsi="Times New Roman"/>
        </w:rPr>
        <w:t>093</w:t>
      </w:r>
      <w:r w:rsidR="00EF45AE">
        <w:rPr>
          <w:rFonts w:ascii="Times New Roman" w:hAnsi="Times New Roman"/>
        </w:rPr>
        <w:t> </w:t>
      </w:r>
      <w:r w:rsidRPr="00AF586A">
        <w:rPr>
          <w:rFonts w:ascii="Times New Roman" w:hAnsi="Times New Roman"/>
        </w:rPr>
        <w:t>tis.</w:t>
      </w:r>
      <w:r w:rsidR="00EF45AE">
        <w:rPr>
          <w:rFonts w:ascii="Times New Roman" w:hAnsi="Times New Roman"/>
        </w:rPr>
        <w:t> </w:t>
      </w:r>
      <w:r w:rsidRPr="00AF586A">
        <w:rPr>
          <w:rFonts w:ascii="Times New Roman" w:hAnsi="Times New Roman"/>
        </w:rPr>
        <w:t>eur.</w:t>
      </w:r>
    </w:p>
    <w:tbl>
      <w:tblPr>
        <w:tblpPr w:leftFromText="141" w:rightFromText="141" w:vertAnchor="text" w:horzAnchor="margin" w:tblpXSpec="center" w:tblpY="59"/>
        <w:tblW w:w="8647" w:type="dxa"/>
        <w:tblCellMar>
          <w:left w:w="70" w:type="dxa"/>
          <w:right w:w="70" w:type="dxa"/>
        </w:tblCellMar>
        <w:tblLook w:val="04A0" w:firstRow="1" w:lastRow="0" w:firstColumn="1" w:lastColumn="0" w:noHBand="0" w:noVBand="1"/>
      </w:tblPr>
      <w:tblGrid>
        <w:gridCol w:w="4874"/>
        <w:gridCol w:w="1363"/>
        <w:gridCol w:w="992"/>
        <w:gridCol w:w="1418"/>
      </w:tblGrid>
      <w:tr w:rsidR="008472BD" w:rsidRPr="00094791" w14:paraId="03CABDE9" w14:textId="77777777" w:rsidTr="00C65E25">
        <w:trPr>
          <w:trHeight w:val="254"/>
        </w:trPr>
        <w:tc>
          <w:tcPr>
            <w:tcW w:w="8647" w:type="dxa"/>
            <w:gridSpan w:val="4"/>
            <w:tcBorders>
              <w:top w:val="single" w:sz="4" w:space="0" w:color="auto"/>
              <w:left w:val="nil"/>
              <w:bottom w:val="nil"/>
              <w:right w:val="nil"/>
            </w:tcBorders>
            <w:shd w:val="clear" w:color="000000" w:fill="000000"/>
            <w:noWrap/>
            <w:vAlign w:val="center"/>
          </w:tcPr>
          <w:p w14:paraId="7E7C5B62" w14:textId="77777777" w:rsidR="008472BD" w:rsidRPr="00BF176F" w:rsidRDefault="008472BD" w:rsidP="008472BD">
            <w:pPr>
              <w:spacing w:after="0" w:line="240" w:lineRule="auto"/>
              <w:rPr>
                <w:b/>
                <w:bCs/>
                <w:color w:val="FFFFFF"/>
                <w:sz w:val="20"/>
                <w:szCs w:val="20"/>
              </w:rPr>
            </w:pPr>
            <w:r w:rsidRPr="00BF176F">
              <w:rPr>
                <w:b/>
                <w:bCs/>
                <w:color w:val="FFFFFF"/>
                <w:sz w:val="20"/>
                <w:szCs w:val="20"/>
              </w:rPr>
              <w:t xml:space="preserve">Prevod podielu dane        </w:t>
            </w:r>
            <w:r>
              <w:rPr>
                <w:b/>
                <w:bCs/>
                <w:color w:val="FFFFFF"/>
                <w:sz w:val="20"/>
                <w:szCs w:val="20"/>
              </w:rPr>
              <w:t xml:space="preserve">                                                                                                              v tis. eur</w:t>
            </w:r>
          </w:p>
        </w:tc>
      </w:tr>
      <w:tr w:rsidR="008472BD" w:rsidRPr="00094791" w14:paraId="00B08D16" w14:textId="77777777" w:rsidTr="00C65E25">
        <w:trPr>
          <w:trHeight w:val="148"/>
        </w:trPr>
        <w:tc>
          <w:tcPr>
            <w:tcW w:w="4874" w:type="dxa"/>
            <w:tcBorders>
              <w:top w:val="nil"/>
              <w:left w:val="nil"/>
              <w:right w:val="nil"/>
            </w:tcBorders>
            <w:shd w:val="clear" w:color="000000" w:fill="BFBFBF"/>
            <w:noWrap/>
            <w:vAlign w:val="center"/>
          </w:tcPr>
          <w:p w14:paraId="13E43823" w14:textId="77777777" w:rsidR="008472BD" w:rsidRPr="00BF176F" w:rsidRDefault="008472BD" w:rsidP="008472BD">
            <w:pPr>
              <w:spacing w:after="0" w:line="240" w:lineRule="auto"/>
              <w:contextualSpacing/>
              <w:jc w:val="center"/>
              <w:rPr>
                <w:b/>
                <w:color w:val="000000"/>
                <w:sz w:val="20"/>
                <w:szCs w:val="20"/>
                <w:lang w:eastAsia="sk-SK"/>
              </w:rPr>
            </w:pPr>
            <w:r w:rsidRPr="00BF176F">
              <w:rPr>
                <w:b/>
                <w:color w:val="000000"/>
                <w:sz w:val="20"/>
                <w:szCs w:val="20"/>
                <w:lang w:eastAsia="sk-SK"/>
              </w:rPr>
              <w:t> </w:t>
            </w:r>
          </w:p>
        </w:tc>
        <w:tc>
          <w:tcPr>
            <w:tcW w:w="3773" w:type="dxa"/>
            <w:gridSpan w:val="3"/>
            <w:tcBorders>
              <w:top w:val="nil"/>
              <w:left w:val="nil"/>
              <w:right w:val="nil"/>
            </w:tcBorders>
            <w:shd w:val="clear" w:color="000000" w:fill="BFBFBF"/>
            <w:noWrap/>
            <w:vAlign w:val="center"/>
          </w:tcPr>
          <w:p w14:paraId="354A5BCD" w14:textId="77777777" w:rsidR="008472BD" w:rsidRPr="00BF176F" w:rsidRDefault="008472BD" w:rsidP="008472BD">
            <w:pPr>
              <w:spacing w:after="0" w:line="240" w:lineRule="auto"/>
              <w:contextualSpacing/>
              <w:jc w:val="center"/>
              <w:rPr>
                <w:b/>
                <w:color w:val="000000"/>
                <w:sz w:val="20"/>
                <w:szCs w:val="20"/>
                <w:lang w:eastAsia="sk-SK"/>
              </w:rPr>
            </w:pPr>
            <w:r w:rsidRPr="00BF176F">
              <w:rPr>
                <w:b/>
                <w:color w:val="000000"/>
                <w:sz w:val="20"/>
                <w:szCs w:val="20"/>
                <w:lang w:eastAsia="sk-SK"/>
              </w:rPr>
              <w:t>Skutočnosť</w:t>
            </w:r>
          </w:p>
        </w:tc>
      </w:tr>
      <w:tr w:rsidR="008472BD" w:rsidRPr="00094791" w14:paraId="6F14899B" w14:textId="77777777" w:rsidTr="00C65E25">
        <w:trPr>
          <w:trHeight w:val="269"/>
        </w:trPr>
        <w:tc>
          <w:tcPr>
            <w:tcW w:w="4874" w:type="dxa"/>
            <w:tcBorders>
              <w:top w:val="nil"/>
              <w:left w:val="nil"/>
              <w:bottom w:val="single" w:sz="4" w:space="0" w:color="auto"/>
              <w:right w:val="nil"/>
            </w:tcBorders>
            <w:shd w:val="clear" w:color="000000" w:fill="BFBFBF"/>
            <w:noWrap/>
            <w:vAlign w:val="center"/>
          </w:tcPr>
          <w:p w14:paraId="10212EA8" w14:textId="77777777" w:rsidR="008472BD" w:rsidRPr="00BF176F" w:rsidRDefault="008472BD" w:rsidP="008472BD">
            <w:pPr>
              <w:spacing w:after="0" w:line="240" w:lineRule="auto"/>
              <w:contextualSpacing/>
              <w:jc w:val="center"/>
              <w:rPr>
                <w:b/>
                <w:color w:val="000000"/>
                <w:sz w:val="20"/>
                <w:szCs w:val="20"/>
                <w:lang w:eastAsia="sk-SK"/>
              </w:rPr>
            </w:pPr>
            <w:r w:rsidRPr="00BF176F">
              <w:rPr>
                <w:b/>
                <w:color w:val="000000"/>
                <w:sz w:val="20"/>
                <w:szCs w:val="20"/>
                <w:lang w:eastAsia="sk-SK"/>
              </w:rPr>
              <w:t> </w:t>
            </w:r>
          </w:p>
        </w:tc>
        <w:tc>
          <w:tcPr>
            <w:tcW w:w="1363" w:type="dxa"/>
            <w:tcBorders>
              <w:top w:val="nil"/>
              <w:left w:val="nil"/>
              <w:bottom w:val="single" w:sz="4" w:space="0" w:color="auto"/>
              <w:right w:val="nil"/>
            </w:tcBorders>
            <w:shd w:val="clear" w:color="000000" w:fill="BFBFBF"/>
            <w:noWrap/>
            <w:vAlign w:val="center"/>
          </w:tcPr>
          <w:p w14:paraId="64079635" w14:textId="77777777" w:rsidR="008472BD" w:rsidRPr="00BF176F" w:rsidRDefault="008472BD" w:rsidP="008472BD">
            <w:pPr>
              <w:spacing w:after="0" w:line="240" w:lineRule="auto"/>
              <w:contextualSpacing/>
              <w:jc w:val="center"/>
              <w:rPr>
                <w:b/>
                <w:sz w:val="20"/>
                <w:szCs w:val="20"/>
                <w:lang w:eastAsia="sk-SK"/>
              </w:rPr>
            </w:pPr>
            <w:r>
              <w:rPr>
                <w:b/>
                <w:sz w:val="20"/>
                <w:szCs w:val="20"/>
                <w:lang w:eastAsia="sk-SK"/>
              </w:rPr>
              <w:t xml:space="preserve">            </w:t>
            </w:r>
            <w:r w:rsidRPr="00BF176F">
              <w:rPr>
                <w:b/>
                <w:sz w:val="20"/>
                <w:szCs w:val="20"/>
                <w:lang w:eastAsia="sk-SK"/>
              </w:rPr>
              <w:t>201</w:t>
            </w:r>
            <w:r>
              <w:rPr>
                <w:b/>
                <w:sz w:val="20"/>
                <w:szCs w:val="20"/>
                <w:lang w:eastAsia="sk-SK"/>
              </w:rPr>
              <w:t>6</w:t>
            </w:r>
          </w:p>
        </w:tc>
        <w:tc>
          <w:tcPr>
            <w:tcW w:w="992" w:type="dxa"/>
            <w:tcBorders>
              <w:top w:val="nil"/>
              <w:left w:val="nil"/>
              <w:bottom w:val="single" w:sz="4" w:space="0" w:color="auto"/>
              <w:right w:val="nil"/>
            </w:tcBorders>
            <w:shd w:val="clear" w:color="000000" w:fill="BFBFBF"/>
            <w:noWrap/>
            <w:vAlign w:val="center"/>
          </w:tcPr>
          <w:p w14:paraId="121A56EC" w14:textId="77777777" w:rsidR="008472BD" w:rsidRPr="00BF176F" w:rsidRDefault="008472BD" w:rsidP="008472BD">
            <w:pPr>
              <w:spacing w:after="0" w:line="240" w:lineRule="auto"/>
              <w:contextualSpacing/>
              <w:jc w:val="center"/>
              <w:rPr>
                <w:b/>
                <w:sz w:val="20"/>
                <w:szCs w:val="20"/>
                <w:lang w:eastAsia="sk-SK"/>
              </w:rPr>
            </w:pPr>
            <w:r>
              <w:rPr>
                <w:b/>
                <w:sz w:val="20"/>
                <w:szCs w:val="20"/>
                <w:lang w:eastAsia="sk-SK"/>
              </w:rPr>
              <w:t xml:space="preserve">      </w:t>
            </w:r>
            <w:r w:rsidRPr="00BF176F">
              <w:rPr>
                <w:b/>
                <w:sz w:val="20"/>
                <w:szCs w:val="20"/>
                <w:lang w:eastAsia="sk-SK"/>
              </w:rPr>
              <w:t>201</w:t>
            </w:r>
            <w:r>
              <w:rPr>
                <w:b/>
                <w:sz w:val="20"/>
                <w:szCs w:val="20"/>
                <w:lang w:eastAsia="sk-SK"/>
              </w:rPr>
              <w:t>7</w:t>
            </w:r>
          </w:p>
        </w:tc>
        <w:tc>
          <w:tcPr>
            <w:tcW w:w="1418" w:type="dxa"/>
            <w:tcBorders>
              <w:top w:val="nil"/>
              <w:left w:val="nil"/>
              <w:bottom w:val="single" w:sz="4" w:space="0" w:color="auto"/>
              <w:right w:val="nil"/>
            </w:tcBorders>
            <w:shd w:val="clear" w:color="000000" w:fill="BFBFBF"/>
            <w:noWrap/>
            <w:vAlign w:val="center"/>
          </w:tcPr>
          <w:p w14:paraId="1785477F" w14:textId="77777777" w:rsidR="008472BD" w:rsidRPr="00BF176F" w:rsidRDefault="008472BD" w:rsidP="008472BD">
            <w:pPr>
              <w:spacing w:after="0" w:line="240" w:lineRule="auto"/>
              <w:contextualSpacing/>
              <w:rPr>
                <w:b/>
                <w:sz w:val="20"/>
                <w:szCs w:val="20"/>
                <w:lang w:eastAsia="sk-SK"/>
              </w:rPr>
            </w:pPr>
            <w:r>
              <w:rPr>
                <w:b/>
                <w:sz w:val="20"/>
                <w:szCs w:val="20"/>
                <w:lang w:eastAsia="sk-SK"/>
              </w:rPr>
              <w:t xml:space="preserve">        </w:t>
            </w:r>
            <w:r w:rsidRPr="00BF176F">
              <w:rPr>
                <w:b/>
                <w:sz w:val="20"/>
                <w:szCs w:val="20"/>
                <w:lang w:eastAsia="sk-SK"/>
              </w:rPr>
              <w:t>201</w:t>
            </w:r>
            <w:r>
              <w:rPr>
                <w:b/>
                <w:sz w:val="20"/>
                <w:szCs w:val="20"/>
                <w:lang w:eastAsia="sk-SK"/>
              </w:rPr>
              <w:t>8</w:t>
            </w:r>
          </w:p>
        </w:tc>
      </w:tr>
      <w:tr w:rsidR="008472BD" w:rsidRPr="00094791" w14:paraId="7BF64D2E" w14:textId="77777777" w:rsidTr="00C65E25">
        <w:trPr>
          <w:trHeight w:val="304"/>
        </w:trPr>
        <w:tc>
          <w:tcPr>
            <w:tcW w:w="4874" w:type="dxa"/>
            <w:tcBorders>
              <w:top w:val="single" w:sz="4" w:space="0" w:color="auto"/>
              <w:left w:val="nil"/>
              <w:bottom w:val="nil"/>
              <w:right w:val="nil"/>
            </w:tcBorders>
            <w:shd w:val="clear" w:color="auto" w:fill="auto"/>
            <w:noWrap/>
            <w:vAlign w:val="center"/>
          </w:tcPr>
          <w:p w14:paraId="01F0018A" w14:textId="77777777" w:rsidR="008472BD" w:rsidRPr="00BF176F" w:rsidRDefault="008472BD" w:rsidP="008472BD">
            <w:pPr>
              <w:spacing w:after="0" w:line="240" w:lineRule="auto"/>
              <w:jc w:val="left"/>
              <w:rPr>
                <w:color w:val="000000"/>
                <w:sz w:val="20"/>
                <w:szCs w:val="20"/>
                <w:lang w:eastAsia="sk-SK"/>
              </w:rPr>
            </w:pPr>
            <w:r w:rsidRPr="00BF176F">
              <w:rPr>
                <w:color w:val="000000"/>
                <w:sz w:val="20"/>
                <w:szCs w:val="20"/>
                <w:lang w:eastAsia="sk-SK"/>
              </w:rPr>
              <w:t>Prevod podielu dane z príjmov FO na osobitný účel</w:t>
            </w:r>
          </w:p>
        </w:tc>
        <w:tc>
          <w:tcPr>
            <w:tcW w:w="1363" w:type="dxa"/>
            <w:tcBorders>
              <w:top w:val="single" w:sz="4" w:space="0" w:color="auto"/>
              <w:left w:val="nil"/>
              <w:bottom w:val="nil"/>
              <w:right w:val="nil"/>
            </w:tcBorders>
            <w:shd w:val="clear" w:color="auto" w:fill="auto"/>
            <w:noWrap/>
            <w:vAlign w:val="center"/>
          </w:tcPr>
          <w:p w14:paraId="6F77B2EB" w14:textId="77777777" w:rsidR="008472BD" w:rsidRPr="00BF176F" w:rsidRDefault="008472BD" w:rsidP="008472BD">
            <w:pPr>
              <w:spacing w:after="0" w:line="240" w:lineRule="auto"/>
              <w:jc w:val="right"/>
              <w:rPr>
                <w:color w:val="FF0000"/>
                <w:sz w:val="20"/>
                <w:szCs w:val="20"/>
                <w:lang w:eastAsia="sk-SK"/>
              </w:rPr>
            </w:pPr>
            <w:r w:rsidRPr="00BF176F">
              <w:rPr>
                <w:sz w:val="20"/>
                <w:szCs w:val="20"/>
              </w:rPr>
              <w:t>27</w:t>
            </w:r>
            <w:r>
              <w:rPr>
                <w:sz w:val="20"/>
                <w:szCs w:val="20"/>
              </w:rPr>
              <w:t> </w:t>
            </w:r>
            <w:r w:rsidRPr="00BF176F">
              <w:rPr>
                <w:sz w:val="20"/>
                <w:szCs w:val="20"/>
              </w:rPr>
              <w:t>175</w:t>
            </w:r>
          </w:p>
        </w:tc>
        <w:tc>
          <w:tcPr>
            <w:tcW w:w="992" w:type="dxa"/>
            <w:tcBorders>
              <w:top w:val="single" w:sz="4" w:space="0" w:color="auto"/>
              <w:left w:val="nil"/>
              <w:bottom w:val="nil"/>
              <w:right w:val="nil"/>
            </w:tcBorders>
            <w:shd w:val="clear" w:color="auto" w:fill="auto"/>
            <w:noWrap/>
            <w:vAlign w:val="center"/>
          </w:tcPr>
          <w:p w14:paraId="5E17CC85" w14:textId="492F2682" w:rsidR="008472BD" w:rsidRPr="00BF176F" w:rsidRDefault="008472BD" w:rsidP="002B427F">
            <w:pPr>
              <w:spacing w:after="0" w:line="240" w:lineRule="auto"/>
              <w:jc w:val="right"/>
              <w:rPr>
                <w:color w:val="FF0000"/>
                <w:sz w:val="20"/>
                <w:szCs w:val="20"/>
                <w:lang w:eastAsia="sk-SK"/>
              </w:rPr>
            </w:pPr>
            <w:r w:rsidRPr="00BF176F">
              <w:rPr>
                <w:sz w:val="20"/>
                <w:szCs w:val="20"/>
              </w:rPr>
              <w:t>30</w:t>
            </w:r>
            <w:r>
              <w:rPr>
                <w:sz w:val="20"/>
                <w:szCs w:val="20"/>
              </w:rPr>
              <w:t> </w:t>
            </w:r>
            <w:r w:rsidRPr="00BF176F">
              <w:rPr>
                <w:sz w:val="20"/>
                <w:szCs w:val="20"/>
              </w:rPr>
              <w:t>173</w:t>
            </w:r>
          </w:p>
        </w:tc>
        <w:tc>
          <w:tcPr>
            <w:tcW w:w="1418" w:type="dxa"/>
            <w:tcBorders>
              <w:top w:val="single" w:sz="4" w:space="0" w:color="auto"/>
              <w:left w:val="nil"/>
              <w:bottom w:val="nil"/>
              <w:right w:val="nil"/>
            </w:tcBorders>
            <w:shd w:val="clear" w:color="auto" w:fill="auto"/>
            <w:noWrap/>
            <w:vAlign w:val="center"/>
          </w:tcPr>
          <w:p w14:paraId="520DF17E" w14:textId="77777777" w:rsidR="008472BD" w:rsidRPr="00BF176F" w:rsidRDefault="008472BD" w:rsidP="008472BD">
            <w:pPr>
              <w:spacing w:after="0" w:line="240" w:lineRule="auto"/>
              <w:jc w:val="center"/>
              <w:rPr>
                <w:color w:val="FF0000"/>
                <w:sz w:val="20"/>
                <w:szCs w:val="20"/>
                <w:lang w:eastAsia="sk-SK"/>
              </w:rPr>
            </w:pPr>
            <w:r w:rsidRPr="00BF176F">
              <w:rPr>
                <w:sz w:val="20"/>
                <w:szCs w:val="20"/>
              </w:rPr>
              <w:t>32 250</w:t>
            </w:r>
          </w:p>
        </w:tc>
      </w:tr>
      <w:tr w:rsidR="008472BD" w:rsidRPr="00094791" w14:paraId="7910D2D9" w14:textId="77777777" w:rsidTr="00C65E25">
        <w:trPr>
          <w:trHeight w:val="269"/>
        </w:trPr>
        <w:tc>
          <w:tcPr>
            <w:tcW w:w="4874" w:type="dxa"/>
            <w:tcBorders>
              <w:top w:val="nil"/>
              <w:left w:val="nil"/>
              <w:bottom w:val="single" w:sz="8" w:space="0" w:color="auto"/>
              <w:right w:val="nil"/>
            </w:tcBorders>
            <w:shd w:val="clear" w:color="auto" w:fill="auto"/>
            <w:noWrap/>
            <w:vAlign w:val="center"/>
          </w:tcPr>
          <w:p w14:paraId="32FBD8D2" w14:textId="77777777" w:rsidR="008472BD" w:rsidRPr="00BF176F" w:rsidRDefault="008472BD" w:rsidP="008472BD">
            <w:pPr>
              <w:spacing w:after="0" w:line="240" w:lineRule="auto"/>
              <w:jc w:val="left"/>
              <w:rPr>
                <w:color w:val="000000"/>
                <w:sz w:val="20"/>
                <w:szCs w:val="20"/>
                <w:lang w:eastAsia="sk-SK"/>
              </w:rPr>
            </w:pPr>
            <w:r w:rsidRPr="00BF176F">
              <w:rPr>
                <w:color w:val="000000"/>
                <w:sz w:val="20"/>
                <w:szCs w:val="20"/>
                <w:lang w:eastAsia="sk-SK"/>
              </w:rPr>
              <w:t>Prevod podielu dane z príjmov PO na osobitný účel</w:t>
            </w:r>
          </w:p>
        </w:tc>
        <w:tc>
          <w:tcPr>
            <w:tcW w:w="1363" w:type="dxa"/>
            <w:tcBorders>
              <w:top w:val="nil"/>
              <w:left w:val="nil"/>
              <w:bottom w:val="single" w:sz="8" w:space="0" w:color="auto"/>
              <w:right w:val="nil"/>
            </w:tcBorders>
            <w:shd w:val="clear" w:color="auto" w:fill="auto"/>
            <w:noWrap/>
            <w:vAlign w:val="center"/>
          </w:tcPr>
          <w:p w14:paraId="02B9B48E" w14:textId="77777777" w:rsidR="008472BD" w:rsidRPr="00BF176F" w:rsidRDefault="008472BD" w:rsidP="008472BD">
            <w:pPr>
              <w:spacing w:after="0" w:line="240" w:lineRule="auto"/>
              <w:jc w:val="right"/>
              <w:rPr>
                <w:color w:val="FF0000"/>
                <w:sz w:val="20"/>
                <w:szCs w:val="20"/>
                <w:lang w:eastAsia="sk-SK"/>
              </w:rPr>
            </w:pPr>
            <w:r w:rsidRPr="00BF176F">
              <w:rPr>
                <w:sz w:val="20"/>
                <w:szCs w:val="20"/>
              </w:rPr>
              <w:t>34 456</w:t>
            </w:r>
          </w:p>
        </w:tc>
        <w:tc>
          <w:tcPr>
            <w:tcW w:w="992" w:type="dxa"/>
            <w:tcBorders>
              <w:top w:val="nil"/>
              <w:left w:val="nil"/>
              <w:bottom w:val="single" w:sz="8" w:space="0" w:color="auto"/>
              <w:right w:val="nil"/>
            </w:tcBorders>
            <w:shd w:val="clear" w:color="auto" w:fill="auto"/>
            <w:noWrap/>
            <w:vAlign w:val="center"/>
          </w:tcPr>
          <w:p w14:paraId="29504AE8" w14:textId="77777777" w:rsidR="008472BD" w:rsidRPr="00BF176F" w:rsidRDefault="008472BD" w:rsidP="008472BD">
            <w:pPr>
              <w:spacing w:after="0" w:line="240" w:lineRule="auto"/>
              <w:jc w:val="right"/>
              <w:rPr>
                <w:color w:val="FF0000"/>
                <w:sz w:val="20"/>
                <w:szCs w:val="20"/>
                <w:lang w:eastAsia="sk-SK"/>
              </w:rPr>
            </w:pPr>
            <w:r w:rsidRPr="00BF176F">
              <w:rPr>
                <w:sz w:val="20"/>
                <w:szCs w:val="20"/>
              </w:rPr>
              <w:t>33 255</w:t>
            </w:r>
          </w:p>
        </w:tc>
        <w:tc>
          <w:tcPr>
            <w:tcW w:w="1418" w:type="dxa"/>
            <w:tcBorders>
              <w:top w:val="nil"/>
              <w:left w:val="nil"/>
              <w:bottom w:val="single" w:sz="8" w:space="0" w:color="auto"/>
              <w:right w:val="nil"/>
            </w:tcBorders>
            <w:shd w:val="clear" w:color="auto" w:fill="auto"/>
            <w:noWrap/>
            <w:vAlign w:val="center"/>
          </w:tcPr>
          <w:p w14:paraId="08567D47" w14:textId="77777777" w:rsidR="008472BD" w:rsidRPr="00BF176F" w:rsidRDefault="008472BD" w:rsidP="008472BD">
            <w:pPr>
              <w:spacing w:after="0" w:line="240" w:lineRule="auto"/>
              <w:jc w:val="center"/>
              <w:rPr>
                <w:color w:val="FF0000"/>
                <w:sz w:val="20"/>
                <w:szCs w:val="20"/>
                <w:lang w:eastAsia="sk-SK"/>
              </w:rPr>
            </w:pPr>
            <w:r w:rsidRPr="00BF176F">
              <w:rPr>
                <w:sz w:val="20"/>
                <w:szCs w:val="20"/>
              </w:rPr>
              <w:t>36 093</w:t>
            </w:r>
          </w:p>
        </w:tc>
      </w:tr>
      <w:tr w:rsidR="008472BD" w:rsidRPr="00BF176F" w14:paraId="1CA01217" w14:textId="77777777" w:rsidTr="00C65E25">
        <w:trPr>
          <w:trHeight w:val="217"/>
        </w:trPr>
        <w:tc>
          <w:tcPr>
            <w:tcW w:w="4874" w:type="dxa"/>
            <w:tcBorders>
              <w:top w:val="single" w:sz="8" w:space="0" w:color="auto"/>
              <w:left w:val="nil"/>
              <w:bottom w:val="single" w:sz="8" w:space="0" w:color="auto"/>
              <w:right w:val="nil"/>
            </w:tcBorders>
            <w:shd w:val="clear" w:color="auto" w:fill="auto"/>
            <w:noWrap/>
            <w:vAlign w:val="center"/>
          </w:tcPr>
          <w:p w14:paraId="1575C8AB" w14:textId="77777777" w:rsidR="008472BD" w:rsidRPr="00BF176F" w:rsidRDefault="008472BD" w:rsidP="008472BD">
            <w:pPr>
              <w:spacing w:after="0" w:line="240" w:lineRule="auto"/>
              <w:contextualSpacing/>
              <w:jc w:val="left"/>
              <w:rPr>
                <w:b/>
                <w:bCs/>
                <w:color w:val="000000"/>
                <w:sz w:val="20"/>
                <w:szCs w:val="20"/>
                <w:lang w:eastAsia="sk-SK"/>
              </w:rPr>
            </w:pPr>
            <w:r w:rsidRPr="00BF176F">
              <w:rPr>
                <w:b/>
                <w:bCs/>
                <w:color w:val="000000"/>
                <w:sz w:val="20"/>
                <w:szCs w:val="20"/>
                <w:lang w:eastAsia="sk-SK"/>
              </w:rPr>
              <w:t>Spolu</w:t>
            </w:r>
          </w:p>
        </w:tc>
        <w:tc>
          <w:tcPr>
            <w:tcW w:w="1363" w:type="dxa"/>
            <w:tcBorders>
              <w:top w:val="single" w:sz="8" w:space="0" w:color="auto"/>
              <w:left w:val="nil"/>
              <w:bottom w:val="single" w:sz="8" w:space="0" w:color="auto"/>
              <w:right w:val="nil"/>
            </w:tcBorders>
            <w:shd w:val="clear" w:color="auto" w:fill="auto"/>
            <w:noWrap/>
            <w:vAlign w:val="center"/>
          </w:tcPr>
          <w:p w14:paraId="62A00915" w14:textId="77777777" w:rsidR="008472BD" w:rsidRPr="00BF176F" w:rsidRDefault="008472BD" w:rsidP="008472BD">
            <w:pPr>
              <w:spacing w:after="0" w:line="240" w:lineRule="auto"/>
              <w:contextualSpacing/>
              <w:jc w:val="right"/>
              <w:rPr>
                <w:b/>
                <w:bCs/>
                <w:color w:val="FF0000"/>
                <w:sz w:val="20"/>
                <w:szCs w:val="20"/>
                <w:lang w:eastAsia="sk-SK"/>
              </w:rPr>
            </w:pPr>
            <w:r w:rsidRPr="00BF176F">
              <w:rPr>
                <w:b/>
                <w:bCs/>
                <w:sz w:val="20"/>
                <w:szCs w:val="20"/>
              </w:rPr>
              <w:t>61 631</w:t>
            </w:r>
          </w:p>
        </w:tc>
        <w:tc>
          <w:tcPr>
            <w:tcW w:w="992" w:type="dxa"/>
            <w:tcBorders>
              <w:top w:val="single" w:sz="8" w:space="0" w:color="auto"/>
              <w:left w:val="nil"/>
              <w:bottom w:val="single" w:sz="8" w:space="0" w:color="auto"/>
              <w:right w:val="nil"/>
            </w:tcBorders>
            <w:shd w:val="clear" w:color="auto" w:fill="auto"/>
            <w:noWrap/>
            <w:vAlign w:val="center"/>
          </w:tcPr>
          <w:p w14:paraId="308956FA" w14:textId="77777777" w:rsidR="008472BD" w:rsidRPr="00BF176F" w:rsidRDefault="008472BD" w:rsidP="008472BD">
            <w:pPr>
              <w:spacing w:after="0" w:line="240" w:lineRule="auto"/>
              <w:contextualSpacing/>
              <w:jc w:val="right"/>
              <w:rPr>
                <w:b/>
                <w:bCs/>
                <w:color w:val="FF0000"/>
                <w:sz w:val="20"/>
                <w:szCs w:val="20"/>
                <w:lang w:eastAsia="sk-SK"/>
              </w:rPr>
            </w:pPr>
            <w:r w:rsidRPr="00BF176F">
              <w:rPr>
                <w:b/>
                <w:bCs/>
                <w:sz w:val="20"/>
                <w:szCs w:val="20"/>
              </w:rPr>
              <w:t>63 429</w:t>
            </w:r>
          </w:p>
        </w:tc>
        <w:tc>
          <w:tcPr>
            <w:tcW w:w="1418" w:type="dxa"/>
            <w:tcBorders>
              <w:top w:val="single" w:sz="8" w:space="0" w:color="auto"/>
              <w:left w:val="nil"/>
              <w:bottom w:val="single" w:sz="8" w:space="0" w:color="auto"/>
              <w:right w:val="nil"/>
            </w:tcBorders>
            <w:shd w:val="clear" w:color="auto" w:fill="auto"/>
            <w:noWrap/>
            <w:vAlign w:val="center"/>
          </w:tcPr>
          <w:p w14:paraId="1FDA8153" w14:textId="77777777" w:rsidR="008472BD" w:rsidRPr="00BF176F" w:rsidRDefault="008472BD" w:rsidP="008472BD">
            <w:pPr>
              <w:spacing w:after="0" w:line="240" w:lineRule="auto"/>
              <w:contextualSpacing/>
              <w:jc w:val="center"/>
              <w:rPr>
                <w:b/>
                <w:bCs/>
                <w:color w:val="FF0000"/>
                <w:sz w:val="20"/>
                <w:szCs w:val="20"/>
                <w:lang w:eastAsia="sk-SK"/>
              </w:rPr>
            </w:pPr>
            <w:r w:rsidRPr="00BF176F">
              <w:rPr>
                <w:b/>
                <w:bCs/>
                <w:sz w:val="20"/>
                <w:szCs w:val="20"/>
              </w:rPr>
              <w:t>68 343</w:t>
            </w:r>
          </w:p>
        </w:tc>
      </w:tr>
    </w:tbl>
    <w:p w14:paraId="598463BF" w14:textId="24F67CC1" w:rsidR="00027919" w:rsidRPr="00027919" w:rsidRDefault="00027919" w:rsidP="00027919">
      <w:pPr>
        <w:jc w:val="right"/>
        <w:rPr>
          <w:bCs/>
          <w:sz w:val="20"/>
          <w:szCs w:val="20"/>
        </w:rPr>
      </w:pPr>
      <w:r w:rsidRPr="00027919">
        <w:rPr>
          <w:bCs/>
          <w:sz w:val="20"/>
          <w:szCs w:val="20"/>
        </w:rPr>
        <w:t>Zdroj: MF SR</w:t>
      </w:r>
    </w:p>
    <w:p w14:paraId="64399E30" w14:textId="22C5A423" w:rsidR="008472BD" w:rsidRPr="002A5103" w:rsidRDefault="008472BD" w:rsidP="00C65E25">
      <w:pPr>
        <w:tabs>
          <w:tab w:val="left" w:pos="284"/>
        </w:tabs>
      </w:pPr>
      <w:r>
        <w:rPr>
          <w:b/>
        </w:rPr>
        <w:t>V</w:t>
      </w:r>
      <w:r w:rsidRPr="002A5103">
        <w:rPr>
          <w:b/>
        </w:rPr>
        <w:t>ýnos daní z medzinárodného obchodu a</w:t>
      </w:r>
      <w:r>
        <w:rPr>
          <w:b/>
        </w:rPr>
        <w:t xml:space="preserve"> </w:t>
      </w:r>
      <w:r w:rsidRPr="002A5103">
        <w:rPr>
          <w:b/>
        </w:rPr>
        <w:t xml:space="preserve">transakcií </w:t>
      </w:r>
      <w:r w:rsidRPr="00A82E14">
        <w:t>sa rozp</w:t>
      </w:r>
      <w:r>
        <w:t>očtoval v celkovej výške 25 259 tis. </w:t>
      </w:r>
      <w:r w:rsidRPr="00A82E14">
        <w:t xml:space="preserve">eur. V skutočnosti dosiahol </w:t>
      </w:r>
      <w:r w:rsidR="00027919">
        <w:t>23 </w:t>
      </w:r>
      <w:r>
        <w:t>365</w:t>
      </w:r>
      <w:r w:rsidR="00027919">
        <w:t> tis. </w:t>
      </w:r>
      <w:r w:rsidRPr="00A82E14">
        <w:t>eur, čo predstavuje</w:t>
      </w:r>
      <w:r>
        <w:t xml:space="preserve"> pln</w:t>
      </w:r>
      <w:r w:rsidR="00027919">
        <w:t>enie štátneho rozpočtu na 92,5 </w:t>
      </w:r>
      <w:r>
        <w:t>%. V porovnaní s rokom 2017 bol výnos o 933</w:t>
      </w:r>
      <w:r w:rsidRPr="00A82E14">
        <w:t xml:space="preserve"> t</w:t>
      </w:r>
      <w:r>
        <w:t>is. eur vyšší</w:t>
      </w:r>
      <w:r w:rsidRPr="00A82E14">
        <w:t>.</w:t>
      </w:r>
      <w:r w:rsidR="00C65E25">
        <w:t xml:space="preserve"> </w:t>
      </w:r>
      <w:r w:rsidRPr="00C577F4">
        <w:t>Najväčšiu časť na daniach z medzinárodného obchodu a transakcií tvorí podiel na vybratých finančných prostriedkoch, ktorého skut</w:t>
      </w:r>
      <w:r>
        <w:t>očný výnos vo výške </w:t>
      </w:r>
      <w:r w:rsidRPr="00C577F4">
        <w:t>23</w:t>
      </w:r>
      <w:r>
        <w:t> </w:t>
      </w:r>
      <w:r w:rsidRPr="00C577F4">
        <w:t xml:space="preserve">345 tis. eur predstavuje plnenie rozpočtu na 92,4 %. </w:t>
      </w:r>
    </w:p>
    <w:p w14:paraId="11768B34" w14:textId="61EE80EE" w:rsidR="008472BD" w:rsidRDefault="008472BD" w:rsidP="008472BD">
      <w:pPr>
        <w:tabs>
          <w:tab w:val="left" w:pos="284"/>
        </w:tabs>
      </w:pPr>
      <w:r w:rsidRPr="002A5103">
        <w:rPr>
          <w:b/>
        </w:rPr>
        <w:t xml:space="preserve">Sankcie uložené v daňovom konaní a sankcie súvisiace s úhradou dane </w:t>
      </w:r>
      <w:r w:rsidRPr="002A5103">
        <w:t xml:space="preserve">sa rozpočtovali v sume </w:t>
      </w:r>
      <w:r>
        <w:t>11 243</w:t>
      </w:r>
      <w:r w:rsidRPr="002A5103">
        <w:t xml:space="preserve"> tis. eur. Ich skutočná výška dosiahla sumu </w:t>
      </w:r>
      <w:r>
        <w:t>20 895 tis. eur, resp. 16 204</w:t>
      </w:r>
      <w:r w:rsidRPr="002A5103">
        <w:t xml:space="preserve"> tis. eur po presune podielu sankcií do dane z príjmov fyzických osôb, z ktorých bol poukázaný </w:t>
      </w:r>
      <w:r w:rsidR="00065E4A">
        <w:t>podiel</w:t>
      </w:r>
      <w:r w:rsidRPr="002A5103">
        <w:t xml:space="preserve"> územnej samospráve. </w:t>
      </w:r>
    </w:p>
    <w:p w14:paraId="101387D5" w14:textId="77777777" w:rsidR="006D748A" w:rsidRDefault="006D748A">
      <w:pPr>
        <w:spacing w:after="160" w:line="259" w:lineRule="auto"/>
        <w:jc w:val="left"/>
        <w:rPr>
          <w:b/>
        </w:rPr>
      </w:pPr>
      <w:r>
        <w:rPr>
          <w:b/>
        </w:rPr>
        <w:br w:type="page"/>
      </w:r>
    </w:p>
    <w:p w14:paraId="0BC715B9" w14:textId="619E46EB" w:rsidR="008472BD" w:rsidRDefault="008472BD" w:rsidP="008472BD">
      <w:pPr>
        <w:tabs>
          <w:tab w:val="left" w:pos="284"/>
        </w:tabs>
      </w:pPr>
      <w:r w:rsidRPr="00DF2D9C">
        <w:rPr>
          <w:b/>
        </w:rPr>
        <w:t xml:space="preserve">Ostatné dane </w:t>
      </w:r>
      <w:r w:rsidRPr="00DF2D9C">
        <w:t>sú tvorené daňou z emisných kvót a daňami z majetku. Dane z maj</w:t>
      </w:r>
      <w:r w:rsidR="00027919">
        <w:t xml:space="preserve">etku boli zrušené v roku 2005 a </w:t>
      </w:r>
      <w:r w:rsidRPr="00DF2D9C">
        <w:t>dobiehajúci výnos za rok 2018 je 14</w:t>
      </w:r>
      <w:r w:rsidR="00027919">
        <w:t> </w:t>
      </w:r>
      <w:r w:rsidRPr="00DF2D9C">
        <w:t>tis.</w:t>
      </w:r>
      <w:r w:rsidR="00027919">
        <w:t> </w:t>
      </w:r>
      <w:r w:rsidRPr="00DF2D9C">
        <w:t>eur. Daň z emisných kvót bola zrušená v roku 2012. V roku 2018 bolo na základe súdnych rozhodnutí a žiadostí vrátená daň vo výške 8</w:t>
      </w:r>
      <w:r w:rsidR="00027919">
        <w:t> </w:t>
      </w:r>
      <w:r w:rsidRPr="00DF2D9C">
        <w:t>832</w:t>
      </w:r>
      <w:r w:rsidR="00027919">
        <w:t> </w:t>
      </w:r>
      <w:r w:rsidRPr="00DF2D9C">
        <w:t>tis.</w:t>
      </w:r>
      <w:r>
        <w:t> </w:t>
      </w:r>
      <w:r w:rsidRPr="00DF2D9C">
        <w:t>eur.</w:t>
      </w:r>
    </w:p>
    <w:p w14:paraId="6F9906C9" w14:textId="59DEBE8E" w:rsidR="008472BD" w:rsidRDefault="008472BD" w:rsidP="008472BD">
      <w:pPr>
        <w:rPr>
          <w:lang w:eastAsia="sk-SK"/>
        </w:rPr>
      </w:pPr>
      <w:r w:rsidRPr="00A55C56">
        <w:rPr>
          <w:lang w:eastAsia="sk-SK"/>
        </w:rPr>
        <w:t>Finančné orgány v sledovanom roku 2018 na žiadosť daňového</w:t>
      </w:r>
      <w:r w:rsidRPr="00882C8C">
        <w:rPr>
          <w:lang w:eastAsia="sk-SK"/>
        </w:rPr>
        <w:t xml:space="preserve"> subjektu povolili úľavu na dani alebo odpustili daňový nedoplatok na dani v zmysle § 70 daňového poriadku v 2 pr</w:t>
      </w:r>
      <w:r>
        <w:rPr>
          <w:lang w:eastAsia="sk-SK"/>
        </w:rPr>
        <w:t>ípadoch v celkovej výške 3 tis.</w:t>
      </w:r>
      <w:r w:rsidRPr="00882C8C">
        <w:rPr>
          <w:lang w:eastAsia="sk-SK"/>
        </w:rPr>
        <w:t xml:space="preserve"> eur. Úľava zo sankcie alebo odpustenie sankcie v</w:t>
      </w:r>
      <w:r w:rsidR="00CD42EC">
        <w:rPr>
          <w:lang w:eastAsia="sk-SK"/>
        </w:rPr>
        <w:t> zmysle § 157 daňového poriadku</w:t>
      </w:r>
      <w:r w:rsidRPr="00882C8C">
        <w:rPr>
          <w:lang w:eastAsia="sk-SK"/>
        </w:rPr>
        <w:t xml:space="preserve"> boli povolené v</w:t>
      </w:r>
      <w:r>
        <w:rPr>
          <w:lang w:eastAsia="sk-SK"/>
        </w:rPr>
        <w:t> 497 prípadoch v celkovej výške </w:t>
      </w:r>
      <w:r w:rsidRPr="00882C8C">
        <w:rPr>
          <w:lang w:eastAsia="sk-SK"/>
        </w:rPr>
        <w:t>958</w:t>
      </w:r>
      <w:r w:rsidR="00B36E22">
        <w:rPr>
          <w:lang w:eastAsia="sk-SK"/>
        </w:rPr>
        <w:t> </w:t>
      </w:r>
      <w:r>
        <w:rPr>
          <w:lang w:eastAsia="sk-SK"/>
        </w:rPr>
        <w:t>tis. eur. V roku 2017 bolo povolených 376 prípadov v celkovej výške 636</w:t>
      </w:r>
      <w:r w:rsidR="00B36E22">
        <w:rPr>
          <w:lang w:eastAsia="sk-SK"/>
        </w:rPr>
        <w:t> </w:t>
      </w:r>
      <w:r>
        <w:rPr>
          <w:lang w:eastAsia="sk-SK"/>
        </w:rPr>
        <w:t>tis. eur.</w:t>
      </w:r>
    </w:p>
    <w:tbl>
      <w:tblPr>
        <w:tblpPr w:leftFromText="141" w:rightFromText="141" w:vertAnchor="text" w:horzAnchor="margin" w:tblpXSpec="right" w:tblpY="-24"/>
        <w:tblW w:w="8524" w:type="dxa"/>
        <w:tblCellMar>
          <w:left w:w="0" w:type="dxa"/>
          <w:right w:w="0" w:type="dxa"/>
        </w:tblCellMar>
        <w:tblLook w:val="04A0" w:firstRow="1" w:lastRow="0" w:firstColumn="1" w:lastColumn="0" w:noHBand="0" w:noVBand="1"/>
      </w:tblPr>
      <w:tblGrid>
        <w:gridCol w:w="2410"/>
        <w:gridCol w:w="567"/>
        <w:gridCol w:w="2568"/>
        <w:gridCol w:w="550"/>
        <w:gridCol w:w="2269"/>
        <w:gridCol w:w="160"/>
      </w:tblGrid>
      <w:tr w:rsidR="00202B2E" w14:paraId="234B2D4E" w14:textId="77777777" w:rsidTr="00EE2535">
        <w:trPr>
          <w:trHeight w:val="413"/>
        </w:trPr>
        <w:tc>
          <w:tcPr>
            <w:tcW w:w="8364" w:type="dxa"/>
            <w:gridSpan w:val="5"/>
            <w:shd w:val="clear" w:color="auto" w:fill="000000"/>
            <w:tcMar>
              <w:top w:w="0" w:type="dxa"/>
              <w:left w:w="70" w:type="dxa"/>
              <w:bottom w:w="0" w:type="dxa"/>
              <w:right w:w="70" w:type="dxa"/>
            </w:tcMar>
            <w:vAlign w:val="bottom"/>
            <w:hideMark/>
          </w:tcPr>
          <w:p w14:paraId="0EA37996" w14:textId="77777777" w:rsidR="00202B2E" w:rsidRPr="003441E5" w:rsidRDefault="00202B2E" w:rsidP="00EE2535">
            <w:pPr>
              <w:jc w:val="left"/>
              <w:rPr>
                <w:b/>
                <w:bCs/>
                <w:color w:val="FFFFFF"/>
                <w:sz w:val="18"/>
                <w:szCs w:val="18"/>
                <w:lang w:eastAsia="sk-SK"/>
              </w:rPr>
            </w:pPr>
            <w:r>
              <w:rPr>
                <w:b/>
                <w:bCs/>
                <w:color w:val="FFFFFF"/>
                <w:sz w:val="18"/>
                <w:szCs w:val="18"/>
                <w:lang w:eastAsia="sk-SK"/>
              </w:rPr>
              <w:t>Povolené úľavy na dani /</w:t>
            </w:r>
            <w:r w:rsidRPr="003441E5">
              <w:rPr>
                <w:b/>
                <w:bCs/>
                <w:color w:val="FFFFFF"/>
                <w:sz w:val="18"/>
                <w:szCs w:val="18"/>
                <w:lang w:eastAsia="sk-SK"/>
              </w:rPr>
              <w:t xml:space="preserve"> odpusten</w:t>
            </w:r>
            <w:r>
              <w:rPr>
                <w:b/>
                <w:bCs/>
                <w:color w:val="FFFFFF"/>
                <w:sz w:val="18"/>
                <w:szCs w:val="18"/>
                <w:lang w:eastAsia="sk-SK"/>
              </w:rPr>
              <w:t>ie daňového nedoplatku na dani / úľavy zo sankcie /</w:t>
            </w:r>
            <w:r w:rsidRPr="003441E5">
              <w:rPr>
                <w:b/>
                <w:bCs/>
                <w:color w:val="FFFFFF"/>
                <w:sz w:val="18"/>
                <w:szCs w:val="18"/>
                <w:lang w:eastAsia="sk-SK"/>
              </w:rPr>
              <w:t xml:space="preserve"> odpustenie sankcie </w:t>
            </w:r>
          </w:p>
        </w:tc>
        <w:tc>
          <w:tcPr>
            <w:tcW w:w="160" w:type="dxa"/>
            <w:vMerge w:val="restart"/>
            <w:noWrap/>
            <w:tcMar>
              <w:top w:w="0" w:type="dxa"/>
              <w:left w:w="70" w:type="dxa"/>
              <w:bottom w:w="0" w:type="dxa"/>
              <w:right w:w="70" w:type="dxa"/>
            </w:tcMar>
            <w:vAlign w:val="bottom"/>
            <w:hideMark/>
          </w:tcPr>
          <w:p w14:paraId="307C1555" w14:textId="77777777" w:rsidR="00202B2E" w:rsidRPr="003441E5" w:rsidRDefault="00202B2E" w:rsidP="00EE2535">
            <w:pPr>
              <w:rPr>
                <w:b/>
                <w:bCs/>
                <w:color w:val="FFFFFF"/>
                <w:sz w:val="18"/>
                <w:szCs w:val="18"/>
                <w:lang w:eastAsia="sk-SK"/>
              </w:rPr>
            </w:pPr>
          </w:p>
        </w:tc>
      </w:tr>
      <w:tr w:rsidR="00202B2E" w14:paraId="0C658603" w14:textId="77777777" w:rsidTr="00EE2535">
        <w:trPr>
          <w:trHeight w:val="295"/>
        </w:trPr>
        <w:tc>
          <w:tcPr>
            <w:tcW w:w="8364" w:type="dxa"/>
            <w:gridSpan w:val="5"/>
            <w:shd w:val="clear" w:color="auto" w:fill="000000"/>
            <w:tcMar>
              <w:top w:w="0" w:type="dxa"/>
              <w:left w:w="70" w:type="dxa"/>
              <w:bottom w:w="0" w:type="dxa"/>
              <w:right w:w="70" w:type="dxa"/>
            </w:tcMar>
            <w:vAlign w:val="bottom"/>
          </w:tcPr>
          <w:p w14:paraId="1615D17F" w14:textId="77777777" w:rsidR="00202B2E" w:rsidRDefault="00202B2E" w:rsidP="00EE2535">
            <w:pPr>
              <w:jc w:val="right"/>
              <w:rPr>
                <w:b/>
                <w:bCs/>
                <w:color w:val="FFFFFF"/>
                <w:sz w:val="18"/>
                <w:szCs w:val="18"/>
                <w:lang w:eastAsia="sk-SK"/>
              </w:rPr>
            </w:pPr>
            <w:r w:rsidRPr="003441E5">
              <w:rPr>
                <w:b/>
                <w:bCs/>
                <w:color w:val="FFFFFF"/>
                <w:sz w:val="18"/>
                <w:szCs w:val="18"/>
                <w:lang w:eastAsia="sk-SK"/>
              </w:rPr>
              <w:t>v tis. eur</w:t>
            </w:r>
          </w:p>
        </w:tc>
        <w:tc>
          <w:tcPr>
            <w:tcW w:w="160" w:type="dxa"/>
            <w:vMerge/>
            <w:noWrap/>
            <w:tcMar>
              <w:top w:w="0" w:type="dxa"/>
              <w:left w:w="70" w:type="dxa"/>
              <w:bottom w:w="0" w:type="dxa"/>
              <w:right w:w="70" w:type="dxa"/>
            </w:tcMar>
            <w:vAlign w:val="bottom"/>
          </w:tcPr>
          <w:p w14:paraId="5E12A58A" w14:textId="77777777" w:rsidR="00202B2E" w:rsidRPr="003441E5" w:rsidRDefault="00202B2E" w:rsidP="00EE2535">
            <w:pPr>
              <w:rPr>
                <w:b/>
                <w:bCs/>
                <w:color w:val="FFFFFF"/>
                <w:sz w:val="18"/>
                <w:szCs w:val="18"/>
                <w:lang w:eastAsia="sk-SK"/>
              </w:rPr>
            </w:pPr>
          </w:p>
        </w:tc>
      </w:tr>
      <w:tr w:rsidR="00202B2E" w14:paraId="03E34953" w14:textId="77777777" w:rsidTr="00EE2535">
        <w:trPr>
          <w:trHeight w:val="564"/>
        </w:trPr>
        <w:tc>
          <w:tcPr>
            <w:tcW w:w="2410" w:type="dxa"/>
            <w:vMerge w:val="restart"/>
            <w:tcBorders>
              <w:top w:val="nil"/>
              <w:left w:val="nil"/>
              <w:bottom w:val="single" w:sz="8" w:space="0" w:color="000000"/>
              <w:right w:val="nil"/>
            </w:tcBorders>
            <w:shd w:val="clear" w:color="auto" w:fill="BFBFBF"/>
            <w:tcMar>
              <w:top w:w="0" w:type="dxa"/>
              <w:left w:w="70" w:type="dxa"/>
              <w:bottom w:w="0" w:type="dxa"/>
              <w:right w:w="70" w:type="dxa"/>
            </w:tcMar>
            <w:vAlign w:val="center"/>
            <w:hideMark/>
          </w:tcPr>
          <w:p w14:paraId="2DD2E3A1" w14:textId="77777777" w:rsidR="00202B2E" w:rsidRPr="003441E5" w:rsidRDefault="00202B2E" w:rsidP="00EE2535">
            <w:pPr>
              <w:rPr>
                <w:b/>
                <w:bCs/>
                <w:sz w:val="18"/>
                <w:szCs w:val="18"/>
                <w:lang w:eastAsia="sk-SK"/>
              </w:rPr>
            </w:pPr>
            <w:r w:rsidRPr="003441E5">
              <w:rPr>
                <w:b/>
                <w:bCs/>
                <w:sz w:val="18"/>
                <w:szCs w:val="18"/>
                <w:lang w:eastAsia="sk-SK"/>
              </w:rPr>
              <w:t>Finančný orgán</w:t>
            </w:r>
          </w:p>
        </w:tc>
        <w:tc>
          <w:tcPr>
            <w:tcW w:w="3135" w:type="dxa"/>
            <w:gridSpan w:val="2"/>
            <w:shd w:val="clear" w:color="auto" w:fill="BFBFBF"/>
            <w:tcMar>
              <w:top w:w="0" w:type="dxa"/>
              <w:left w:w="70" w:type="dxa"/>
              <w:bottom w:w="0" w:type="dxa"/>
              <w:right w:w="70" w:type="dxa"/>
            </w:tcMar>
            <w:vAlign w:val="center"/>
            <w:hideMark/>
          </w:tcPr>
          <w:p w14:paraId="0E73565B" w14:textId="77777777" w:rsidR="00202B2E" w:rsidRPr="003260AC" w:rsidRDefault="00202B2E" w:rsidP="00EE2535">
            <w:pPr>
              <w:spacing w:after="0" w:line="240" w:lineRule="auto"/>
              <w:jc w:val="center"/>
              <w:rPr>
                <w:b/>
                <w:bCs/>
                <w:sz w:val="18"/>
                <w:szCs w:val="18"/>
                <w:lang w:eastAsia="sk-SK"/>
              </w:rPr>
            </w:pPr>
            <w:r w:rsidRPr="003260AC">
              <w:rPr>
                <w:b/>
                <w:bCs/>
                <w:sz w:val="18"/>
                <w:szCs w:val="18"/>
                <w:lang w:eastAsia="sk-SK"/>
              </w:rPr>
              <w:t>Úľavy na dani alebo odpustenie daňového nedoplatku na dani</w:t>
            </w:r>
          </w:p>
        </w:tc>
        <w:tc>
          <w:tcPr>
            <w:tcW w:w="2819" w:type="dxa"/>
            <w:gridSpan w:val="2"/>
            <w:shd w:val="clear" w:color="auto" w:fill="BFBFBF"/>
            <w:tcMar>
              <w:top w:w="0" w:type="dxa"/>
              <w:left w:w="70" w:type="dxa"/>
              <w:bottom w:w="0" w:type="dxa"/>
              <w:right w:w="70" w:type="dxa"/>
            </w:tcMar>
            <w:vAlign w:val="center"/>
            <w:hideMark/>
          </w:tcPr>
          <w:p w14:paraId="79C4A3BE" w14:textId="77777777" w:rsidR="00202B2E" w:rsidRPr="003260AC" w:rsidRDefault="00202B2E" w:rsidP="00EE2535">
            <w:pPr>
              <w:spacing w:after="0" w:line="240" w:lineRule="auto"/>
              <w:jc w:val="center"/>
              <w:rPr>
                <w:b/>
                <w:bCs/>
                <w:sz w:val="18"/>
                <w:szCs w:val="18"/>
                <w:lang w:eastAsia="sk-SK"/>
              </w:rPr>
            </w:pPr>
            <w:r w:rsidRPr="003260AC">
              <w:rPr>
                <w:b/>
                <w:bCs/>
                <w:sz w:val="18"/>
                <w:szCs w:val="18"/>
                <w:lang w:eastAsia="sk-SK"/>
              </w:rPr>
              <w:t>Úľavy zo sankcie alebo odpustenie sankcie</w:t>
            </w:r>
          </w:p>
        </w:tc>
        <w:tc>
          <w:tcPr>
            <w:tcW w:w="160" w:type="dxa"/>
            <w:noWrap/>
            <w:tcMar>
              <w:top w:w="0" w:type="dxa"/>
              <w:left w:w="70" w:type="dxa"/>
              <w:bottom w:w="0" w:type="dxa"/>
              <w:right w:w="70" w:type="dxa"/>
            </w:tcMar>
            <w:vAlign w:val="bottom"/>
            <w:hideMark/>
          </w:tcPr>
          <w:p w14:paraId="07CAA331" w14:textId="77777777" w:rsidR="00202B2E" w:rsidRPr="003441E5" w:rsidRDefault="00202B2E" w:rsidP="00EE2535">
            <w:pPr>
              <w:rPr>
                <w:b/>
                <w:bCs/>
                <w:sz w:val="18"/>
                <w:szCs w:val="18"/>
                <w:lang w:eastAsia="sk-SK"/>
              </w:rPr>
            </w:pPr>
          </w:p>
        </w:tc>
      </w:tr>
      <w:tr w:rsidR="00202B2E" w14:paraId="65E2A568" w14:textId="77777777" w:rsidTr="00EE2535">
        <w:trPr>
          <w:trHeight w:val="264"/>
        </w:trPr>
        <w:tc>
          <w:tcPr>
            <w:tcW w:w="2410" w:type="dxa"/>
            <w:vMerge/>
            <w:tcBorders>
              <w:top w:val="nil"/>
              <w:left w:val="nil"/>
              <w:bottom w:val="single" w:sz="8" w:space="0" w:color="000000"/>
              <w:right w:val="nil"/>
            </w:tcBorders>
            <w:vAlign w:val="center"/>
            <w:hideMark/>
          </w:tcPr>
          <w:p w14:paraId="4180A34F" w14:textId="77777777" w:rsidR="00202B2E" w:rsidRPr="003441E5" w:rsidRDefault="00202B2E" w:rsidP="00EE2535">
            <w:pPr>
              <w:rPr>
                <w:b/>
                <w:bCs/>
                <w:sz w:val="18"/>
                <w:szCs w:val="18"/>
                <w:lang w:eastAsia="sk-SK"/>
              </w:rPr>
            </w:pPr>
          </w:p>
        </w:tc>
        <w:tc>
          <w:tcPr>
            <w:tcW w:w="567" w:type="dxa"/>
            <w:tcBorders>
              <w:top w:val="nil"/>
              <w:left w:val="nil"/>
              <w:bottom w:val="single" w:sz="8" w:space="0" w:color="auto"/>
              <w:right w:val="nil"/>
            </w:tcBorders>
            <w:shd w:val="clear" w:color="auto" w:fill="BFBFBF"/>
            <w:tcMar>
              <w:top w:w="0" w:type="dxa"/>
              <w:left w:w="70" w:type="dxa"/>
              <w:bottom w:w="0" w:type="dxa"/>
              <w:right w:w="70" w:type="dxa"/>
            </w:tcMar>
            <w:vAlign w:val="center"/>
            <w:hideMark/>
          </w:tcPr>
          <w:p w14:paraId="7F05E357" w14:textId="77777777" w:rsidR="00202B2E" w:rsidRPr="003260AC" w:rsidRDefault="00202B2E" w:rsidP="00EE2535">
            <w:pPr>
              <w:spacing w:after="0" w:line="240" w:lineRule="auto"/>
              <w:jc w:val="left"/>
              <w:rPr>
                <w:b/>
                <w:bCs/>
                <w:sz w:val="18"/>
                <w:szCs w:val="18"/>
                <w:lang w:eastAsia="sk-SK"/>
              </w:rPr>
            </w:pPr>
            <w:r w:rsidRPr="003260AC">
              <w:rPr>
                <w:b/>
                <w:bCs/>
                <w:sz w:val="18"/>
                <w:szCs w:val="18"/>
                <w:lang w:eastAsia="sk-SK"/>
              </w:rPr>
              <w:t>počet</w:t>
            </w:r>
          </w:p>
        </w:tc>
        <w:tc>
          <w:tcPr>
            <w:tcW w:w="2568" w:type="dxa"/>
            <w:tcBorders>
              <w:top w:val="nil"/>
              <w:left w:val="nil"/>
              <w:bottom w:val="single" w:sz="8" w:space="0" w:color="auto"/>
              <w:right w:val="nil"/>
            </w:tcBorders>
            <w:shd w:val="clear" w:color="auto" w:fill="BFBFBF"/>
            <w:tcMar>
              <w:top w:w="0" w:type="dxa"/>
              <w:left w:w="70" w:type="dxa"/>
              <w:bottom w:w="0" w:type="dxa"/>
              <w:right w:w="70" w:type="dxa"/>
            </w:tcMar>
            <w:vAlign w:val="center"/>
            <w:hideMark/>
          </w:tcPr>
          <w:p w14:paraId="1FEF720D" w14:textId="77777777" w:rsidR="00202B2E" w:rsidRPr="003260AC" w:rsidRDefault="00202B2E" w:rsidP="00EE2535">
            <w:pPr>
              <w:spacing w:after="0" w:line="240" w:lineRule="auto"/>
              <w:jc w:val="center"/>
              <w:rPr>
                <w:b/>
                <w:bCs/>
                <w:sz w:val="18"/>
                <w:szCs w:val="18"/>
                <w:lang w:eastAsia="sk-SK"/>
              </w:rPr>
            </w:pPr>
            <w:r w:rsidRPr="003260AC">
              <w:rPr>
                <w:b/>
                <w:bCs/>
                <w:sz w:val="18"/>
                <w:szCs w:val="18"/>
                <w:lang w:eastAsia="sk-SK"/>
              </w:rPr>
              <w:t>suma</w:t>
            </w:r>
          </w:p>
        </w:tc>
        <w:tc>
          <w:tcPr>
            <w:tcW w:w="550" w:type="dxa"/>
            <w:tcBorders>
              <w:top w:val="nil"/>
              <w:left w:val="nil"/>
              <w:bottom w:val="single" w:sz="8" w:space="0" w:color="auto"/>
              <w:right w:val="nil"/>
            </w:tcBorders>
            <w:shd w:val="clear" w:color="auto" w:fill="BFBFBF"/>
            <w:tcMar>
              <w:top w:w="0" w:type="dxa"/>
              <w:left w:w="70" w:type="dxa"/>
              <w:bottom w:w="0" w:type="dxa"/>
              <w:right w:w="70" w:type="dxa"/>
            </w:tcMar>
            <w:vAlign w:val="center"/>
            <w:hideMark/>
          </w:tcPr>
          <w:p w14:paraId="3FF71080" w14:textId="77777777" w:rsidR="00202B2E" w:rsidRPr="003260AC" w:rsidRDefault="00202B2E" w:rsidP="00EE2535">
            <w:pPr>
              <w:spacing w:after="0" w:line="240" w:lineRule="auto"/>
              <w:jc w:val="center"/>
              <w:rPr>
                <w:b/>
                <w:bCs/>
                <w:sz w:val="18"/>
                <w:szCs w:val="18"/>
                <w:lang w:eastAsia="sk-SK"/>
              </w:rPr>
            </w:pPr>
            <w:r w:rsidRPr="003260AC">
              <w:rPr>
                <w:b/>
                <w:bCs/>
                <w:sz w:val="18"/>
                <w:szCs w:val="18"/>
                <w:lang w:eastAsia="sk-SK"/>
              </w:rPr>
              <w:t>počet</w:t>
            </w:r>
          </w:p>
        </w:tc>
        <w:tc>
          <w:tcPr>
            <w:tcW w:w="2269" w:type="dxa"/>
            <w:tcBorders>
              <w:top w:val="nil"/>
              <w:left w:val="nil"/>
              <w:bottom w:val="single" w:sz="8" w:space="0" w:color="auto"/>
              <w:right w:val="nil"/>
            </w:tcBorders>
            <w:shd w:val="clear" w:color="auto" w:fill="BFBFBF"/>
            <w:tcMar>
              <w:top w:w="0" w:type="dxa"/>
              <w:left w:w="70" w:type="dxa"/>
              <w:bottom w:w="0" w:type="dxa"/>
              <w:right w:w="70" w:type="dxa"/>
            </w:tcMar>
            <w:vAlign w:val="center"/>
            <w:hideMark/>
          </w:tcPr>
          <w:p w14:paraId="0440C5B0" w14:textId="77777777" w:rsidR="00202B2E" w:rsidRPr="003260AC" w:rsidRDefault="00202B2E" w:rsidP="00EE2535">
            <w:pPr>
              <w:spacing w:after="0" w:line="240" w:lineRule="auto"/>
              <w:jc w:val="center"/>
              <w:rPr>
                <w:b/>
                <w:bCs/>
                <w:sz w:val="18"/>
                <w:szCs w:val="18"/>
                <w:lang w:eastAsia="sk-SK"/>
              </w:rPr>
            </w:pPr>
            <w:r w:rsidRPr="003260AC">
              <w:rPr>
                <w:b/>
                <w:bCs/>
                <w:sz w:val="18"/>
                <w:szCs w:val="18"/>
                <w:lang w:eastAsia="sk-SK"/>
              </w:rPr>
              <w:t>suma</w:t>
            </w:r>
          </w:p>
        </w:tc>
        <w:tc>
          <w:tcPr>
            <w:tcW w:w="160" w:type="dxa"/>
            <w:noWrap/>
            <w:tcMar>
              <w:top w:w="0" w:type="dxa"/>
              <w:left w:w="70" w:type="dxa"/>
              <w:bottom w:w="0" w:type="dxa"/>
              <w:right w:w="70" w:type="dxa"/>
            </w:tcMar>
            <w:vAlign w:val="bottom"/>
            <w:hideMark/>
          </w:tcPr>
          <w:p w14:paraId="43EC937B" w14:textId="77777777" w:rsidR="00202B2E" w:rsidRPr="003441E5" w:rsidRDefault="00202B2E" w:rsidP="00EE2535">
            <w:pPr>
              <w:rPr>
                <w:b/>
                <w:bCs/>
                <w:color w:val="000000"/>
                <w:sz w:val="18"/>
                <w:szCs w:val="18"/>
                <w:lang w:eastAsia="sk-SK"/>
              </w:rPr>
            </w:pPr>
          </w:p>
        </w:tc>
      </w:tr>
      <w:tr w:rsidR="00202B2E" w14:paraId="4D6EBCC7" w14:textId="77777777" w:rsidTr="00EE2535">
        <w:trPr>
          <w:trHeight w:val="176"/>
        </w:trPr>
        <w:tc>
          <w:tcPr>
            <w:tcW w:w="2410" w:type="dxa"/>
            <w:tcMar>
              <w:top w:w="0" w:type="dxa"/>
              <w:left w:w="70" w:type="dxa"/>
              <w:bottom w:w="0" w:type="dxa"/>
              <w:right w:w="70" w:type="dxa"/>
            </w:tcMar>
            <w:vAlign w:val="center"/>
            <w:hideMark/>
          </w:tcPr>
          <w:p w14:paraId="42F06AD0" w14:textId="77777777" w:rsidR="00202B2E" w:rsidRPr="006B037D" w:rsidRDefault="00202B2E" w:rsidP="00EE2535">
            <w:pPr>
              <w:spacing w:after="0" w:line="240" w:lineRule="auto"/>
              <w:jc w:val="left"/>
              <w:rPr>
                <w:color w:val="000000"/>
                <w:sz w:val="20"/>
                <w:szCs w:val="20"/>
                <w:lang w:eastAsia="sk-SK"/>
              </w:rPr>
            </w:pPr>
            <w:r w:rsidRPr="006B037D">
              <w:rPr>
                <w:color w:val="000000"/>
                <w:sz w:val="20"/>
                <w:szCs w:val="20"/>
                <w:lang w:eastAsia="sk-SK"/>
              </w:rPr>
              <w:t>Daňové úrady</w:t>
            </w:r>
          </w:p>
        </w:tc>
        <w:tc>
          <w:tcPr>
            <w:tcW w:w="567" w:type="dxa"/>
            <w:tcMar>
              <w:top w:w="0" w:type="dxa"/>
              <w:left w:w="70" w:type="dxa"/>
              <w:bottom w:w="0" w:type="dxa"/>
              <w:right w:w="70" w:type="dxa"/>
            </w:tcMar>
            <w:vAlign w:val="center"/>
            <w:hideMark/>
          </w:tcPr>
          <w:p w14:paraId="1C3E73D9" w14:textId="77777777" w:rsidR="00202B2E" w:rsidRPr="006B037D" w:rsidRDefault="00202B2E" w:rsidP="00EE2535">
            <w:pPr>
              <w:spacing w:after="0" w:line="240" w:lineRule="auto"/>
              <w:jc w:val="center"/>
              <w:rPr>
                <w:color w:val="000000"/>
                <w:sz w:val="20"/>
                <w:szCs w:val="20"/>
                <w:lang w:eastAsia="sk-SK"/>
              </w:rPr>
            </w:pPr>
            <w:r w:rsidRPr="006B037D">
              <w:rPr>
                <w:color w:val="000000"/>
                <w:sz w:val="20"/>
                <w:szCs w:val="20"/>
                <w:lang w:eastAsia="sk-SK"/>
              </w:rPr>
              <w:t>2</w:t>
            </w:r>
          </w:p>
        </w:tc>
        <w:tc>
          <w:tcPr>
            <w:tcW w:w="2568" w:type="dxa"/>
            <w:tcMar>
              <w:top w:w="0" w:type="dxa"/>
              <w:left w:w="70" w:type="dxa"/>
              <w:bottom w:w="0" w:type="dxa"/>
              <w:right w:w="70" w:type="dxa"/>
            </w:tcMar>
            <w:vAlign w:val="center"/>
            <w:hideMark/>
          </w:tcPr>
          <w:p w14:paraId="22EF0DD9" w14:textId="77777777" w:rsidR="00202B2E" w:rsidRPr="006B037D" w:rsidRDefault="00202B2E" w:rsidP="00EE2535">
            <w:pPr>
              <w:spacing w:after="0" w:line="240" w:lineRule="auto"/>
              <w:jc w:val="center"/>
              <w:rPr>
                <w:color w:val="000000"/>
                <w:sz w:val="20"/>
                <w:szCs w:val="20"/>
                <w:lang w:eastAsia="sk-SK"/>
              </w:rPr>
            </w:pPr>
            <w:r w:rsidRPr="006B037D">
              <w:rPr>
                <w:color w:val="000000"/>
                <w:sz w:val="20"/>
                <w:szCs w:val="20"/>
                <w:lang w:eastAsia="sk-SK"/>
              </w:rPr>
              <w:t>3</w:t>
            </w:r>
          </w:p>
        </w:tc>
        <w:tc>
          <w:tcPr>
            <w:tcW w:w="550" w:type="dxa"/>
            <w:tcMar>
              <w:top w:w="0" w:type="dxa"/>
              <w:left w:w="70" w:type="dxa"/>
              <w:bottom w:w="0" w:type="dxa"/>
              <w:right w:w="70" w:type="dxa"/>
            </w:tcMar>
            <w:vAlign w:val="center"/>
            <w:hideMark/>
          </w:tcPr>
          <w:p w14:paraId="47F2F248" w14:textId="77777777" w:rsidR="00202B2E" w:rsidRPr="006B037D" w:rsidRDefault="00202B2E" w:rsidP="00EE2535">
            <w:pPr>
              <w:spacing w:after="0" w:line="240" w:lineRule="auto"/>
              <w:jc w:val="center"/>
              <w:rPr>
                <w:color w:val="000000"/>
                <w:sz w:val="20"/>
                <w:szCs w:val="20"/>
                <w:lang w:eastAsia="sk-SK"/>
              </w:rPr>
            </w:pPr>
            <w:r w:rsidRPr="006B037D">
              <w:rPr>
                <w:color w:val="000000"/>
                <w:sz w:val="20"/>
                <w:szCs w:val="20"/>
                <w:lang w:eastAsia="sk-SK"/>
              </w:rPr>
              <w:t>495</w:t>
            </w:r>
          </w:p>
        </w:tc>
        <w:tc>
          <w:tcPr>
            <w:tcW w:w="2269" w:type="dxa"/>
            <w:tcMar>
              <w:top w:w="0" w:type="dxa"/>
              <w:left w:w="70" w:type="dxa"/>
              <w:bottom w:w="0" w:type="dxa"/>
              <w:right w:w="70" w:type="dxa"/>
            </w:tcMar>
            <w:vAlign w:val="center"/>
            <w:hideMark/>
          </w:tcPr>
          <w:p w14:paraId="4E4593B0" w14:textId="77777777" w:rsidR="00202B2E" w:rsidRPr="006B037D" w:rsidRDefault="00202B2E" w:rsidP="00EE2535">
            <w:pPr>
              <w:spacing w:after="0" w:line="240" w:lineRule="auto"/>
              <w:jc w:val="center"/>
              <w:rPr>
                <w:color w:val="000000"/>
                <w:sz w:val="20"/>
                <w:szCs w:val="20"/>
                <w:lang w:eastAsia="sk-SK"/>
              </w:rPr>
            </w:pPr>
            <w:r w:rsidRPr="006B037D">
              <w:rPr>
                <w:color w:val="000000"/>
                <w:sz w:val="20"/>
                <w:szCs w:val="20"/>
                <w:lang w:eastAsia="sk-SK"/>
              </w:rPr>
              <w:t>951</w:t>
            </w:r>
          </w:p>
        </w:tc>
        <w:tc>
          <w:tcPr>
            <w:tcW w:w="160" w:type="dxa"/>
            <w:noWrap/>
            <w:tcMar>
              <w:top w:w="0" w:type="dxa"/>
              <w:left w:w="70" w:type="dxa"/>
              <w:bottom w:w="0" w:type="dxa"/>
              <w:right w:w="70" w:type="dxa"/>
            </w:tcMar>
            <w:vAlign w:val="bottom"/>
            <w:hideMark/>
          </w:tcPr>
          <w:p w14:paraId="5E3FB77A" w14:textId="77777777" w:rsidR="00202B2E" w:rsidRPr="003441E5" w:rsidRDefault="00202B2E" w:rsidP="00EE2535">
            <w:pPr>
              <w:rPr>
                <w:sz w:val="18"/>
                <w:szCs w:val="18"/>
                <w:lang w:eastAsia="sk-SK"/>
              </w:rPr>
            </w:pPr>
          </w:p>
        </w:tc>
      </w:tr>
      <w:tr w:rsidR="00202B2E" w14:paraId="37D9C652" w14:textId="77777777" w:rsidTr="00EE2535">
        <w:trPr>
          <w:trHeight w:val="176"/>
        </w:trPr>
        <w:tc>
          <w:tcPr>
            <w:tcW w:w="2410" w:type="dxa"/>
            <w:tcMar>
              <w:top w:w="0" w:type="dxa"/>
              <w:left w:w="70" w:type="dxa"/>
              <w:bottom w:w="0" w:type="dxa"/>
              <w:right w:w="70" w:type="dxa"/>
            </w:tcMar>
            <w:vAlign w:val="center"/>
            <w:hideMark/>
          </w:tcPr>
          <w:p w14:paraId="2C4D08FE" w14:textId="77777777" w:rsidR="00202B2E" w:rsidRPr="006B037D" w:rsidRDefault="00202B2E" w:rsidP="00EE2535">
            <w:pPr>
              <w:spacing w:after="0" w:line="240" w:lineRule="auto"/>
              <w:jc w:val="left"/>
              <w:rPr>
                <w:color w:val="000000"/>
                <w:sz w:val="20"/>
                <w:szCs w:val="20"/>
                <w:lang w:eastAsia="sk-SK"/>
              </w:rPr>
            </w:pPr>
            <w:r w:rsidRPr="006B037D">
              <w:rPr>
                <w:color w:val="000000"/>
                <w:sz w:val="20"/>
                <w:szCs w:val="20"/>
                <w:lang w:eastAsia="sk-SK"/>
              </w:rPr>
              <w:t xml:space="preserve">Colné úrady /* </w:t>
            </w:r>
          </w:p>
        </w:tc>
        <w:tc>
          <w:tcPr>
            <w:tcW w:w="567" w:type="dxa"/>
            <w:tcMar>
              <w:top w:w="0" w:type="dxa"/>
              <w:left w:w="70" w:type="dxa"/>
              <w:bottom w:w="0" w:type="dxa"/>
              <w:right w:w="70" w:type="dxa"/>
            </w:tcMar>
            <w:vAlign w:val="center"/>
            <w:hideMark/>
          </w:tcPr>
          <w:p w14:paraId="225EC4ED" w14:textId="77777777" w:rsidR="00202B2E" w:rsidRPr="006B037D" w:rsidRDefault="00202B2E" w:rsidP="00EE2535">
            <w:pPr>
              <w:spacing w:after="0" w:line="240" w:lineRule="auto"/>
              <w:jc w:val="center"/>
              <w:rPr>
                <w:color w:val="000000"/>
                <w:sz w:val="20"/>
                <w:szCs w:val="20"/>
                <w:lang w:eastAsia="sk-SK"/>
              </w:rPr>
            </w:pPr>
            <w:r w:rsidRPr="006B037D">
              <w:rPr>
                <w:color w:val="000000"/>
                <w:sz w:val="20"/>
                <w:szCs w:val="20"/>
                <w:lang w:eastAsia="sk-SK"/>
              </w:rPr>
              <w:t>x</w:t>
            </w:r>
          </w:p>
        </w:tc>
        <w:tc>
          <w:tcPr>
            <w:tcW w:w="2568" w:type="dxa"/>
            <w:tcMar>
              <w:top w:w="0" w:type="dxa"/>
              <w:left w:w="70" w:type="dxa"/>
              <w:bottom w:w="0" w:type="dxa"/>
              <w:right w:w="70" w:type="dxa"/>
            </w:tcMar>
            <w:vAlign w:val="center"/>
            <w:hideMark/>
          </w:tcPr>
          <w:p w14:paraId="28B58AF8" w14:textId="77777777" w:rsidR="00202B2E" w:rsidRPr="006B037D" w:rsidRDefault="00202B2E" w:rsidP="00EE2535">
            <w:pPr>
              <w:spacing w:after="0" w:line="240" w:lineRule="auto"/>
              <w:jc w:val="center"/>
              <w:rPr>
                <w:color w:val="000000"/>
                <w:sz w:val="20"/>
                <w:szCs w:val="20"/>
                <w:lang w:eastAsia="sk-SK"/>
              </w:rPr>
            </w:pPr>
            <w:r w:rsidRPr="006B037D">
              <w:rPr>
                <w:color w:val="000000"/>
                <w:sz w:val="20"/>
                <w:szCs w:val="20"/>
                <w:lang w:eastAsia="sk-SK"/>
              </w:rPr>
              <w:t>x</w:t>
            </w:r>
          </w:p>
        </w:tc>
        <w:tc>
          <w:tcPr>
            <w:tcW w:w="550" w:type="dxa"/>
            <w:tcMar>
              <w:top w:w="0" w:type="dxa"/>
              <w:left w:w="70" w:type="dxa"/>
              <w:bottom w:w="0" w:type="dxa"/>
              <w:right w:w="70" w:type="dxa"/>
            </w:tcMar>
            <w:vAlign w:val="center"/>
            <w:hideMark/>
          </w:tcPr>
          <w:p w14:paraId="57A121E3" w14:textId="77777777" w:rsidR="00202B2E" w:rsidRPr="006B037D" w:rsidRDefault="00202B2E" w:rsidP="00EE2535">
            <w:pPr>
              <w:spacing w:after="0" w:line="240" w:lineRule="auto"/>
              <w:jc w:val="center"/>
              <w:rPr>
                <w:color w:val="000000"/>
                <w:sz w:val="20"/>
                <w:szCs w:val="20"/>
                <w:lang w:eastAsia="sk-SK"/>
              </w:rPr>
            </w:pPr>
            <w:r w:rsidRPr="006B037D">
              <w:rPr>
                <w:color w:val="000000"/>
                <w:sz w:val="20"/>
                <w:szCs w:val="20"/>
                <w:lang w:eastAsia="sk-SK"/>
              </w:rPr>
              <w:t>2</w:t>
            </w:r>
          </w:p>
        </w:tc>
        <w:tc>
          <w:tcPr>
            <w:tcW w:w="2269" w:type="dxa"/>
            <w:tcMar>
              <w:top w:w="0" w:type="dxa"/>
              <w:left w:w="70" w:type="dxa"/>
              <w:bottom w:w="0" w:type="dxa"/>
              <w:right w:w="70" w:type="dxa"/>
            </w:tcMar>
            <w:vAlign w:val="center"/>
            <w:hideMark/>
          </w:tcPr>
          <w:p w14:paraId="5B9DDA7A" w14:textId="77777777" w:rsidR="00202B2E" w:rsidRPr="006B037D" w:rsidRDefault="00202B2E" w:rsidP="00EE2535">
            <w:pPr>
              <w:spacing w:after="0" w:line="240" w:lineRule="auto"/>
              <w:jc w:val="center"/>
              <w:rPr>
                <w:color w:val="000000"/>
                <w:sz w:val="20"/>
                <w:szCs w:val="20"/>
                <w:lang w:eastAsia="sk-SK"/>
              </w:rPr>
            </w:pPr>
            <w:r w:rsidRPr="006B037D">
              <w:rPr>
                <w:color w:val="000000"/>
                <w:sz w:val="20"/>
                <w:szCs w:val="20"/>
                <w:lang w:eastAsia="sk-SK"/>
              </w:rPr>
              <w:t>7</w:t>
            </w:r>
          </w:p>
        </w:tc>
        <w:tc>
          <w:tcPr>
            <w:tcW w:w="160" w:type="dxa"/>
            <w:noWrap/>
            <w:tcMar>
              <w:top w:w="0" w:type="dxa"/>
              <w:left w:w="70" w:type="dxa"/>
              <w:bottom w:w="0" w:type="dxa"/>
              <w:right w:w="70" w:type="dxa"/>
            </w:tcMar>
            <w:vAlign w:val="bottom"/>
            <w:hideMark/>
          </w:tcPr>
          <w:p w14:paraId="51D3726E" w14:textId="77777777" w:rsidR="00202B2E" w:rsidRPr="003441E5" w:rsidRDefault="00202B2E" w:rsidP="00EE2535">
            <w:pPr>
              <w:rPr>
                <w:sz w:val="18"/>
                <w:szCs w:val="18"/>
                <w:lang w:eastAsia="sk-SK"/>
              </w:rPr>
            </w:pPr>
          </w:p>
        </w:tc>
      </w:tr>
      <w:tr w:rsidR="00202B2E" w14:paraId="5ED0F088" w14:textId="77777777" w:rsidTr="00EE2535">
        <w:trPr>
          <w:trHeight w:val="176"/>
        </w:trPr>
        <w:tc>
          <w:tcPr>
            <w:tcW w:w="2410" w:type="dxa"/>
            <w:tcBorders>
              <w:bottom w:val="single" w:sz="8" w:space="0" w:color="auto"/>
            </w:tcBorders>
            <w:tcMar>
              <w:top w:w="0" w:type="dxa"/>
              <w:left w:w="70" w:type="dxa"/>
              <w:bottom w:w="0" w:type="dxa"/>
              <w:right w:w="70" w:type="dxa"/>
            </w:tcMar>
            <w:vAlign w:val="center"/>
            <w:hideMark/>
          </w:tcPr>
          <w:p w14:paraId="389A01E5" w14:textId="77777777" w:rsidR="00202B2E" w:rsidRPr="006B037D" w:rsidRDefault="00202B2E" w:rsidP="00EE2535">
            <w:pPr>
              <w:spacing w:after="0" w:line="240" w:lineRule="auto"/>
              <w:jc w:val="left"/>
              <w:rPr>
                <w:color w:val="000000"/>
                <w:sz w:val="20"/>
                <w:szCs w:val="20"/>
                <w:lang w:eastAsia="sk-SK"/>
              </w:rPr>
            </w:pPr>
            <w:r w:rsidRPr="006B037D">
              <w:rPr>
                <w:color w:val="000000"/>
                <w:sz w:val="20"/>
                <w:szCs w:val="20"/>
                <w:lang w:eastAsia="sk-SK"/>
              </w:rPr>
              <w:t>FR SR</w:t>
            </w:r>
          </w:p>
        </w:tc>
        <w:tc>
          <w:tcPr>
            <w:tcW w:w="567" w:type="dxa"/>
            <w:tcBorders>
              <w:bottom w:val="single" w:sz="8" w:space="0" w:color="auto"/>
            </w:tcBorders>
            <w:tcMar>
              <w:top w:w="0" w:type="dxa"/>
              <w:left w:w="70" w:type="dxa"/>
              <w:bottom w:w="0" w:type="dxa"/>
              <w:right w:w="70" w:type="dxa"/>
            </w:tcMar>
            <w:vAlign w:val="center"/>
            <w:hideMark/>
          </w:tcPr>
          <w:p w14:paraId="07477A53" w14:textId="77777777" w:rsidR="00202B2E" w:rsidRPr="006B037D" w:rsidRDefault="00202B2E" w:rsidP="00EE2535">
            <w:pPr>
              <w:spacing w:after="0" w:line="240" w:lineRule="auto"/>
              <w:jc w:val="center"/>
              <w:rPr>
                <w:color w:val="000000"/>
                <w:sz w:val="20"/>
                <w:szCs w:val="20"/>
                <w:lang w:eastAsia="sk-SK"/>
              </w:rPr>
            </w:pPr>
            <w:r w:rsidRPr="006B037D">
              <w:rPr>
                <w:color w:val="000000"/>
                <w:sz w:val="20"/>
                <w:szCs w:val="20"/>
                <w:lang w:eastAsia="sk-SK"/>
              </w:rPr>
              <w:t>x</w:t>
            </w:r>
          </w:p>
        </w:tc>
        <w:tc>
          <w:tcPr>
            <w:tcW w:w="2568" w:type="dxa"/>
            <w:tcBorders>
              <w:bottom w:val="single" w:sz="8" w:space="0" w:color="auto"/>
            </w:tcBorders>
            <w:tcMar>
              <w:top w:w="0" w:type="dxa"/>
              <w:left w:w="70" w:type="dxa"/>
              <w:bottom w:w="0" w:type="dxa"/>
              <w:right w:w="70" w:type="dxa"/>
            </w:tcMar>
            <w:vAlign w:val="center"/>
            <w:hideMark/>
          </w:tcPr>
          <w:p w14:paraId="5C2C643E" w14:textId="77777777" w:rsidR="00202B2E" w:rsidRPr="006B037D" w:rsidRDefault="00202B2E" w:rsidP="00EE2535">
            <w:pPr>
              <w:spacing w:after="0" w:line="240" w:lineRule="auto"/>
              <w:jc w:val="center"/>
              <w:rPr>
                <w:color w:val="000000"/>
                <w:sz w:val="20"/>
                <w:szCs w:val="20"/>
                <w:lang w:eastAsia="sk-SK"/>
              </w:rPr>
            </w:pPr>
            <w:r w:rsidRPr="006B037D">
              <w:rPr>
                <w:color w:val="000000"/>
                <w:sz w:val="20"/>
                <w:szCs w:val="20"/>
                <w:lang w:eastAsia="sk-SK"/>
              </w:rPr>
              <w:t>x</w:t>
            </w:r>
          </w:p>
        </w:tc>
        <w:tc>
          <w:tcPr>
            <w:tcW w:w="550" w:type="dxa"/>
            <w:tcBorders>
              <w:bottom w:val="single" w:sz="8" w:space="0" w:color="auto"/>
            </w:tcBorders>
            <w:tcMar>
              <w:top w:w="0" w:type="dxa"/>
              <w:left w:w="70" w:type="dxa"/>
              <w:bottom w:w="0" w:type="dxa"/>
              <w:right w:w="70" w:type="dxa"/>
            </w:tcMar>
            <w:vAlign w:val="center"/>
            <w:hideMark/>
          </w:tcPr>
          <w:p w14:paraId="2E0E912A" w14:textId="77777777" w:rsidR="00202B2E" w:rsidRPr="006B037D" w:rsidRDefault="00202B2E" w:rsidP="00EE2535">
            <w:pPr>
              <w:spacing w:after="0" w:line="240" w:lineRule="auto"/>
              <w:jc w:val="center"/>
              <w:rPr>
                <w:color w:val="000000"/>
                <w:sz w:val="20"/>
                <w:szCs w:val="20"/>
                <w:lang w:eastAsia="sk-SK"/>
              </w:rPr>
            </w:pPr>
            <w:r w:rsidRPr="006B037D">
              <w:rPr>
                <w:color w:val="000000"/>
                <w:sz w:val="20"/>
                <w:szCs w:val="20"/>
                <w:lang w:eastAsia="sk-SK"/>
              </w:rPr>
              <w:t>x</w:t>
            </w:r>
          </w:p>
        </w:tc>
        <w:tc>
          <w:tcPr>
            <w:tcW w:w="2269" w:type="dxa"/>
            <w:tcBorders>
              <w:bottom w:val="single" w:sz="8" w:space="0" w:color="auto"/>
            </w:tcBorders>
            <w:tcMar>
              <w:top w:w="0" w:type="dxa"/>
              <w:left w:w="70" w:type="dxa"/>
              <w:bottom w:w="0" w:type="dxa"/>
              <w:right w:w="70" w:type="dxa"/>
            </w:tcMar>
            <w:vAlign w:val="center"/>
            <w:hideMark/>
          </w:tcPr>
          <w:p w14:paraId="7FE3CEA6" w14:textId="77777777" w:rsidR="00202B2E" w:rsidRPr="006B037D" w:rsidRDefault="00202B2E" w:rsidP="00EE2535">
            <w:pPr>
              <w:spacing w:after="0" w:line="240" w:lineRule="auto"/>
              <w:jc w:val="center"/>
              <w:rPr>
                <w:color w:val="000000"/>
                <w:sz w:val="20"/>
                <w:szCs w:val="20"/>
                <w:lang w:eastAsia="sk-SK"/>
              </w:rPr>
            </w:pPr>
            <w:r w:rsidRPr="006B037D">
              <w:rPr>
                <w:color w:val="000000"/>
                <w:sz w:val="20"/>
                <w:szCs w:val="20"/>
                <w:lang w:eastAsia="sk-SK"/>
              </w:rPr>
              <w:t>x</w:t>
            </w:r>
          </w:p>
        </w:tc>
        <w:tc>
          <w:tcPr>
            <w:tcW w:w="160" w:type="dxa"/>
            <w:noWrap/>
            <w:tcMar>
              <w:top w:w="0" w:type="dxa"/>
              <w:left w:w="70" w:type="dxa"/>
              <w:bottom w:w="0" w:type="dxa"/>
              <w:right w:w="70" w:type="dxa"/>
            </w:tcMar>
            <w:vAlign w:val="bottom"/>
            <w:hideMark/>
          </w:tcPr>
          <w:p w14:paraId="617BA0B3" w14:textId="77777777" w:rsidR="00202B2E" w:rsidRPr="003441E5" w:rsidRDefault="00202B2E" w:rsidP="00EE2535">
            <w:pPr>
              <w:rPr>
                <w:sz w:val="18"/>
                <w:szCs w:val="18"/>
                <w:lang w:eastAsia="sk-SK"/>
              </w:rPr>
            </w:pPr>
          </w:p>
        </w:tc>
      </w:tr>
      <w:tr w:rsidR="00202B2E" w14:paraId="1E6F0504" w14:textId="77777777" w:rsidTr="00EE2535">
        <w:trPr>
          <w:trHeight w:val="185"/>
        </w:trPr>
        <w:tc>
          <w:tcPr>
            <w:tcW w:w="2410"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10A874C4" w14:textId="77777777" w:rsidR="00202B2E" w:rsidRPr="006B037D" w:rsidRDefault="00202B2E" w:rsidP="00EE2535">
            <w:pPr>
              <w:spacing w:after="0" w:line="240" w:lineRule="auto"/>
              <w:contextualSpacing/>
              <w:jc w:val="left"/>
              <w:rPr>
                <w:b/>
                <w:bCs/>
                <w:color w:val="000000"/>
                <w:sz w:val="20"/>
                <w:szCs w:val="20"/>
                <w:lang w:eastAsia="sk-SK"/>
              </w:rPr>
            </w:pPr>
            <w:r w:rsidRPr="006B037D">
              <w:rPr>
                <w:b/>
                <w:bCs/>
                <w:color w:val="000000"/>
                <w:sz w:val="20"/>
                <w:szCs w:val="20"/>
                <w:lang w:eastAsia="sk-SK"/>
              </w:rPr>
              <w:t>Spolu</w:t>
            </w:r>
          </w:p>
        </w:tc>
        <w:tc>
          <w:tcPr>
            <w:tcW w:w="567"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29943123" w14:textId="77777777" w:rsidR="00202B2E" w:rsidRPr="006B037D" w:rsidRDefault="00202B2E" w:rsidP="00EE2535">
            <w:pPr>
              <w:spacing w:after="0" w:line="240" w:lineRule="auto"/>
              <w:contextualSpacing/>
              <w:jc w:val="center"/>
              <w:rPr>
                <w:b/>
                <w:bCs/>
                <w:color w:val="000000"/>
                <w:sz w:val="20"/>
                <w:szCs w:val="20"/>
                <w:lang w:eastAsia="sk-SK"/>
              </w:rPr>
            </w:pPr>
            <w:r w:rsidRPr="006B037D">
              <w:rPr>
                <w:b/>
                <w:bCs/>
                <w:color w:val="000000"/>
                <w:sz w:val="20"/>
                <w:szCs w:val="20"/>
                <w:lang w:eastAsia="sk-SK"/>
              </w:rPr>
              <w:t>2</w:t>
            </w:r>
          </w:p>
        </w:tc>
        <w:tc>
          <w:tcPr>
            <w:tcW w:w="2568"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352DCC74" w14:textId="77777777" w:rsidR="00202B2E" w:rsidRPr="006B037D" w:rsidRDefault="00202B2E" w:rsidP="00EE2535">
            <w:pPr>
              <w:spacing w:after="0" w:line="240" w:lineRule="auto"/>
              <w:contextualSpacing/>
              <w:jc w:val="center"/>
              <w:rPr>
                <w:b/>
                <w:bCs/>
                <w:color w:val="000000"/>
                <w:sz w:val="20"/>
                <w:szCs w:val="20"/>
                <w:lang w:eastAsia="sk-SK"/>
              </w:rPr>
            </w:pPr>
            <w:r w:rsidRPr="006B037D">
              <w:rPr>
                <w:b/>
                <w:bCs/>
                <w:color w:val="000000"/>
                <w:sz w:val="20"/>
                <w:szCs w:val="20"/>
                <w:lang w:eastAsia="sk-SK"/>
              </w:rPr>
              <w:t>3</w:t>
            </w:r>
          </w:p>
        </w:tc>
        <w:tc>
          <w:tcPr>
            <w:tcW w:w="550"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39095595" w14:textId="77777777" w:rsidR="00202B2E" w:rsidRPr="006B037D" w:rsidRDefault="00202B2E" w:rsidP="00EE2535">
            <w:pPr>
              <w:spacing w:after="0" w:line="240" w:lineRule="auto"/>
              <w:contextualSpacing/>
              <w:jc w:val="center"/>
              <w:rPr>
                <w:b/>
                <w:bCs/>
                <w:color w:val="000000"/>
                <w:sz w:val="20"/>
                <w:szCs w:val="20"/>
                <w:lang w:eastAsia="sk-SK"/>
              </w:rPr>
            </w:pPr>
            <w:r w:rsidRPr="006B037D">
              <w:rPr>
                <w:b/>
                <w:bCs/>
                <w:color w:val="000000"/>
                <w:sz w:val="20"/>
                <w:szCs w:val="20"/>
                <w:lang w:eastAsia="sk-SK"/>
              </w:rPr>
              <w:t>497</w:t>
            </w:r>
          </w:p>
        </w:tc>
        <w:tc>
          <w:tcPr>
            <w:tcW w:w="2269"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36250DFF" w14:textId="77777777" w:rsidR="00202B2E" w:rsidRPr="006B037D" w:rsidRDefault="00202B2E" w:rsidP="00EE2535">
            <w:pPr>
              <w:spacing w:after="0" w:line="240" w:lineRule="auto"/>
              <w:contextualSpacing/>
              <w:jc w:val="center"/>
              <w:rPr>
                <w:b/>
                <w:bCs/>
                <w:color w:val="000000"/>
                <w:sz w:val="20"/>
                <w:szCs w:val="20"/>
                <w:lang w:eastAsia="sk-SK"/>
              </w:rPr>
            </w:pPr>
            <w:r w:rsidRPr="006B037D">
              <w:rPr>
                <w:b/>
                <w:bCs/>
                <w:color w:val="000000"/>
                <w:sz w:val="20"/>
                <w:szCs w:val="20"/>
                <w:lang w:eastAsia="sk-SK"/>
              </w:rPr>
              <w:t>958</w:t>
            </w:r>
          </w:p>
        </w:tc>
        <w:tc>
          <w:tcPr>
            <w:tcW w:w="160" w:type="dxa"/>
            <w:noWrap/>
            <w:tcMar>
              <w:top w:w="0" w:type="dxa"/>
              <w:left w:w="70" w:type="dxa"/>
              <w:bottom w:w="0" w:type="dxa"/>
              <w:right w:w="70" w:type="dxa"/>
            </w:tcMar>
            <w:vAlign w:val="bottom"/>
            <w:hideMark/>
          </w:tcPr>
          <w:p w14:paraId="4696B372" w14:textId="77777777" w:rsidR="00202B2E" w:rsidRPr="003441E5" w:rsidRDefault="00202B2E" w:rsidP="00EE2535">
            <w:pPr>
              <w:rPr>
                <w:sz w:val="18"/>
                <w:szCs w:val="18"/>
                <w:lang w:eastAsia="sk-SK"/>
              </w:rPr>
            </w:pPr>
          </w:p>
        </w:tc>
      </w:tr>
      <w:tr w:rsidR="00202B2E" w14:paraId="02705F60" w14:textId="77777777" w:rsidTr="00EE2535">
        <w:trPr>
          <w:gridAfter w:val="1"/>
          <w:wAfter w:w="160" w:type="dxa"/>
          <w:trHeight w:val="176"/>
        </w:trPr>
        <w:tc>
          <w:tcPr>
            <w:tcW w:w="8364" w:type="dxa"/>
            <w:gridSpan w:val="5"/>
            <w:noWrap/>
            <w:tcMar>
              <w:top w:w="0" w:type="dxa"/>
              <w:left w:w="70" w:type="dxa"/>
              <w:bottom w:w="0" w:type="dxa"/>
              <w:right w:w="70" w:type="dxa"/>
            </w:tcMar>
            <w:vAlign w:val="center"/>
            <w:hideMark/>
          </w:tcPr>
          <w:p w14:paraId="242033CF" w14:textId="77777777" w:rsidR="00202B2E" w:rsidRDefault="00202B2E" w:rsidP="00EE2535">
            <w:pPr>
              <w:rPr>
                <w:color w:val="000000"/>
                <w:sz w:val="18"/>
                <w:szCs w:val="18"/>
                <w:lang w:eastAsia="sk-SK"/>
              </w:rPr>
            </w:pPr>
            <w:r>
              <w:rPr>
                <w:color w:val="000000"/>
                <w:sz w:val="18"/>
                <w:szCs w:val="18"/>
                <w:lang w:eastAsia="sk-SK"/>
              </w:rPr>
              <w:t>*Colné úrady neposkytujú úľavy a odpustenie dane v zmysle § 70 daňového poriadku                           Zdroj: FR SR</w:t>
            </w:r>
          </w:p>
        </w:tc>
      </w:tr>
    </w:tbl>
    <w:p w14:paraId="34782A2B" w14:textId="65E4D50E" w:rsidR="00B36E22" w:rsidRDefault="00B36E22" w:rsidP="00B36E22">
      <w:pPr>
        <w:rPr>
          <w:b/>
          <w:i/>
        </w:rPr>
      </w:pPr>
      <w:r w:rsidRPr="00780083">
        <w:rPr>
          <w:b/>
          <w:i/>
        </w:rPr>
        <w:t>Podrobné údaje o plnení daňových príjmov štátneho rozpočtu v roku 2018 sú uvedené v tab.</w:t>
      </w:r>
      <w:r>
        <w:rPr>
          <w:b/>
          <w:i/>
        </w:rPr>
        <w:t xml:space="preserve"> č. </w:t>
      </w:r>
      <w:r w:rsidRPr="00EC59D2">
        <w:rPr>
          <w:b/>
          <w:i/>
        </w:rPr>
        <w:t>2 tabuľkovej prílohy štátneho záverečného účtu.</w:t>
      </w:r>
    </w:p>
    <w:p w14:paraId="613F02F3" w14:textId="77777777" w:rsidR="00F63F1C" w:rsidRDefault="00F63F1C" w:rsidP="00B36E22">
      <w:pPr>
        <w:rPr>
          <w:b/>
          <w:i/>
        </w:rPr>
      </w:pPr>
    </w:p>
    <w:p w14:paraId="739D3CBC" w14:textId="77777777" w:rsidR="008254BE" w:rsidRDefault="008254BE" w:rsidP="00C34E95">
      <w:pPr>
        <w:pStyle w:val="Nadpis3"/>
      </w:pPr>
      <w:bookmarkStart w:id="38" w:name="_Toc6415643"/>
      <w:bookmarkStart w:id="39" w:name="_Toc7502835"/>
      <w:r>
        <w:t>Nedaňové príjmy</w:t>
      </w:r>
      <w:bookmarkEnd w:id="38"/>
      <w:bookmarkEnd w:id="39"/>
    </w:p>
    <w:p w14:paraId="4AD5721A" w14:textId="0F5F24C0" w:rsidR="008F75C2" w:rsidRPr="00D00713" w:rsidRDefault="008F75C2" w:rsidP="008F75C2">
      <w:pPr>
        <w:rPr>
          <w:color w:val="000000" w:themeColor="text1"/>
        </w:rPr>
      </w:pPr>
      <w:r w:rsidRPr="00714A5C">
        <w:rPr>
          <w:color w:val="000000" w:themeColor="text1"/>
        </w:rPr>
        <w:t>Nedaňové príjmy do štátneho rozpočtu plynú najmä z vlastníctva majetku</w:t>
      </w:r>
      <w:r w:rsidR="00782989">
        <w:rPr>
          <w:color w:val="000000" w:themeColor="text1"/>
        </w:rPr>
        <w:t xml:space="preserve"> vo forme dividend</w:t>
      </w:r>
      <w:r w:rsidRPr="00714A5C">
        <w:rPr>
          <w:color w:val="000000" w:themeColor="text1"/>
        </w:rPr>
        <w:t>, poplatkov a platieb, kapitálových príjmov</w:t>
      </w:r>
      <w:r w:rsidR="00782989">
        <w:rPr>
          <w:color w:val="000000" w:themeColor="text1"/>
        </w:rPr>
        <w:t xml:space="preserve"> z predaja dlhodobého hmotného majetku</w:t>
      </w:r>
      <w:r w:rsidRPr="00714A5C">
        <w:rPr>
          <w:color w:val="000000" w:themeColor="text1"/>
        </w:rPr>
        <w:t xml:space="preserve"> a</w:t>
      </w:r>
      <w:r w:rsidR="00782989">
        <w:rPr>
          <w:color w:val="000000" w:themeColor="text1"/>
        </w:rPr>
        <w:t> </w:t>
      </w:r>
      <w:r w:rsidRPr="00714A5C">
        <w:rPr>
          <w:color w:val="000000" w:themeColor="text1"/>
        </w:rPr>
        <w:t>úrokov</w:t>
      </w:r>
      <w:r w:rsidR="00782989">
        <w:rPr>
          <w:color w:val="000000" w:themeColor="text1"/>
        </w:rPr>
        <w:t xml:space="preserve"> z poskytnutých výpomocí</w:t>
      </w:r>
      <w:r w:rsidRPr="00714A5C">
        <w:rPr>
          <w:color w:val="000000" w:themeColor="text1"/>
        </w:rPr>
        <w:t xml:space="preserve">. </w:t>
      </w:r>
      <w:r w:rsidR="00782989">
        <w:rPr>
          <w:color w:val="000000" w:themeColor="text1"/>
        </w:rPr>
        <w:t>Úhrnom tieto</w:t>
      </w:r>
      <w:r w:rsidRPr="00714A5C">
        <w:rPr>
          <w:color w:val="000000" w:themeColor="text1"/>
        </w:rPr>
        <w:t xml:space="preserve"> príjmy dosiahli </w:t>
      </w:r>
      <w:r>
        <w:rPr>
          <w:color w:val="000000" w:themeColor="text1"/>
        </w:rPr>
        <w:t>1 211 597</w:t>
      </w:r>
      <w:r w:rsidRPr="00714A5C">
        <w:rPr>
          <w:color w:val="000000" w:themeColor="text1"/>
        </w:rPr>
        <w:t> tis. </w:t>
      </w:r>
      <w:r w:rsidRPr="00781E59">
        <w:rPr>
          <w:color w:val="000000" w:themeColor="text1"/>
        </w:rPr>
        <w:t xml:space="preserve">eur, čo </w:t>
      </w:r>
      <w:r w:rsidR="00782989">
        <w:rPr>
          <w:color w:val="000000" w:themeColor="text1"/>
        </w:rPr>
        <w:t>predstavuje</w:t>
      </w:r>
      <w:r w:rsidRPr="00781E59">
        <w:rPr>
          <w:color w:val="000000" w:themeColor="text1"/>
        </w:rPr>
        <w:t xml:space="preserve"> </w:t>
      </w:r>
      <w:r>
        <w:rPr>
          <w:color w:val="000000" w:themeColor="text1"/>
        </w:rPr>
        <w:t>7</w:t>
      </w:r>
      <w:r w:rsidRPr="00781E59">
        <w:rPr>
          <w:color w:val="000000" w:themeColor="text1"/>
        </w:rPr>
        <w:t xml:space="preserve">,9 % z celkovo dosiahnutých príjmov štátneho rozpočtu. </w:t>
      </w:r>
      <w:r w:rsidRPr="00D00713">
        <w:rPr>
          <w:color w:val="000000" w:themeColor="text1"/>
        </w:rPr>
        <w:t>V porovnaní s rokom 201</w:t>
      </w:r>
      <w:r>
        <w:rPr>
          <w:color w:val="000000" w:themeColor="text1"/>
        </w:rPr>
        <w:t>7</w:t>
      </w:r>
      <w:r w:rsidRPr="00D00713">
        <w:rPr>
          <w:color w:val="000000" w:themeColor="text1"/>
        </w:rPr>
        <w:t xml:space="preserve"> sa skutočne vyinkasovaná suma nedaňových príjmov </w:t>
      </w:r>
      <w:r>
        <w:rPr>
          <w:color w:val="000000" w:themeColor="text1"/>
        </w:rPr>
        <w:t>znížila</w:t>
      </w:r>
      <w:r w:rsidRPr="00D00713">
        <w:rPr>
          <w:color w:val="000000" w:themeColor="text1"/>
        </w:rPr>
        <w:t xml:space="preserve"> o</w:t>
      </w:r>
      <w:r>
        <w:rPr>
          <w:color w:val="000000" w:themeColor="text1"/>
        </w:rPr>
        <w:t> 173 860</w:t>
      </w:r>
      <w:r w:rsidR="00110CA4">
        <w:rPr>
          <w:color w:val="000000" w:themeColor="text1"/>
        </w:rPr>
        <w:t> tis. eur, a to najmä z dôvodu nižších príjmov z dividend (o 160 472 tis. eur), z úrokov (o</w:t>
      </w:r>
      <w:r w:rsidRPr="00D00713">
        <w:rPr>
          <w:color w:val="000000" w:themeColor="text1"/>
        </w:rPr>
        <w:t xml:space="preserve"> </w:t>
      </w:r>
      <w:r w:rsidR="00110CA4">
        <w:rPr>
          <w:color w:val="000000" w:themeColor="text1"/>
        </w:rPr>
        <w:t>20 569 tis. eur</w:t>
      </w:r>
      <w:r w:rsidR="007A5A77">
        <w:rPr>
          <w:color w:val="000000" w:themeColor="text1"/>
        </w:rPr>
        <w:t xml:space="preserve">) a z pokút a </w:t>
      </w:r>
      <w:proofErr w:type="spellStart"/>
      <w:r w:rsidR="007A5A77">
        <w:rPr>
          <w:color w:val="000000" w:themeColor="text1"/>
        </w:rPr>
        <w:t>penálov</w:t>
      </w:r>
      <w:proofErr w:type="spellEnd"/>
      <w:r w:rsidR="007A5A77">
        <w:rPr>
          <w:color w:val="000000" w:themeColor="text1"/>
        </w:rPr>
        <w:t xml:space="preserve"> (o 13 388 </w:t>
      </w:r>
      <w:r w:rsidR="00110CA4">
        <w:rPr>
          <w:color w:val="000000" w:themeColor="text1"/>
        </w:rPr>
        <w:t>tis. eur). Vyššie príjmy v medziročnom porovnaní sa dosiahli na položke odvodu z hazardných hier (o 16 196 tis. eur) a ostatných poplatkov (o 7 357 tis. eur).</w:t>
      </w:r>
      <w:r w:rsidR="000A69B1">
        <w:rPr>
          <w:color w:val="000000" w:themeColor="text1"/>
        </w:rPr>
        <w:t xml:space="preserve"> Skutočné plnenie nedaňových príjmov predstavovalo 100,2 % rozpočtovanej hodnoty na rok 2018. </w:t>
      </w:r>
    </w:p>
    <w:p w14:paraId="5AF9DDB2" w14:textId="77777777" w:rsidR="006D748A" w:rsidRDefault="006D748A">
      <w:pPr>
        <w:spacing w:after="160" w:line="259" w:lineRule="auto"/>
        <w:jc w:val="left"/>
        <w:rPr>
          <w:color w:val="000000" w:themeColor="text1"/>
        </w:rPr>
      </w:pPr>
      <w:r>
        <w:rPr>
          <w:color w:val="000000" w:themeColor="text1"/>
        </w:rPr>
        <w:br w:type="page"/>
      </w:r>
    </w:p>
    <w:p w14:paraId="79871A98" w14:textId="584E9D6A" w:rsidR="008F75C2" w:rsidRDefault="008F75C2" w:rsidP="00AF58F9">
      <w:pPr>
        <w:spacing w:after="0"/>
        <w:rPr>
          <w:color w:val="000000" w:themeColor="text1"/>
        </w:rPr>
      </w:pPr>
      <w:r w:rsidRPr="00805621">
        <w:rPr>
          <w:color w:val="000000" w:themeColor="text1"/>
        </w:rPr>
        <w:t>Súhrnný prehľad o plnení nedaňových príjmov poskytuje nasledovná tabuľka:</w:t>
      </w:r>
    </w:p>
    <w:tbl>
      <w:tblPr>
        <w:tblW w:w="8931" w:type="dxa"/>
        <w:tblInd w:w="-294" w:type="dxa"/>
        <w:tblLayout w:type="fixed"/>
        <w:tblCellMar>
          <w:left w:w="70" w:type="dxa"/>
          <w:right w:w="70" w:type="dxa"/>
        </w:tblCellMar>
        <w:tblLook w:val="04A0" w:firstRow="1" w:lastRow="0" w:firstColumn="1" w:lastColumn="0" w:noHBand="0" w:noVBand="1"/>
      </w:tblPr>
      <w:tblGrid>
        <w:gridCol w:w="3119"/>
        <w:gridCol w:w="993"/>
        <w:gridCol w:w="1134"/>
        <w:gridCol w:w="992"/>
        <w:gridCol w:w="1134"/>
        <w:gridCol w:w="850"/>
        <w:gridCol w:w="709"/>
      </w:tblGrid>
      <w:tr w:rsidR="00780083" w:rsidRPr="00CA0835" w14:paraId="3AD56A07" w14:textId="77777777" w:rsidTr="00E90A4D">
        <w:trPr>
          <w:trHeight w:val="330"/>
        </w:trPr>
        <w:tc>
          <w:tcPr>
            <w:tcW w:w="8931" w:type="dxa"/>
            <w:gridSpan w:val="7"/>
            <w:tcBorders>
              <w:top w:val="nil"/>
              <w:left w:val="single" w:sz="8" w:space="0" w:color="auto"/>
              <w:bottom w:val="nil"/>
              <w:right w:val="nil"/>
            </w:tcBorders>
            <w:shd w:val="clear" w:color="000000" w:fill="000000"/>
            <w:vAlign w:val="center"/>
            <w:hideMark/>
          </w:tcPr>
          <w:p w14:paraId="56FCC9C5" w14:textId="6745CEBA" w:rsidR="00780083" w:rsidRPr="00CA0835" w:rsidRDefault="00780083" w:rsidP="00E90A4D">
            <w:pPr>
              <w:spacing w:after="0" w:line="240" w:lineRule="auto"/>
              <w:rPr>
                <w:b/>
                <w:bCs/>
                <w:color w:val="FFFFFF"/>
                <w:sz w:val="20"/>
                <w:szCs w:val="20"/>
              </w:rPr>
            </w:pPr>
            <w:bookmarkStart w:id="40" w:name="RANGE!B5:H20"/>
            <w:r w:rsidRPr="00CA0835">
              <w:rPr>
                <w:b/>
                <w:bCs/>
                <w:color w:val="FFFFFF"/>
                <w:sz w:val="20"/>
                <w:szCs w:val="20"/>
              </w:rPr>
              <w:t>Nedaňové príjmy</w:t>
            </w:r>
            <w:bookmarkEnd w:id="40"/>
            <w:r>
              <w:rPr>
                <w:b/>
                <w:bCs/>
                <w:color w:val="FFFFFF"/>
                <w:sz w:val="20"/>
                <w:szCs w:val="20"/>
              </w:rPr>
              <w:t xml:space="preserve">                                                                                                                                         v </w:t>
            </w:r>
            <w:r w:rsidRPr="00CA0835">
              <w:rPr>
                <w:b/>
                <w:bCs/>
                <w:color w:val="FFFFFF"/>
                <w:sz w:val="20"/>
                <w:szCs w:val="20"/>
              </w:rPr>
              <w:t>tis.</w:t>
            </w:r>
            <w:r>
              <w:rPr>
                <w:b/>
                <w:bCs/>
                <w:color w:val="FFFFFF"/>
                <w:sz w:val="20"/>
                <w:szCs w:val="20"/>
              </w:rPr>
              <w:t xml:space="preserve"> </w:t>
            </w:r>
            <w:r w:rsidRPr="00CA0835">
              <w:rPr>
                <w:b/>
                <w:bCs/>
                <w:color w:val="FFFFFF"/>
                <w:sz w:val="20"/>
                <w:szCs w:val="20"/>
              </w:rPr>
              <w:t>eur</w:t>
            </w:r>
          </w:p>
        </w:tc>
      </w:tr>
      <w:tr w:rsidR="008F75C2" w:rsidRPr="00997541" w14:paraId="655AA20F" w14:textId="77777777" w:rsidTr="00E90A4D">
        <w:trPr>
          <w:trHeight w:val="330"/>
        </w:trPr>
        <w:tc>
          <w:tcPr>
            <w:tcW w:w="3119" w:type="dxa"/>
            <w:tcBorders>
              <w:top w:val="nil"/>
              <w:left w:val="nil"/>
              <w:bottom w:val="nil"/>
              <w:right w:val="nil"/>
            </w:tcBorders>
            <w:shd w:val="clear" w:color="000000" w:fill="BFBFBF"/>
            <w:vAlign w:val="center"/>
            <w:hideMark/>
          </w:tcPr>
          <w:p w14:paraId="285151C1" w14:textId="77777777" w:rsidR="008F75C2" w:rsidRPr="00997541" w:rsidRDefault="008F75C2" w:rsidP="008F75C2">
            <w:pPr>
              <w:rPr>
                <w:b/>
                <w:bCs/>
                <w:color w:val="FFFFFF"/>
                <w:sz w:val="18"/>
                <w:szCs w:val="18"/>
              </w:rPr>
            </w:pPr>
            <w:r w:rsidRPr="00997541">
              <w:rPr>
                <w:b/>
                <w:bCs/>
                <w:color w:val="FFFFFF"/>
                <w:sz w:val="18"/>
                <w:szCs w:val="18"/>
              </w:rPr>
              <w:t> </w:t>
            </w:r>
          </w:p>
        </w:tc>
        <w:tc>
          <w:tcPr>
            <w:tcW w:w="2127" w:type="dxa"/>
            <w:gridSpan w:val="2"/>
            <w:tcBorders>
              <w:top w:val="nil"/>
              <w:left w:val="nil"/>
              <w:bottom w:val="nil"/>
              <w:right w:val="nil"/>
            </w:tcBorders>
            <w:shd w:val="clear" w:color="000000" w:fill="BFBFBF"/>
            <w:vAlign w:val="center"/>
            <w:hideMark/>
          </w:tcPr>
          <w:p w14:paraId="52BA3054" w14:textId="77777777" w:rsidR="008F75C2" w:rsidRPr="00997541" w:rsidRDefault="008F75C2" w:rsidP="008F75C2">
            <w:pPr>
              <w:jc w:val="center"/>
              <w:rPr>
                <w:b/>
                <w:bCs/>
                <w:color w:val="000000"/>
                <w:sz w:val="18"/>
                <w:szCs w:val="18"/>
              </w:rPr>
            </w:pPr>
            <w:r w:rsidRPr="00997541">
              <w:rPr>
                <w:b/>
                <w:bCs/>
                <w:color w:val="000000"/>
                <w:sz w:val="18"/>
                <w:szCs w:val="18"/>
              </w:rPr>
              <w:t>Skutočnosť</w:t>
            </w:r>
          </w:p>
        </w:tc>
        <w:tc>
          <w:tcPr>
            <w:tcW w:w="992" w:type="dxa"/>
            <w:tcBorders>
              <w:top w:val="nil"/>
              <w:left w:val="nil"/>
              <w:bottom w:val="nil"/>
              <w:right w:val="nil"/>
            </w:tcBorders>
            <w:shd w:val="clear" w:color="000000" w:fill="BFBFBF"/>
            <w:vAlign w:val="center"/>
            <w:hideMark/>
          </w:tcPr>
          <w:p w14:paraId="4BDCF0D7" w14:textId="77777777" w:rsidR="008F75C2" w:rsidRPr="00997541" w:rsidRDefault="008F75C2" w:rsidP="008F75C2">
            <w:pPr>
              <w:jc w:val="center"/>
              <w:rPr>
                <w:b/>
                <w:bCs/>
                <w:color w:val="000000"/>
                <w:sz w:val="18"/>
                <w:szCs w:val="18"/>
              </w:rPr>
            </w:pPr>
            <w:r w:rsidRPr="00997541">
              <w:rPr>
                <w:b/>
                <w:bCs/>
                <w:color w:val="000000"/>
                <w:sz w:val="18"/>
                <w:szCs w:val="18"/>
              </w:rPr>
              <w:t>Rozpočet</w:t>
            </w:r>
          </w:p>
        </w:tc>
        <w:tc>
          <w:tcPr>
            <w:tcW w:w="1134" w:type="dxa"/>
            <w:tcBorders>
              <w:top w:val="nil"/>
              <w:left w:val="nil"/>
              <w:bottom w:val="nil"/>
              <w:right w:val="nil"/>
            </w:tcBorders>
            <w:shd w:val="clear" w:color="000000" w:fill="BFBFBF"/>
            <w:vAlign w:val="center"/>
            <w:hideMark/>
          </w:tcPr>
          <w:p w14:paraId="76103847" w14:textId="77777777" w:rsidR="008F75C2" w:rsidRPr="00997541" w:rsidRDefault="008F75C2" w:rsidP="008F75C2">
            <w:pPr>
              <w:jc w:val="center"/>
              <w:rPr>
                <w:b/>
                <w:bCs/>
                <w:color w:val="000000"/>
                <w:sz w:val="18"/>
                <w:szCs w:val="18"/>
              </w:rPr>
            </w:pPr>
            <w:r w:rsidRPr="00997541">
              <w:rPr>
                <w:b/>
                <w:bCs/>
                <w:color w:val="000000"/>
                <w:sz w:val="18"/>
                <w:szCs w:val="18"/>
              </w:rPr>
              <w:t>Skutočnosť</w:t>
            </w:r>
          </w:p>
        </w:tc>
        <w:tc>
          <w:tcPr>
            <w:tcW w:w="1559" w:type="dxa"/>
            <w:gridSpan w:val="2"/>
            <w:tcBorders>
              <w:top w:val="nil"/>
              <w:left w:val="nil"/>
              <w:bottom w:val="nil"/>
              <w:right w:val="nil"/>
            </w:tcBorders>
            <w:shd w:val="clear" w:color="000000" w:fill="BFBFBF"/>
            <w:vAlign w:val="center"/>
            <w:hideMark/>
          </w:tcPr>
          <w:p w14:paraId="674BE344" w14:textId="77777777" w:rsidR="008F75C2" w:rsidRPr="00997541" w:rsidRDefault="008F75C2" w:rsidP="008F75C2">
            <w:pPr>
              <w:jc w:val="center"/>
              <w:rPr>
                <w:b/>
                <w:bCs/>
                <w:color w:val="000000"/>
                <w:sz w:val="18"/>
                <w:szCs w:val="18"/>
              </w:rPr>
            </w:pPr>
            <w:r w:rsidRPr="00997541">
              <w:rPr>
                <w:b/>
                <w:bCs/>
                <w:color w:val="000000"/>
                <w:sz w:val="18"/>
                <w:szCs w:val="18"/>
              </w:rPr>
              <w:t>Rozdiel</w:t>
            </w:r>
          </w:p>
        </w:tc>
      </w:tr>
      <w:tr w:rsidR="008F75C2" w:rsidRPr="00997541" w14:paraId="3514191A" w14:textId="77777777" w:rsidTr="00E90A4D">
        <w:trPr>
          <w:trHeight w:val="153"/>
        </w:trPr>
        <w:tc>
          <w:tcPr>
            <w:tcW w:w="3119" w:type="dxa"/>
            <w:tcBorders>
              <w:top w:val="nil"/>
              <w:left w:val="nil"/>
              <w:bottom w:val="nil"/>
              <w:right w:val="nil"/>
            </w:tcBorders>
            <w:shd w:val="clear" w:color="000000" w:fill="BFBFBF"/>
            <w:vAlign w:val="center"/>
            <w:hideMark/>
          </w:tcPr>
          <w:p w14:paraId="61080B0A" w14:textId="77777777" w:rsidR="008F75C2" w:rsidRPr="00997541" w:rsidRDefault="008F75C2" w:rsidP="008F75C2">
            <w:pPr>
              <w:jc w:val="center"/>
              <w:rPr>
                <w:b/>
                <w:bCs/>
                <w:sz w:val="18"/>
                <w:szCs w:val="18"/>
              </w:rPr>
            </w:pPr>
            <w:r w:rsidRPr="00997541">
              <w:rPr>
                <w:b/>
                <w:bCs/>
                <w:sz w:val="18"/>
                <w:szCs w:val="18"/>
              </w:rPr>
              <w:t> </w:t>
            </w:r>
          </w:p>
        </w:tc>
        <w:tc>
          <w:tcPr>
            <w:tcW w:w="993" w:type="dxa"/>
            <w:tcBorders>
              <w:top w:val="nil"/>
              <w:left w:val="nil"/>
              <w:bottom w:val="nil"/>
              <w:right w:val="nil"/>
            </w:tcBorders>
            <w:shd w:val="clear" w:color="000000" w:fill="BFBFBF"/>
            <w:vAlign w:val="center"/>
            <w:hideMark/>
          </w:tcPr>
          <w:p w14:paraId="0C9C6690" w14:textId="77777777" w:rsidR="008F75C2" w:rsidRPr="00997541" w:rsidRDefault="008F75C2" w:rsidP="008F75C2">
            <w:pPr>
              <w:jc w:val="center"/>
              <w:rPr>
                <w:b/>
                <w:bCs/>
                <w:color w:val="000000"/>
                <w:sz w:val="18"/>
                <w:szCs w:val="18"/>
              </w:rPr>
            </w:pPr>
            <w:r w:rsidRPr="00997541">
              <w:rPr>
                <w:b/>
                <w:bCs/>
                <w:color w:val="000000"/>
                <w:sz w:val="18"/>
                <w:szCs w:val="18"/>
              </w:rPr>
              <w:t>2016</w:t>
            </w:r>
          </w:p>
        </w:tc>
        <w:tc>
          <w:tcPr>
            <w:tcW w:w="1134" w:type="dxa"/>
            <w:tcBorders>
              <w:top w:val="nil"/>
              <w:left w:val="nil"/>
              <w:bottom w:val="nil"/>
              <w:right w:val="nil"/>
            </w:tcBorders>
            <w:shd w:val="clear" w:color="000000" w:fill="BFBFBF"/>
            <w:vAlign w:val="center"/>
            <w:hideMark/>
          </w:tcPr>
          <w:p w14:paraId="67175350" w14:textId="77777777" w:rsidR="008F75C2" w:rsidRPr="00997541" w:rsidRDefault="008F75C2" w:rsidP="008F75C2">
            <w:pPr>
              <w:jc w:val="center"/>
              <w:rPr>
                <w:b/>
                <w:bCs/>
                <w:color w:val="000000"/>
                <w:sz w:val="18"/>
                <w:szCs w:val="18"/>
              </w:rPr>
            </w:pPr>
            <w:r w:rsidRPr="00997541">
              <w:rPr>
                <w:b/>
                <w:bCs/>
                <w:color w:val="000000"/>
                <w:sz w:val="18"/>
                <w:szCs w:val="18"/>
              </w:rPr>
              <w:t>2017</w:t>
            </w:r>
          </w:p>
        </w:tc>
        <w:tc>
          <w:tcPr>
            <w:tcW w:w="992" w:type="dxa"/>
            <w:tcBorders>
              <w:top w:val="nil"/>
              <w:left w:val="nil"/>
              <w:bottom w:val="nil"/>
              <w:right w:val="nil"/>
            </w:tcBorders>
            <w:shd w:val="clear" w:color="000000" w:fill="BFBFBF"/>
            <w:vAlign w:val="center"/>
            <w:hideMark/>
          </w:tcPr>
          <w:p w14:paraId="04E41C54" w14:textId="77777777" w:rsidR="008F75C2" w:rsidRPr="00997541" w:rsidRDefault="008F75C2" w:rsidP="008F75C2">
            <w:pPr>
              <w:jc w:val="center"/>
              <w:rPr>
                <w:b/>
                <w:bCs/>
                <w:color w:val="000000"/>
                <w:sz w:val="18"/>
                <w:szCs w:val="18"/>
              </w:rPr>
            </w:pPr>
            <w:r w:rsidRPr="00997541">
              <w:rPr>
                <w:b/>
                <w:bCs/>
                <w:color w:val="000000"/>
                <w:sz w:val="18"/>
                <w:szCs w:val="18"/>
              </w:rPr>
              <w:t>2018</w:t>
            </w:r>
          </w:p>
        </w:tc>
        <w:tc>
          <w:tcPr>
            <w:tcW w:w="1134" w:type="dxa"/>
            <w:tcBorders>
              <w:top w:val="nil"/>
              <w:left w:val="nil"/>
              <w:bottom w:val="nil"/>
              <w:right w:val="nil"/>
            </w:tcBorders>
            <w:shd w:val="clear" w:color="000000" w:fill="BFBFBF"/>
            <w:vAlign w:val="center"/>
            <w:hideMark/>
          </w:tcPr>
          <w:p w14:paraId="3E1F6415" w14:textId="77777777" w:rsidR="008F75C2" w:rsidRPr="00997541" w:rsidRDefault="008F75C2" w:rsidP="008F75C2">
            <w:pPr>
              <w:jc w:val="center"/>
              <w:rPr>
                <w:b/>
                <w:bCs/>
                <w:color w:val="000000"/>
                <w:sz w:val="18"/>
                <w:szCs w:val="18"/>
              </w:rPr>
            </w:pPr>
            <w:r w:rsidRPr="00997541">
              <w:rPr>
                <w:b/>
                <w:bCs/>
                <w:color w:val="000000"/>
                <w:sz w:val="18"/>
                <w:szCs w:val="18"/>
              </w:rPr>
              <w:t>2018</w:t>
            </w:r>
          </w:p>
        </w:tc>
        <w:tc>
          <w:tcPr>
            <w:tcW w:w="850" w:type="dxa"/>
            <w:tcBorders>
              <w:top w:val="nil"/>
              <w:left w:val="nil"/>
              <w:bottom w:val="nil"/>
              <w:right w:val="nil"/>
            </w:tcBorders>
            <w:shd w:val="clear" w:color="000000" w:fill="BFBFBF"/>
            <w:vAlign w:val="center"/>
            <w:hideMark/>
          </w:tcPr>
          <w:p w14:paraId="554F61DA" w14:textId="77777777" w:rsidR="008F75C2" w:rsidRPr="00997541" w:rsidRDefault="008F75C2" w:rsidP="008F75C2">
            <w:pPr>
              <w:jc w:val="center"/>
              <w:rPr>
                <w:b/>
                <w:bCs/>
                <w:color w:val="000000"/>
                <w:sz w:val="18"/>
                <w:szCs w:val="18"/>
              </w:rPr>
            </w:pPr>
            <w:r w:rsidRPr="00997541">
              <w:rPr>
                <w:b/>
                <w:bCs/>
                <w:color w:val="000000"/>
                <w:sz w:val="18"/>
                <w:szCs w:val="18"/>
              </w:rPr>
              <w:t xml:space="preserve"> v tis. eur</w:t>
            </w:r>
          </w:p>
        </w:tc>
        <w:tc>
          <w:tcPr>
            <w:tcW w:w="709" w:type="dxa"/>
            <w:tcBorders>
              <w:top w:val="nil"/>
              <w:left w:val="nil"/>
              <w:bottom w:val="nil"/>
              <w:right w:val="nil"/>
            </w:tcBorders>
            <w:shd w:val="clear" w:color="000000" w:fill="BFBFBF"/>
            <w:vAlign w:val="center"/>
            <w:hideMark/>
          </w:tcPr>
          <w:p w14:paraId="6169DB6F" w14:textId="77777777" w:rsidR="008F75C2" w:rsidRPr="00997541" w:rsidRDefault="008F75C2" w:rsidP="008F75C2">
            <w:pPr>
              <w:jc w:val="center"/>
              <w:rPr>
                <w:b/>
                <w:bCs/>
                <w:color w:val="000000"/>
                <w:sz w:val="18"/>
                <w:szCs w:val="18"/>
              </w:rPr>
            </w:pPr>
            <w:r w:rsidRPr="00997541">
              <w:rPr>
                <w:b/>
                <w:bCs/>
                <w:color w:val="000000"/>
                <w:sz w:val="18"/>
                <w:szCs w:val="18"/>
              </w:rPr>
              <w:t>v %</w:t>
            </w:r>
          </w:p>
        </w:tc>
      </w:tr>
      <w:tr w:rsidR="008F75C2" w:rsidRPr="00997541" w14:paraId="642A303C" w14:textId="77777777" w:rsidTr="00E90A4D">
        <w:trPr>
          <w:trHeight w:val="68"/>
        </w:trPr>
        <w:tc>
          <w:tcPr>
            <w:tcW w:w="3119" w:type="dxa"/>
            <w:tcBorders>
              <w:top w:val="nil"/>
              <w:left w:val="nil"/>
              <w:bottom w:val="single" w:sz="8" w:space="0" w:color="auto"/>
              <w:right w:val="nil"/>
            </w:tcBorders>
            <w:shd w:val="clear" w:color="000000" w:fill="BFBFBF"/>
            <w:vAlign w:val="center"/>
            <w:hideMark/>
          </w:tcPr>
          <w:p w14:paraId="5F13C3E0" w14:textId="77777777" w:rsidR="008F75C2" w:rsidRPr="00997541" w:rsidRDefault="008F75C2" w:rsidP="008F75C2">
            <w:pPr>
              <w:rPr>
                <w:b/>
                <w:bCs/>
                <w:color w:val="FFFFFF"/>
                <w:sz w:val="18"/>
                <w:szCs w:val="18"/>
              </w:rPr>
            </w:pPr>
            <w:r w:rsidRPr="00997541">
              <w:rPr>
                <w:b/>
                <w:bCs/>
                <w:color w:val="FFFFFF"/>
                <w:sz w:val="18"/>
                <w:szCs w:val="18"/>
              </w:rPr>
              <w:t> </w:t>
            </w:r>
          </w:p>
        </w:tc>
        <w:tc>
          <w:tcPr>
            <w:tcW w:w="993" w:type="dxa"/>
            <w:tcBorders>
              <w:top w:val="nil"/>
              <w:left w:val="nil"/>
              <w:bottom w:val="single" w:sz="8" w:space="0" w:color="auto"/>
              <w:right w:val="nil"/>
            </w:tcBorders>
            <w:shd w:val="clear" w:color="000000" w:fill="BFBFBF"/>
            <w:vAlign w:val="center"/>
            <w:hideMark/>
          </w:tcPr>
          <w:p w14:paraId="144E4284" w14:textId="77777777" w:rsidR="008F75C2" w:rsidRPr="00997541" w:rsidRDefault="008F75C2" w:rsidP="008F75C2">
            <w:pPr>
              <w:jc w:val="center"/>
              <w:rPr>
                <w:b/>
                <w:bCs/>
                <w:sz w:val="18"/>
                <w:szCs w:val="18"/>
              </w:rPr>
            </w:pPr>
            <w:r w:rsidRPr="00997541">
              <w:rPr>
                <w:b/>
                <w:bCs/>
                <w:sz w:val="18"/>
                <w:szCs w:val="18"/>
              </w:rPr>
              <w:t>1</w:t>
            </w:r>
          </w:p>
        </w:tc>
        <w:tc>
          <w:tcPr>
            <w:tcW w:w="1134" w:type="dxa"/>
            <w:tcBorders>
              <w:top w:val="nil"/>
              <w:left w:val="nil"/>
              <w:bottom w:val="single" w:sz="8" w:space="0" w:color="auto"/>
              <w:right w:val="nil"/>
            </w:tcBorders>
            <w:shd w:val="clear" w:color="000000" w:fill="BFBFBF"/>
            <w:vAlign w:val="center"/>
            <w:hideMark/>
          </w:tcPr>
          <w:p w14:paraId="195A8923" w14:textId="77777777" w:rsidR="008F75C2" w:rsidRPr="00997541" w:rsidRDefault="008F75C2" w:rsidP="008F75C2">
            <w:pPr>
              <w:jc w:val="center"/>
              <w:rPr>
                <w:b/>
                <w:bCs/>
                <w:sz w:val="18"/>
                <w:szCs w:val="18"/>
              </w:rPr>
            </w:pPr>
            <w:r w:rsidRPr="00997541">
              <w:rPr>
                <w:b/>
                <w:bCs/>
                <w:sz w:val="18"/>
                <w:szCs w:val="18"/>
              </w:rPr>
              <w:t>2</w:t>
            </w:r>
          </w:p>
        </w:tc>
        <w:tc>
          <w:tcPr>
            <w:tcW w:w="992" w:type="dxa"/>
            <w:tcBorders>
              <w:top w:val="nil"/>
              <w:left w:val="nil"/>
              <w:bottom w:val="single" w:sz="8" w:space="0" w:color="auto"/>
              <w:right w:val="nil"/>
            </w:tcBorders>
            <w:shd w:val="clear" w:color="000000" w:fill="BFBFBF"/>
            <w:vAlign w:val="center"/>
            <w:hideMark/>
          </w:tcPr>
          <w:p w14:paraId="414BCC9F" w14:textId="77777777" w:rsidR="008F75C2" w:rsidRPr="00997541" w:rsidRDefault="008F75C2" w:rsidP="008F75C2">
            <w:pPr>
              <w:jc w:val="center"/>
              <w:rPr>
                <w:b/>
                <w:bCs/>
                <w:sz w:val="18"/>
                <w:szCs w:val="18"/>
              </w:rPr>
            </w:pPr>
            <w:r w:rsidRPr="00997541">
              <w:rPr>
                <w:b/>
                <w:bCs/>
                <w:sz w:val="18"/>
                <w:szCs w:val="18"/>
              </w:rPr>
              <w:t>3</w:t>
            </w:r>
          </w:p>
        </w:tc>
        <w:tc>
          <w:tcPr>
            <w:tcW w:w="1134" w:type="dxa"/>
            <w:tcBorders>
              <w:top w:val="nil"/>
              <w:left w:val="nil"/>
              <w:bottom w:val="single" w:sz="8" w:space="0" w:color="auto"/>
              <w:right w:val="nil"/>
            </w:tcBorders>
            <w:shd w:val="clear" w:color="000000" w:fill="BFBFBF"/>
            <w:vAlign w:val="center"/>
            <w:hideMark/>
          </w:tcPr>
          <w:p w14:paraId="13F5BF7D" w14:textId="77777777" w:rsidR="008F75C2" w:rsidRPr="00997541" w:rsidRDefault="008F75C2" w:rsidP="008F75C2">
            <w:pPr>
              <w:jc w:val="center"/>
              <w:rPr>
                <w:b/>
                <w:bCs/>
                <w:sz w:val="18"/>
                <w:szCs w:val="18"/>
              </w:rPr>
            </w:pPr>
            <w:r w:rsidRPr="00997541">
              <w:rPr>
                <w:b/>
                <w:bCs/>
                <w:sz w:val="18"/>
                <w:szCs w:val="18"/>
              </w:rPr>
              <w:t>4</w:t>
            </w:r>
          </w:p>
        </w:tc>
        <w:tc>
          <w:tcPr>
            <w:tcW w:w="850" w:type="dxa"/>
            <w:tcBorders>
              <w:top w:val="nil"/>
              <w:left w:val="nil"/>
              <w:bottom w:val="single" w:sz="8" w:space="0" w:color="auto"/>
              <w:right w:val="nil"/>
            </w:tcBorders>
            <w:shd w:val="clear" w:color="000000" w:fill="BFBFBF"/>
            <w:vAlign w:val="center"/>
            <w:hideMark/>
          </w:tcPr>
          <w:p w14:paraId="55BFDC13" w14:textId="77777777" w:rsidR="008F75C2" w:rsidRPr="00997541" w:rsidRDefault="008F75C2" w:rsidP="008F75C2">
            <w:pPr>
              <w:jc w:val="center"/>
              <w:rPr>
                <w:b/>
                <w:bCs/>
                <w:sz w:val="18"/>
                <w:szCs w:val="18"/>
              </w:rPr>
            </w:pPr>
            <w:r w:rsidRPr="00997541">
              <w:rPr>
                <w:b/>
                <w:bCs/>
                <w:sz w:val="18"/>
                <w:szCs w:val="18"/>
              </w:rPr>
              <w:t>5=4-3</w:t>
            </w:r>
          </w:p>
        </w:tc>
        <w:tc>
          <w:tcPr>
            <w:tcW w:w="709" w:type="dxa"/>
            <w:tcBorders>
              <w:top w:val="nil"/>
              <w:left w:val="nil"/>
              <w:bottom w:val="single" w:sz="8" w:space="0" w:color="auto"/>
              <w:right w:val="nil"/>
            </w:tcBorders>
            <w:shd w:val="clear" w:color="000000" w:fill="BFBFBF"/>
            <w:vAlign w:val="center"/>
            <w:hideMark/>
          </w:tcPr>
          <w:p w14:paraId="3C6AB18D" w14:textId="77777777" w:rsidR="008F75C2" w:rsidRPr="00997541" w:rsidRDefault="008F75C2" w:rsidP="008F75C2">
            <w:pPr>
              <w:jc w:val="center"/>
              <w:rPr>
                <w:b/>
                <w:bCs/>
                <w:sz w:val="18"/>
                <w:szCs w:val="18"/>
              </w:rPr>
            </w:pPr>
            <w:r w:rsidRPr="00997541">
              <w:rPr>
                <w:b/>
                <w:bCs/>
                <w:sz w:val="18"/>
                <w:szCs w:val="18"/>
              </w:rPr>
              <w:t>6=4-3</w:t>
            </w:r>
          </w:p>
        </w:tc>
      </w:tr>
      <w:tr w:rsidR="008F75C2" w:rsidRPr="00E90A4D" w14:paraId="539A22C7" w14:textId="77777777" w:rsidTr="00E90A4D">
        <w:trPr>
          <w:trHeight w:val="330"/>
        </w:trPr>
        <w:tc>
          <w:tcPr>
            <w:tcW w:w="3119" w:type="dxa"/>
            <w:tcBorders>
              <w:top w:val="nil"/>
              <w:left w:val="nil"/>
              <w:bottom w:val="nil"/>
              <w:right w:val="nil"/>
            </w:tcBorders>
            <w:shd w:val="clear" w:color="000000" w:fill="FFFFFF"/>
            <w:noWrap/>
            <w:vAlign w:val="center"/>
            <w:hideMark/>
          </w:tcPr>
          <w:p w14:paraId="4189489C" w14:textId="77777777" w:rsidR="008F75C2" w:rsidRPr="00E90A4D" w:rsidRDefault="008F75C2" w:rsidP="00CA0835">
            <w:pPr>
              <w:spacing w:after="0" w:line="240" w:lineRule="auto"/>
              <w:jc w:val="left"/>
              <w:rPr>
                <w:b/>
                <w:color w:val="000000"/>
                <w:sz w:val="20"/>
                <w:szCs w:val="20"/>
                <w:lang w:eastAsia="sk-SK"/>
              </w:rPr>
            </w:pPr>
            <w:r w:rsidRPr="00E90A4D">
              <w:rPr>
                <w:b/>
                <w:color w:val="000000"/>
                <w:sz w:val="20"/>
                <w:szCs w:val="20"/>
                <w:lang w:eastAsia="sk-SK"/>
              </w:rPr>
              <w:t>Príjmy z podnikania a z vlastníctva majetku</w:t>
            </w:r>
          </w:p>
        </w:tc>
        <w:tc>
          <w:tcPr>
            <w:tcW w:w="993" w:type="dxa"/>
            <w:tcBorders>
              <w:top w:val="nil"/>
              <w:left w:val="nil"/>
              <w:bottom w:val="nil"/>
              <w:right w:val="nil"/>
            </w:tcBorders>
            <w:shd w:val="clear" w:color="000000" w:fill="FFFFFF"/>
            <w:noWrap/>
            <w:vAlign w:val="center"/>
            <w:hideMark/>
          </w:tcPr>
          <w:p w14:paraId="4AB36835" w14:textId="77777777" w:rsidR="008F75C2" w:rsidRPr="00E90A4D" w:rsidRDefault="008F75C2" w:rsidP="00CA0835">
            <w:pPr>
              <w:spacing w:after="0" w:line="240" w:lineRule="auto"/>
              <w:jc w:val="right"/>
              <w:rPr>
                <w:b/>
                <w:color w:val="000000"/>
                <w:sz w:val="20"/>
                <w:szCs w:val="20"/>
                <w:lang w:eastAsia="sk-SK"/>
              </w:rPr>
            </w:pPr>
            <w:r w:rsidRPr="00E90A4D">
              <w:rPr>
                <w:b/>
                <w:color w:val="000000"/>
                <w:sz w:val="20"/>
                <w:szCs w:val="20"/>
                <w:lang w:eastAsia="sk-SK"/>
              </w:rPr>
              <w:t>496 367</w:t>
            </w:r>
          </w:p>
        </w:tc>
        <w:tc>
          <w:tcPr>
            <w:tcW w:w="1134" w:type="dxa"/>
            <w:tcBorders>
              <w:top w:val="nil"/>
              <w:left w:val="nil"/>
              <w:bottom w:val="nil"/>
              <w:right w:val="nil"/>
            </w:tcBorders>
            <w:shd w:val="clear" w:color="000000" w:fill="FFFFFF"/>
            <w:noWrap/>
            <w:vAlign w:val="center"/>
            <w:hideMark/>
          </w:tcPr>
          <w:p w14:paraId="5FB1836E" w14:textId="77777777" w:rsidR="008F75C2" w:rsidRPr="00E90A4D" w:rsidRDefault="008F75C2" w:rsidP="00CA0835">
            <w:pPr>
              <w:spacing w:after="0" w:line="240" w:lineRule="auto"/>
              <w:jc w:val="right"/>
              <w:rPr>
                <w:b/>
                <w:color w:val="000000"/>
                <w:sz w:val="20"/>
                <w:szCs w:val="20"/>
                <w:lang w:eastAsia="sk-SK"/>
              </w:rPr>
            </w:pPr>
            <w:r w:rsidRPr="00E90A4D">
              <w:rPr>
                <w:b/>
                <w:color w:val="000000"/>
                <w:sz w:val="20"/>
                <w:szCs w:val="20"/>
                <w:lang w:eastAsia="sk-SK"/>
              </w:rPr>
              <w:t>612 030</w:t>
            </w:r>
          </w:p>
        </w:tc>
        <w:tc>
          <w:tcPr>
            <w:tcW w:w="992" w:type="dxa"/>
            <w:tcBorders>
              <w:top w:val="nil"/>
              <w:left w:val="nil"/>
              <w:bottom w:val="nil"/>
              <w:right w:val="nil"/>
            </w:tcBorders>
            <w:shd w:val="clear" w:color="000000" w:fill="FFFFFF"/>
            <w:noWrap/>
            <w:vAlign w:val="center"/>
            <w:hideMark/>
          </w:tcPr>
          <w:p w14:paraId="380C0C6C" w14:textId="77777777" w:rsidR="008F75C2" w:rsidRPr="00E90A4D" w:rsidRDefault="008F75C2" w:rsidP="00CA0835">
            <w:pPr>
              <w:spacing w:after="0" w:line="240" w:lineRule="auto"/>
              <w:jc w:val="right"/>
              <w:rPr>
                <w:b/>
                <w:color w:val="000000"/>
                <w:sz w:val="20"/>
                <w:szCs w:val="20"/>
                <w:lang w:eastAsia="sk-SK"/>
              </w:rPr>
            </w:pPr>
            <w:r w:rsidRPr="00E90A4D">
              <w:rPr>
                <w:b/>
                <w:color w:val="000000"/>
                <w:sz w:val="20"/>
                <w:szCs w:val="20"/>
                <w:lang w:eastAsia="sk-SK"/>
              </w:rPr>
              <w:t>436 038</w:t>
            </w:r>
          </w:p>
        </w:tc>
        <w:tc>
          <w:tcPr>
            <w:tcW w:w="1134" w:type="dxa"/>
            <w:tcBorders>
              <w:top w:val="nil"/>
              <w:left w:val="nil"/>
              <w:bottom w:val="nil"/>
              <w:right w:val="nil"/>
            </w:tcBorders>
            <w:shd w:val="clear" w:color="000000" w:fill="BFBFBF"/>
            <w:noWrap/>
            <w:vAlign w:val="center"/>
            <w:hideMark/>
          </w:tcPr>
          <w:p w14:paraId="41454F92" w14:textId="77777777" w:rsidR="008F75C2" w:rsidRPr="00E90A4D" w:rsidRDefault="008F75C2" w:rsidP="00CA0835">
            <w:pPr>
              <w:spacing w:after="0" w:line="240" w:lineRule="auto"/>
              <w:jc w:val="right"/>
              <w:rPr>
                <w:b/>
                <w:color w:val="000000"/>
                <w:sz w:val="20"/>
                <w:szCs w:val="20"/>
                <w:lang w:eastAsia="sk-SK"/>
              </w:rPr>
            </w:pPr>
            <w:r w:rsidRPr="00E90A4D">
              <w:rPr>
                <w:b/>
                <w:color w:val="000000"/>
                <w:sz w:val="20"/>
                <w:szCs w:val="20"/>
                <w:lang w:eastAsia="sk-SK"/>
              </w:rPr>
              <w:t>451 113</w:t>
            </w:r>
          </w:p>
        </w:tc>
        <w:tc>
          <w:tcPr>
            <w:tcW w:w="850" w:type="dxa"/>
            <w:tcBorders>
              <w:top w:val="nil"/>
              <w:left w:val="nil"/>
              <w:bottom w:val="nil"/>
              <w:right w:val="nil"/>
            </w:tcBorders>
            <w:shd w:val="clear" w:color="000000" w:fill="FFFFFF"/>
            <w:vAlign w:val="center"/>
            <w:hideMark/>
          </w:tcPr>
          <w:p w14:paraId="1B0A60B1" w14:textId="77777777" w:rsidR="008F75C2" w:rsidRPr="00E90A4D" w:rsidRDefault="008F75C2" w:rsidP="00CA0835">
            <w:pPr>
              <w:spacing w:after="0" w:line="240" w:lineRule="auto"/>
              <w:jc w:val="right"/>
              <w:rPr>
                <w:b/>
                <w:color w:val="000000"/>
                <w:sz w:val="20"/>
                <w:szCs w:val="20"/>
                <w:lang w:eastAsia="sk-SK"/>
              </w:rPr>
            </w:pPr>
            <w:r w:rsidRPr="00E90A4D">
              <w:rPr>
                <w:b/>
                <w:color w:val="000000"/>
                <w:sz w:val="20"/>
                <w:szCs w:val="20"/>
                <w:lang w:eastAsia="sk-SK"/>
              </w:rPr>
              <w:t>15 075</w:t>
            </w:r>
          </w:p>
        </w:tc>
        <w:tc>
          <w:tcPr>
            <w:tcW w:w="709" w:type="dxa"/>
            <w:tcBorders>
              <w:top w:val="nil"/>
              <w:left w:val="nil"/>
              <w:bottom w:val="nil"/>
              <w:right w:val="nil"/>
            </w:tcBorders>
            <w:shd w:val="clear" w:color="000000" w:fill="FFFFFF"/>
            <w:vAlign w:val="center"/>
            <w:hideMark/>
          </w:tcPr>
          <w:p w14:paraId="782C392B" w14:textId="77777777" w:rsidR="008F75C2" w:rsidRPr="00E90A4D" w:rsidRDefault="008F75C2" w:rsidP="00CA0835">
            <w:pPr>
              <w:spacing w:after="0" w:line="240" w:lineRule="auto"/>
              <w:jc w:val="right"/>
              <w:rPr>
                <w:b/>
                <w:color w:val="000000"/>
                <w:sz w:val="20"/>
                <w:szCs w:val="20"/>
                <w:lang w:eastAsia="sk-SK"/>
              </w:rPr>
            </w:pPr>
            <w:r w:rsidRPr="00E90A4D">
              <w:rPr>
                <w:b/>
                <w:color w:val="000000"/>
                <w:sz w:val="20"/>
                <w:szCs w:val="20"/>
                <w:lang w:eastAsia="sk-SK"/>
              </w:rPr>
              <w:t>3,5</w:t>
            </w:r>
          </w:p>
        </w:tc>
      </w:tr>
      <w:tr w:rsidR="008F75C2" w:rsidRPr="00997541" w14:paraId="46916AF7" w14:textId="77777777" w:rsidTr="00E90A4D">
        <w:trPr>
          <w:trHeight w:val="330"/>
        </w:trPr>
        <w:tc>
          <w:tcPr>
            <w:tcW w:w="3119" w:type="dxa"/>
            <w:tcBorders>
              <w:top w:val="nil"/>
              <w:left w:val="nil"/>
              <w:bottom w:val="nil"/>
              <w:right w:val="nil"/>
            </w:tcBorders>
            <w:shd w:val="clear" w:color="000000" w:fill="FFFFFF"/>
            <w:noWrap/>
            <w:vAlign w:val="center"/>
            <w:hideMark/>
          </w:tcPr>
          <w:p w14:paraId="2DFD5334" w14:textId="77777777" w:rsidR="00D6622C" w:rsidRDefault="008F75C2" w:rsidP="00CA0835">
            <w:pPr>
              <w:spacing w:after="0" w:line="240" w:lineRule="auto"/>
              <w:jc w:val="left"/>
              <w:rPr>
                <w:color w:val="000000"/>
                <w:sz w:val="20"/>
                <w:szCs w:val="20"/>
                <w:lang w:eastAsia="sk-SK"/>
              </w:rPr>
            </w:pPr>
            <w:r w:rsidRPr="00CA0835">
              <w:rPr>
                <w:color w:val="000000"/>
                <w:sz w:val="20"/>
                <w:szCs w:val="20"/>
                <w:lang w:eastAsia="sk-SK"/>
              </w:rPr>
              <w:t xml:space="preserve">v tom: </w:t>
            </w:r>
          </w:p>
          <w:p w14:paraId="5B350562" w14:textId="54177E95" w:rsidR="008F75C2" w:rsidRPr="00CA0835" w:rsidRDefault="00294F97" w:rsidP="00CA0835">
            <w:pPr>
              <w:spacing w:after="0" w:line="240" w:lineRule="auto"/>
              <w:jc w:val="left"/>
              <w:rPr>
                <w:color w:val="000000"/>
                <w:sz w:val="20"/>
                <w:szCs w:val="20"/>
                <w:lang w:eastAsia="sk-SK"/>
              </w:rPr>
            </w:pPr>
            <w:r>
              <w:rPr>
                <w:color w:val="000000"/>
                <w:sz w:val="20"/>
                <w:szCs w:val="20"/>
                <w:lang w:eastAsia="sk-SK"/>
              </w:rPr>
              <w:t xml:space="preserve">         </w:t>
            </w:r>
            <w:r w:rsidR="008F75C2" w:rsidRPr="00CA0835">
              <w:rPr>
                <w:color w:val="000000"/>
                <w:sz w:val="20"/>
                <w:szCs w:val="20"/>
                <w:lang w:eastAsia="sk-SK"/>
              </w:rPr>
              <w:t>dividendy</w:t>
            </w:r>
          </w:p>
        </w:tc>
        <w:tc>
          <w:tcPr>
            <w:tcW w:w="993" w:type="dxa"/>
            <w:tcBorders>
              <w:top w:val="nil"/>
              <w:left w:val="nil"/>
              <w:bottom w:val="nil"/>
              <w:right w:val="nil"/>
            </w:tcBorders>
            <w:shd w:val="clear" w:color="000000" w:fill="FFFFFF"/>
            <w:noWrap/>
            <w:vAlign w:val="center"/>
            <w:hideMark/>
          </w:tcPr>
          <w:p w14:paraId="0731F940" w14:textId="77777777" w:rsidR="00D6622C" w:rsidRDefault="00D6622C" w:rsidP="00CA0835">
            <w:pPr>
              <w:spacing w:after="0" w:line="240" w:lineRule="auto"/>
              <w:jc w:val="right"/>
              <w:rPr>
                <w:color w:val="000000"/>
                <w:sz w:val="20"/>
                <w:szCs w:val="20"/>
                <w:lang w:eastAsia="sk-SK"/>
              </w:rPr>
            </w:pPr>
          </w:p>
          <w:p w14:paraId="1C1C5952" w14:textId="14E18224" w:rsidR="008F75C2" w:rsidRPr="00CA0835" w:rsidRDefault="008F75C2" w:rsidP="00CA0835">
            <w:pPr>
              <w:spacing w:after="0" w:line="240" w:lineRule="auto"/>
              <w:jc w:val="right"/>
              <w:rPr>
                <w:color w:val="000000"/>
                <w:sz w:val="20"/>
                <w:szCs w:val="20"/>
                <w:lang w:eastAsia="sk-SK"/>
              </w:rPr>
            </w:pPr>
            <w:r w:rsidRPr="00CA0835">
              <w:rPr>
                <w:color w:val="000000"/>
                <w:sz w:val="20"/>
                <w:szCs w:val="20"/>
                <w:lang w:eastAsia="sk-SK"/>
              </w:rPr>
              <w:t>477</w:t>
            </w:r>
            <w:r w:rsidR="00D6622C">
              <w:rPr>
                <w:color w:val="000000"/>
                <w:sz w:val="20"/>
                <w:szCs w:val="20"/>
                <w:lang w:eastAsia="sk-SK"/>
              </w:rPr>
              <w:t> </w:t>
            </w:r>
            <w:r w:rsidRPr="00CA0835">
              <w:rPr>
                <w:color w:val="000000"/>
                <w:sz w:val="20"/>
                <w:szCs w:val="20"/>
                <w:lang w:eastAsia="sk-SK"/>
              </w:rPr>
              <w:t>439</w:t>
            </w:r>
          </w:p>
        </w:tc>
        <w:tc>
          <w:tcPr>
            <w:tcW w:w="1134" w:type="dxa"/>
            <w:tcBorders>
              <w:top w:val="nil"/>
              <w:left w:val="nil"/>
              <w:bottom w:val="nil"/>
              <w:right w:val="nil"/>
            </w:tcBorders>
            <w:shd w:val="clear" w:color="000000" w:fill="FFFFFF"/>
            <w:noWrap/>
            <w:vAlign w:val="center"/>
            <w:hideMark/>
          </w:tcPr>
          <w:p w14:paraId="2A4A509B" w14:textId="77777777" w:rsidR="00D6622C" w:rsidRDefault="00D6622C" w:rsidP="00CA0835">
            <w:pPr>
              <w:spacing w:after="0" w:line="240" w:lineRule="auto"/>
              <w:jc w:val="right"/>
              <w:rPr>
                <w:color w:val="000000"/>
                <w:sz w:val="20"/>
                <w:szCs w:val="20"/>
                <w:lang w:eastAsia="sk-SK"/>
              </w:rPr>
            </w:pPr>
          </w:p>
          <w:p w14:paraId="069B54AB" w14:textId="13ED7336" w:rsidR="008F75C2" w:rsidRPr="00CA0835" w:rsidRDefault="008F75C2" w:rsidP="00CA0835">
            <w:pPr>
              <w:spacing w:after="0" w:line="240" w:lineRule="auto"/>
              <w:jc w:val="right"/>
              <w:rPr>
                <w:color w:val="000000"/>
                <w:sz w:val="20"/>
                <w:szCs w:val="20"/>
                <w:lang w:eastAsia="sk-SK"/>
              </w:rPr>
            </w:pPr>
            <w:r w:rsidRPr="00CA0835">
              <w:rPr>
                <w:color w:val="000000"/>
                <w:sz w:val="20"/>
                <w:szCs w:val="20"/>
                <w:lang w:eastAsia="sk-SK"/>
              </w:rPr>
              <w:t>599</w:t>
            </w:r>
            <w:r w:rsidR="00D6622C">
              <w:rPr>
                <w:color w:val="000000"/>
                <w:sz w:val="20"/>
                <w:szCs w:val="20"/>
                <w:lang w:eastAsia="sk-SK"/>
              </w:rPr>
              <w:t> </w:t>
            </w:r>
            <w:r w:rsidRPr="00CA0835">
              <w:rPr>
                <w:color w:val="000000"/>
                <w:sz w:val="20"/>
                <w:szCs w:val="20"/>
                <w:lang w:eastAsia="sk-SK"/>
              </w:rPr>
              <w:t>068</w:t>
            </w:r>
          </w:p>
        </w:tc>
        <w:tc>
          <w:tcPr>
            <w:tcW w:w="992" w:type="dxa"/>
            <w:tcBorders>
              <w:top w:val="nil"/>
              <w:left w:val="nil"/>
              <w:bottom w:val="nil"/>
              <w:right w:val="nil"/>
            </w:tcBorders>
            <w:shd w:val="clear" w:color="000000" w:fill="FFFFFF"/>
            <w:noWrap/>
            <w:vAlign w:val="center"/>
            <w:hideMark/>
          </w:tcPr>
          <w:p w14:paraId="1769A31B" w14:textId="77777777" w:rsidR="00D6622C" w:rsidRDefault="00D6622C" w:rsidP="00CA0835">
            <w:pPr>
              <w:spacing w:after="0" w:line="240" w:lineRule="auto"/>
              <w:jc w:val="right"/>
              <w:rPr>
                <w:color w:val="000000"/>
                <w:sz w:val="20"/>
                <w:szCs w:val="20"/>
                <w:lang w:eastAsia="sk-SK"/>
              </w:rPr>
            </w:pPr>
          </w:p>
          <w:p w14:paraId="100BC83D" w14:textId="6AFE3709" w:rsidR="008F75C2" w:rsidRPr="00CA0835" w:rsidRDefault="008F75C2" w:rsidP="00CA0835">
            <w:pPr>
              <w:spacing w:after="0" w:line="240" w:lineRule="auto"/>
              <w:jc w:val="right"/>
              <w:rPr>
                <w:color w:val="000000"/>
                <w:sz w:val="20"/>
                <w:szCs w:val="20"/>
                <w:lang w:eastAsia="sk-SK"/>
              </w:rPr>
            </w:pPr>
            <w:r w:rsidRPr="00CA0835">
              <w:rPr>
                <w:color w:val="000000"/>
                <w:sz w:val="20"/>
                <w:szCs w:val="20"/>
                <w:lang w:eastAsia="sk-SK"/>
              </w:rPr>
              <w:t>424</w:t>
            </w:r>
            <w:r w:rsidR="00D6622C">
              <w:rPr>
                <w:color w:val="000000"/>
                <w:sz w:val="20"/>
                <w:szCs w:val="20"/>
                <w:lang w:eastAsia="sk-SK"/>
              </w:rPr>
              <w:t> </w:t>
            </w:r>
            <w:r w:rsidRPr="00CA0835">
              <w:rPr>
                <w:color w:val="000000"/>
                <w:sz w:val="20"/>
                <w:szCs w:val="20"/>
                <w:lang w:eastAsia="sk-SK"/>
              </w:rPr>
              <w:t>999</w:t>
            </w:r>
          </w:p>
        </w:tc>
        <w:tc>
          <w:tcPr>
            <w:tcW w:w="1134" w:type="dxa"/>
            <w:tcBorders>
              <w:top w:val="nil"/>
              <w:left w:val="nil"/>
              <w:bottom w:val="nil"/>
              <w:right w:val="nil"/>
            </w:tcBorders>
            <w:shd w:val="clear" w:color="000000" w:fill="BFBFBF"/>
            <w:noWrap/>
            <w:vAlign w:val="center"/>
            <w:hideMark/>
          </w:tcPr>
          <w:p w14:paraId="359244F6" w14:textId="77777777" w:rsidR="00D6622C" w:rsidRDefault="00D6622C" w:rsidP="00CA0835">
            <w:pPr>
              <w:spacing w:after="0" w:line="240" w:lineRule="auto"/>
              <w:jc w:val="right"/>
              <w:rPr>
                <w:color w:val="000000"/>
                <w:sz w:val="20"/>
                <w:szCs w:val="20"/>
                <w:lang w:eastAsia="sk-SK"/>
              </w:rPr>
            </w:pPr>
          </w:p>
          <w:p w14:paraId="2F0D94C4" w14:textId="266D9583" w:rsidR="008F75C2" w:rsidRPr="00CA0835" w:rsidRDefault="008F75C2" w:rsidP="00CA0835">
            <w:pPr>
              <w:spacing w:after="0" w:line="240" w:lineRule="auto"/>
              <w:jc w:val="right"/>
              <w:rPr>
                <w:color w:val="000000"/>
                <w:sz w:val="20"/>
                <w:szCs w:val="20"/>
                <w:lang w:eastAsia="sk-SK"/>
              </w:rPr>
            </w:pPr>
            <w:r w:rsidRPr="00CA0835">
              <w:rPr>
                <w:color w:val="000000"/>
                <w:sz w:val="20"/>
                <w:szCs w:val="20"/>
                <w:lang w:eastAsia="sk-SK"/>
              </w:rPr>
              <w:t>438</w:t>
            </w:r>
            <w:r w:rsidR="00D6622C">
              <w:rPr>
                <w:color w:val="000000"/>
                <w:sz w:val="20"/>
                <w:szCs w:val="20"/>
                <w:lang w:eastAsia="sk-SK"/>
              </w:rPr>
              <w:t> </w:t>
            </w:r>
            <w:r w:rsidRPr="00CA0835">
              <w:rPr>
                <w:color w:val="000000"/>
                <w:sz w:val="20"/>
                <w:szCs w:val="20"/>
                <w:lang w:eastAsia="sk-SK"/>
              </w:rPr>
              <w:t>596</w:t>
            </w:r>
          </w:p>
        </w:tc>
        <w:tc>
          <w:tcPr>
            <w:tcW w:w="850" w:type="dxa"/>
            <w:tcBorders>
              <w:top w:val="nil"/>
              <w:left w:val="nil"/>
              <w:bottom w:val="nil"/>
              <w:right w:val="nil"/>
            </w:tcBorders>
            <w:shd w:val="clear" w:color="000000" w:fill="FFFFFF"/>
            <w:vAlign w:val="center"/>
            <w:hideMark/>
          </w:tcPr>
          <w:p w14:paraId="550D8FFD" w14:textId="77777777" w:rsidR="00D6622C" w:rsidRDefault="00D6622C" w:rsidP="00CA0835">
            <w:pPr>
              <w:spacing w:after="0" w:line="240" w:lineRule="auto"/>
              <w:jc w:val="right"/>
              <w:rPr>
                <w:color w:val="000000"/>
                <w:sz w:val="20"/>
                <w:szCs w:val="20"/>
                <w:lang w:eastAsia="sk-SK"/>
              </w:rPr>
            </w:pPr>
          </w:p>
          <w:p w14:paraId="3710FD6B" w14:textId="046AEB65" w:rsidR="008F75C2" w:rsidRPr="00CA0835" w:rsidRDefault="008F75C2" w:rsidP="00CA0835">
            <w:pPr>
              <w:spacing w:after="0" w:line="240" w:lineRule="auto"/>
              <w:jc w:val="right"/>
              <w:rPr>
                <w:color w:val="000000"/>
                <w:sz w:val="20"/>
                <w:szCs w:val="20"/>
                <w:lang w:eastAsia="sk-SK"/>
              </w:rPr>
            </w:pPr>
            <w:r w:rsidRPr="00CA0835">
              <w:rPr>
                <w:color w:val="000000"/>
                <w:sz w:val="20"/>
                <w:szCs w:val="20"/>
                <w:lang w:eastAsia="sk-SK"/>
              </w:rPr>
              <w:t>13</w:t>
            </w:r>
            <w:r w:rsidR="00D6622C">
              <w:rPr>
                <w:color w:val="000000"/>
                <w:sz w:val="20"/>
                <w:szCs w:val="20"/>
                <w:lang w:eastAsia="sk-SK"/>
              </w:rPr>
              <w:t> </w:t>
            </w:r>
            <w:r w:rsidRPr="00CA0835">
              <w:rPr>
                <w:color w:val="000000"/>
                <w:sz w:val="20"/>
                <w:szCs w:val="20"/>
                <w:lang w:eastAsia="sk-SK"/>
              </w:rPr>
              <w:t>597</w:t>
            </w:r>
          </w:p>
        </w:tc>
        <w:tc>
          <w:tcPr>
            <w:tcW w:w="709" w:type="dxa"/>
            <w:tcBorders>
              <w:top w:val="nil"/>
              <w:left w:val="nil"/>
              <w:bottom w:val="nil"/>
              <w:right w:val="nil"/>
            </w:tcBorders>
            <w:shd w:val="clear" w:color="000000" w:fill="FFFFFF"/>
            <w:vAlign w:val="center"/>
            <w:hideMark/>
          </w:tcPr>
          <w:p w14:paraId="14D53818" w14:textId="77777777" w:rsidR="00D6622C" w:rsidRDefault="00D6622C" w:rsidP="00CA0835">
            <w:pPr>
              <w:spacing w:after="0" w:line="240" w:lineRule="auto"/>
              <w:jc w:val="right"/>
              <w:rPr>
                <w:color w:val="000000"/>
                <w:sz w:val="20"/>
                <w:szCs w:val="20"/>
                <w:lang w:eastAsia="sk-SK"/>
              </w:rPr>
            </w:pPr>
          </w:p>
          <w:p w14:paraId="21D6C006" w14:textId="77777777" w:rsidR="008F75C2" w:rsidRPr="00CA0835" w:rsidRDefault="008F75C2" w:rsidP="00CA0835">
            <w:pPr>
              <w:spacing w:after="0" w:line="240" w:lineRule="auto"/>
              <w:jc w:val="right"/>
              <w:rPr>
                <w:color w:val="000000"/>
                <w:sz w:val="20"/>
                <w:szCs w:val="20"/>
                <w:lang w:eastAsia="sk-SK"/>
              </w:rPr>
            </w:pPr>
            <w:r w:rsidRPr="00CA0835">
              <w:rPr>
                <w:color w:val="000000"/>
                <w:sz w:val="20"/>
                <w:szCs w:val="20"/>
                <w:lang w:eastAsia="sk-SK"/>
              </w:rPr>
              <w:t>3,2</w:t>
            </w:r>
          </w:p>
        </w:tc>
      </w:tr>
      <w:tr w:rsidR="008F75C2" w:rsidRPr="00E90A4D" w14:paraId="609BAC45" w14:textId="77777777" w:rsidTr="00E90A4D">
        <w:trPr>
          <w:trHeight w:val="330"/>
        </w:trPr>
        <w:tc>
          <w:tcPr>
            <w:tcW w:w="3119" w:type="dxa"/>
            <w:tcBorders>
              <w:top w:val="nil"/>
              <w:left w:val="nil"/>
              <w:bottom w:val="nil"/>
              <w:right w:val="nil"/>
            </w:tcBorders>
            <w:shd w:val="clear" w:color="000000" w:fill="FFFFFF"/>
            <w:noWrap/>
            <w:vAlign w:val="center"/>
            <w:hideMark/>
          </w:tcPr>
          <w:p w14:paraId="53C155D4" w14:textId="7919C2C2" w:rsidR="008F75C2" w:rsidRPr="00E90A4D" w:rsidRDefault="000866C2" w:rsidP="000866C2">
            <w:pPr>
              <w:spacing w:after="0" w:line="240" w:lineRule="auto"/>
              <w:jc w:val="left"/>
              <w:rPr>
                <w:b/>
                <w:color w:val="000000"/>
                <w:sz w:val="20"/>
                <w:szCs w:val="20"/>
                <w:lang w:eastAsia="sk-SK"/>
              </w:rPr>
            </w:pPr>
            <w:r w:rsidRPr="00E90A4D">
              <w:rPr>
                <w:b/>
                <w:color w:val="000000"/>
                <w:sz w:val="20"/>
                <w:szCs w:val="20"/>
                <w:lang w:eastAsia="sk-SK"/>
              </w:rPr>
              <w:t>A</w:t>
            </w:r>
            <w:r w:rsidR="00294F97" w:rsidRPr="00E90A4D">
              <w:rPr>
                <w:b/>
                <w:color w:val="000000"/>
                <w:sz w:val="20"/>
                <w:szCs w:val="20"/>
                <w:lang w:eastAsia="sk-SK"/>
              </w:rPr>
              <w:t>dminis</w:t>
            </w:r>
            <w:r w:rsidRPr="00E90A4D">
              <w:rPr>
                <w:b/>
                <w:color w:val="000000"/>
                <w:sz w:val="20"/>
                <w:szCs w:val="20"/>
                <w:lang w:eastAsia="sk-SK"/>
              </w:rPr>
              <w:t>tratívne</w:t>
            </w:r>
            <w:r w:rsidR="00294F97" w:rsidRPr="00E90A4D">
              <w:rPr>
                <w:b/>
                <w:color w:val="000000"/>
                <w:sz w:val="20"/>
                <w:szCs w:val="20"/>
                <w:lang w:eastAsia="sk-SK"/>
              </w:rPr>
              <w:t xml:space="preserve"> p</w:t>
            </w:r>
            <w:r w:rsidR="008F75C2" w:rsidRPr="00E90A4D">
              <w:rPr>
                <w:b/>
                <w:color w:val="000000"/>
                <w:sz w:val="20"/>
                <w:szCs w:val="20"/>
                <w:lang w:eastAsia="sk-SK"/>
              </w:rPr>
              <w:t>oplatky a platby</w:t>
            </w:r>
          </w:p>
        </w:tc>
        <w:tc>
          <w:tcPr>
            <w:tcW w:w="993" w:type="dxa"/>
            <w:tcBorders>
              <w:top w:val="nil"/>
              <w:left w:val="nil"/>
              <w:bottom w:val="nil"/>
              <w:right w:val="nil"/>
            </w:tcBorders>
            <w:shd w:val="clear" w:color="000000" w:fill="FFFFFF"/>
            <w:noWrap/>
            <w:vAlign w:val="center"/>
            <w:hideMark/>
          </w:tcPr>
          <w:p w14:paraId="3B068686" w14:textId="77777777" w:rsidR="008F75C2" w:rsidRPr="00E90A4D" w:rsidRDefault="008F75C2" w:rsidP="00CA0835">
            <w:pPr>
              <w:spacing w:after="0" w:line="240" w:lineRule="auto"/>
              <w:jc w:val="right"/>
              <w:rPr>
                <w:b/>
                <w:color w:val="000000"/>
                <w:sz w:val="20"/>
                <w:szCs w:val="20"/>
                <w:lang w:eastAsia="sk-SK"/>
              </w:rPr>
            </w:pPr>
            <w:r w:rsidRPr="00E90A4D">
              <w:rPr>
                <w:b/>
                <w:color w:val="000000"/>
                <w:sz w:val="20"/>
                <w:szCs w:val="20"/>
                <w:lang w:eastAsia="sk-SK"/>
              </w:rPr>
              <w:t>337 394</w:t>
            </w:r>
          </w:p>
        </w:tc>
        <w:tc>
          <w:tcPr>
            <w:tcW w:w="1134" w:type="dxa"/>
            <w:tcBorders>
              <w:top w:val="nil"/>
              <w:left w:val="nil"/>
              <w:bottom w:val="nil"/>
              <w:right w:val="nil"/>
            </w:tcBorders>
            <w:shd w:val="clear" w:color="000000" w:fill="FFFFFF"/>
            <w:noWrap/>
            <w:vAlign w:val="center"/>
            <w:hideMark/>
          </w:tcPr>
          <w:p w14:paraId="04639AB9" w14:textId="77777777" w:rsidR="008F75C2" w:rsidRPr="00E90A4D" w:rsidRDefault="008F75C2" w:rsidP="00CA0835">
            <w:pPr>
              <w:spacing w:after="0" w:line="240" w:lineRule="auto"/>
              <w:jc w:val="right"/>
              <w:rPr>
                <w:b/>
                <w:color w:val="000000"/>
                <w:sz w:val="20"/>
                <w:szCs w:val="20"/>
                <w:lang w:eastAsia="sk-SK"/>
              </w:rPr>
            </w:pPr>
            <w:r w:rsidRPr="00E90A4D">
              <w:rPr>
                <w:b/>
                <w:color w:val="000000"/>
                <w:sz w:val="20"/>
                <w:szCs w:val="20"/>
                <w:lang w:eastAsia="sk-SK"/>
              </w:rPr>
              <w:t>365 884</w:t>
            </w:r>
          </w:p>
        </w:tc>
        <w:tc>
          <w:tcPr>
            <w:tcW w:w="992" w:type="dxa"/>
            <w:tcBorders>
              <w:top w:val="nil"/>
              <w:left w:val="nil"/>
              <w:bottom w:val="nil"/>
              <w:right w:val="nil"/>
            </w:tcBorders>
            <w:shd w:val="clear" w:color="000000" w:fill="FFFFFF"/>
            <w:noWrap/>
            <w:vAlign w:val="center"/>
            <w:hideMark/>
          </w:tcPr>
          <w:p w14:paraId="7C336F17" w14:textId="77777777" w:rsidR="008F75C2" w:rsidRPr="00E90A4D" w:rsidRDefault="008F75C2" w:rsidP="00CA0835">
            <w:pPr>
              <w:spacing w:after="0" w:line="240" w:lineRule="auto"/>
              <w:jc w:val="right"/>
              <w:rPr>
                <w:b/>
                <w:color w:val="000000"/>
                <w:sz w:val="20"/>
                <w:szCs w:val="20"/>
                <w:lang w:eastAsia="sk-SK"/>
              </w:rPr>
            </w:pPr>
            <w:r w:rsidRPr="00E90A4D">
              <w:rPr>
                <w:b/>
                <w:color w:val="000000"/>
                <w:sz w:val="20"/>
                <w:szCs w:val="20"/>
                <w:lang w:eastAsia="sk-SK"/>
              </w:rPr>
              <w:t>338 617</w:t>
            </w:r>
          </w:p>
        </w:tc>
        <w:tc>
          <w:tcPr>
            <w:tcW w:w="1134" w:type="dxa"/>
            <w:tcBorders>
              <w:top w:val="nil"/>
              <w:left w:val="nil"/>
              <w:bottom w:val="nil"/>
              <w:right w:val="nil"/>
            </w:tcBorders>
            <w:shd w:val="clear" w:color="000000" w:fill="BFBFBF"/>
            <w:noWrap/>
            <w:vAlign w:val="center"/>
            <w:hideMark/>
          </w:tcPr>
          <w:p w14:paraId="5C39B4EC" w14:textId="77777777" w:rsidR="008F75C2" w:rsidRPr="00E90A4D" w:rsidRDefault="008F75C2" w:rsidP="00CA0835">
            <w:pPr>
              <w:spacing w:after="0" w:line="240" w:lineRule="auto"/>
              <w:jc w:val="right"/>
              <w:rPr>
                <w:b/>
                <w:color w:val="000000"/>
                <w:sz w:val="20"/>
                <w:szCs w:val="20"/>
                <w:lang w:eastAsia="sk-SK"/>
              </w:rPr>
            </w:pPr>
            <w:r w:rsidRPr="00E90A4D">
              <w:rPr>
                <w:b/>
                <w:color w:val="000000"/>
                <w:sz w:val="20"/>
                <w:szCs w:val="20"/>
                <w:lang w:eastAsia="sk-SK"/>
              </w:rPr>
              <w:t>345 641</w:t>
            </w:r>
          </w:p>
        </w:tc>
        <w:tc>
          <w:tcPr>
            <w:tcW w:w="850" w:type="dxa"/>
            <w:tcBorders>
              <w:top w:val="nil"/>
              <w:left w:val="nil"/>
              <w:bottom w:val="nil"/>
              <w:right w:val="nil"/>
            </w:tcBorders>
            <w:shd w:val="clear" w:color="000000" w:fill="FFFFFF"/>
            <w:vAlign w:val="center"/>
            <w:hideMark/>
          </w:tcPr>
          <w:p w14:paraId="2CDEAD68" w14:textId="77777777" w:rsidR="008F75C2" w:rsidRPr="00E90A4D" w:rsidRDefault="008F75C2" w:rsidP="00CA0835">
            <w:pPr>
              <w:spacing w:after="0" w:line="240" w:lineRule="auto"/>
              <w:jc w:val="right"/>
              <w:rPr>
                <w:b/>
                <w:color w:val="000000"/>
                <w:sz w:val="20"/>
                <w:szCs w:val="20"/>
                <w:lang w:eastAsia="sk-SK"/>
              </w:rPr>
            </w:pPr>
            <w:r w:rsidRPr="00E90A4D">
              <w:rPr>
                <w:b/>
                <w:color w:val="000000"/>
                <w:sz w:val="20"/>
                <w:szCs w:val="20"/>
                <w:lang w:eastAsia="sk-SK"/>
              </w:rPr>
              <w:t>7 024</w:t>
            </w:r>
          </w:p>
        </w:tc>
        <w:tc>
          <w:tcPr>
            <w:tcW w:w="709" w:type="dxa"/>
            <w:tcBorders>
              <w:top w:val="nil"/>
              <w:left w:val="nil"/>
              <w:bottom w:val="nil"/>
              <w:right w:val="nil"/>
            </w:tcBorders>
            <w:shd w:val="clear" w:color="000000" w:fill="FFFFFF"/>
            <w:vAlign w:val="center"/>
            <w:hideMark/>
          </w:tcPr>
          <w:p w14:paraId="75AF494B" w14:textId="77777777" w:rsidR="008F75C2" w:rsidRPr="00E90A4D" w:rsidRDefault="008F75C2" w:rsidP="00CA0835">
            <w:pPr>
              <w:spacing w:after="0" w:line="240" w:lineRule="auto"/>
              <w:jc w:val="right"/>
              <w:rPr>
                <w:b/>
                <w:color w:val="000000"/>
                <w:sz w:val="20"/>
                <w:szCs w:val="20"/>
                <w:lang w:eastAsia="sk-SK"/>
              </w:rPr>
            </w:pPr>
            <w:r w:rsidRPr="00E90A4D">
              <w:rPr>
                <w:b/>
                <w:color w:val="000000"/>
                <w:sz w:val="20"/>
                <w:szCs w:val="20"/>
                <w:lang w:eastAsia="sk-SK"/>
              </w:rPr>
              <w:t>2,1</w:t>
            </w:r>
          </w:p>
        </w:tc>
      </w:tr>
      <w:tr w:rsidR="008F75C2" w:rsidRPr="00CA0835" w14:paraId="1AF3146C" w14:textId="77777777" w:rsidTr="00E90A4D">
        <w:trPr>
          <w:trHeight w:val="330"/>
        </w:trPr>
        <w:tc>
          <w:tcPr>
            <w:tcW w:w="3119" w:type="dxa"/>
            <w:tcBorders>
              <w:top w:val="nil"/>
              <w:left w:val="nil"/>
              <w:bottom w:val="nil"/>
              <w:right w:val="nil"/>
            </w:tcBorders>
            <w:shd w:val="clear" w:color="000000" w:fill="FFFFFF"/>
            <w:noWrap/>
            <w:vAlign w:val="center"/>
            <w:hideMark/>
          </w:tcPr>
          <w:p w14:paraId="69F7A27A" w14:textId="77777777" w:rsidR="00294F97" w:rsidRDefault="008F75C2" w:rsidP="00CA0835">
            <w:pPr>
              <w:spacing w:after="0" w:line="240" w:lineRule="auto"/>
              <w:jc w:val="left"/>
              <w:rPr>
                <w:color w:val="000000"/>
                <w:sz w:val="20"/>
                <w:szCs w:val="20"/>
                <w:lang w:eastAsia="sk-SK"/>
              </w:rPr>
            </w:pPr>
            <w:r w:rsidRPr="00CA0835">
              <w:rPr>
                <w:color w:val="000000"/>
                <w:sz w:val="20"/>
                <w:szCs w:val="20"/>
                <w:lang w:eastAsia="sk-SK"/>
              </w:rPr>
              <w:t xml:space="preserve">v tom: </w:t>
            </w:r>
          </w:p>
          <w:p w14:paraId="4F2CADCE" w14:textId="16D25160" w:rsidR="008F75C2" w:rsidRPr="00CA0835" w:rsidRDefault="00294F97" w:rsidP="00294F97">
            <w:pPr>
              <w:spacing w:after="0" w:line="240" w:lineRule="auto"/>
              <w:jc w:val="left"/>
              <w:rPr>
                <w:color w:val="000000"/>
                <w:sz w:val="20"/>
                <w:szCs w:val="20"/>
                <w:lang w:eastAsia="sk-SK"/>
              </w:rPr>
            </w:pPr>
            <w:r>
              <w:rPr>
                <w:color w:val="000000"/>
                <w:sz w:val="20"/>
                <w:szCs w:val="20"/>
                <w:lang w:eastAsia="sk-SK"/>
              </w:rPr>
              <w:t xml:space="preserve">        </w:t>
            </w:r>
            <w:r w:rsidR="008F75C2" w:rsidRPr="00CA0835">
              <w:rPr>
                <w:color w:val="000000"/>
                <w:sz w:val="20"/>
                <w:szCs w:val="20"/>
                <w:lang w:eastAsia="sk-SK"/>
              </w:rPr>
              <w:t>ostatné poplatky</w:t>
            </w:r>
          </w:p>
        </w:tc>
        <w:tc>
          <w:tcPr>
            <w:tcW w:w="993" w:type="dxa"/>
            <w:tcBorders>
              <w:top w:val="nil"/>
              <w:left w:val="nil"/>
              <w:bottom w:val="nil"/>
              <w:right w:val="nil"/>
            </w:tcBorders>
            <w:shd w:val="clear" w:color="000000" w:fill="FFFFFF"/>
            <w:noWrap/>
            <w:vAlign w:val="center"/>
            <w:hideMark/>
          </w:tcPr>
          <w:p w14:paraId="00149068" w14:textId="77777777" w:rsidR="008F75C2" w:rsidRPr="00CA0835" w:rsidRDefault="008F75C2" w:rsidP="00CA0835">
            <w:pPr>
              <w:spacing w:after="0" w:line="240" w:lineRule="auto"/>
              <w:jc w:val="right"/>
              <w:rPr>
                <w:color w:val="000000"/>
                <w:sz w:val="20"/>
                <w:szCs w:val="20"/>
                <w:lang w:eastAsia="sk-SK"/>
              </w:rPr>
            </w:pPr>
            <w:r w:rsidRPr="00CA0835">
              <w:rPr>
                <w:color w:val="000000"/>
                <w:sz w:val="20"/>
                <w:szCs w:val="20"/>
                <w:lang w:eastAsia="sk-SK"/>
              </w:rPr>
              <w:t>219 355</w:t>
            </w:r>
          </w:p>
        </w:tc>
        <w:tc>
          <w:tcPr>
            <w:tcW w:w="1134" w:type="dxa"/>
            <w:tcBorders>
              <w:top w:val="nil"/>
              <w:left w:val="nil"/>
              <w:bottom w:val="nil"/>
              <w:right w:val="nil"/>
            </w:tcBorders>
            <w:shd w:val="clear" w:color="000000" w:fill="FFFFFF"/>
            <w:noWrap/>
            <w:vAlign w:val="center"/>
            <w:hideMark/>
          </w:tcPr>
          <w:p w14:paraId="2FF48DB8" w14:textId="77777777" w:rsidR="008F75C2" w:rsidRPr="00CA0835" w:rsidRDefault="008F75C2" w:rsidP="00CA0835">
            <w:pPr>
              <w:spacing w:after="0" w:line="240" w:lineRule="auto"/>
              <w:jc w:val="right"/>
              <w:rPr>
                <w:color w:val="000000"/>
                <w:sz w:val="20"/>
                <w:szCs w:val="20"/>
                <w:lang w:eastAsia="sk-SK"/>
              </w:rPr>
            </w:pPr>
            <w:r w:rsidRPr="00CA0835">
              <w:rPr>
                <w:color w:val="000000"/>
                <w:sz w:val="20"/>
                <w:szCs w:val="20"/>
                <w:lang w:eastAsia="sk-SK"/>
              </w:rPr>
              <w:t>216 665</w:t>
            </w:r>
          </w:p>
        </w:tc>
        <w:tc>
          <w:tcPr>
            <w:tcW w:w="992" w:type="dxa"/>
            <w:tcBorders>
              <w:top w:val="nil"/>
              <w:left w:val="nil"/>
              <w:bottom w:val="nil"/>
              <w:right w:val="nil"/>
            </w:tcBorders>
            <w:shd w:val="clear" w:color="000000" w:fill="FFFFFF"/>
            <w:noWrap/>
            <w:vAlign w:val="center"/>
            <w:hideMark/>
          </w:tcPr>
          <w:p w14:paraId="53ED9E91" w14:textId="77777777" w:rsidR="008F75C2" w:rsidRPr="00CA0835" w:rsidRDefault="008F75C2" w:rsidP="00CA0835">
            <w:pPr>
              <w:spacing w:after="0" w:line="240" w:lineRule="auto"/>
              <w:jc w:val="right"/>
              <w:rPr>
                <w:color w:val="000000"/>
                <w:sz w:val="20"/>
                <w:szCs w:val="20"/>
                <w:lang w:eastAsia="sk-SK"/>
              </w:rPr>
            </w:pPr>
            <w:r w:rsidRPr="00CA0835">
              <w:rPr>
                <w:color w:val="000000"/>
                <w:sz w:val="20"/>
                <w:szCs w:val="20"/>
                <w:lang w:eastAsia="sk-SK"/>
              </w:rPr>
              <w:t>184 117</w:t>
            </w:r>
          </w:p>
        </w:tc>
        <w:tc>
          <w:tcPr>
            <w:tcW w:w="1134" w:type="dxa"/>
            <w:tcBorders>
              <w:top w:val="nil"/>
              <w:left w:val="nil"/>
              <w:bottom w:val="nil"/>
              <w:right w:val="nil"/>
            </w:tcBorders>
            <w:shd w:val="clear" w:color="000000" w:fill="BFBFBF"/>
            <w:noWrap/>
            <w:vAlign w:val="center"/>
            <w:hideMark/>
          </w:tcPr>
          <w:p w14:paraId="5DE8F62B" w14:textId="77777777" w:rsidR="008F75C2" w:rsidRPr="00CA0835" w:rsidRDefault="008F75C2" w:rsidP="00CA0835">
            <w:pPr>
              <w:spacing w:after="0" w:line="240" w:lineRule="auto"/>
              <w:jc w:val="right"/>
              <w:rPr>
                <w:color w:val="000000"/>
                <w:sz w:val="20"/>
                <w:szCs w:val="20"/>
                <w:lang w:eastAsia="sk-SK"/>
              </w:rPr>
            </w:pPr>
            <w:r w:rsidRPr="00CA0835">
              <w:rPr>
                <w:color w:val="000000"/>
                <w:sz w:val="20"/>
                <w:szCs w:val="20"/>
                <w:lang w:eastAsia="sk-SK"/>
              </w:rPr>
              <w:t>224 022</w:t>
            </w:r>
          </w:p>
        </w:tc>
        <w:tc>
          <w:tcPr>
            <w:tcW w:w="850" w:type="dxa"/>
            <w:tcBorders>
              <w:top w:val="nil"/>
              <w:left w:val="nil"/>
              <w:bottom w:val="nil"/>
              <w:right w:val="nil"/>
            </w:tcBorders>
            <w:shd w:val="clear" w:color="000000" w:fill="FFFFFF"/>
            <w:vAlign w:val="center"/>
            <w:hideMark/>
          </w:tcPr>
          <w:p w14:paraId="4D38B320" w14:textId="77777777" w:rsidR="008F75C2" w:rsidRPr="00CA0835" w:rsidRDefault="008F75C2" w:rsidP="00CA0835">
            <w:pPr>
              <w:spacing w:after="0" w:line="240" w:lineRule="auto"/>
              <w:jc w:val="right"/>
              <w:rPr>
                <w:color w:val="000000"/>
                <w:sz w:val="20"/>
                <w:szCs w:val="20"/>
                <w:lang w:eastAsia="sk-SK"/>
              </w:rPr>
            </w:pPr>
            <w:r w:rsidRPr="00CA0835">
              <w:rPr>
                <w:color w:val="000000"/>
                <w:sz w:val="20"/>
                <w:szCs w:val="20"/>
                <w:lang w:eastAsia="sk-SK"/>
              </w:rPr>
              <w:t>39 905</w:t>
            </w:r>
          </w:p>
        </w:tc>
        <w:tc>
          <w:tcPr>
            <w:tcW w:w="709" w:type="dxa"/>
            <w:tcBorders>
              <w:top w:val="nil"/>
              <w:left w:val="nil"/>
              <w:bottom w:val="nil"/>
              <w:right w:val="nil"/>
            </w:tcBorders>
            <w:shd w:val="clear" w:color="000000" w:fill="FFFFFF"/>
            <w:vAlign w:val="center"/>
            <w:hideMark/>
          </w:tcPr>
          <w:p w14:paraId="133CB4DC" w14:textId="77777777" w:rsidR="008F75C2" w:rsidRPr="00CA0835" w:rsidRDefault="008F75C2" w:rsidP="00CA0835">
            <w:pPr>
              <w:spacing w:after="0" w:line="240" w:lineRule="auto"/>
              <w:jc w:val="right"/>
              <w:rPr>
                <w:color w:val="000000"/>
                <w:sz w:val="20"/>
                <w:szCs w:val="20"/>
                <w:lang w:eastAsia="sk-SK"/>
              </w:rPr>
            </w:pPr>
            <w:r w:rsidRPr="00CA0835">
              <w:rPr>
                <w:color w:val="000000"/>
                <w:sz w:val="20"/>
                <w:szCs w:val="20"/>
                <w:lang w:eastAsia="sk-SK"/>
              </w:rPr>
              <w:t>21,7</w:t>
            </w:r>
          </w:p>
        </w:tc>
      </w:tr>
      <w:tr w:rsidR="008F75C2" w:rsidRPr="00CA0835" w14:paraId="0AABA808" w14:textId="77777777" w:rsidTr="00E90A4D">
        <w:trPr>
          <w:trHeight w:val="330"/>
        </w:trPr>
        <w:tc>
          <w:tcPr>
            <w:tcW w:w="3119" w:type="dxa"/>
            <w:tcBorders>
              <w:top w:val="nil"/>
              <w:left w:val="nil"/>
              <w:bottom w:val="nil"/>
              <w:right w:val="nil"/>
            </w:tcBorders>
            <w:shd w:val="clear" w:color="000000" w:fill="FFFFFF"/>
            <w:noWrap/>
            <w:vAlign w:val="center"/>
            <w:hideMark/>
          </w:tcPr>
          <w:p w14:paraId="7A63250F" w14:textId="4339DD8D" w:rsidR="008F75C2" w:rsidRPr="00CA0835" w:rsidRDefault="008F75C2" w:rsidP="00294F97">
            <w:pPr>
              <w:spacing w:after="0" w:line="240" w:lineRule="auto"/>
              <w:jc w:val="left"/>
              <w:rPr>
                <w:color w:val="000000"/>
                <w:sz w:val="20"/>
                <w:szCs w:val="20"/>
                <w:lang w:eastAsia="sk-SK"/>
              </w:rPr>
            </w:pPr>
            <w:r w:rsidRPr="00CA0835">
              <w:rPr>
                <w:color w:val="000000"/>
                <w:sz w:val="20"/>
                <w:szCs w:val="20"/>
                <w:lang w:eastAsia="sk-SK"/>
              </w:rPr>
              <w:t xml:space="preserve">        pokuty, penále a iné sankcie </w:t>
            </w:r>
          </w:p>
        </w:tc>
        <w:tc>
          <w:tcPr>
            <w:tcW w:w="993" w:type="dxa"/>
            <w:tcBorders>
              <w:top w:val="nil"/>
              <w:left w:val="nil"/>
              <w:bottom w:val="nil"/>
              <w:right w:val="nil"/>
            </w:tcBorders>
            <w:shd w:val="clear" w:color="000000" w:fill="FFFFFF"/>
            <w:noWrap/>
            <w:vAlign w:val="center"/>
            <w:hideMark/>
          </w:tcPr>
          <w:p w14:paraId="4891A8A2" w14:textId="77777777" w:rsidR="008F75C2" w:rsidRPr="00CA0835" w:rsidRDefault="008F75C2" w:rsidP="00CA0835">
            <w:pPr>
              <w:spacing w:after="0" w:line="240" w:lineRule="auto"/>
              <w:jc w:val="right"/>
              <w:rPr>
                <w:color w:val="000000"/>
                <w:sz w:val="20"/>
                <w:szCs w:val="20"/>
                <w:lang w:eastAsia="sk-SK"/>
              </w:rPr>
            </w:pPr>
            <w:r w:rsidRPr="00CA0835">
              <w:rPr>
                <w:color w:val="000000"/>
                <w:sz w:val="20"/>
                <w:szCs w:val="20"/>
                <w:lang w:eastAsia="sk-SK"/>
              </w:rPr>
              <w:t>51 861</w:t>
            </w:r>
          </w:p>
        </w:tc>
        <w:tc>
          <w:tcPr>
            <w:tcW w:w="1134" w:type="dxa"/>
            <w:tcBorders>
              <w:top w:val="nil"/>
              <w:left w:val="nil"/>
              <w:bottom w:val="nil"/>
              <w:right w:val="nil"/>
            </w:tcBorders>
            <w:shd w:val="clear" w:color="000000" w:fill="FFFFFF"/>
            <w:noWrap/>
            <w:vAlign w:val="center"/>
            <w:hideMark/>
          </w:tcPr>
          <w:p w14:paraId="16FF362E" w14:textId="77777777" w:rsidR="008F75C2" w:rsidRPr="00CA0835" w:rsidRDefault="008F75C2" w:rsidP="00CA0835">
            <w:pPr>
              <w:spacing w:after="0" w:line="240" w:lineRule="auto"/>
              <w:jc w:val="right"/>
              <w:rPr>
                <w:color w:val="000000"/>
                <w:sz w:val="20"/>
                <w:szCs w:val="20"/>
                <w:lang w:eastAsia="sk-SK"/>
              </w:rPr>
            </w:pPr>
            <w:r w:rsidRPr="00CA0835">
              <w:rPr>
                <w:color w:val="000000"/>
                <w:sz w:val="20"/>
                <w:szCs w:val="20"/>
                <w:lang w:eastAsia="sk-SK"/>
              </w:rPr>
              <w:t>81 535</w:t>
            </w:r>
          </w:p>
        </w:tc>
        <w:tc>
          <w:tcPr>
            <w:tcW w:w="992" w:type="dxa"/>
            <w:tcBorders>
              <w:top w:val="nil"/>
              <w:left w:val="nil"/>
              <w:bottom w:val="nil"/>
              <w:right w:val="nil"/>
            </w:tcBorders>
            <w:shd w:val="clear" w:color="000000" w:fill="FFFFFF"/>
            <w:noWrap/>
            <w:vAlign w:val="center"/>
            <w:hideMark/>
          </w:tcPr>
          <w:p w14:paraId="57CE48B1" w14:textId="77777777" w:rsidR="008F75C2" w:rsidRPr="00CA0835" w:rsidRDefault="008F75C2" w:rsidP="00CA0835">
            <w:pPr>
              <w:spacing w:after="0" w:line="240" w:lineRule="auto"/>
              <w:jc w:val="right"/>
              <w:rPr>
                <w:color w:val="000000"/>
                <w:sz w:val="20"/>
                <w:szCs w:val="20"/>
                <w:lang w:eastAsia="sk-SK"/>
              </w:rPr>
            </w:pPr>
            <w:r w:rsidRPr="00CA0835">
              <w:rPr>
                <w:color w:val="000000"/>
                <w:sz w:val="20"/>
                <w:szCs w:val="20"/>
                <w:lang w:eastAsia="sk-SK"/>
              </w:rPr>
              <w:t>64 427</w:t>
            </w:r>
          </w:p>
        </w:tc>
        <w:tc>
          <w:tcPr>
            <w:tcW w:w="1134" w:type="dxa"/>
            <w:tcBorders>
              <w:top w:val="nil"/>
              <w:left w:val="nil"/>
              <w:bottom w:val="nil"/>
              <w:right w:val="nil"/>
            </w:tcBorders>
            <w:shd w:val="clear" w:color="000000" w:fill="BFBFBF"/>
            <w:noWrap/>
            <w:vAlign w:val="center"/>
            <w:hideMark/>
          </w:tcPr>
          <w:p w14:paraId="1FC7A12B" w14:textId="77777777" w:rsidR="008F75C2" w:rsidRPr="00CA0835" w:rsidRDefault="008F75C2" w:rsidP="00CA0835">
            <w:pPr>
              <w:spacing w:after="0" w:line="240" w:lineRule="auto"/>
              <w:jc w:val="right"/>
              <w:rPr>
                <w:color w:val="000000"/>
                <w:sz w:val="20"/>
                <w:szCs w:val="20"/>
                <w:lang w:eastAsia="sk-SK"/>
              </w:rPr>
            </w:pPr>
            <w:r w:rsidRPr="00CA0835">
              <w:rPr>
                <w:color w:val="000000"/>
                <w:sz w:val="20"/>
                <w:szCs w:val="20"/>
                <w:lang w:eastAsia="sk-SK"/>
              </w:rPr>
              <w:t>68 147</w:t>
            </w:r>
          </w:p>
        </w:tc>
        <w:tc>
          <w:tcPr>
            <w:tcW w:w="850" w:type="dxa"/>
            <w:tcBorders>
              <w:top w:val="nil"/>
              <w:left w:val="nil"/>
              <w:bottom w:val="nil"/>
              <w:right w:val="nil"/>
            </w:tcBorders>
            <w:shd w:val="clear" w:color="000000" w:fill="FFFFFF"/>
            <w:vAlign w:val="center"/>
            <w:hideMark/>
          </w:tcPr>
          <w:p w14:paraId="487EB38E" w14:textId="77777777" w:rsidR="008F75C2" w:rsidRPr="00CA0835" w:rsidRDefault="008F75C2" w:rsidP="00CA0835">
            <w:pPr>
              <w:spacing w:after="0" w:line="240" w:lineRule="auto"/>
              <w:jc w:val="right"/>
              <w:rPr>
                <w:color w:val="000000"/>
                <w:sz w:val="20"/>
                <w:szCs w:val="20"/>
                <w:lang w:eastAsia="sk-SK"/>
              </w:rPr>
            </w:pPr>
            <w:r w:rsidRPr="00CA0835">
              <w:rPr>
                <w:color w:val="000000"/>
                <w:sz w:val="20"/>
                <w:szCs w:val="20"/>
                <w:lang w:eastAsia="sk-SK"/>
              </w:rPr>
              <w:t>3 720</w:t>
            </w:r>
          </w:p>
        </w:tc>
        <w:tc>
          <w:tcPr>
            <w:tcW w:w="709" w:type="dxa"/>
            <w:tcBorders>
              <w:top w:val="nil"/>
              <w:left w:val="nil"/>
              <w:bottom w:val="nil"/>
              <w:right w:val="nil"/>
            </w:tcBorders>
            <w:shd w:val="clear" w:color="000000" w:fill="FFFFFF"/>
            <w:vAlign w:val="center"/>
            <w:hideMark/>
          </w:tcPr>
          <w:p w14:paraId="3FBB2C9F" w14:textId="77777777" w:rsidR="008F75C2" w:rsidRPr="00CA0835" w:rsidRDefault="008F75C2" w:rsidP="00CA0835">
            <w:pPr>
              <w:spacing w:after="0" w:line="240" w:lineRule="auto"/>
              <w:jc w:val="right"/>
              <w:rPr>
                <w:color w:val="000000"/>
                <w:sz w:val="20"/>
                <w:szCs w:val="20"/>
                <w:lang w:eastAsia="sk-SK"/>
              </w:rPr>
            </w:pPr>
            <w:r w:rsidRPr="00CA0835">
              <w:rPr>
                <w:color w:val="000000"/>
                <w:sz w:val="20"/>
                <w:szCs w:val="20"/>
                <w:lang w:eastAsia="sk-SK"/>
              </w:rPr>
              <w:t>5,8</w:t>
            </w:r>
          </w:p>
        </w:tc>
      </w:tr>
      <w:tr w:rsidR="008F75C2" w:rsidRPr="00CA0835" w14:paraId="1EA65BE5" w14:textId="77777777" w:rsidTr="00E90A4D">
        <w:trPr>
          <w:trHeight w:val="330"/>
        </w:trPr>
        <w:tc>
          <w:tcPr>
            <w:tcW w:w="3119" w:type="dxa"/>
            <w:tcBorders>
              <w:top w:val="nil"/>
              <w:left w:val="nil"/>
              <w:bottom w:val="nil"/>
              <w:right w:val="nil"/>
            </w:tcBorders>
            <w:shd w:val="clear" w:color="000000" w:fill="FFFFFF"/>
            <w:noWrap/>
            <w:vAlign w:val="center"/>
            <w:hideMark/>
          </w:tcPr>
          <w:p w14:paraId="7659ED54" w14:textId="6EFDE305" w:rsidR="008F75C2" w:rsidRPr="00CA0835" w:rsidRDefault="008F75C2" w:rsidP="00E12309">
            <w:pPr>
              <w:spacing w:after="0" w:line="240" w:lineRule="auto"/>
              <w:jc w:val="left"/>
              <w:rPr>
                <w:color w:val="000000"/>
                <w:sz w:val="20"/>
                <w:szCs w:val="20"/>
                <w:lang w:eastAsia="sk-SK"/>
              </w:rPr>
            </w:pPr>
            <w:r w:rsidRPr="00CA0835">
              <w:rPr>
                <w:color w:val="000000"/>
                <w:sz w:val="20"/>
                <w:szCs w:val="20"/>
                <w:lang w:eastAsia="sk-SK"/>
              </w:rPr>
              <w:t xml:space="preserve">       </w:t>
            </w:r>
            <w:r w:rsidR="00294F97">
              <w:rPr>
                <w:color w:val="000000"/>
                <w:sz w:val="20"/>
                <w:szCs w:val="20"/>
                <w:lang w:eastAsia="sk-SK"/>
              </w:rPr>
              <w:t xml:space="preserve"> </w:t>
            </w:r>
            <w:r w:rsidRPr="00CA0835">
              <w:rPr>
                <w:color w:val="000000"/>
                <w:sz w:val="20"/>
                <w:szCs w:val="20"/>
                <w:lang w:eastAsia="sk-SK"/>
              </w:rPr>
              <w:t xml:space="preserve">poplatky a platby z </w:t>
            </w:r>
            <w:proofErr w:type="spellStart"/>
            <w:r w:rsidRPr="00CA0835">
              <w:rPr>
                <w:color w:val="000000"/>
                <w:sz w:val="20"/>
                <w:szCs w:val="20"/>
                <w:lang w:eastAsia="sk-SK"/>
              </w:rPr>
              <w:t>nepr</w:t>
            </w:r>
            <w:proofErr w:type="spellEnd"/>
            <w:r w:rsidRPr="00CA0835">
              <w:rPr>
                <w:color w:val="000000"/>
                <w:sz w:val="20"/>
                <w:szCs w:val="20"/>
                <w:lang w:eastAsia="sk-SK"/>
              </w:rPr>
              <w:t>. a náhod.</w:t>
            </w:r>
            <w:r w:rsidR="00E12309">
              <w:rPr>
                <w:color w:val="000000"/>
                <w:sz w:val="20"/>
                <w:szCs w:val="20"/>
                <w:lang w:eastAsia="sk-SK"/>
              </w:rPr>
              <w:t xml:space="preserve"> pr</w:t>
            </w:r>
            <w:r w:rsidRPr="00CA0835">
              <w:rPr>
                <w:color w:val="000000"/>
                <w:sz w:val="20"/>
                <w:szCs w:val="20"/>
                <w:lang w:eastAsia="sk-SK"/>
              </w:rPr>
              <w:t>edaja</w:t>
            </w:r>
          </w:p>
        </w:tc>
        <w:tc>
          <w:tcPr>
            <w:tcW w:w="993" w:type="dxa"/>
            <w:tcBorders>
              <w:top w:val="nil"/>
              <w:left w:val="nil"/>
              <w:bottom w:val="nil"/>
              <w:right w:val="nil"/>
            </w:tcBorders>
            <w:shd w:val="clear" w:color="000000" w:fill="FFFFFF"/>
            <w:noWrap/>
            <w:vAlign w:val="center"/>
            <w:hideMark/>
          </w:tcPr>
          <w:p w14:paraId="72F2B915" w14:textId="77777777" w:rsidR="008F75C2" w:rsidRPr="00CA0835" w:rsidRDefault="008F75C2" w:rsidP="00CA0835">
            <w:pPr>
              <w:spacing w:after="0" w:line="240" w:lineRule="auto"/>
              <w:jc w:val="right"/>
              <w:rPr>
                <w:color w:val="000000"/>
                <w:sz w:val="20"/>
                <w:szCs w:val="20"/>
                <w:lang w:eastAsia="sk-SK"/>
              </w:rPr>
            </w:pPr>
            <w:r w:rsidRPr="00CA0835">
              <w:rPr>
                <w:color w:val="000000"/>
                <w:sz w:val="20"/>
                <w:szCs w:val="20"/>
                <w:lang w:eastAsia="sk-SK"/>
              </w:rPr>
              <w:t>65 638</w:t>
            </w:r>
          </w:p>
        </w:tc>
        <w:tc>
          <w:tcPr>
            <w:tcW w:w="1134" w:type="dxa"/>
            <w:tcBorders>
              <w:top w:val="nil"/>
              <w:left w:val="nil"/>
              <w:bottom w:val="nil"/>
              <w:right w:val="nil"/>
            </w:tcBorders>
            <w:shd w:val="clear" w:color="000000" w:fill="FFFFFF"/>
            <w:noWrap/>
            <w:vAlign w:val="center"/>
            <w:hideMark/>
          </w:tcPr>
          <w:p w14:paraId="64B34759" w14:textId="77777777" w:rsidR="008F75C2" w:rsidRPr="00CA0835" w:rsidRDefault="008F75C2" w:rsidP="00CA0835">
            <w:pPr>
              <w:spacing w:after="0" w:line="240" w:lineRule="auto"/>
              <w:jc w:val="right"/>
              <w:rPr>
                <w:color w:val="000000"/>
                <w:sz w:val="20"/>
                <w:szCs w:val="20"/>
                <w:lang w:eastAsia="sk-SK"/>
              </w:rPr>
            </w:pPr>
            <w:r w:rsidRPr="00CA0835">
              <w:rPr>
                <w:color w:val="000000"/>
                <w:sz w:val="20"/>
                <w:szCs w:val="20"/>
                <w:lang w:eastAsia="sk-SK"/>
              </w:rPr>
              <w:t>66 974</w:t>
            </w:r>
          </w:p>
        </w:tc>
        <w:tc>
          <w:tcPr>
            <w:tcW w:w="992" w:type="dxa"/>
            <w:tcBorders>
              <w:top w:val="nil"/>
              <w:left w:val="nil"/>
              <w:bottom w:val="nil"/>
              <w:right w:val="nil"/>
            </w:tcBorders>
            <w:shd w:val="clear" w:color="000000" w:fill="FFFFFF"/>
            <w:noWrap/>
            <w:vAlign w:val="center"/>
            <w:hideMark/>
          </w:tcPr>
          <w:p w14:paraId="4CC510C0" w14:textId="77777777" w:rsidR="008F75C2" w:rsidRPr="00CA0835" w:rsidRDefault="008F75C2" w:rsidP="00CA0835">
            <w:pPr>
              <w:spacing w:after="0" w:line="240" w:lineRule="auto"/>
              <w:jc w:val="right"/>
              <w:rPr>
                <w:color w:val="000000"/>
                <w:sz w:val="20"/>
                <w:szCs w:val="20"/>
                <w:lang w:eastAsia="sk-SK"/>
              </w:rPr>
            </w:pPr>
            <w:r w:rsidRPr="00CA0835">
              <w:rPr>
                <w:color w:val="000000"/>
                <w:sz w:val="20"/>
                <w:szCs w:val="20"/>
                <w:lang w:eastAsia="sk-SK"/>
              </w:rPr>
              <w:t>56 372</w:t>
            </w:r>
          </w:p>
        </w:tc>
        <w:tc>
          <w:tcPr>
            <w:tcW w:w="1134" w:type="dxa"/>
            <w:tcBorders>
              <w:top w:val="nil"/>
              <w:left w:val="nil"/>
              <w:bottom w:val="nil"/>
              <w:right w:val="nil"/>
            </w:tcBorders>
            <w:shd w:val="clear" w:color="000000" w:fill="BFBFBF"/>
            <w:noWrap/>
            <w:vAlign w:val="center"/>
            <w:hideMark/>
          </w:tcPr>
          <w:p w14:paraId="3F207369" w14:textId="77777777" w:rsidR="008F75C2" w:rsidRPr="00CA0835" w:rsidRDefault="008F75C2" w:rsidP="00CA0835">
            <w:pPr>
              <w:spacing w:after="0" w:line="240" w:lineRule="auto"/>
              <w:jc w:val="right"/>
              <w:rPr>
                <w:color w:val="000000"/>
                <w:sz w:val="20"/>
                <w:szCs w:val="20"/>
                <w:lang w:eastAsia="sk-SK"/>
              </w:rPr>
            </w:pPr>
            <w:r w:rsidRPr="00CA0835">
              <w:rPr>
                <w:color w:val="000000"/>
                <w:sz w:val="20"/>
                <w:szCs w:val="20"/>
                <w:lang w:eastAsia="sk-SK"/>
              </w:rPr>
              <w:t>52 627</w:t>
            </w:r>
          </w:p>
        </w:tc>
        <w:tc>
          <w:tcPr>
            <w:tcW w:w="850" w:type="dxa"/>
            <w:tcBorders>
              <w:top w:val="nil"/>
              <w:left w:val="nil"/>
              <w:bottom w:val="nil"/>
              <w:right w:val="nil"/>
            </w:tcBorders>
            <w:shd w:val="clear" w:color="000000" w:fill="FFFFFF"/>
            <w:vAlign w:val="center"/>
            <w:hideMark/>
          </w:tcPr>
          <w:p w14:paraId="5AF85EEE" w14:textId="77777777" w:rsidR="008F75C2" w:rsidRPr="00CA0835" w:rsidRDefault="008F75C2" w:rsidP="00CA0835">
            <w:pPr>
              <w:spacing w:after="0" w:line="240" w:lineRule="auto"/>
              <w:jc w:val="right"/>
              <w:rPr>
                <w:color w:val="000000"/>
                <w:sz w:val="20"/>
                <w:szCs w:val="20"/>
                <w:lang w:eastAsia="sk-SK"/>
              </w:rPr>
            </w:pPr>
            <w:r w:rsidRPr="00CA0835">
              <w:rPr>
                <w:color w:val="000000"/>
                <w:sz w:val="20"/>
                <w:szCs w:val="20"/>
                <w:lang w:eastAsia="sk-SK"/>
              </w:rPr>
              <w:t>-3 745</w:t>
            </w:r>
          </w:p>
        </w:tc>
        <w:tc>
          <w:tcPr>
            <w:tcW w:w="709" w:type="dxa"/>
            <w:tcBorders>
              <w:top w:val="nil"/>
              <w:left w:val="nil"/>
              <w:bottom w:val="nil"/>
              <w:right w:val="nil"/>
            </w:tcBorders>
            <w:shd w:val="clear" w:color="000000" w:fill="FFFFFF"/>
            <w:vAlign w:val="center"/>
            <w:hideMark/>
          </w:tcPr>
          <w:p w14:paraId="055EBDDC" w14:textId="77777777" w:rsidR="008F75C2" w:rsidRPr="00CA0835" w:rsidRDefault="008F75C2" w:rsidP="00CA0835">
            <w:pPr>
              <w:spacing w:after="0" w:line="240" w:lineRule="auto"/>
              <w:jc w:val="right"/>
              <w:rPr>
                <w:color w:val="000000"/>
                <w:sz w:val="20"/>
                <w:szCs w:val="20"/>
                <w:lang w:eastAsia="sk-SK"/>
              </w:rPr>
            </w:pPr>
            <w:r w:rsidRPr="00CA0835">
              <w:rPr>
                <w:color w:val="000000"/>
                <w:sz w:val="20"/>
                <w:szCs w:val="20"/>
                <w:lang w:eastAsia="sk-SK"/>
              </w:rPr>
              <w:t>-6,6</w:t>
            </w:r>
          </w:p>
        </w:tc>
      </w:tr>
      <w:tr w:rsidR="008F75C2" w:rsidRPr="00E90A4D" w14:paraId="4872EBB2" w14:textId="77777777" w:rsidTr="00E90A4D">
        <w:trPr>
          <w:trHeight w:val="330"/>
        </w:trPr>
        <w:tc>
          <w:tcPr>
            <w:tcW w:w="3119" w:type="dxa"/>
            <w:tcBorders>
              <w:top w:val="nil"/>
              <w:left w:val="nil"/>
              <w:bottom w:val="nil"/>
              <w:right w:val="nil"/>
            </w:tcBorders>
            <w:shd w:val="clear" w:color="000000" w:fill="FFFFFF"/>
            <w:noWrap/>
            <w:vAlign w:val="center"/>
            <w:hideMark/>
          </w:tcPr>
          <w:p w14:paraId="6F2011CB" w14:textId="77777777" w:rsidR="008F75C2" w:rsidRPr="00E90A4D" w:rsidRDefault="008F75C2" w:rsidP="00CA0835">
            <w:pPr>
              <w:spacing w:after="0" w:line="240" w:lineRule="auto"/>
              <w:jc w:val="left"/>
              <w:rPr>
                <w:b/>
                <w:color w:val="000000"/>
                <w:sz w:val="20"/>
                <w:szCs w:val="20"/>
                <w:lang w:eastAsia="sk-SK"/>
              </w:rPr>
            </w:pPr>
            <w:r w:rsidRPr="00E90A4D">
              <w:rPr>
                <w:b/>
                <w:color w:val="000000"/>
                <w:sz w:val="20"/>
                <w:szCs w:val="20"/>
                <w:lang w:eastAsia="sk-SK"/>
              </w:rPr>
              <w:t>Kapitálové príjmy</w:t>
            </w:r>
          </w:p>
        </w:tc>
        <w:tc>
          <w:tcPr>
            <w:tcW w:w="993" w:type="dxa"/>
            <w:tcBorders>
              <w:top w:val="nil"/>
              <w:left w:val="nil"/>
              <w:bottom w:val="nil"/>
              <w:right w:val="nil"/>
            </w:tcBorders>
            <w:shd w:val="clear" w:color="000000" w:fill="FFFFFF"/>
            <w:noWrap/>
            <w:vAlign w:val="center"/>
            <w:hideMark/>
          </w:tcPr>
          <w:p w14:paraId="3C577C07" w14:textId="77777777" w:rsidR="008F75C2" w:rsidRPr="00E90A4D" w:rsidRDefault="008F75C2" w:rsidP="00CA0835">
            <w:pPr>
              <w:spacing w:after="0" w:line="240" w:lineRule="auto"/>
              <w:jc w:val="right"/>
              <w:rPr>
                <w:b/>
                <w:color w:val="000000"/>
                <w:sz w:val="20"/>
                <w:szCs w:val="20"/>
                <w:lang w:eastAsia="sk-SK"/>
              </w:rPr>
            </w:pPr>
            <w:r w:rsidRPr="00E90A4D">
              <w:rPr>
                <w:b/>
                <w:color w:val="000000"/>
                <w:sz w:val="20"/>
                <w:szCs w:val="20"/>
                <w:lang w:eastAsia="sk-SK"/>
              </w:rPr>
              <w:t>19 692</w:t>
            </w:r>
          </w:p>
        </w:tc>
        <w:tc>
          <w:tcPr>
            <w:tcW w:w="1134" w:type="dxa"/>
            <w:tcBorders>
              <w:top w:val="nil"/>
              <w:left w:val="nil"/>
              <w:bottom w:val="nil"/>
              <w:right w:val="nil"/>
            </w:tcBorders>
            <w:shd w:val="clear" w:color="000000" w:fill="FFFFFF"/>
            <w:noWrap/>
            <w:vAlign w:val="center"/>
            <w:hideMark/>
          </w:tcPr>
          <w:p w14:paraId="033DE5F3" w14:textId="77777777" w:rsidR="008F75C2" w:rsidRPr="00E90A4D" w:rsidRDefault="008F75C2" w:rsidP="00CA0835">
            <w:pPr>
              <w:spacing w:after="0" w:line="240" w:lineRule="auto"/>
              <w:jc w:val="right"/>
              <w:rPr>
                <w:b/>
                <w:color w:val="000000"/>
                <w:sz w:val="20"/>
                <w:szCs w:val="20"/>
                <w:lang w:eastAsia="sk-SK"/>
              </w:rPr>
            </w:pPr>
            <w:r w:rsidRPr="00E90A4D">
              <w:rPr>
                <w:b/>
                <w:color w:val="000000"/>
                <w:sz w:val="20"/>
                <w:szCs w:val="20"/>
                <w:lang w:eastAsia="sk-SK"/>
              </w:rPr>
              <w:t>11 748</w:t>
            </w:r>
          </w:p>
        </w:tc>
        <w:tc>
          <w:tcPr>
            <w:tcW w:w="992" w:type="dxa"/>
            <w:tcBorders>
              <w:top w:val="nil"/>
              <w:left w:val="nil"/>
              <w:bottom w:val="nil"/>
              <w:right w:val="nil"/>
            </w:tcBorders>
            <w:shd w:val="clear" w:color="000000" w:fill="FFFFFF"/>
            <w:noWrap/>
            <w:vAlign w:val="center"/>
            <w:hideMark/>
          </w:tcPr>
          <w:p w14:paraId="78AB40BD" w14:textId="77777777" w:rsidR="008F75C2" w:rsidRPr="00E90A4D" w:rsidRDefault="008F75C2" w:rsidP="00CA0835">
            <w:pPr>
              <w:spacing w:after="0" w:line="240" w:lineRule="auto"/>
              <w:jc w:val="right"/>
              <w:rPr>
                <w:b/>
                <w:color w:val="000000"/>
                <w:sz w:val="20"/>
                <w:szCs w:val="20"/>
                <w:lang w:eastAsia="sk-SK"/>
              </w:rPr>
            </w:pPr>
            <w:r w:rsidRPr="00E90A4D">
              <w:rPr>
                <w:b/>
                <w:color w:val="000000"/>
                <w:sz w:val="20"/>
                <w:szCs w:val="20"/>
                <w:lang w:eastAsia="sk-SK"/>
              </w:rPr>
              <w:t>44 488</w:t>
            </w:r>
          </w:p>
        </w:tc>
        <w:tc>
          <w:tcPr>
            <w:tcW w:w="1134" w:type="dxa"/>
            <w:tcBorders>
              <w:top w:val="nil"/>
              <w:left w:val="nil"/>
              <w:bottom w:val="nil"/>
              <w:right w:val="nil"/>
            </w:tcBorders>
            <w:shd w:val="clear" w:color="000000" w:fill="BFBFBF"/>
            <w:noWrap/>
            <w:vAlign w:val="center"/>
            <w:hideMark/>
          </w:tcPr>
          <w:p w14:paraId="5CDF8BF8" w14:textId="77777777" w:rsidR="008F75C2" w:rsidRPr="00E90A4D" w:rsidRDefault="008F75C2" w:rsidP="00CA0835">
            <w:pPr>
              <w:spacing w:after="0" w:line="240" w:lineRule="auto"/>
              <w:jc w:val="right"/>
              <w:rPr>
                <w:b/>
                <w:color w:val="000000"/>
                <w:sz w:val="20"/>
                <w:szCs w:val="20"/>
                <w:lang w:eastAsia="sk-SK"/>
              </w:rPr>
            </w:pPr>
            <w:r w:rsidRPr="00E90A4D">
              <w:rPr>
                <w:b/>
                <w:color w:val="000000"/>
                <w:sz w:val="20"/>
                <w:szCs w:val="20"/>
                <w:lang w:eastAsia="sk-SK"/>
              </w:rPr>
              <w:t>10 630</w:t>
            </w:r>
          </w:p>
        </w:tc>
        <w:tc>
          <w:tcPr>
            <w:tcW w:w="850" w:type="dxa"/>
            <w:tcBorders>
              <w:top w:val="nil"/>
              <w:left w:val="nil"/>
              <w:bottom w:val="nil"/>
              <w:right w:val="nil"/>
            </w:tcBorders>
            <w:shd w:val="clear" w:color="000000" w:fill="FFFFFF"/>
            <w:vAlign w:val="center"/>
            <w:hideMark/>
          </w:tcPr>
          <w:p w14:paraId="07099CDD" w14:textId="77777777" w:rsidR="008F75C2" w:rsidRPr="00E90A4D" w:rsidRDefault="008F75C2" w:rsidP="00CA0835">
            <w:pPr>
              <w:spacing w:after="0" w:line="240" w:lineRule="auto"/>
              <w:jc w:val="right"/>
              <w:rPr>
                <w:b/>
                <w:color w:val="000000"/>
                <w:sz w:val="20"/>
                <w:szCs w:val="20"/>
                <w:lang w:eastAsia="sk-SK"/>
              </w:rPr>
            </w:pPr>
            <w:r w:rsidRPr="00E90A4D">
              <w:rPr>
                <w:b/>
                <w:color w:val="000000"/>
                <w:sz w:val="20"/>
                <w:szCs w:val="20"/>
                <w:lang w:eastAsia="sk-SK"/>
              </w:rPr>
              <w:t>-33 858</w:t>
            </w:r>
          </w:p>
        </w:tc>
        <w:tc>
          <w:tcPr>
            <w:tcW w:w="709" w:type="dxa"/>
            <w:tcBorders>
              <w:top w:val="nil"/>
              <w:left w:val="nil"/>
              <w:bottom w:val="nil"/>
              <w:right w:val="nil"/>
            </w:tcBorders>
            <w:shd w:val="clear" w:color="000000" w:fill="FFFFFF"/>
            <w:vAlign w:val="center"/>
            <w:hideMark/>
          </w:tcPr>
          <w:p w14:paraId="16D36FC1" w14:textId="77777777" w:rsidR="008F75C2" w:rsidRPr="00E90A4D" w:rsidRDefault="008F75C2" w:rsidP="00CA0835">
            <w:pPr>
              <w:spacing w:after="0" w:line="240" w:lineRule="auto"/>
              <w:jc w:val="right"/>
              <w:rPr>
                <w:b/>
                <w:color w:val="000000"/>
                <w:sz w:val="20"/>
                <w:szCs w:val="20"/>
                <w:lang w:eastAsia="sk-SK"/>
              </w:rPr>
            </w:pPr>
            <w:r w:rsidRPr="00E90A4D">
              <w:rPr>
                <w:b/>
                <w:color w:val="000000"/>
                <w:sz w:val="20"/>
                <w:szCs w:val="20"/>
                <w:lang w:eastAsia="sk-SK"/>
              </w:rPr>
              <w:t>-76,1</w:t>
            </w:r>
          </w:p>
        </w:tc>
      </w:tr>
      <w:tr w:rsidR="008F75C2" w:rsidRPr="00E90A4D" w14:paraId="218D2AA4" w14:textId="77777777" w:rsidTr="00E90A4D">
        <w:trPr>
          <w:trHeight w:val="480"/>
        </w:trPr>
        <w:tc>
          <w:tcPr>
            <w:tcW w:w="3119" w:type="dxa"/>
            <w:tcBorders>
              <w:top w:val="nil"/>
              <w:left w:val="nil"/>
              <w:bottom w:val="nil"/>
              <w:right w:val="nil"/>
            </w:tcBorders>
            <w:shd w:val="clear" w:color="000000" w:fill="FFFFFF"/>
            <w:vAlign w:val="center"/>
            <w:hideMark/>
          </w:tcPr>
          <w:p w14:paraId="7BC8E86C" w14:textId="00F01DF4" w:rsidR="008F75C2" w:rsidRPr="00E90A4D" w:rsidRDefault="008F75C2" w:rsidP="00861AB8">
            <w:pPr>
              <w:spacing w:after="0" w:line="240" w:lineRule="auto"/>
              <w:jc w:val="left"/>
              <w:rPr>
                <w:b/>
                <w:color w:val="000000"/>
                <w:sz w:val="20"/>
                <w:szCs w:val="20"/>
                <w:lang w:eastAsia="sk-SK"/>
              </w:rPr>
            </w:pPr>
            <w:r w:rsidRPr="00E90A4D">
              <w:rPr>
                <w:b/>
                <w:color w:val="000000"/>
                <w:sz w:val="20"/>
                <w:szCs w:val="20"/>
                <w:lang w:eastAsia="sk-SK"/>
              </w:rPr>
              <w:t>Úroky z tuzemských a zahraničných úverov, pôžičiek,</w:t>
            </w:r>
            <w:r w:rsidR="002A4D0B" w:rsidRPr="00E90A4D">
              <w:rPr>
                <w:b/>
                <w:color w:val="000000"/>
                <w:sz w:val="20"/>
                <w:szCs w:val="20"/>
                <w:lang w:eastAsia="sk-SK"/>
              </w:rPr>
              <w:t xml:space="preserve"> </w:t>
            </w:r>
            <w:r w:rsidRPr="00E90A4D">
              <w:rPr>
                <w:b/>
                <w:color w:val="000000"/>
                <w:sz w:val="20"/>
                <w:szCs w:val="20"/>
                <w:lang w:eastAsia="sk-SK"/>
              </w:rPr>
              <w:t>NFV</w:t>
            </w:r>
          </w:p>
        </w:tc>
        <w:tc>
          <w:tcPr>
            <w:tcW w:w="993" w:type="dxa"/>
            <w:tcBorders>
              <w:top w:val="nil"/>
              <w:left w:val="nil"/>
              <w:bottom w:val="nil"/>
              <w:right w:val="nil"/>
            </w:tcBorders>
            <w:shd w:val="clear" w:color="000000" w:fill="FFFFFF"/>
            <w:noWrap/>
            <w:vAlign w:val="center"/>
            <w:hideMark/>
          </w:tcPr>
          <w:p w14:paraId="6589727D" w14:textId="77777777" w:rsidR="008F75C2" w:rsidRPr="00E90A4D" w:rsidRDefault="008F75C2" w:rsidP="00CA0835">
            <w:pPr>
              <w:spacing w:after="0" w:line="240" w:lineRule="auto"/>
              <w:jc w:val="right"/>
              <w:rPr>
                <w:b/>
                <w:color w:val="000000"/>
                <w:sz w:val="20"/>
                <w:szCs w:val="20"/>
                <w:lang w:eastAsia="sk-SK"/>
              </w:rPr>
            </w:pPr>
            <w:r w:rsidRPr="00E90A4D">
              <w:rPr>
                <w:b/>
                <w:color w:val="000000"/>
                <w:sz w:val="20"/>
                <w:szCs w:val="20"/>
                <w:lang w:eastAsia="sk-SK"/>
              </w:rPr>
              <w:t>9 053</w:t>
            </w:r>
          </w:p>
        </w:tc>
        <w:tc>
          <w:tcPr>
            <w:tcW w:w="1134" w:type="dxa"/>
            <w:tcBorders>
              <w:top w:val="nil"/>
              <w:left w:val="nil"/>
              <w:bottom w:val="nil"/>
              <w:right w:val="nil"/>
            </w:tcBorders>
            <w:shd w:val="clear" w:color="000000" w:fill="FFFFFF"/>
            <w:noWrap/>
            <w:vAlign w:val="center"/>
            <w:hideMark/>
          </w:tcPr>
          <w:p w14:paraId="64FA1DF8" w14:textId="77777777" w:rsidR="008F75C2" w:rsidRPr="00E90A4D" w:rsidRDefault="008F75C2" w:rsidP="00CA0835">
            <w:pPr>
              <w:spacing w:after="0" w:line="240" w:lineRule="auto"/>
              <w:jc w:val="right"/>
              <w:rPr>
                <w:b/>
                <w:color w:val="000000"/>
                <w:sz w:val="20"/>
                <w:szCs w:val="20"/>
                <w:lang w:eastAsia="sk-SK"/>
              </w:rPr>
            </w:pPr>
            <w:r w:rsidRPr="00E90A4D">
              <w:rPr>
                <w:b/>
                <w:color w:val="000000"/>
                <w:sz w:val="20"/>
                <w:szCs w:val="20"/>
                <w:lang w:eastAsia="sk-SK"/>
              </w:rPr>
              <w:t>28 619</w:t>
            </w:r>
          </w:p>
        </w:tc>
        <w:tc>
          <w:tcPr>
            <w:tcW w:w="992" w:type="dxa"/>
            <w:tcBorders>
              <w:top w:val="nil"/>
              <w:left w:val="nil"/>
              <w:bottom w:val="nil"/>
              <w:right w:val="nil"/>
            </w:tcBorders>
            <w:shd w:val="clear" w:color="000000" w:fill="FFFFFF"/>
            <w:noWrap/>
            <w:vAlign w:val="center"/>
            <w:hideMark/>
          </w:tcPr>
          <w:p w14:paraId="6A5C96E5" w14:textId="77777777" w:rsidR="008F75C2" w:rsidRPr="00E90A4D" w:rsidRDefault="008F75C2" w:rsidP="00CA0835">
            <w:pPr>
              <w:spacing w:after="0" w:line="240" w:lineRule="auto"/>
              <w:jc w:val="right"/>
              <w:rPr>
                <w:b/>
                <w:color w:val="000000"/>
                <w:sz w:val="20"/>
                <w:szCs w:val="20"/>
                <w:lang w:eastAsia="sk-SK"/>
              </w:rPr>
            </w:pPr>
            <w:r w:rsidRPr="00E90A4D">
              <w:rPr>
                <w:b/>
                <w:color w:val="000000"/>
                <w:sz w:val="20"/>
                <w:szCs w:val="20"/>
                <w:lang w:eastAsia="sk-SK"/>
              </w:rPr>
              <w:t>7 125</w:t>
            </w:r>
          </w:p>
        </w:tc>
        <w:tc>
          <w:tcPr>
            <w:tcW w:w="1134" w:type="dxa"/>
            <w:tcBorders>
              <w:top w:val="nil"/>
              <w:left w:val="nil"/>
              <w:bottom w:val="nil"/>
              <w:right w:val="nil"/>
            </w:tcBorders>
            <w:shd w:val="clear" w:color="000000" w:fill="BFBFBF"/>
            <w:noWrap/>
            <w:vAlign w:val="center"/>
            <w:hideMark/>
          </w:tcPr>
          <w:p w14:paraId="7D15CD4B" w14:textId="77777777" w:rsidR="008F75C2" w:rsidRPr="00E90A4D" w:rsidRDefault="008F75C2" w:rsidP="00CA0835">
            <w:pPr>
              <w:spacing w:after="0" w:line="240" w:lineRule="auto"/>
              <w:jc w:val="right"/>
              <w:rPr>
                <w:b/>
                <w:color w:val="000000"/>
                <w:sz w:val="20"/>
                <w:szCs w:val="20"/>
                <w:lang w:eastAsia="sk-SK"/>
              </w:rPr>
            </w:pPr>
            <w:r w:rsidRPr="00E90A4D">
              <w:rPr>
                <w:b/>
                <w:color w:val="000000"/>
                <w:sz w:val="20"/>
                <w:szCs w:val="20"/>
                <w:lang w:eastAsia="sk-SK"/>
              </w:rPr>
              <w:t>8 050</w:t>
            </w:r>
          </w:p>
        </w:tc>
        <w:tc>
          <w:tcPr>
            <w:tcW w:w="850" w:type="dxa"/>
            <w:tcBorders>
              <w:top w:val="nil"/>
              <w:left w:val="nil"/>
              <w:bottom w:val="nil"/>
              <w:right w:val="nil"/>
            </w:tcBorders>
            <w:shd w:val="clear" w:color="000000" w:fill="FFFFFF"/>
            <w:vAlign w:val="center"/>
            <w:hideMark/>
          </w:tcPr>
          <w:p w14:paraId="4871AAFC" w14:textId="77777777" w:rsidR="008F75C2" w:rsidRPr="00E90A4D" w:rsidRDefault="008F75C2" w:rsidP="00CA0835">
            <w:pPr>
              <w:spacing w:after="0" w:line="240" w:lineRule="auto"/>
              <w:jc w:val="right"/>
              <w:rPr>
                <w:b/>
                <w:color w:val="000000"/>
                <w:sz w:val="20"/>
                <w:szCs w:val="20"/>
                <w:lang w:eastAsia="sk-SK"/>
              </w:rPr>
            </w:pPr>
            <w:r w:rsidRPr="00E90A4D">
              <w:rPr>
                <w:b/>
                <w:color w:val="000000"/>
                <w:sz w:val="20"/>
                <w:szCs w:val="20"/>
                <w:lang w:eastAsia="sk-SK"/>
              </w:rPr>
              <w:t>925</w:t>
            </w:r>
          </w:p>
        </w:tc>
        <w:tc>
          <w:tcPr>
            <w:tcW w:w="709" w:type="dxa"/>
            <w:tcBorders>
              <w:top w:val="nil"/>
              <w:left w:val="nil"/>
              <w:bottom w:val="nil"/>
              <w:right w:val="nil"/>
            </w:tcBorders>
            <w:shd w:val="clear" w:color="000000" w:fill="FFFFFF"/>
            <w:vAlign w:val="center"/>
            <w:hideMark/>
          </w:tcPr>
          <w:p w14:paraId="4BB95F63" w14:textId="77777777" w:rsidR="008F75C2" w:rsidRPr="00E90A4D" w:rsidRDefault="008F75C2" w:rsidP="00CA0835">
            <w:pPr>
              <w:spacing w:after="0" w:line="240" w:lineRule="auto"/>
              <w:jc w:val="right"/>
              <w:rPr>
                <w:b/>
                <w:color w:val="000000"/>
                <w:sz w:val="20"/>
                <w:szCs w:val="20"/>
                <w:lang w:eastAsia="sk-SK"/>
              </w:rPr>
            </w:pPr>
            <w:r w:rsidRPr="00E90A4D">
              <w:rPr>
                <w:b/>
                <w:color w:val="000000"/>
                <w:sz w:val="20"/>
                <w:szCs w:val="20"/>
                <w:lang w:eastAsia="sk-SK"/>
              </w:rPr>
              <w:t>13,0</w:t>
            </w:r>
          </w:p>
        </w:tc>
      </w:tr>
      <w:tr w:rsidR="008F75C2" w:rsidRPr="00E90A4D" w14:paraId="6D5E506B" w14:textId="77777777" w:rsidTr="00E90A4D">
        <w:trPr>
          <w:trHeight w:val="330"/>
        </w:trPr>
        <w:tc>
          <w:tcPr>
            <w:tcW w:w="3119" w:type="dxa"/>
            <w:tcBorders>
              <w:top w:val="nil"/>
              <w:left w:val="nil"/>
              <w:bottom w:val="nil"/>
              <w:right w:val="nil"/>
            </w:tcBorders>
            <w:shd w:val="clear" w:color="000000" w:fill="FFFFFF"/>
            <w:noWrap/>
            <w:vAlign w:val="center"/>
            <w:hideMark/>
          </w:tcPr>
          <w:p w14:paraId="3FA9889B" w14:textId="77777777" w:rsidR="008F75C2" w:rsidRPr="00E90A4D" w:rsidRDefault="008F75C2" w:rsidP="00CA0835">
            <w:pPr>
              <w:spacing w:after="0" w:line="240" w:lineRule="auto"/>
              <w:jc w:val="left"/>
              <w:rPr>
                <w:b/>
                <w:color w:val="000000"/>
                <w:sz w:val="20"/>
                <w:szCs w:val="20"/>
                <w:lang w:eastAsia="sk-SK"/>
              </w:rPr>
            </w:pPr>
            <w:r w:rsidRPr="00E90A4D">
              <w:rPr>
                <w:b/>
                <w:color w:val="000000"/>
                <w:sz w:val="20"/>
                <w:szCs w:val="20"/>
                <w:lang w:eastAsia="sk-SK"/>
              </w:rPr>
              <w:t>Iné nedaňové príjmy</w:t>
            </w:r>
          </w:p>
        </w:tc>
        <w:tc>
          <w:tcPr>
            <w:tcW w:w="993" w:type="dxa"/>
            <w:tcBorders>
              <w:top w:val="nil"/>
              <w:left w:val="nil"/>
              <w:bottom w:val="nil"/>
              <w:right w:val="nil"/>
            </w:tcBorders>
            <w:shd w:val="clear" w:color="000000" w:fill="FFFFFF"/>
            <w:noWrap/>
            <w:vAlign w:val="center"/>
            <w:hideMark/>
          </w:tcPr>
          <w:p w14:paraId="65EA7088" w14:textId="77777777" w:rsidR="008F75C2" w:rsidRPr="00E90A4D" w:rsidRDefault="008F75C2" w:rsidP="00CA0835">
            <w:pPr>
              <w:spacing w:after="0" w:line="240" w:lineRule="auto"/>
              <w:jc w:val="right"/>
              <w:rPr>
                <w:b/>
                <w:color w:val="000000"/>
                <w:sz w:val="20"/>
                <w:szCs w:val="20"/>
                <w:lang w:eastAsia="sk-SK"/>
              </w:rPr>
            </w:pPr>
            <w:r w:rsidRPr="00E90A4D">
              <w:rPr>
                <w:b/>
                <w:color w:val="000000"/>
                <w:sz w:val="20"/>
                <w:szCs w:val="20"/>
                <w:lang w:eastAsia="sk-SK"/>
              </w:rPr>
              <w:t>360 467</w:t>
            </w:r>
          </w:p>
        </w:tc>
        <w:tc>
          <w:tcPr>
            <w:tcW w:w="1134" w:type="dxa"/>
            <w:tcBorders>
              <w:top w:val="nil"/>
              <w:left w:val="nil"/>
              <w:bottom w:val="nil"/>
              <w:right w:val="nil"/>
            </w:tcBorders>
            <w:shd w:val="clear" w:color="000000" w:fill="FFFFFF"/>
            <w:noWrap/>
            <w:vAlign w:val="center"/>
            <w:hideMark/>
          </w:tcPr>
          <w:p w14:paraId="6DEC0385" w14:textId="77777777" w:rsidR="008F75C2" w:rsidRPr="00E90A4D" w:rsidRDefault="008F75C2" w:rsidP="00CA0835">
            <w:pPr>
              <w:spacing w:after="0" w:line="240" w:lineRule="auto"/>
              <w:jc w:val="right"/>
              <w:rPr>
                <w:b/>
                <w:color w:val="000000"/>
                <w:sz w:val="20"/>
                <w:szCs w:val="20"/>
                <w:lang w:eastAsia="sk-SK"/>
              </w:rPr>
            </w:pPr>
            <w:r w:rsidRPr="00E90A4D">
              <w:rPr>
                <w:b/>
                <w:color w:val="000000"/>
                <w:sz w:val="20"/>
                <w:szCs w:val="20"/>
                <w:lang w:eastAsia="sk-SK"/>
              </w:rPr>
              <w:t>367 176</w:t>
            </w:r>
          </w:p>
        </w:tc>
        <w:tc>
          <w:tcPr>
            <w:tcW w:w="992" w:type="dxa"/>
            <w:tcBorders>
              <w:top w:val="nil"/>
              <w:left w:val="nil"/>
              <w:bottom w:val="nil"/>
              <w:right w:val="nil"/>
            </w:tcBorders>
            <w:shd w:val="clear" w:color="000000" w:fill="FFFFFF"/>
            <w:noWrap/>
            <w:vAlign w:val="center"/>
            <w:hideMark/>
          </w:tcPr>
          <w:p w14:paraId="124FF7A9" w14:textId="77777777" w:rsidR="008F75C2" w:rsidRPr="00E90A4D" w:rsidRDefault="008F75C2" w:rsidP="00CA0835">
            <w:pPr>
              <w:spacing w:after="0" w:line="240" w:lineRule="auto"/>
              <w:jc w:val="right"/>
              <w:rPr>
                <w:b/>
                <w:color w:val="000000"/>
                <w:sz w:val="20"/>
                <w:szCs w:val="20"/>
                <w:lang w:eastAsia="sk-SK"/>
              </w:rPr>
            </w:pPr>
            <w:r w:rsidRPr="00E90A4D">
              <w:rPr>
                <w:b/>
                <w:color w:val="000000"/>
                <w:sz w:val="20"/>
                <w:szCs w:val="20"/>
                <w:lang w:eastAsia="sk-SK"/>
              </w:rPr>
              <w:t>382 551</w:t>
            </w:r>
          </w:p>
        </w:tc>
        <w:tc>
          <w:tcPr>
            <w:tcW w:w="1134" w:type="dxa"/>
            <w:tcBorders>
              <w:top w:val="nil"/>
              <w:left w:val="nil"/>
              <w:bottom w:val="nil"/>
              <w:right w:val="nil"/>
            </w:tcBorders>
            <w:shd w:val="clear" w:color="000000" w:fill="BFBFBF"/>
            <w:noWrap/>
            <w:vAlign w:val="center"/>
            <w:hideMark/>
          </w:tcPr>
          <w:p w14:paraId="20DCC911" w14:textId="77777777" w:rsidR="008F75C2" w:rsidRPr="00E90A4D" w:rsidRDefault="008F75C2" w:rsidP="00CA0835">
            <w:pPr>
              <w:spacing w:after="0" w:line="240" w:lineRule="auto"/>
              <w:jc w:val="right"/>
              <w:rPr>
                <w:b/>
                <w:color w:val="000000"/>
                <w:sz w:val="20"/>
                <w:szCs w:val="20"/>
                <w:lang w:eastAsia="sk-SK"/>
              </w:rPr>
            </w:pPr>
            <w:r w:rsidRPr="00E90A4D">
              <w:rPr>
                <w:b/>
                <w:color w:val="000000"/>
                <w:sz w:val="20"/>
                <w:szCs w:val="20"/>
                <w:lang w:eastAsia="sk-SK"/>
              </w:rPr>
              <w:t>396 163</w:t>
            </w:r>
          </w:p>
        </w:tc>
        <w:tc>
          <w:tcPr>
            <w:tcW w:w="850" w:type="dxa"/>
            <w:tcBorders>
              <w:top w:val="nil"/>
              <w:left w:val="nil"/>
              <w:bottom w:val="nil"/>
              <w:right w:val="nil"/>
            </w:tcBorders>
            <w:shd w:val="clear" w:color="000000" w:fill="FFFFFF"/>
            <w:vAlign w:val="center"/>
            <w:hideMark/>
          </w:tcPr>
          <w:p w14:paraId="511A4D44" w14:textId="77777777" w:rsidR="008F75C2" w:rsidRPr="00E90A4D" w:rsidRDefault="008F75C2" w:rsidP="00CA0835">
            <w:pPr>
              <w:spacing w:after="0" w:line="240" w:lineRule="auto"/>
              <w:jc w:val="right"/>
              <w:rPr>
                <w:b/>
                <w:color w:val="000000"/>
                <w:sz w:val="20"/>
                <w:szCs w:val="20"/>
                <w:lang w:eastAsia="sk-SK"/>
              </w:rPr>
            </w:pPr>
            <w:r w:rsidRPr="00E90A4D">
              <w:rPr>
                <w:b/>
                <w:color w:val="000000"/>
                <w:sz w:val="20"/>
                <w:szCs w:val="20"/>
                <w:lang w:eastAsia="sk-SK"/>
              </w:rPr>
              <w:t>13 612</w:t>
            </w:r>
          </w:p>
        </w:tc>
        <w:tc>
          <w:tcPr>
            <w:tcW w:w="709" w:type="dxa"/>
            <w:tcBorders>
              <w:top w:val="nil"/>
              <w:left w:val="nil"/>
              <w:bottom w:val="nil"/>
              <w:right w:val="nil"/>
            </w:tcBorders>
            <w:shd w:val="clear" w:color="000000" w:fill="FFFFFF"/>
            <w:vAlign w:val="center"/>
            <w:hideMark/>
          </w:tcPr>
          <w:p w14:paraId="79131D77" w14:textId="77777777" w:rsidR="008F75C2" w:rsidRPr="00E90A4D" w:rsidRDefault="008F75C2" w:rsidP="00CA0835">
            <w:pPr>
              <w:spacing w:after="0" w:line="240" w:lineRule="auto"/>
              <w:jc w:val="right"/>
              <w:rPr>
                <w:b/>
                <w:color w:val="000000"/>
                <w:sz w:val="20"/>
                <w:szCs w:val="20"/>
                <w:lang w:eastAsia="sk-SK"/>
              </w:rPr>
            </w:pPr>
            <w:r w:rsidRPr="00E90A4D">
              <w:rPr>
                <w:b/>
                <w:color w:val="000000"/>
                <w:sz w:val="20"/>
                <w:szCs w:val="20"/>
                <w:lang w:eastAsia="sk-SK"/>
              </w:rPr>
              <w:t>3,6</w:t>
            </w:r>
          </w:p>
        </w:tc>
      </w:tr>
      <w:tr w:rsidR="008F75C2" w:rsidRPr="00CA0835" w14:paraId="582362EE" w14:textId="77777777" w:rsidTr="00E90A4D">
        <w:trPr>
          <w:trHeight w:val="330"/>
        </w:trPr>
        <w:tc>
          <w:tcPr>
            <w:tcW w:w="3119" w:type="dxa"/>
            <w:tcBorders>
              <w:top w:val="nil"/>
              <w:left w:val="nil"/>
              <w:bottom w:val="nil"/>
              <w:right w:val="nil"/>
            </w:tcBorders>
            <w:shd w:val="clear" w:color="000000" w:fill="FFFFFF"/>
            <w:noWrap/>
            <w:vAlign w:val="center"/>
            <w:hideMark/>
          </w:tcPr>
          <w:p w14:paraId="16B9C002" w14:textId="77777777" w:rsidR="002A4D0B" w:rsidRDefault="008F75C2" w:rsidP="00CA0835">
            <w:pPr>
              <w:spacing w:after="0" w:line="240" w:lineRule="auto"/>
              <w:jc w:val="left"/>
              <w:rPr>
                <w:color w:val="000000"/>
                <w:sz w:val="20"/>
                <w:szCs w:val="20"/>
                <w:lang w:eastAsia="sk-SK"/>
              </w:rPr>
            </w:pPr>
            <w:r w:rsidRPr="00CA0835">
              <w:rPr>
                <w:color w:val="000000"/>
                <w:sz w:val="20"/>
                <w:szCs w:val="20"/>
                <w:lang w:eastAsia="sk-SK"/>
              </w:rPr>
              <w:t xml:space="preserve">v tom: </w:t>
            </w:r>
          </w:p>
          <w:p w14:paraId="5640122E" w14:textId="17656811" w:rsidR="008F75C2" w:rsidRPr="00CA0835" w:rsidRDefault="002A4D0B" w:rsidP="00CA0835">
            <w:pPr>
              <w:spacing w:after="0" w:line="240" w:lineRule="auto"/>
              <w:jc w:val="left"/>
              <w:rPr>
                <w:color w:val="000000"/>
                <w:sz w:val="20"/>
                <w:szCs w:val="20"/>
                <w:lang w:eastAsia="sk-SK"/>
              </w:rPr>
            </w:pPr>
            <w:r>
              <w:rPr>
                <w:color w:val="000000"/>
                <w:sz w:val="20"/>
                <w:szCs w:val="20"/>
                <w:lang w:eastAsia="sk-SK"/>
              </w:rPr>
              <w:t xml:space="preserve">    </w:t>
            </w:r>
            <w:r w:rsidR="008F75C2" w:rsidRPr="00CA0835">
              <w:rPr>
                <w:color w:val="000000"/>
                <w:sz w:val="20"/>
                <w:szCs w:val="20"/>
                <w:lang w:eastAsia="sk-SK"/>
              </w:rPr>
              <w:t>odvod z hazardných hier</w:t>
            </w:r>
          </w:p>
        </w:tc>
        <w:tc>
          <w:tcPr>
            <w:tcW w:w="993" w:type="dxa"/>
            <w:tcBorders>
              <w:top w:val="nil"/>
              <w:left w:val="nil"/>
              <w:bottom w:val="nil"/>
              <w:right w:val="nil"/>
            </w:tcBorders>
            <w:shd w:val="clear" w:color="000000" w:fill="FFFFFF"/>
            <w:noWrap/>
            <w:vAlign w:val="center"/>
            <w:hideMark/>
          </w:tcPr>
          <w:p w14:paraId="73064B8B" w14:textId="77777777" w:rsidR="008F75C2" w:rsidRPr="00CA0835" w:rsidRDefault="008F75C2" w:rsidP="00CA0835">
            <w:pPr>
              <w:spacing w:after="0" w:line="240" w:lineRule="auto"/>
              <w:jc w:val="right"/>
              <w:rPr>
                <w:color w:val="000000"/>
                <w:sz w:val="20"/>
                <w:szCs w:val="20"/>
                <w:lang w:eastAsia="sk-SK"/>
              </w:rPr>
            </w:pPr>
            <w:r w:rsidRPr="00CA0835">
              <w:rPr>
                <w:color w:val="000000"/>
                <w:sz w:val="20"/>
                <w:szCs w:val="20"/>
                <w:lang w:eastAsia="sk-SK"/>
              </w:rPr>
              <w:t>186 616</w:t>
            </w:r>
          </w:p>
        </w:tc>
        <w:tc>
          <w:tcPr>
            <w:tcW w:w="1134" w:type="dxa"/>
            <w:tcBorders>
              <w:top w:val="nil"/>
              <w:left w:val="nil"/>
              <w:bottom w:val="nil"/>
              <w:right w:val="nil"/>
            </w:tcBorders>
            <w:shd w:val="clear" w:color="000000" w:fill="FFFFFF"/>
            <w:noWrap/>
            <w:vAlign w:val="center"/>
            <w:hideMark/>
          </w:tcPr>
          <w:p w14:paraId="538D15B8" w14:textId="77777777" w:rsidR="008F75C2" w:rsidRPr="00CA0835" w:rsidRDefault="008F75C2" w:rsidP="00CA0835">
            <w:pPr>
              <w:spacing w:after="0" w:line="240" w:lineRule="auto"/>
              <w:jc w:val="right"/>
              <w:rPr>
                <w:color w:val="000000"/>
                <w:sz w:val="20"/>
                <w:szCs w:val="20"/>
                <w:lang w:eastAsia="sk-SK"/>
              </w:rPr>
            </w:pPr>
            <w:r w:rsidRPr="00CA0835">
              <w:rPr>
                <w:color w:val="000000"/>
                <w:sz w:val="20"/>
                <w:szCs w:val="20"/>
                <w:lang w:eastAsia="sk-SK"/>
              </w:rPr>
              <w:t>208 178</w:t>
            </w:r>
          </w:p>
        </w:tc>
        <w:tc>
          <w:tcPr>
            <w:tcW w:w="992" w:type="dxa"/>
            <w:tcBorders>
              <w:top w:val="nil"/>
              <w:left w:val="nil"/>
              <w:bottom w:val="nil"/>
              <w:right w:val="nil"/>
            </w:tcBorders>
            <w:shd w:val="clear" w:color="000000" w:fill="FFFFFF"/>
            <w:noWrap/>
            <w:vAlign w:val="center"/>
            <w:hideMark/>
          </w:tcPr>
          <w:p w14:paraId="6687285B" w14:textId="77777777" w:rsidR="008F75C2" w:rsidRPr="00CA0835" w:rsidRDefault="008F75C2" w:rsidP="00CA0835">
            <w:pPr>
              <w:spacing w:after="0" w:line="240" w:lineRule="auto"/>
              <w:jc w:val="right"/>
              <w:rPr>
                <w:color w:val="000000"/>
                <w:sz w:val="20"/>
                <w:szCs w:val="20"/>
                <w:lang w:eastAsia="sk-SK"/>
              </w:rPr>
            </w:pPr>
            <w:r w:rsidRPr="00CA0835">
              <w:rPr>
                <w:color w:val="000000"/>
                <w:sz w:val="20"/>
                <w:szCs w:val="20"/>
                <w:lang w:eastAsia="sk-SK"/>
              </w:rPr>
              <w:t>265 000</w:t>
            </w:r>
          </w:p>
        </w:tc>
        <w:tc>
          <w:tcPr>
            <w:tcW w:w="1134" w:type="dxa"/>
            <w:tcBorders>
              <w:top w:val="nil"/>
              <w:left w:val="nil"/>
              <w:bottom w:val="nil"/>
              <w:right w:val="nil"/>
            </w:tcBorders>
            <w:shd w:val="clear" w:color="000000" w:fill="BFBFBF"/>
            <w:noWrap/>
            <w:vAlign w:val="center"/>
            <w:hideMark/>
          </w:tcPr>
          <w:p w14:paraId="6A241634" w14:textId="77777777" w:rsidR="008F75C2" w:rsidRPr="00CA0835" w:rsidRDefault="008F75C2" w:rsidP="00CA0835">
            <w:pPr>
              <w:spacing w:after="0" w:line="240" w:lineRule="auto"/>
              <w:jc w:val="right"/>
              <w:rPr>
                <w:color w:val="000000"/>
                <w:sz w:val="20"/>
                <w:szCs w:val="20"/>
                <w:lang w:eastAsia="sk-SK"/>
              </w:rPr>
            </w:pPr>
            <w:r w:rsidRPr="00CA0835">
              <w:rPr>
                <w:color w:val="000000"/>
                <w:sz w:val="20"/>
                <w:szCs w:val="20"/>
                <w:lang w:eastAsia="sk-SK"/>
              </w:rPr>
              <w:t>224 374</w:t>
            </w:r>
          </w:p>
        </w:tc>
        <w:tc>
          <w:tcPr>
            <w:tcW w:w="850" w:type="dxa"/>
            <w:tcBorders>
              <w:top w:val="nil"/>
              <w:left w:val="nil"/>
              <w:bottom w:val="nil"/>
              <w:right w:val="nil"/>
            </w:tcBorders>
            <w:shd w:val="clear" w:color="000000" w:fill="FFFFFF"/>
            <w:vAlign w:val="center"/>
            <w:hideMark/>
          </w:tcPr>
          <w:p w14:paraId="0574BF5B" w14:textId="77777777" w:rsidR="008F75C2" w:rsidRPr="00CA0835" w:rsidRDefault="008F75C2" w:rsidP="00CA0835">
            <w:pPr>
              <w:spacing w:after="0" w:line="240" w:lineRule="auto"/>
              <w:jc w:val="right"/>
              <w:rPr>
                <w:color w:val="000000"/>
                <w:sz w:val="20"/>
                <w:szCs w:val="20"/>
                <w:lang w:eastAsia="sk-SK"/>
              </w:rPr>
            </w:pPr>
            <w:r w:rsidRPr="00CA0835">
              <w:rPr>
                <w:color w:val="000000"/>
                <w:sz w:val="20"/>
                <w:szCs w:val="20"/>
                <w:lang w:eastAsia="sk-SK"/>
              </w:rPr>
              <w:t>-40 626</w:t>
            </w:r>
          </w:p>
        </w:tc>
        <w:tc>
          <w:tcPr>
            <w:tcW w:w="709" w:type="dxa"/>
            <w:tcBorders>
              <w:top w:val="nil"/>
              <w:left w:val="nil"/>
              <w:bottom w:val="nil"/>
              <w:right w:val="nil"/>
            </w:tcBorders>
            <w:shd w:val="clear" w:color="000000" w:fill="FFFFFF"/>
            <w:vAlign w:val="center"/>
            <w:hideMark/>
          </w:tcPr>
          <w:p w14:paraId="6ADDC033" w14:textId="77777777" w:rsidR="008F75C2" w:rsidRPr="00CA0835" w:rsidRDefault="008F75C2" w:rsidP="00CA0835">
            <w:pPr>
              <w:spacing w:after="0" w:line="240" w:lineRule="auto"/>
              <w:jc w:val="right"/>
              <w:rPr>
                <w:color w:val="000000"/>
                <w:sz w:val="20"/>
                <w:szCs w:val="20"/>
                <w:lang w:eastAsia="sk-SK"/>
              </w:rPr>
            </w:pPr>
            <w:r w:rsidRPr="00CA0835">
              <w:rPr>
                <w:color w:val="000000"/>
                <w:sz w:val="20"/>
                <w:szCs w:val="20"/>
                <w:lang w:eastAsia="sk-SK"/>
              </w:rPr>
              <w:t>-15,3</w:t>
            </w:r>
          </w:p>
        </w:tc>
      </w:tr>
      <w:tr w:rsidR="008F75C2" w:rsidRPr="00CA0835" w14:paraId="65A807CE" w14:textId="77777777" w:rsidTr="00E90A4D">
        <w:trPr>
          <w:trHeight w:val="330"/>
        </w:trPr>
        <w:tc>
          <w:tcPr>
            <w:tcW w:w="3119" w:type="dxa"/>
            <w:tcBorders>
              <w:top w:val="nil"/>
              <w:left w:val="nil"/>
              <w:bottom w:val="nil"/>
              <w:right w:val="nil"/>
            </w:tcBorders>
            <w:shd w:val="clear" w:color="000000" w:fill="FFFFFF"/>
            <w:noWrap/>
            <w:vAlign w:val="center"/>
            <w:hideMark/>
          </w:tcPr>
          <w:p w14:paraId="60972EC8" w14:textId="5DE00525" w:rsidR="008F75C2" w:rsidRPr="00CA0835" w:rsidRDefault="008F75C2" w:rsidP="002A4D0B">
            <w:pPr>
              <w:spacing w:after="0" w:line="240" w:lineRule="auto"/>
              <w:jc w:val="left"/>
              <w:rPr>
                <w:color w:val="000000"/>
                <w:sz w:val="20"/>
                <w:szCs w:val="20"/>
                <w:lang w:eastAsia="sk-SK"/>
              </w:rPr>
            </w:pPr>
            <w:r w:rsidRPr="00CA0835">
              <w:rPr>
                <w:color w:val="000000"/>
                <w:sz w:val="20"/>
                <w:szCs w:val="20"/>
                <w:lang w:eastAsia="sk-SK"/>
              </w:rPr>
              <w:t xml:space="preserve">    ostatné príjmy - iné</w:t>
            </w:r>
          </w:p>
        </w:tc>
        <w:tc>
          <w:tcPr>
            <w:tcW w:w="993" w:type="dxa"/>
            <w:tcBorders>
              <w:top w:val="nil"/>
              <w:left w:val="nil"/>
              <w:bottom w:val="nil"/>
              <w:right w:val="nil"/>
            </w:tcBorders>
            <w:shd w:val="clear" w:color="000000" w:fill="FFFFFF"/>
            <w:noWrap/>
            <w:vAlign w:val="center"/>
            <w:hideMark/>
          </w:tcPr>
          <w:p w14:paraId="22EAA532" w14:textId="77777777" w:rsidR="008F75C2" w:rsidRPr="00CA0835" w:rsidRDefault="008F75C2" w:rsidP="00CA0835">
            <w:pPr>
              <w:spacing w:after="0" w:line="240" w:lineRule="auto"/>
              <w:jc w:val="right"/>
              <w:rPr>
                <w:color w:val="000000"/>
                <w:sz w:val="20"/>
                <w:szCs w:val="20"/>
                <w:lang w:eastAsia="sk-SK"/>
              </w:rPr>
            </w:pPr>
            <w:r w:rsidRPr="00CA0835">
              <w:rPr>
                <w:color w:val="000000"/>
                <w:sz w:val="20"/>
                <w:szCs w:val="20"/>
                <w:lang w:eastAsia="sk-SK"/>
              </w:rPr>
              <w:t>103 382</w:t>
            </w:r>
          </w:p>
        </w:tc>
        <w:tc>
          <w:tcPr>
            <w:tcW w:w="1134" w:type="dxa"/>
            <w:tcBorders>
              <w:top w:val="nil"/>
              <w:left w:val="nil"/>
              <w:bottom w:val="nil"/>
              <w:right w:val="nil"/>
            </w:tcBorders>
            <w:shd w:val="clear" w:color="000000" w:fill="FFFFFF"/>
            <w:noWrap/>
            <w:vAlign w:val="center"/>
            <w:hideMark/>
          </w:tcPr>
          <w:p w14:paraId="1ED03047" w14:textId="77777777" w:rsidR="008F75C2" w:rsidRPr="00CA0835" w:rsidRDefault="008F75C2" w:rsidP="00CA0835">
            <w:pPr>
              <w:spacing w:after="0" w:line="240" w:lineRule="auto"/>
              <w:jc w:val="right"/>
              <w:rPr>
                <w:color w:val="000000"/>
                <w:sz w:val="20"/>
                <w:szCs w:val="20"/>
                <w:lang w:eastAsia="sk-SK"/>
              </w:rPr>
            </w:pPr>
            <w:r w:rsidRPr="00CA0835">
              <w:rPr>
                <w:color w:val="000000"/>
                <w:sz w:val="20"/>
                <w:szCs w:val="20"/>
                <w:lang w:eastAsia="sk-SK"/>
              </w:rPr>
              <w:t>97 938</w:t>
            </w:r>
          </w:p>
        </w:tc>
        <w:tc>
          <w:tcPr>
            <w:tcW w:w="992" w:type="dxa"/>
            <w:tcBorders>
              <w:top w:val="nil"/>
              <w:left w:val="nil"/>
              <w:bottom w:val="nil"/>
              <w:right w:val="nil"/>
            </w:tcBorders>
            <w:shd w:val="clear" w:color="000000" w:fill="FFFFFF"/>
            <w:noWrap/>
            <w:vAlign w:val="center"/>
            <w:hideMark/>
          </w:tcPr>
          <w:p w14:paraId="33D8E7B7" w14:textId="77777777" w:rsidR="008F75C2" w:rsidRPr="00CA0835" w:rsidRDefault="008F75C2" w:rsidP="00CA0835">
            <w:pPr>
              <w:spacing w:after="0" w:line="240" w:lineRule="auto"/>
              <w:jc w:val="right"/>
              <w:rPr>
                <w:color w:val="000000"/>
                <w:sz w:val="20"/>
                <w:szCs w:val="20"/>
                <w:lang w:eastAsia="sk-SK"/>
              </w:rPr>
            </w:pPr>
            <w:r w:rsidRPr="00CA0835">
              <w:rPr>
                <w:color w:val="000000"/>
                <w:sz w:val="20"/>
                <w:szCs w:val="20"/>
                <w:lang w:eastAsia="sk-SK"/>
              </w:rPr>
              <w:t>88 700</w:t>
            </w:r>
          </w:p>
        </w:tc>
        <w:tc>
          <w:tcPr>
            <w:tcW w:w="1134" w:type="dxa"/>
            <w:tcBorders>
              <w:top w:val="nil"/>
              <w:left w:val="nil"/>
              <w:bottom w:val="nil"/>
              <w:right w:val="nil"/>
            </w:tcBorders>
            <w:shd w:val="clear" w:color="000000" w:fill="BFBFBF"/>
            <w:noWrap/>
            <w:vAlign w:val="center"/>
            <w:hideMark/>
          </w:tcPr>
          <w:p w14:paraId="233E1BBE" w14:textId="77777777" w:rsidR="008F75C2" w:rsidRPr="00CA0835" w:rsidRDefault="008F75C2" w:rsidP="00CA0835">
            <w:pPr>
              <w:spacing w:after="0" w:line="240" w:lineRule="auto"/>
              <w:jc w:val="right"/>
              <w:rPr>
                <w:color w:val="000000"/>
                <w:sz w:val="20"/>
                <w:szCs w:val="20"/>
                <w:lang w:eastAsia="sk-SK"/>
              </w:rPr>
            </w:pPr>
            <w:r w:rsidRPr="00CA0835">
              <w:rPr>
                <w:color w:val="000000"/>
                <w:sz w:val="20"/>
                <w:szCs w:val="20"/>
                <w:lang w:eastAsia="sk-SK"/>
              </w:rPr>
              <w:t>96 002</w:t>
            </w:r>
          </w:p>
        </w:tc>
        <w:tc>
          <w:tcPr>
            <w:tcW w:w="850" w:type="dxa"/>
            <w:tcBorders>
              <w:top w:val="nil"/>
              <w:left w:val="nil"/>
              <w:bottom w:val="nil"/>
              <w:right w:val="nil"/>
            </w:tcBorders>
            <w:shd w:val="clear" w:color="000000" w:fill="FFFFFF"/>
            <w:vAlign w:val="center"/>
            <w:hideMark/>
          </w:tcPr>
          <w:p w14:paraId="20BB0DB6" w14:textId="77777777" w:rsidR="008F75C2" w:rsidRPr="00CA0835" w:rsidRDefault="008F75C2" w:rsidP="00CA0835">
            <w:pPr>
              <w:spacing w:after="0" w:line="240" w:lineRule="auto"/>
              <w:jc w:val="right"/>
              <w:rPr>
                <w:color w:val="000000"/>
                <w:sz w:val="20"/>
                <w:szCs w:val="20"/>
                <w:lang w:eastAsia="sk-SK"/>
              </w:rPr>
            </w:pPr>
            <w:r w:rsidRPr="00CA0835">
              <w:rPr>
                <w:color w:val="000000"/>
                <w:sz w:val="20"/>
                <w:szCs w:val="20"/>
                <w:lang w:eastAsia="sk-SK"/>
              </w:rPr>
              <w:t>7 302</w:t>
            </w:r>
          </w:p>
        </w:tc>
        <w:tc>
          <w:tcPr>
            <w:tcW w:w="709" w:type="dxa"/>
            <w:tcBorders>
              <w:top w:val="nil"/>
              <w:left w:val="nil"/>
              <w:bottom w:val="nil"/>
              <w:right w:val="nil"/>
            </w:tcBorders>
            <w:shd w:val="clear" w:color="000000" w:fill="FFFFFF"/>
            <w:vAlign w:val="center"/>
            <w:hideMark/>
          </w:tcPr>
          <w:p w14:paraId="4309AFBF" w14:textId="77777777" w:rsidR="008F75C2" w:rsidRPr="00CA0835" w:rsidRDefault="008F75C2" w:rsidP="00CA0835">
            <w:pPr>
              <w:spacing w:after="0" w:line="240" w:lineRule="auto"/>
              <w:jc w:val="right"/>
              <w:rPr>
                <w:color w:val="000000"/>
                <w:sz w:val="20"/>
                <w:szCs w:val="20"/>
                <w:lang w:eastAsia="sk-SK"/>
              </w:rPr>
            </w:pPr>
            <w:r w:rsidRPr="00CA0835">
              <w:rPr>
                <w:color w:val="000000"/>
                <w:sz w:val="20"/>
                <w:szCs w:val="20"/>
                <w:lang w:eastAsia="sk-SK"/>
              </w:rPr>
              <w:t>8,2</w:t>
            </w:r>
          </w:p>
        </w:tc>
      </w:tr>
      <w:tr w:rsidR="008F75C2" w:rsidRPr="00997541" w14:paraId="6098F4A4" w14:textId="77777777" w:rsidTr="00E90A4D">
        <w:trPr>
          <w:trHeight w:val="345"/>
        </w:trPr>
        <w:tc>
          <w:tcPr>
            <w:tcW w:w="3119" w:type="dxa"/>
            <w:tcBorders>
              <w:top w:val="single" w:sz="4" w:space="0" w:color="auto"/>
              <w:left w:val="nil"/>
              <w:bottom w:val="single" w:sz="8" w:space="0" w:color="auto"/>
              <w:right w:val="nil"/>
            </w:tcBorders>
            <w:shd w:val="clear" w:color="000000" w:fill="FFFFFF"/>
            <w:noWrap/>
            <w:vAlign w:val="center"/>
            <w:hideMark/>
          </w:tcPr>
          <w:p w14:paraId="7A40465F" w14:textId="77777777" w:rsidR="008F75C2" w:rsidRPr="00CA0835" w:rsidRDefault="008F75C2" w:rsidP="00CA0835">
            <w:pPr>
              <w:spacing w:after="0" w:line="240" w:lineRule="auto"/>
              <w:contextualSpacing/>
              <w:jc w:val="left"/>
              <w:rPr>
                <w:b/>
                <w:bCs/>
                <w:color w:val="000000"/>
                <w:sz w:val="20"/>
                <w:szCs w:val="20"/>
                <w:lang w:eastAsia="sk-SK"/>
              </w:rPr>
            </w:pPr>
            <w:r w:rsidRPr="00CA0835">
              <w:rPr>
                <w:b/>
                <w:bCs/>
                <w:color w:val="000000"/>
                <w:sz w:val="20"/>
                <w:szCs w:val="20"/>
                <w:lang w:eastAsia="sk-SK"/>
              </w:rPr>
              <w:t>Spolu</w:t>
            </w:r>
          </w:p>
        </w:tc>
        <w:tc>
          <w:tcPr>
            <w:tcW w:w="993" w:type="dxa"/>
            <w:tcBorders>
              <w:top w:val="single" w:sz="4" w:space="0" w:color="auto"/>
              <w:left w:val="nil"/>
              <w:bottom w:val="single" w:sz="8" w:space="0" w:color="auto"/>
              <w:right w:val="nil"/>
            </w:tcBorders>
            <w:shd w:val="clear" w:color="000000" w:fill="FFFFFF"/>
            <w:noWrap/>
            <w:vAlign w:val="center"/>
            <w:hideMark/>
          </w:tcPr>
          <w:p w14:paraId="0ED890DE" w14:textId="77777777" w:rsidR="008F75C2" w:rsidRPr="00CA0835" w:rsidRDefault="008F75C2" w:rsidP="00CA0835">
            <w:pPr>
              <w:spacing w:after="0" w:line="240" w:lineRule="auto"/>
              <w:contextualSpacing/>
              <w:jc w:val="right"/>
              <w:rPr>
                <w:b/>
                <w:bCs/>
                <w:color w:val="000000"/>
                <w:sz w:val="20"/>
                <w:szCs w:val="20"/>
                <w:lang w:eastAsia="sk-SK"/>
              </w:rPr>
            </w:pPr>
            <w:r w:rsidRPr="00CA0835">
              <w:rPr>
                <w:b/>
                <w:bCs/>
                <w:color w:val="000000"/>
                <w:sz w:val="20"/>
                <w:szCs w:val="20"/>
                <w:lang w:eastAsia="sk-SK"/>
              </w:rPr>
              <w:t>1 222 973</w:t>
            </w:r>
          </w:p>
        </w:tc>
        <w:tc>
          <w:tcPr>
            <w:tcW w:w="1134" w:type="dxa"/>
            <w:tcBorders>
              <w:top w:val="single" w:sz="4" w:space="0" w:color="auto"/>
              <w:left w:val="nil"/>
              <w:bottom w:val="single" w:sz="8" w:space="0" w:color="auto"/>
              <w:right w:val="nil"/>
            </w:tcBorders>
            <w:shd w:val="clear" w:color="000000" w:fill="FFFFFF"/>
            <w:noWrap/>
            <w:vAlign w:val="center"/>
            <w:hideMark/>
          </w:tcPr>
          <w:p w14:paraId="253A4CEC" w14:textId="77777777" w:rsidR="008F75C2" w:rsidRPr="00CA0835" w:rsidRDefault="008F75C2" w:rsidP="00CA0835">
            <w:pPr>
              <w:spacing w:after="0" w:line="240" w:lineRule="auto"/>
              <w:contextualSpacing/>
              <w:jc w:val="right"/>
              <w:rPr>
                <w:b/>
                <w:bCs/>
                <w:color w:val="000000"/>
                <w:sz w:val="20"/>
                <w:szCs w:val="20"/>
                <w:lang w:eastAsia="sk-SK"/>
              </w:rPr>
            </w:pPr>
            <w:r w:rsidRPr="00CA0835">
              <w:rPr>
                <w:b/>
                <w:bCs/>
                <w:color w:val="000000"/>
                <w:sz w:val="20"/>
                <w:szCs w:val="20"/>
                <w:lang w:eastAsia="sk-SK"/>
              </w:rPr>
              <w:t>1 385 457</w:t>
            </w:r>
          </w:p>
        </w:tc>
        <w:tc>
          <w:tcPr>
            <w:tcW w:w="992" w:type="dxa"/>
            <w:tcBorders>
              <w:top w:val="single" w:sz="4" w:space="0" w:color="auto"/>
              <w:left w:val="nil"/>
              <w:bottom w:val="single" w:sz="8" w:space="0" w:color="auto"/>
              <w:right w:val="nil"/>
            </w:tcBorders>
            <w:shd w:val="clear" w:color="000000" w:fill="FFFFFF"/>
            <w:noWrap/>
            <w:vAlign w:val="center"/>
            <w:hideMark/>
          </w:tcPr>
          <w:p w14:paraId="48A5BD05" w14:textId="77777777" w:rsidR="008F75C2" w:rsidRPr="00CA0835" w:rsidRDefault="008F75C2" w:rsidP="00CA0835">
            <w:pPr>
              <w:spacing w:after="0" w:line="240" w:lineRule="auto"/>
              <w:contextualSpacing/>
              <w:jc w:val="right"/>
              <w:rPr>
                <w:b/>
                <w:bCs/>
                <w:color w:val="000000"/>
                <w:sz w:val="20"/>
                <w:szCs w:val="20"/>
                <w:lang w:eastAsia="sk-SK"/>
              </w:rPr>
            </w:pPr>
            <w:r w:rsidRPr="00CA0835">
              <w:rPr>
                <w:b/>
                <w:bCs/>
                <w:color w:val="000000"/>
                <w:sz w:val="20"/>
                <w:szCs w:val="20"/>
                <w:lang w:eastAsia="sk-SK"/>
              </w:rPr>
              <w:t>1 208 819</w:t>
            </w:r>
          </w:p>
        </w:tc>
        <w:tc>
          <w:tcPr>
            <w:tcW w:w="1134" w:type="dxa"/>
            <w:tcBorders>
              <w:top w:val="single" w:sz="4" w:space="0" w:color="auto"/>
              <w:left w:val="nil"/>
              <w:bottom w:val="single" w:sz="8" w:space="0" w:color="auto"/>
              <w:right w:val="nil"/>
            </w:tcBorders>
            <w:shd w:val="clear" w:color="000000" w:fill="BFBFBF"/>
            <w:noWrap/>
            <w:vAlign w:val="center"/>
            <w:hideMark/>
          </w:tcPr>
          <w:p w14:paraId="19514701" w14:textId="77777777" w:rsidR="008F75C2" w:rsidRPr="00CA0835" w:rsidRDefault="008F75C2" w:rsidP="00CA0835">
            <w:pPr>
              <w:spacing w:after="0" w:line="240" w:lineRule="auto"/>
              <w:contextualSpacing/>
              <w:jc w:val="right"/>
              <w:rPr>
                <w:b/>
                <w:bCs/>
                <w:color w:val="000000"/>
                <w:sz w:val="20"/>
                <w:szCs w:val="20"/>
                <w:lang w:eastAsia="sk-SK"/>
              </w:rPr>
            </w:pPr>
            <w:r w:rsidRPr="00CA0835">
              <w:rPr>
                <w:b/>
                <w:bCs/>
                <w:color w:val="000000"/>
                <w:sz w:val="20"/>
                <w:szCs w:val="20"/>
                <w:lang w:eastAsia="sk-SK"/>
              </w:rPr>
              <w:t>1 211 597</w:t>
            </w:r>
          </w:p>
        </w:tc>
        <w:tc>
          <w:tcPr>
            <w:tcW w:w="850" w:type="dxa"/>
            <w:tcBorders>
              <w:top w:val="single" w:sz="4" w:space="0" w:color="auto"/>
              <w:left w:val="nil"/>
              <w:bottom w:val="single" w:sz="8" w:space="0" w:color="auto"/>
              <w:right w:val="nil"/>
            </w:tcBorders>
            <w:shd w:val="clear" w:color="000000" w:fill="FFFFFF"/>
            <w:noWrap/>
            <w:vAlign w:val="center"/>
            <w:hideMark/>
          </w:tcPr>
          <w:p w14:paraId="5E1DB133" w14:textId="77777777" w:rsidR="008F75C2" w:rsidRPr="00CA0835" w:rsidRDefault="008F75C2" w:rsidP="00CA0835">
            <w:pPr>
              <w:spacing w:after="0" w:line="240" w:lineRule="auto"/>
              <w:contextualSpacing/>
              <w:jc w:val="right"/>
              <w:rPr>
                <w:b/>
                <w:bCs/>
                <w:color w:val="000000"/>
                <w:sz w:val="20"/>
                <w:szCs w:val="20"/>
                <w:lang w:eastAsia="sk-SK"/>
              </w:rPr>
            </w:pPr>
            <w:r w:rsidRPr="00CA0835">
              <w:rPr>
                <w:b/>
                <w:bCs/>
                <w:color w:val="000000"/>
                <w:sz w:val="20"/>
                <w:szCs w:val="20"/>
                <w:lang w:eastAsia="sk-SK"/>
              </w:rPr>
              <w:t>2 778</w:t>
            </w:r>
          </w:p>
        </w:tc>
        <w:tc>
          <w:tcPr>
            <w:tcW w:w="709" w:type="dxa"/>
            <w:tcBorders>
              <w:top w:val="single" w:sz="4" w:space="0" w:color="auto"/>
              <w:left w:val="nil"/>
              <w:bottom w:val="single" w:sz="8" w:space="0" w:color="auto"/>
              <w:right w:val="nil"/>
            </w:tcBorders>
            <w:shd w:val="clear" w:color="000000" w:fill="FFFFFF"/>
            <w:noWrap/>
            <w:vAlign w:val="center"/>
            <w:hideMark/>
          </w:tcPr>
          <w:p w14:paraId="3423E871" w14:textId="77777777" w:rsidR="008F75C2" w:rsidRPr="00CA0835" w:rsidRDefault="008F75C2" w:rsidP="00CA0835">
            <w:pPr>
              <w:spacing w:after="0" w:line="240" w:lineRule="auto"/>
              <w:contextualSpacing/>
              <w:jc w:val="right"/>
              <w:rPr>
                <w:b/>
                <w:bCs/>
                <w:color w:val="000000"/>
                <w:sz w:val="20"/>
                <w:szCs w:val="20"/>
                <w:lang w:eastAsia="sk-SK"/>
              </w:rPr>
            </w:pPr>
            <w:r w:rsidRPr="00CA0835">
              <w:rPr>
                <w:b/>
                <w:bCs/>
                <w:color w:val="000000"/>
                <w:sz w:val="20"/>
                <w:szCs w:val="20"/>
                <w:lang w:eastAsia="sk-SK"/>
              </w:rPr>
              <w:t>0,2</w:t>
            </w:r>
          </w:p>
        </w:tc>
      </w:tr>
    </w:tbl>
    <w:p w14:paraId="66EE1D41" w14:textId="77777777" w:rsidR="008F75C2" w:rsidRPr="0091654F" w:rsidRDefault="008F75C2" w:rsidP="00CA0835">
      <w:pPr>
        <w:jc w:val="right"/>
        <w:rPr>
          <w:color w:val="000000" w:themeColor="text1"/>
        </w:rPr>
      </w:pPr>
      <w:r w:rsidRPr="00805621">
        <w:rPr>
          <w:color w:val="000000" w:themeColor="text1"/>
          <w:sz w:val="18"/>
          <w:szCs w:val="18"/>
        </w:rPr>
        <w:t>Zdroj: MF SR</w:t>
      </w:r>
    </w:p>
    <w:p w14:paraId="2E8AD469" w14:textId="77777777" w:rsidR="00450ECA" w:rsidRDefault="008F75C2" w:rsidP="00450ECA">
      <w:pPr>
        <w:tabs>
          <w:tab w:val="left" w:pos="284"/>
        </w:tabs>
        <w:suppressAutoHyphens/>
        <w:spacing w:before="120"/>
        <w:rPr>
          <w:rFonts w:eastAsia="Calibri"/>
        </w:rPr>
      </w:pPr>
      <w:r w:rsidRPr="008051FB">
        <w:rPr>
          <w:rFonts w:eastAsia="Calibri"/>
          <w:b/>
          <w:color w:val="000000" w:themeColor="text1"/>
        </w:rPr>
        <w:t>Príjmy z podnikania a z vlastníctva majetku</w:t>
      </w:r>
      <w:r w:rsidRPr="008051FB">
        <w:rPr>
          <w:rFonts w:eastAsia="Calibri"/>
          <w:color w:val="000000" w:themeColor="text1"/>
        </w:rPr>
        <w:t xml:space="preserve"> </w:t>
      </w:r>
      <w:r w:rsidRPr="009627A9">
        <w:rPr>
          <w:rFonts w:eastAsia="Calibri"/>
        </w:rPr>
        <w:t xml:space="preserve">sú svojou výškou najdôležitejšou časťou nedaňových príjmov. </w:t>
      </w:r>
      <w:r w:rsidRPr="003F7A09">
        <w:rPr>
          <w:rFonts w:eastAsia="Calibri"/>
        </w:rPr>
        <w:t>Z tejto sumy najpodstatnejšiu časť tvor</w:t>
      </w:r>
      <w:r w:rsidR="002A452D">
        <w:rPr>
          <w:rFonts w:eastAsia="Calibri"/>
        </w:rPr>
        <w:t>ia</w:t>
      </w:r>
      <w:r w:rsidRPr="003F7A09">
        <w:rPr>
          <w:rFonts w:eastAsia="Calibri"/>
        </w:rPr>
        <w:t xml:space="preserve"> </w:t>
      </w:r>
      <w:r w:rsidRPr="00450ECA">
        <w:rPr>
          <w:rFonts w:eastAsia="Calibri"/>
          <w:b/>
          <w:i/>
        </w:rPr>
        <w:t>prijaté dividendy</w:t>
      </w:r>
      <w:r w:rsidRPr="003F7A09">
        <w:rPr>
          <w:rFonts w:eastAsia="Calibri"/>
          <w:b/>
        </w:rPr>
        <w:t xml:space="preserve"> </w:t>
      </w:r>
      <w:r w:rsidRPr="003F7A09">
        <w:rPr>
          <w:rFonts w:eastAsia="Calibri"/>
        </w:rPr>
        <w:t xml:space="preserve">z obchodných spoločností štátu (rozdelené </w:t>
      </w:r>
      <w:r w:rsidR="002A452D">
        <w:rPr>
          <w:rFonts w:eastAsia="Calibri"/>
        </w:rPr>
        <w:t xml:space="preserve">z výsledkov hospodárenia </w:t>
      </w:r>
      <w:r w:rsidRPr="003F7A09">
        <w:rPr>
          <w:rFonts w:eastAsia="Calibri"/>
        </w:rPr>
        <w:t>prechádzajúc</w:t>
      </w:r>
      <w:r w:rsidR="002A452D">
        <w:rPr>
          <w:rFonts w:eastAsia="Calibri"/>
        </w:rPr>
        <w:t>ich</w:t>
      </w:r>
      <w:r w:rsidRPr="003F7A09">
        <w:rPr>
          <w:rFonts w:eastAsia="Calibri"/>
        </w:rPr>
        <w:t xml:space="preserve"> obdob</w:t>
      </w:r>
      <w:r w:rsidR="002A452D">
        <w:rPr>
          <w:rFonts w:eastAsia="Calibri"/>
        </w:rPr>
        <w:t>í</w:t>
      </w:r>
      <w:r w:rsidRPr="003F7A09">
        <w:rPr>
          <w:rFonts w:eastAsia="Calibri"/>
        </w:rPr>
        <w:t xml:space="preserve">) v objeme 438 596 tis. eur, ktoré vyinkasovali vybrané kapitoly štátneho rozpočtu </w:t>
      </w:r>
      <w:r w:rsidR="002A452D">
        <w:rPr>
          <w:rFonts w:eastAsia="Calibri"/>
        </w:rPr>
        <w:t xml:space="preserve">reálne </w:t>
      </w:r>
      <w:r w:rsidRPr="003F7A09">
        <w:rPr>
          <w:rFonts w:eastAsia="Calibri"/>
        </w:rPr>
        <w:t>v roku 201</w:t>
      </w:r>
      <w:r>
        <w:rPr>
          <w:rFonts w:eastAsia="Calibri"/>
        </w:rPr>
        <w:t>8</w:t>
      </w:r>
      <w:r w:rsidR="00450ECA">
        <w:rPr>
          <w:rFonts w:eastAsia="Calibri"/>
        </w:rPr>
        <w:t>.</w:t>
      </w:r>
    </w:p>
    <w:p w14:paraId="246EA338" w14:textId="77777777" w:rsidR="006D748A" w:rsidRDefault="008F75C2" w:rsidP="003A5900">
      <w:pPr>
        <w:tabs>
          <w:tab w:val="left" w:pos="284"/>
        </w:tabs>
        <w:suppressAutoHyphens/>
        <w:spacing w:before="120"/>
      </w:pPr>
      <w:r w:rsidRPr="00DF25F7">
        <w:rPr>
          <w:rFonts w:eastAsia="Calibri"/>
        </w:rPr>
        <w:t xml:space="preserve">Najvyšší príjem z dividend bol v kapitole Všeobecná pokladničná správa v sume 362 631 tis. eur, </w:t>
      </w:r>
      <w:r w:rsidR="00450ECA">
        <w:rPr>
          <w:rFonts w:eastAsia="Calibri"/>
        </w:rPr>
        <w:t xml:space="preserve">do rozpočtu ktorej patria </w:t>
      </w:r>
      <w:r w:rsidRPr="00DF25F7">
        <w:rPr>
          <w:rFonts w:eastAsia="Calibri"/>
        </w:rPr>
        <w:t>d</w:t>
      </w:r>
      <w:r w:rsidR="00450ECA">
        <w:rPr>
          <w:rFonts w:eastAsia="Calibri"/>
        </w:rPr>
        <w:t>ividendy od</w:t>
      </w:r>
      <w:r w:rsidRPr="00DF25F7">
        <w:rPr>
          <w:rFonts w:eastAsia="Calibri"/>
        </w:rPr>
        <w:t> Slovenského plynárenského priemyslu, a.</w:t>
      </w:r>
      <w:r w:rsidR="00780083">
        <w:rPr>
          <w:rFonts w:eastAsia="Calibri"/>
        </w:rPr>
        <w:t xml:space="preserve"> </w:t>
      </w:r>
      <w:r w:rsidRPr="00DF25F7">
        <w:rPr>
          <w:rFonts w:eastAsia="Calibri"/>
        </w:rPr>
        <w:t>s. a jednotlivých energetických spoločností. Druhý najvyšší príjem dosiahlo Ministerstvo financií SR, ktoré</w:t>
      </w:r>
      <w:r w:rsidR="00780083">
        <w:rPr>
          <w:rFonts w:eastAsia="Calibri"/>
        </w:rPr>
        <w:t xml:space="preserve"> získalo z dividend 69 092 </w:t>
      </w:r>
      <w:r w:rsidRPr="00DF25F7">
        <w:rPr>
          <w:rFonts w:eastAsia="Calibri"/>
        </w:rPr>
        <w:t>tis. eur, z toho najviac od Slovenskej elektrizačnej prenosovej sústavy, a.</w:t>
      </w:r>
      <w:r w:rsidR="00780083">
        <w:rPr>
          <w:rFonts w:eastAsia="Calibri"/>
        </w:rPr>
        <w:t xml:space="preserve"> </w:t>
      </w:r>
      <w:r w:rsidRPr="00DF25F7">
        <w:rPr>
          <w:rFonts w:eastAsia="Calibri"/>
        </w:rPr>
        <w:t xml:space="preserve">s. </w:t>
      </w:r>
      <w:r w:rsidRPr="00920278">
        <w:t>Ministerstvo hospodárstva S</w:t>
      </w:r>
      <w:r>
        <w:t xml:space="preserve">R dosiahlo celkovú výšku dividend </w:t>
      </w:r>
      <w:r w:rsidR="003A5900">
        <w:t xml:space="preserve">6 000 tis. eur </w:t>
      </w:r>
      <w:r>
        <w:t>od spoločnosti JAVYS, a.</w:t>
      </w:r>
      <w:r w:rsidR="00780083">
        <w:t xml:space="preserve"> </w:t>
      </w:r>
      <w:r>
        <w:t xml:space="preserve">s. </w:t>
      </w:r>
    </w:p>
    <w:p w14:paraId="7E76A647" w14:textId="77777777" w:rsidR="006D748A" w:rsidRDefault="006D748A">
      <w:pPr>
        <w:spacing w:after="160" w:line="259" w:lineRule="auto"/>
        <w:jc w:val="left"/>
      </w:pPr>
      <w:r>
        <w:br w:type="page"/>
      </w:r>
    </w:p>
    <w:p w14:paraId="0EE6939D" w14:textId="4378703D" w:rsidR="008F75C2" w:rsidRDefault="008F75C2" w:rsidP="003A5900">
      <w:pPr>
        <w:tabs>
          <w:tab w:val="left" w:pos="284"/>
        </w:tabs>
        <w:suppressAutoHyphens/>
        <w:spacing w:before="120"/>
      </w:pPr>
      <w:r w:rsidRPr="00082CF4">
        <w:t>Súhrnný prehľad prijatých dividend podľa kapitol ŠR poskytuje nasledujúca tabuľka:</w:t>
      </w:r>
    </w:p>
    <w:tbl>
      <w:tblPr>
        <w:tblW w:w="9781" w:type="dxa"/>
        <w:tblInd w:w="-152" w:type="dxa"/>
        <w:tblLayout w:type="fixed"/>
        <w:tblCellMar>
          <w:left w:w="70" w:type="dxa"/>
          <w:right w:w="70" w:type="dxa"/>
        </w:tblCellMar>
        <w:tblLook w:val="04A0" w:firstRow="1" w:lastRow="0" w:firstColumn="1" w:lastColumn="0" w:noHBand="0" w:noVBand="1"/>
      </w:tblPr>
      <w:tblGrid>
        <w:gridCol w:w="4111"/>
        <w:gridCol w:w="993"/>
        <w:gridCol w:w="1134"/>
        <w:gridCol w:w="929"/>
        <w:gridCol w:w="1123"/>
        <w:gridCol w:w="783"/>
        <w:gridCol w:w="708"/>
      </w:tblGrid>
      <w:tr w:rsidR="00780083" w:rsidRPr="00E91EE6" w14:paraId="2D63F448" w14:textId="77777777" w:rsidTr="00FA0777">
        <w:trPr>
          <w:trHeight w:val="330"/>
        </w:trPr>
        <w:tc>
          <w:tcPr>
            <w:tcW w:w="9781" w:type="dxa"/>
            <w:gridSpan w:val="7"/>
            <w:tcBorders>
              <w:top w:val="nil"/>
              <w:left w:val="single" w:sz="8" w:space="0" w:color="auto"/>
              <w:bottom w:val="nil"/>
              <w:right w:val="nil"/>
            </w:tcBorders>
            <w:shd w:val="clear" w:color="000000" w:fill="000000"/>
            <w:vAlign w:val="center"/>
            <w:hideMark/>
          </w:tcPr>
          <w:p w14:paraId="73D7805A" w14:textId="4DB22238" w:rsidR="00780083" w:rsidRPr="00E91EE6" w:rsidRDefault="00780083" w:rsidP="003D27B0">
            <w:pPr>
              <w:spacing w:after="0" w:line="240" w:lineRule="auto"/>
              <w:rPr>
                <w:rFonts w:cs="Times New Roman"/>
                <w:b/>
                <w:bCs/>
                <w:color w:val="FFFFFF"/>
                <w:sz w:val="20"/>
                <w:szCs w:val="20"/>
              </w:rPr>
            </w:pPr>
            <w:bookmarkStart w:id="41" w:name="RANGE!B5:H32"/>
            <w:r w:rsidRPr="00E91EE6">
              <w:rPr>
                <w:rFonts w:cs="Times New Roman"/>
                <w:b/>
                <w:bCs/>
                <w:color w:val="FFFFFF"/>
                <w:sz w:val="20"/>
                <w:szCs w:val="20"/>
              </w:rPr>
              <w:t>Príjem dividend podľa kapitol ŠR</w:t>
            </w:r>
            <w:bookmarkEnd w:id="41"/>
            <w:r w:rsidRPr="00E91EE6">
              <w:rPr>
                <w:rFonts w:cs="Times New Roman"/>
                <w:b/>
                <w:bCs/>
                <w:color w:val="FFFFFF"/>
                <w:sz w:val="20"/>
                <w:szCs w:val="20"/>
              </w:rPr>
              <w:t xml:space="preserve">                                                                                                                       v tis. eur</w:t>
            </w:r>
          </w:p>
        </w:tc>
      </w:tr>
      <w:tr w:rsidR="008F75C2" w:rsidRPr="00E91EE6" w14:paraId="2E1C533E" w14:textId="77777777" w:rsidTr="00FA0777">
        <w:trPr>
          <w:trHeight w:val="510"/>
        </w:trPr>
        <w:tc>
          <w:tcPr>
            <w:tcW w:w="4111" w:type="dxa"/>
            <w:tcBorders>
              <w:top w:val="nil"/>
              <w:left w:val="nil"/>
              <w:bottom w:val="nil"/>
              <w:right w:val="nil"/>
            </w:tcBorders>
            <w:shd w:val="clear" w:color="000000" w:fill="BFBFBF"/>
            <w:vAlign w:val="center"/>
            <w:hideMark/>
          </w:tcPr>
          <w:p w14:paraId="6E9F4419" w14:textId="77777777" w:rsidR="008F75C2" w:rsidRPr="00E91EE6" w:rsidRDefault="008F75C2" w:rsidP="00CA0835">
            <w:pPr>
              <w:spacing w:after="0" w:line="240" w:lineRule="auto"/>
              <w:jc w:val="left"/>
              <w:rPr>
                <w:rFonts w:cs="Times New Roman"/>
                <w:b/>
                <w:bCs/>
                <w:sz w:val="20"/>
                <w:szCs w:val="20"/>
                <w:lang w:eastAsia="sk-SK"/>
              </w:rPr>
            </w:pPr>
            <w:r w:rsidRPr="00E91EE6">
              <w:rPr>
                <w:rFonts w:cs="Times New Roman"/>
                <w:b/>
                <w:bCs/>
                <w:sz w:val="20"/>
                <w:szCs w:val="20"/>
                <w:lang w:eastAsia="sk-SK"/>
              </w:rPr>
              <w:t> </w:t>
            </w:r>
          </w:p>
        </w:tc>
        <w:tc>
          <w:tcPr>
            <w:tcW w:w="2127" w:type="dxa"/>
            <w:gridSpan w:val="2"/>
            <w:tcBorders>
              <w:top w:val="nil"/>
              <w:left w:val="nil"/>
              <w:bottom w:val="nil"/>
              <w:right w:val="nil"/>
            </w:tcBorders>
            <w:shd w:val="clear" w:color="000000" w:fill="BFBFBF"/>
            <w:vAlign w:val="center"/>
            <w:hideMark/>
          </w:tcPr>
          <w:p w14:paraId="6F045A08" w14:textId="77777777" w:rsidR="008F75C2" w:rsidRPr="00E91EE6" w:rsidRDefault="008F75C2" w:rsidP="00780083">
            <w:pPr>
              <w:spacing w:after="0" w:line="240" w:lineRule="auto"/>
              <w:jc w:val="center"/>
              <w:rPr>
                <w:rFonts w:cs="Times New Roman"/>
                <w:b/>
                <w:bCs/>
                <w:sz w:val="20"/>
                <w:szCs w:val="20"/>
                <w:lang w:eastAsia="sk-SK"/>
              </w:rPr>
            </w:pPr>
            <w:r w:rsidRPr="00E91EE6">
              <w:rPr>
                <w:rFonts w:cs="Times New Roman"/>
                <w:b/>
                <w:bCs/>
                <w:sz w:val="20"/>
                <w:szCs w:val="20"/>
                <w:lang w:eastAsia="sk-SK"/>
              </w:rPr>
              <w:t>Skutočnosť</w:t>
            </w:r>
          </w:p>
        </w:tc>
        <w:tc>
          <w:tcPr>
            <w:tcW w:w="929" w:type="dxa"/>
            <w:tcBorders>
              <w:top w:val="nil"/>
              <w:left w:val="nil"/>
              <w:bottom w:val="nil"/>
              <w:right w:val="nil"/>
            </w:tcBorders>
            <w:shd w:val="clear" w:color="000000" w:fill="BFBFBF"/>
            <w:vAlign w:val="center"/>
            <w:hideMark/>
          </w:tcPr>
          <w:p w14:paraId="14FED4ED" w14:textId="77777777" w:rsidR="008F75C2" w:rsidRPr="00E91EE6" w:rsidRDefault="008F75C2" w:rsidP="00CA0835">
            <w:pPr>
              <w:spacing w:after="0" w:line="240" w:lineRule="auto"/>
              <w:jc w:val="left"/>
              <w:rPr>
                <w:rFonts w:cs="Times New Roman"/>
                <w:b/>
                <w:bCs/>
                <w:sz w:val="20"/>
                <w:szCs w:val="20"/>
                <w:lang w:eastAsia="sk-SK"/>
              </w:rPr>
            </w:pPr>
            <w:r w:rsidRPr="00E91EE6">
              <w:rPr>
                <w:rFonts w:cs="Times New Roman"/>
                <w:b/>
                <w:bCs/>
                <w:sz w:val="20"/>
                <w:szCs w:val="20"/>
                <w:lang w:eastAsia="sk-SK"/>
              </w:rPr>
              <w:t>Rozpočet</w:t>
            </w:r>
          </w:p>
        </w:tc>
        <w:tc>
          <w:tcPr>
            <w:tcW w:w="1123" w:type="dxa"/>
            <w:tcBorders>
              <w:top w:val="nil"/>
              <w:left w:val="nil"/>
              <w:bottom w:val="nil"/>
              <w:right w:val="nil"/>
            </w:tcBorders>
            <w:shd w:val="clear" w:color="000000" w:fill="BFBFBF"/>
            <w:vAlign w:val="center"/>
            <w:hideMark/>
          </w:tcPr>
          <w:p w14:paraId="0F3B50DB" w14:textId="77777777" w:rsidR="008F75C2" w:rsidRPr="00E91EE6" w:rsidRDefault="008F75C2" w:rsidP="00CA0835">
            <w:pPr>
              <w:spacing w:after="0" w:line="240" w:lineRule="auto"/>
              <w:jc w:val="left"/>
              <w:rPr>
                <w:rFonts w:cs="Times New Roman"/>
                <w:b/>
                <w:bCs/>
                <w:sz w:val="20"/>
                <w:szCs w:val="20"/>
                <w:lang w:eastAsia="sk-SK"/>
              </w:rPr>
            </w:pPr>
            <w:r w:rsidRPr="00E91EE6">
              <w:rPr>
                <w:rFonts w:cs="Times New Roman"/>
                <w:b/>
                <w:bCs/>
                <w:sz w:val="20"/>
                <w:szCs w:val="20"/>
                <w:lang w:eastAsia="sk-SK"/>
              </w:rPr>
              <w:t>Skutočnosť</w:t>
            </w:r>
          </w:p>
        </w:tc>
        <w:tc>
          <w:tcPr>
            <w:tcW w:w="1491" w:type="dxa"/>
            <w:gridSpan w:val="2"/>
            <w:tcBorders>
              <w:top w:val="nil"/>
              <w:left w:val="nil"/>
              <w:bottom w:val="nil"/>
              <w:right w:val="nil"/>
            </w:tcBorders>
            <w:shd w:val="clear" w:color="000000" w:fill="BFBFBF"/>
            <w:vAlign w:val="center"/>
            <w:hideMark/>
          </w:tcPr>
          <w:p w14:paraId="7199A358" w14:textId="77777777" w:rsidR="008F75C2" w:rsidRPr="00E91EE6" w:rsidRDefault="008F75C2" w:rsidP="00780083">
            <w:pPr>
              <w:spacing w:after="0" w:line="240" w:lineRule="auto"/>
              <w:jc w:val="center"/>
              <w:rPr>
                <w:rFonts w:cs="Times New Roman"/>
                <w:b/>
                <w:bCs/>
                <w:sz w:val="20"/>
                <w:szCs w:val="20"/>
                <w:lang w:eastAsia="sk-SK"/>
              </w:rPr>
            </w:pPr>
            <w:r w:rsidRPr="00E91EE6">
              <w:rPr>
                <w:rFonts w:cs="Times New Roman"/>
                <w:b/>
                <w:bCs/>
                <w:sz w:val="20"/>
                <w:szCs w:val="20"/>
                <w:lang w:eastAsia="sk-SK"/>
              </w:rPr>
              <w:t>Rozdiel</w:t>
            </w:r>
          </w:p>
        </w:tc>
      </w:tr>
      <w:tr w:rsidR="008F75C2" w:rsidRPr="00E91EE6" w14:paraId="00102EB2" w14:textId="77777777" w:rsidTr="00FA0777">
        <w:trPr>
          <w:trHeight w:val="330"/>
        </w:trPr>
        <w:tc>
          <w:tcPr>
            <w:tcW w:w="4111" w:type="dxa"/>
            <w:tcBorders>
              <w:top w:val="nil"/>
              <w:left w:val="nil"/>
              <w:right w:val="nil"/>
            </w:tcBorders>
            <w:shd w:val="clear" w:color="000000" w:fill="BFBFBF"/>
            <w:vAlign w:val="center"/>
            <w:hideMark/>
          </w:tcPr>
          <w:p w14:paraId="0FB23723" w14:textId="77777777" w:rsidR="008F75C2" w:rsidRPr="00E91EE6" w:rsidRDefault="008F75C2" w:rsidP="00CA0835">
            <w:pPr>
              <w:spacing w:after="0" w:line="240" w:lineRule="auto"/>
              <w:jc w:val="left"/>
              <w:rPr>
                <w:rFonts w:cs="Times New Roman"/>
                <w:b/>
                <w:bCs/>
                <w:sz w:val="20"/>
                <w:szCs w:val="20"/>
                <w:lang w:eastAsia="sk-SK"/>
              </w:rPr>
            </w:pPr>
            <w:r w:rsidRPr="00E91EE6">
              <w:rPr>
                <w:rFonts w:cs="Times New Roman"/>
                <w:b/>
                <w:bCs/>
                <w:sz w:val="20"/>
                <w:szCs w:val="20"/>
                <w:lang w:eastAsia="sk-SK"/>
              </w:rPr>
              <w:t> </w:t>
            </w:r>
          </w:p>
        </w:tc>
        <w:tc>
          <w:tcPr>
            <w:tcW w:w="993" w:type="dxa"/>
            <w:tcBorders>
              <w:top w:val="nil"/>
              <w:left w:val="nil"/>
              <w:right w:val="nil"/>
            </w:tcBorders>
            <w:shd w:val="clear" w:color="000000" w:fill="BFBFBF"/>
            <w:vAlign w:val="center"/>
            <w:hideMark/>
          </w:tcPr>
          <w:p w14:paraId="42F9E360" w14:textId="77777777" w:rsidR="008F75C2" w:rsidRPr="00E91EE6" w:rsidRDefault="008F75C2" w:rsidP="00780083">
            <w:pPr>
              <w:spacing w:after="0" w:line="240" w:lineRule="auto"/>
              <w:jc w:val="center"/>
              <w:rPr>
                <w:rFonts w:cs="Times New Roman"/>
                <w:b/>
                <w:bCs/>
                <w:sz w:val="20"/>
                <w:szCs w:val="20"/>
                <w:lang w:eastAsia="sk-SK"/>
              </w:rPr>
            </w:pPr>
            <w:r w:rsidRPr="00E91EE6">
              <w:rPr>
                <w:rFonts w:cs="Times New Roman"/>
                <w:b/>
                <w:bCs/>
                <w:sz w:val="20"/>
                <w:szCs w:val="20"/>
                <w:lang w:eastAsia="sk-SK"/>
              </w:rPr>
              <w:t>2016</w:t>
            </w:r>
          </w:p>
        </w:tc>
        <w:tc>
          <w:tcPr>
            <w:tcW w:w="1134" w:type="dxa"/>
            <w:tcBorders>
              <w:top w:val="nil"/>
              <w:left w:val="nil"/>
              <w:right w:val="nil"/>
            </w:tcBorders>
            <w:shd w:val="clear" w:color="000000" w:fill="BFBFBF"/>
            <w:vAlign w:val="center"/>
            <w:hideMark/>
          </w:tcPr>
          <w:p w14:paraId="0794B36B" w14:textId="77777777" w:rsidR="008F75C2" w:rsidRPr="00E91EE6" w:rsidRDefault="008F75C2" w:rsidP="00780083">
            <w:pPr>
              <w:spacing w:after="0" w:line="240" w:lineRule="auto"/>
              <w:jc w:val="center"/>
              <w:rPr>
                <w:rFonts w:cs="Times New Roman"/>
                <w:b/>
                <w:bCs/>
                <w:sz w:val="20"/>
                <w:szCs w:val="20"/>
                <w:lang w:eastAsia="sk-SK"/>
              </w:rPr>
            </w:pPr>
            <w:r w:rsidRPr="00E91EE6">
              <w:rPr>
                <w:rFonts w:cs="Times New Roman"/>
                <w:b/>
                <w:bCs/>
                <w:sz w:val="20"/>
                <w:szCs w:val="20"/>
                <w:lang w:eastAsia="sk-SK"/>
              </w:rPr>
              <w:t>2017</w:t>
            </w:r>
          </w:p>
        </w:tc>
        <w:tc>
          <w:tcPr>
            <w:tcW w:w="929" w:type="dxa"/>
            <w:tcBorders>
              <w:top w:val="nil"/>
              <w:left w:val="nil"/>
              <w:right w:val="nil"/>
            </w:tcBorders>
            <w:shd w:val="clear" w:color="000000" w:fill="BFBFBF"/>
            <w:vAlign w:val="center"/>
            <w:hideMark/>
          </w:tcPr>
          <w:p w14:paraId="6EB3C5AB" w14:textId="77777777" w:rsidR="008F75C2" w:rsidRPr="00E91EE6" w:rsidRDefault="008F75C2" w:rsidP="00780083">
            <w:pPr>
              <w:spacing w:after="0" w:line="240" w:lineRule="auto"/>
              <w:jc w:val="center"/>
              <w:rPr>
                <w:rFonts w:cs="Times New Roman"/>
                <w:b/>
                <w:bCs/>
                <w:sz w:val="20"/>
                <w:szCs w:val="20"/>
                <w:lang w:eastAsia="sk-SK"/>
              </w:rPr>
            </w:pPr>
            <w:r w:rsidRPr="00E91EE6">
              <w:rPr>
                <w:rFonts w:cs="Times New Roman"/>
                <w:b/>
                <w:bCs/>
                <w:sz w:val="20"/>
                <w:szCs w:val="20"/>
                <w:lang w:eastAsia="sk-SK"/>
              </w:rPr>
              <w:t>2018</w:t>
            </w:r>
          </w:p>
        </w:tc>
        <w:tc>
          <w:tcPr>
            <w:tcW w:w="1123" w:type="dxa"/>
            <w:tcBorders>
              <w:top w:val="nil"/>
              <w:left w:val="nil"/>
              <w:right w:val="nil"/>
            </w:tcBorders>
            <w:shd w:val="clear" w:color="000000" w:fill="BFBFBF"/>
            <w:vAlign w:val="center"/>
            <w:hideMark/>
          </w:tcPr>
          <w:p w14:paraId="01B31B00" w14:textId="77777777" w:rsidR="008F75C2" w:rsidRPr="00E91EE6" w:rsidRDefault="008F75C2" w:rsidP="00780083">
            <w:pPr>
              <w:spacing w:after="0" w:line="240" w:lineRule="auto"/>
              <w:jc w:val="center"/>
              <w:rPr>
                <w:rFonts w:cs="Times New Roman"/>
                <w:b/>
                <w:bCs/>
                <w:sz w:val="20"/>
                <w:szCs w:val="20"/>
                <w:lang w:eastAsia="sk-SK"/>
              </w:rPr>
            </w:pPr>
            <w:r w:rsidRPr="00E91EE6">
              <w:rPr>
                <w:rFonts w:cs="Times New Roman"/>
                <w:b/>
                <w:bCs/>
                <w:sz w:val="20"/>
                <w:szCs w:val="20"/>
                <w:lang w:eastAsia="sk-SK"/>
              </w:rPr>
              <w:t>2018</w:t>
            </w:r>
          </w:p>
        </w:tc>
        <w:tc>
          <w:tcPr>
            <w:tcW w:w="783" w:type="dxa"/>
            <w:tcBorders>
              <w:top w:val="nil"/>
              <w:left w:val="nil"/>
              <w:right w:val="nil"/>
            </w:tcBorders>
            <w:shd w:val="clear" w:color="000000" w:fill="BFBFBF"/>
            <w:vAlign w:val="center"/>
            <w:hideMark/>
          </w:tcPr>
          <w:p w14:paraId="4F1F7570" w14:textId="28B37EB7" w:rsidR="008F75C2" w:rsidRPr="00E91EE6" w:rsidRDefault="008F75C2" w:rsidP="00780083">
            <w:pPr>
              <w:spacing w:after="0" w:line="240" w:lineRule="auto"/>
              <w:jc w:val="center"/>
              <w:rPr>
                <w:rFonts w:cs="Times New Roman"/>
                <w:b/>
                <w:bCs/>
                <w:sz w:val="20"/>
                <w:szCs w:val="20"/>
                <w:lang w:eastAsia="sk-SK"/>
              </w:rPr>
            </w:pPr>
            <w:r w:rsidRPr="00E91EE6">
              <w:rPr>
                <w:rFonts w:cs="Times New Roman"/>
                <w:b/>
                <w:bCs/>
                <w:sz w:val="20"/>
                <w:szCs w:val="20"/>
                <w:lang w:eastAsia="sk-SK"/>
              </w:rPr>
              <w:t>v tis. eur</w:t>
            </w:r>
          </w:p>
        </w:tc>
        <w:tc>
          <w:tcPr>
            <w:tcW w:w="708" w:type="dxa"/>
            <w:tcBorders>
              <w:top w:val="nil"/>
              <w:left w:val="nil"/>
              <w:right w:val="nil"/>
            </w:tcBorders>
            <w:shd w:val="clear" w:color="000000" w:fill="BFBFBF"/>
            <w:vAlign w:val="center"/>
            <w:hideMark/>
          </w:tcPr>
          <w:p w14:paraId="04E92A80" w14:textId="77777777" w:rsidR="008F75C2" w:rsidRPr="00E91EE6" w:rsidRDefault="008F75C2" w:rsidP="00780083">
            <w:pPr>
              <w:spacing w:after="0" w:line="240" w:lineRule="auto"/>
              <w:jc w:val="center"/>
              <w:rPr>
                <w:rFonts w:cs="Times New Roman"/>
                <w:b/>
                <w:bCs/>
                <w:sz w:val="20"/>
                <w:szCs w:val="20"/>
                <w:lang w:eastAsia="sk-SK"/>
              </w:rPr>
            </w:pPr>
            <w:r w:rsidRPr="00E91EE6">
              <w:rPr>
                <w:rFonts w:cs="Times New Roman"/>
                <w:b/>
                <w:bCs/>
                <w:sz w:val="20"/>
                <w:szCs w:val="20"/>
                <w:lang w:eastAsia="sk-SK"/>
              </w:rPr>
              <w:t>v %</w:t>
            </w:r>
          </w:p>
        </w:tc>
      </w:tr>
      <w:tr w:rsidR="008F75C2" w:rsidRPr="00E91EE6" w14:paraId="037F9D9A" w14:textId="77777777" w:rsidTr="00FA0777">
        <w:trPr>
          <w:trHeight w:val="345"/>
        </w:trPr>
        <w:tc>
          <w:tcPr>
            <w:tcW w:w="4111" w:type="dxa"/>
            <w:tcBorders>
              <w:top w:val="nil"/>
              <w:left w:val="nil"/>
              <w:bottom w:val="single" w:sz="4" w:space="0" w:color="auto"/>
              <w:right w:val="nil"/>
            </w:tcBorders>
            <w:shd w:val="clear" w:color="000000" w:fill="BFBFBF"/>
            <w:vAlign w:val="center"/>
            <w:hideMark/>
          </w:tcPr>
          <w:p w14:paraId="07DC0D01" w14:textId="77777777" w:rsidR="008F75C2" w:rsidRPr="00E91EE6" w:rsidRDefault="008F75C2" w:rsidP="00CA0835">
            <w:pPr>
              <w:spacing w:after="0" w:line="240" w:lineRule="auto"/>
              <w:jc w:val="left"/>
              <w:rPr>
                <w:rFonts w:cs="Times New Roman"/>
                <w:b/>
                <w:bCs/>
                <w:sz w:val="20"/>
                <w:szCs w:val="20"/>
                <w:lang w:eastAsia="sk-SK"/>
              </w:rPr>
            </w:pPr>
            <w:r w:rsidRPr="00E91EE6">
              <w:rPr>
                <w:rFonts w:cs="Times New Roman"/>
                <w:b/>
                <w:bCs/>
                <w:sz w:val="20"/>
                <w:szCs w:val="20"/>
                <w:lang w:eastAsia="sk-SK"/>
              </w:rPr>
              <w:t> </w:t>
            </w:r>
          </w:p>
        </w:tc>
        <w:tc>
          <w:tcPr>
            <w:tcW w:w="993" w:type="dxa"/>
            <w:tcBorders>
              <w:top w:val="nil"/>
              <w:left w:val="nil"/>
              <w:bottom w:val="single" w:sz="4" w:space="0" w:color="auto"/>
              <w:right w:val="nil"/>
            </w:tcBorders>
            <w:shd w:val="clear" w:color="000000" w:fill="BFBFBF"/>
            <w:vAlign w:val="center"/>
            <w:hideMark/>
          </w:tcPr>
          <w:p w14:paraId="1FEB8488" w14:textId="77777777" w:rsidR="008F75C2" w:rsidRPr="00E91EE6" w:rsidRDefault="008F75C2" w:rsidP="00780083">
            <w:pPr>
              <w:spacing w:after="0" w:line="240" w:lineRule="auto"/>
              <w:jc w:val="center"/>
              <w:rPr>
                <w:rFonts w:cs="Times New Roman"/>
                <w:b/>
                <w:bCs/>
                <w:sz w:val="20"/>
                <w:szCs w:val="20"/>
                <w:lang w:eastAsia="sk-SK"/>
              </w:rPr>
            </w:pPr>
            <w:r w:rsidRPr="00E91EE6">
              <w:rPr>
                <w:rFonts w:cs="Times New Roman"/>
                <w:b/>
                <w:bCs/>
                <w:sz w:val="20"/>
                <w:szCs w:val="20"/>
                <w:lang w:eastAsia="sk-SK"/>
              </w:rPr>
              <w:t>1</w:t>
            </w:r>
          </w:p>
        </w:tc>
        <w:tc>
          <w:tcPr>
            <w:tcW w:w="1134" w:type="dxa"/>
            <w:tcBorders>
              <w:top w:val="nil"/>
              <w:left w:val="nil"/>
              <w:bottom w:val="single" w:sz="4" w:space="0" w:color="auto"/>
              <w:right w:val="nil"/>
            </w:tcBorders>
            <w:shd w:val="clear" w:color="000000" w:fill="BFBFBF"/>
            <w:vAlign w:val="center"/>
            <w:hideMark/>
          </w:tcPr>
          <w:p w14:paraId="29481A23" w14:textId="77777777" w:rsidR="008F75C2" w:rsidRPr="00E91EE6" w:rsidRDefault="008F75C2" w:rsidP="00780083">
            <w:pPr>
              <w:spacing w:after="0" w:line="240" w:lineRule="auto"/>
              <w:jc w:val="center"/>
              <w:rPr>
                <w:rFonts w:cs="Times New Roman"/>
                <w:b/>
                <w:bCs/>
                <w:sz w:val="20"/>
                <w:szCs w:val="20"/>
                <w:lang w:eastAsia="sk-SK"/>
              </w:rPr>
            </w:pPr>
            <w:r w:rsidRPr="00E91EE6">
              <w:rPr>
                <w:rFonts w:cs="Times New Roman"/>
                <w:b/>
                <w:bCs/>
                <w:sz w:val="20"/>
                <w:szCs w:val="20"/>
                <w:lang w:eastAsia="sk-SK"/>
              </w:rPr>
              <w:t>2</w:t>
            </w:r>
          </w:p>
        </w:tc>
        <w:tc>
          <w:tcPr>
            <w:tcW w:w="929" w:type="dxa"/>
            <w:tcBorders>
              <w:top w:val="nil"/>
              <w:left w:val="nil"/>
              <w:bottom w:val="single" w:sz="4" w:space="0" w:color="auto"/>
              <w:right w:val="nil"/>
            </w:tcBorders>
            <w:shd w:val="clear" w:color="000000" w:fill="BFBFBF"/>
            <w:vAlign w:val="center"/>
            <w:hideMark/>
          </w:tcPr>
          <w:p w14:paraId="4E1F71FA" w14:textId="77777777" w:rsidR="008F75C2" w:rsidRPr="00E91EE6" w:rsidRDefault="008F75C2" w:rsidP="00780083">
            <w:pPr>
              <w:spacing w:after="0" w:line="240" w:lineRule="auto"/>
              <w:jc w:val="center"/>
              <w:rPr>
                <w:rFonts w:cs="Times New Roman"/>
                <w:b/>
                <w:bCs/>
                <w:sz w:val="20"/>
                <w:szCs w:val="20"/>
                <w:lang w:eastAsia="sk-SK"/>
              </w:rPr>
            </w:pPr>
            <w:r w:rsidRPr="00E91EE6">
              <w:rPr>
                <w:rFonts w:cs="Times New Roman"/>
                <w:b/>
                <w:bCs/>
                <w:sz w:val="20"/>
                <w:szCs w:val="20"/>
                <w:lang w:eastAsia="sk-SK"/>
              </w:rPr>
              <w:t>3</w:t>
            </w:r>
          </w:p>
        </w:tc>
        <w:tc>
          <w:tcPr>
            <w:tcW w:w="1123" w:type="dxa"/>
            <w:tcBorders>
              <w:top w:val="nil"/>
              <w:left w:val="nil"/>
              <w:bottom w:val="single" w:sz="4" w:space="0" w:color="auto"/>
              <w:right w:val="nil"/>
            </w:tcBorders>
            <w:shd w:val="clear" w:color="000000" w:fill="BFBFBF"/>
            <w:vAlign w:val="center"/>
            <w:hideMark/>
          </w:tcPr>
          <w:p w14:paraId="276465AE" w14:textId="77777777" w:rsidR="008F75C2" w:rsidRPr="00E91EE6" w:rsidRDefault="008F75C2" w:rsidP="00780083">
            <w:pPr>
              <w:spacing w:after="0" w:line="240" w:lineRule="auto"/>
              <w:jc w:val="center"/>
              <w:rPr>
                <w:rFonts w:cs="Times New Roman"/>
                <w:b/>
                <w:bCs/>
                <w:sz w:val="20"/>
                <w:szCs w:val="20"/>
                <w:lang w:eastAsia="sk-SK"/>
              </w:rPr>
            </w:pPr>
            <w:r w:rsidRPr="00E91EE6">
              <w:rPr>
                <w:rFonts w:cs="Times New Roman"/>
                <w:b/>
                <w:bCs/>
                <w:sz w:val="20"/>
                <w:szCs w:val="20"/>
                <w:lang w:eastAsia="sk-SK"/>
              </w:rPr>
              <w:t>4</w:t>
            </w:r>
          </w:p>
        </w:tc>
        <w:tc>
          <w:tcPr>
            <w:tcW w:w="783" w:type="dxa"/>
            <w:tcBorders>
              <w:top w:val="nil"/>
              <w:left w:val="nil"/>
              <w:bottom w:val="single" w:sz="4" w:space="0" w:color="auto"/>
              <w:right w:val="nil"/>
            </w:tcBorders>
            <w:shd w:val="clear" w:color="000000" w:fill="BFBFBF"/>
            <w:vAlign w:val="center"/>
            <w:hideMark/>
          </w:tcPr>
          <w:p w14:paraId="519D803A" w14:textId="77777777" w:rsidR="008F75C2" w:rsidRPr="00E91EE6" w:rsidRDefault="008F75C2" w:rsidP="00780083">
            <w:pPr>
              <w:spacing w:after="0" w:line="240" w:lineRule="auto"/>
              <w:jc w:val="center"/>
              <w:rPr>
                <w:rFonts w:cs="Times New Roman"/>
                <w:b/>
                <w:bCs/>
                <w:sz w:val="20"/>
                <w:szCs w:val="20"/>
                <w:lang w:eastAsia="sk-SK"/>
              </w:rPr>
            </w:pPr>
            <w:r w:rsidRPr="00E91EE6">
              <w:rPr>
                <w:rFonts w:cs="Times New Roman"/>
                <w:b/>
                <w:bCs/>
                <w:sz w:val="20"/>
                <w:szCs w:val="20"/>
                <w:lang w:eastAsia="sk-SK"/>
              </w:rPr>
              <w:t>5=4-3</w:t>
            </w:r>
          </w:p>
        </w:tc>
        <w:tc>
          <w:tcPr>
            <w:tcW w:w="708" w:type="dxa"/>
            <w:tcBorders>
              <w:top w:val="nil"/>
              <w:left w:val="nil"/>
              <w:bottom w:val="single" w:sz="4" w:space="0" w:color="auto"/>
              <w:right w:val="nil"/>
            </w:tcBorders>
            <w:shd w:val="clear" w:color="000000" w:fill="BFBFBF"/>
            <w:vAlign w:val="center"/>
            <w:hideMark/>
          </w:tcPr>
          <w:p w14:paraId="224D1DDE" w14:textId="77777777" w:rsidR="008F75C2" w:rsidRPr="00E91EE6" w:rsidRDefault="008F75C2" w:rsidP="00780083">
            <w:pPr>
              <w:spacing w:after="0" w:line="240" w:lineRule="auto"/>
              <w:jc w:val="center"/>
              <w:rPr>
                <w:rFonts w:cs="Times New Roman"/>
                <w:b/>
                <w:bCs/>
                <w:sz w:val="20"/>
                <w:szCs w:val="20"/>
                <w:lang w:eastAsia="sk-SK"/>
              </w:rPr>
            </w:pPr>
            <w:r w:rsidRPr="00E91EE6">
              <w:rPr>
                <w:rFonts w:cs="Times New Roman"/>
                <w:b/>
                <w:bCs/>
                <w:sz w:val="20"/>
                <w:szCs w:val="20"/>
                <w:lang w:eastAsia="sk-SK"/>
              </w:rPr>
              <w:t>6=4-3</w:t>
            </w:r>
          </w:p>
        </w:tc>
      </w:tr>
      <w:tr w:rsidR="00E91EE6" w:rsidRPr="00E91EE6" w14:paraId="79963674" w14:textId="77777777" w:rsidTr="00FA0777">
        <w:trPr>
          <w:trHeight w:val="345"/>
        </w:trPr>
        <w:tc>
          <w:tcPr>
            <w:tcW w:w="4111" w:type="dxa"/>
            <w:tcBorders>
              <w:top w:val="single" w:sz="4" w:space="0" w:color="auto"/>
              <w:left w:val="nil"/>
              <w:right w:val="nil"/>
            </w:tcBorders>
            <w:shd w:val="clear" w:color="auto" w:fill="auto"/>
            <w:vAlign w:val="center"/>
            <w:hideMark/>
          </w:tcPr>
          <w:p w14:paraId="72948047" w14:textId="77777777" w:rsidR="00E91EE6" w:rsidRPr="00E91EE6" w:rsidRDefault="00E91EE6" w:rsidP="00CE4ED5">
            <w:pPr>
              <w:spacing w:after="0" w:line="240" w:lineRule="auto"/>
              <w:jc w:val="left"/>
              <w:rPr>
                <w:rFonts w:cs="Times New Roman"/>
                <w:b/>
                <w:bCs/>
                <w:sz w:val="20"/>
                <w:szCs w:val="20"/>
                <w:lang w:eastAsia="sk-SK"/>
              </w:rPr>
            </w:pPr>
            <w:r w:rsidRPr="00E91EE6">
              <w:rPr>
                <w:rFonts w:cs="Times New Roman"/>
                <w:b/>
                <w:bCs/>
                <w:sz w:val="20"/>
                <w:szCs w:val="20"/>
                <w:lang w:eastAsia="sk-SK"/>
              </w:rPr>
              <w:t>Všeobecná pokladničná správa</w:t>
            </w:r>
          </w:p>
        </w:tc>
        <w:tc>
          <w:tcPr>
            <w:tcW w:w="993" w:type="dxa"/>
            <w:tcBorders>
              <w:top w:val="single" w:sz="4" w:space="0" w:color="auto"/>
              <w:left w:val="nil"/>
              <w:right w:val="nil"/>
            </w:tcBorders>
            <w:shd w:val="clear" w:color="auto" w:fill="auto"/>
            <w:vAlign w:val="center"/>
            <w:hideMark/>
          </w:tcPr>
          <w:p w14:paraId="460A1FF3" w14:textId="77777777" w:rsidR="00E91EE6" w:rsidRPr="00E91EE6" w:rsidRDefault="00E91EE6" w:rsidP="00E91EE6">
            <w:pPr>
              <w:spacing w:after="0" w:line="240" w:lineRule="auto"/>
              <w:jc w:val="center"/>
              <w:rPr>
                <w:rFonts w:cs="Times New Roman"/>
                <w:b/>
                <w:bCs/>
                <w:sz w:val="20"/>
                <w:szCs w:val="20"/>
                <w:lang w:eastAsia="sk-SK"/>
              </w:rPr>
            </w:pPr>
            <w:r w:rsidRPr="00E91EE6">
              <w:rPr>
                <w:rFonts w:cs="Times New Roman"/>
                <w:b/>
                <w:bCs/>
                <w:sz w:val="20"/>
                <w:szCs w:val="20"/>
                <w:lang w:eastAsia="sk-SK"/>
              </w:rPr>
              <w:t>401 840</w:t>
            </w:r>
          </w:p>
        </w:tc>
        <w:tc>
          <w:tcPr>
            <w:tcW w:w="1134" w:type="dxa"/>
            <w:tcBorders>
              <w:top w:val="single" w:sz="4" w:space="0" w:color="auto"/>
              <w:left w:val="nil"/>
              <w:right w:val="nil"/>
            </w:tcBorders>
            <w:shd w:val="clear" w:color="auto" w:fill="auto"/>
            <w:vAlign w:val="center"/>
            <w:hideMark/>
          </w:tcPr>
          <w:p w14:paraId="0D78865F" w14:textId="77777777" w:rsidR="00E91EE6" w:rsidRPr="00E91EE6" w:rsidRDefault="00E91EE6" w:rsidP="00E91EE6">
            <w:pPr>
              <w:spacing w:after="0" w:line="240" w:lineRule="auto"/>
              <w:jc w:val="center"/>
              <w:rPr>
                <w:rFonts w:cs="Times New Roman"/>
                <w:b/>
                <w:bCs/>
                <w:sz w:val="20"/>
                <w:szCs w:val="20"/>
                <w:lang w:eastAsia="sk-SK"/>
              </w:rPr>
            </w:pPr>
            <w:r w:rsidRPr="00E91EE6">
              <w:rPr>
                <w:rFonts w:cs="Times New Roman"/>
                <w:b/>
                <w:bCs/>
                <w:sz w:val="20"/>
                <w:szCs w:val="20"/>
                <w:lang w:eastAsia="sk-SK"/>
              </w:rPr>
              <w:t>524 244</w:t>
            </w:r>
          </w:p>
        </w:tc>
        <w:tc>
          <w:tcPr>
            <w:tcW w:w="929" w:type="dxa"/>
            <w:tcBorders>
              <w:top w:val="single" w:sz="4" w:space="0" w:color="auto"/>
              <w:left w:val="nil"/>
              <w:right w:val="nil"/>
            </w:tcBorders>
            <w:shd w:val="clear" w:color="auto" w:fill="auto"/>
            <w:vAlign w:val="center"/>
            <w:hideMark/>
          </w:tcPr>
          <w:p w14:paraId="63C79CDD" w14:textId="77777777" w:rsidR="00E91EE6" w:rsidRPr="00E91EE6" w:rsidRDefault="00E91EE6" w:rsidP="00E91EE6">
            <w:pPr>
              <w:spacing w:after="0" w:line="240" w:lineRule="auto"/>
              <w:jc w:val="center"/>
              <w:rPr>
                <w:rFonts w:cs="Times New Roman"/>
                <w:b/>
                <w:bCs/>
                <w:sz w:val="20"/>
                <w:szCs w:val="20"/>
                <w:lang w:eastAsia="sk-SK"/>
              </w:rPr>
            </w:pPr>
            <w:r w:rsidRPr="00E91EE6">
              <w:rPr>
                <w:rFonts w:cs="Times New Roman"/>
                <w:b/>
                <w:bCs/>
                <w:sz w:val="20"/>
                <w:szCs w:val="20"/>
                <w:lang w:eastAsia="sk-SK"/>
              </w:rPr>
              <w:t>396 129</w:t>
            </w:r>
          </w:p>
        </w:tc>
        <w:tc>
          <w:tcPr>
            <w:tcW w:w="1123" w:type="dxa"/>
            <w:tcBorders>
              <w:top w:val="single" w:sz="4" w:space="0" w:color="auto"/>
              <w:left w:val="nil"/>
              <w:right w:val="nil"/>
            </w:tcBorders>
            <w:shd w:val="clear" w:color="auto" w:fill="BFBFBF" w:themeFill="background1" w:themeFillShade="BF"/>
            <w:vAlign w:val="center"/>
            <w:hideMark/>
          </w:tcPr>
          <w:p w14:paraId="7BD9A685" w14:textId="77777777" w:rsidR="00E91EE6" w:rsidRPr="00E91EE6" w:rsidRDefault="00E91EE6" w:rsidP="00E91EE6">
            <w:pPr>
              <w:spacing w:after="0" w:line="240" w:lineRule="auto"/>
              <w:jc w:val="center"/>
              <w:rPr>
                <w:rFonts w:cs="Times New Roman"/>
                <w:b/>
                <w:bCs/>
                <w:sz w:val="20"/>
                <w:szCs w:val="20"/>
                <w:lang w:eastAsia="sk-SK"/>
              </w:rPr>
            </w:pPr>
            <w:r w:rsidRPr="00E91EE6">
              <w:rPr>
                <w:rFonts w:cs="Times New Roman"/>
                <w:b/>
                <w:bCs/>
                <w:sz w:val="20"/>
                <w:szCs w:val="20"/>
                <w:lang w:eastAsia="sk-SK"/>
              </w:rPr>
              <w:t>362 631</w:t>
            </w:r>
          </w:p>
        </w:tc>
        <w:tc>
          <w:tcPr>
            <w:tcW w:w="783" w:type="dxa"/>
            <w:tcBorders>
              <w:top w:val="single" w:sz="4" w:space="0" w:color="auto"/>
              <w:left w:val="nil"/>
              <w:right w:val="nil"/>
            </w:tcBorders>
            <w:shd w:val="clear" w:color="auto" w:fill="auto"/>
            <w:vAlign w:val="center"/>
            <w:hideMark/>
          </w:tcPr>
          <w:p w14:paraId="67D62D28" w14:textId="77777777" w:rsidR="00E91EE6" w:rsidRPr="00E91EE6" w:rsidRDefault="00E91EE6" w:rsidP="00E91EE6">
            <w:pPr>
              <w:spacing w:after="0" w:line="240" w:lineRule="auto"/>
              <w:jc w:val="center"/>
              <w:rPr>
                <w:rFonts w:cs="Times New Roman"/>
                <w:b/>
                <w:bCs/>
                <w:sz w:val="20"/>
                <w:szCs w:val="20"/>
                <w:lang w:eastAsia="sk-SK"/>
              </w:rPr>
            </w:pPr>
            <w:r w:rsidRPr="00E91EE6">
              <w:rPr>
                <w:rFonts w:cs="Times New Roman"/>
                <w:b/>
                <w:bCs/>
                <w:sz w:val="20"/>
                <w:szCs w:val="20"/>
                <w:lang w:eastAsia="sk-SK"/>
              </w:rPr>
              <w:t>-33 498</w:t>
            </w:r>
          </w:p>
        </w:tc>
        <w:tc>
          <w:tcPr>
            <w:tcW w:w="708" w:type="dxa"/>
            <w:tcBorders>
              <w:top w:val="single" w:sz="4" w:space="0" w:color="auto"/>
              <w:left w:val="nil"/>
              <w:right w:val="nil"/>
            </w:tcBorders>
            <w:shd w:val="clear" w:color="auto" w:fill="auto"/>
            <w:vAlign w:val="center"/>
            <w:hideMark/>
          </w:tcPr>
          <w:p w14:paraId="1E8F46A7" w14:textId="77777777" w:rsidR="00E91EE6" w:rsidRPr="00E91EE6" w:rsidRDefault="00E91EE6" w:rsidP="00E91EE6">
            <w:pPr>
              <w:spacing w:after="0" w:line="240" w:lineRule="auto"/>
              <w:jc w:val="center"/>
              <w:rPr>
                <w:rFonts w:cs="Times New Roman"/>
                <w:b/>
                <w:bCs/>
                <w:sz w:val="20"/>
                <w:szCs w:val="20"/>
                <w:lang w:eastAsia="sk-SK"/>
              </w:rPr>
            </w:pPr>
            <w:r w:rsidRPr="00E91EE6">
              <w:rPr>
                <w:rFonts w:cs="Times New Roman"/>
                <w:b/>
                <w:bCs/>
                <w:sz w:val="20"/>
                <w:szCs w:val="20"/>
                <w:lang w:eastAsia="sk-SK"/>
              </w:rPr>
              <w:t>-8,5</w:t>
            </w:r>
          </w:p>
        </w:tc>
      </w:tr>
      <w:tr w:rsidR="00E91EE6" w:rsidRPr="00E91EE6" w14:paraId="2F9A6F3C" w14:textId="77777777" w:rsidTr="00FA0777">
        <w:trPr>
          <w:trHeight w:val="345"/>
        </w:trPr>
        <w:tc>
          <w:tcPr>
            <w:tcW w:w="4111" w:type="dxa"/>
            <w:tcBorders>
              <w:top w:val="nil"/>
              <w:left w:val="nil"/>
              <w:right w:val="nil"/>
            </w:tcBorders>
            <w:shd w:val="clear" w:color="auto" w:fill="auto"/>
            <w:vAlign w:val="center"/>
            <w:hideMark/>
          </w:tcPr>
          <w:p w14:paraId="12B3EC6A" w14:textId="77777777" w:rsidR="00E91EE6" w:rsidRPr="00E91EE6" w:rsidRDefault="00E91EE6" w:rsidP="00CE4ED5">
            <w:pPr>
              <w:spacing w:after="0" w:line="240" w:lineRule="auto"/>
              <w:jc w:val="left"/>
              <w:rPr>
                <w:rFonts w:cs="Times New Roman"/>
                <w:bCs/>
                <w:sz w:val="20"/>
                <w:szCs w:val="20"/>
                <w:lang w:eastAsia="sk-SK"/>
              </w:rPr>
            </w:pPr>
            <w:r w:rsidRPr="00E91EE6">
              <w:rPr>
                <w:rFonts w:cs="Times New Roman"/>
                <w:bCs/>
                <w:sz w:val="20"/>
                <w:szCs w:val="20"/>
                <w:lang w:eastAsia="sk-SK"/>
              </w:rPr>
              <w:t xml:space="preserve">   Slovenský plynárenský priemysel, </w:t>
            </w:r>
            <w:proofErr w:type="spellStart"/>
            <w:r w:rsidRPr="00E91EE6">
              <w:rPr>
                <w:rFonts w:cs="Times New Roman"/>
                <w:bCs/>
                <w:sz w:val="20"/>
                <w:szCs w:val="20"/>
                <w:lang w:eastAsia="sk-SK"/>
              </w:rPr>
              <w:t>a.s</w:t>
            </w:r>
            <w:proofErr w:type="spellEnd"/>
            <w:r w:rsidRPr="00E91EE6">
              <w:rPr>
                <w:rFonts w:cs="Times New Roman"/>
                <w:bCs/>
                <w:sz w:val="20"/>
                <w:szCs w:val="20"/>
                <w:lang w:eastAsia="sk-SK"/>
              </w:rPr>
              <w:t>.</w:t>
            </w:r>
          </w:p>
        </w:tc>
        <w:tc>
          <w:tcPr>
            <w:tcW w:w="993" w:type="dxa"/>
            <w:tcBorders>
              <w:top w:val="nil"/>
              <w:left w:val="nil"/>
              <w:right w:val="nil"/>
            </w:tcBorders>
            <w:shd w:val="clear" w:color="auto" w:fill="auto"/>
            <w:vAlign w:val="center"/>
            <w:hideMark/>
          </w:tcPr>
          <w:p w14:paraId="1B81641E"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303 000</w:t>
            </w:r>
          </w:p>
        </w:tc>
        <w:tc>
          <w:tcPr>
            <w:tcW w:w="1134" w:type="dxa"/>
            <w:tcBorders>
              <w:top w:val="nil"/>
              <w:left w:val="nil"/>
              <w:right w:val="nil"/>
            </w:tcBorders>
            <w:shd w:val="clear" w:color="auto" w:fill="auto"/>
            <w:vAlign w:val="center"/>
            <w:hideMark/>
          </w:tcPr>
          <w:p w14:paraId="4DEAA2EC"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430 000</w:t>
            </w:r>
          </w:p>
        </w:tc>
        <w:tc>
          <w:tcPr>
            <w:tcW w:w="929" w:type="dxa"/>
            <w:tcBorders>
              <w:top w:val="nil"/>
              <w:left w:val="nil"/>
              <w:right w:val="nil"/>
            </w:tcBorders>
            <w:shd w:val="clear" w:color="auto" w:fill="auto"/>
            <w:vAlign w:val="center"/>
            <w:hideMark/>
          </w:tcPr>
          <w:p w14:paraId="3D791146"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300 000</w:t>
            </w:r>
          </w:p>
        </w:tc>
        <w:tc>
          <w:tcPr>
            <w:tcW w:w="1123" w:type="dxa"/>
            <w:tcBorders>
              <w:top w:val="nil"/>
              <w:left w:val="nil"/>
              <w:right w:val="nil"/>
            </w:tcBorders>
            <w:shd w:val="clear" w:color="auto" w:fill="BFBFBF" w:themeFill="background1" w:themeFillShade="BF"/>
            <w:vAlign w:val="center"/>
            <w:hideMark/>
          </w:tcPr>
          <w:p w14:paraId="68988697"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300 000</w:t>
            </w:r>
          </w:p>
        </w:tc>
        <w:tc>
          <w:tcPr>
            <w:tcW w:w="783" w:type="dxa"/>
            <w:tcBorders>
              <w:top w:val="nil"/>
              <w:left w:val="nil"/>
              <w:right w:val="nil"/>
            </w:tcBorders>
            <w:shd w:val="clear" w:color="auto" w:fill="auto"/>
            <w:vAlign w:val="center"/>
            <w:hideMark/>
          </w:tcPr>
          <w:p w14:paraId="3E7038BB"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0</w:t>
            </w:r>
          </w:p>
        </w:tc>
        <w:tc>
          <w:tcPr>
            <w:tcW w:w="708" w:type="dxa"/>
            <w:tcBorders>
              <w:top w:val="nil"/>
              <w:left w:val="nil"/>
              <w:right w:val="nil"/>
            </w:tcBorders>
            <w:shd w:val="clear" w:color="auto" w:fill="auto"/>
            <w:vAlign w:val="center"/>
            <w:hideMark/>
          </w:tcPr>
          <w:p w14:paraId="723D2AA8"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0,0</w:t>
            </w:r>
          </w:p>
        </w:tc>
      </w:tr>
      <w:tr w:rsidR="00E91EE6" w:rsidRPr="00E91EE6" w14:paraId="66F10614" w14:textId="77777777" w:rsidTr="00FA0777">
        <w:trPr>
          <w:trHeight w:val="345"/>
        </w:trPr>
        <w:tc>
          <w:tcPr>
            <w:tcW w:w="4111" w:type="dxa"/>
            <w:tcBorders>
              <w:top w:val="nil"/>
              <w:left w:val="nil"/>
              <w:right w:val="nil"/>
            </w:tcBorders>
            <w:shd w:val="clear" w:color="auto" w:fill="auto"/>
            <w:vAlign w:val="center"/>
            <w:hideMark/>
          </w:tcPr>
          <w:p w14:paraId="52AA228B" w14:textId="77777777" w:rsidR="00E91EE6" w:rsidRPr="00E91EE6" w:rsidRDefault="00E91EE6" w:rsidP="00CE4ED5">
            <w:pPr>
              <w:spacing w:after="0" w:line="240" w:lineRule="auto"/>
              <w:jc w:val="left"/>
              <w:rPr>
                <w:rFonts w:cs="Times New Roman"/>
                <w:bCs/>
                <w:sz w:val="20"/>
                <w:szCs w:val="20"/>
                <w:lang w:eastAsia="sk-SK"/>
              </w:rPr>
            </w:pPr>
            <w:r w:rsidRPr="00E91EE6">
              <w:rPr>
                <w:rFonts w:cs="Times New Roman"/>
                <w:bCs/>
                <w:sz w:val="20"/>
                <w:szCs w:val="20"/>
                <w:lang w:eastAsia="sk-SK"/>
              </w:rPr>
              <w:t xml:space="preserve">   Západoslovenská energetika, a. s.</w:t>
            </w:r>
          </w:p>
        </w:tc>
        <w:tc>
          <w:tcPr>
            <w:tcW w:w="993" w:type="dxa"/>
            <w:tcBorders>
              <w:top w:val="nil"/>
              <w:left w:val="nil"/>
              <w:right w:val="nil"/>
            </w:tcBorders>
            <w:shd w:val="clear" w:color="auto" w:fill="auto"/>
            <w:vAlign w:val="center"/>
            <w:hideMark/>
          </w:tcPr>
          <w:p w14:paraId="63FC0EDA"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29 361</w:t>
            </w:r>
          </w:p>
        </w:tc>
        <w:tc>
          <w:tcPr>
            <w:tcW w:w="1134" w:type="dxa"/>
            <w:tcBorders>
              <w:top w:val="nil"/>
              <w:left w:val="nil"/>
              <w:right w:val="nil"/>
            </w:tcBorders>
            <w:shd w:val="clear" w:color="auto" w:fill="auto"/>
            <w:vAlign w:val="center"/>
            <w:hideMark/>
          </w:tcPr>
          <w:p w14:paraId="57D2B1A9"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25 737</w:t>
            </w:r>
          </w:p>
        </w:tc>
        <w:tc>
          <w:tcPr>
            <w:tcW w:w="929" w:type="dxa"/>
            <w:tcBorders>
              <w:top w:val="nil"/>
              <w:left w:val="nil"/>
              <w:right w:val="nil"/>
            </w:tcBorders>
            <w:shd w:val="clear" w:color="auto" w:fill="auto"/>
            <w:vAlign w:val="center"/>
            <w:hideMark/>
          </w:tcPr>
          <w:p w14:paraId="48F692E2"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33 975</w:t>
            </w:r>
          </w:p>
        </w:tc>
        <w:tc>
          <w:tcPr>
            <w:tcW w:w="1123" w:type="dxa"/>
            <w:tcBorders>
              <w:top w:val="nil"/>
              <w:left w:val="nil"/>
              <w:right w:val="nil"/>
            </w:tcBorders>
            <w:shd w:val="clear" w:color="auto" w:fill="BFBFBF" w:themeFill="background1" w:themeFillShade="BF"/>
            <w:vAlign w:val="center"/>
            <w:hideMark/>
          </w:tcPr>
          <w:p w14:paraId="366DD6EC"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35 950</w:t>
            </w:r>
          </w:p>
        </w:tc>
        <w:tc>
          <w:tcPr>
            <w:tcW w:w="783" w:type="dxa"/>
            <w:tcBorders>
              <w:top w:val="nil"/>
              <w:left w:val="nil"/>
              <w:right w:val="nil"/>
            </w:tcBorders>
            <w:shd w:val="clear" w:color="auto" w:fill="auto"/>
            <w:vAlign w:val="center"/>
            <w:hideMark/>
          </w:tcPr>
          <w:p w14:paraId="2EDAE803"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1 975</w:t>
            </w:r>
          </w:p>
        </w:tc>
        <w:tc>
          <w:tcPr>
            <w:tcW w:w="708" w:type="dxa"/>
            <w:tcBorders>
              <w:top w:val="nil"/>
              <w:left w:val="nil"/>
              <w:right w:val="nil"/>
            </w:tcBorders>
            <w:shd w:val="clear" w:color="auto" w:fill="auto"/>
            <w:vAlign w:val="center"/>
            <w:hideMark/>
          </w:tcPr>
          <w:p w14:paraId="1F03917C"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5,8</w:t>
            </w:r>
          </w:p>
        </w:tc>
      </w:tr>
      <w:tr w:rsidR="00E91EE6" w:rsidRPr="00E91EE6" w14:paraId="18869F05" w14:textId="77777777" w:rsidTr="00FA0777">
        <w:trPr>
          <w:trHeight w:val="345"/>
        </w:trPr>
        <w:tc>
          <w:tcPr>
            <w:tcW w:w="4111" w:type="dxa"/>
            <w:tcBorders>
              <w:top w:val="nil"/>
              <w:left w:val="nil"/>
              <w:right w:val="nil"/>
            </w:tcBorders>
            <w:shd w:val="clear" w:color="auto" w:fill="auto"/>
            <w:vAlign w:val="center"/>
            <w:hideMark/>
          </w:tcPr>
          <w:p w14:paraId="47832AC5" w14:textId="77777777" w:rsidR="00E91EE6" w:rsidRPr="00E91EE6" w:rsidRDefault="00E91EE6" w:rsidP="00CE4ED5">
            <w:pPr>
              <w:spacing w:after="0" w:line="240" w:lineRule="auto"/>
              <w:jc w:val="left"/>
              <w:rPr>
                <w:rFonts w:cs="Times New Roman"/>
                <w:bCs/>
                <w:sz w:val="20"/>
                <w:szCs w:val="20"/>
                <w:lang w:eastAsia="sk-SK"/>
              </w:rPr>
            </w:pPr>
            <w:r w:rsidRPr="00E91EE6">
              <w:rPr>
                <w:rFonts w:cs="Times New Roman"/>
                <w:bCs/>
                <w:sz w:val="20"/>
                <w:szCs w:val="20"/>
                <w:lang w:eastAsia="sk-SK"/>
              </w:rPr>
              <w:t xml:space="preserve">   Stredoslovenská energetika, a s.</w:t>
            </w:r>
          </w:p>
        </w:tc>
        <w:tc>
          <w:tcPr>
            <w:tcW w:w="993" w:type="dxa"/>
            <w:tcBorders>
              <w:top w:val="nil"/>
              <w:left w:val="nil"/>
              <w:right w:val="nil"/>
            </w:tcBorders>
            <w:shd w:val="clear" w:color="auto" w:fill="auto"/>
            <w:vAlign w:val="center"/>
            <w:hideMark/>
          </w:tcPr>
          <w:p w14:paraId="0E0CAAED"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33 479</w:t>
            </w:r>
          </w:p>
        </w:tc>
        <w:tc>
          <w:tcPr>
            <w:tcW w:w="1134" w:type="dxa"/>
            <w:tcBorders>
              <w:top w:val="nil"/>
              <w:left w:val="nil"/>
              <w:right w:val="nil"/>
            </w:tcBorders>
            <w:shd w:val="clear" w:color="auto" w:fill="auto"/>
            <w:vAlign w:val="center"/>
            <w:hideMark/>
          </w:tcPr>
          <w:p w14:paraId="1705F408"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39 785</w:t>
            </w:r>
          </w:p>
        </w:tc>
        <w:tc>
          <w:tcPr>
            <w:tcW w:w="929" w:type="dxa"/>
            <w:tcBorders>
              <w:top w:val="nil"/>
              <w:left w:val="nil"/>
              <w:right w:val="nil"/>
            </w:tcBorders>
            <w:shd w:val="clear" w:color="auto" w:fill="auto"/>
            <w:vAlign w:val="center"/>
            <w:hideMark/>
          </w:tcPr>
          <w:p w14:paraId="5A6F97A5"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30 483</w:t>
            </w:r>
          </w:p>
        </w:tc>
        <w:tc>
          <w:tcPr>
            <w:tcW w:w="1123" w:type="dxa"/>
            <w:tcBorders>
              <w:top w:val="nil"/>
              <w:left w:val="nil"/>
              <w:right w:val="nil"/>
            </w:tcBorders>
            <w:shd w:val="clear" w:color="auto" w:fill="BFBFBF" w:themeFill="background1" w:themeFillShade="BF"/>
            <w:vAlign w:val="center"/>
            <w:hideMark/>
          </w:tcPr>
          <w:p w14:paraId="06196C63"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3 270</w:t>
            </w:r>
          </w:p>
        </w:tc>
        <w:tc>
          <w:tcPr>
            <w:tcW w:w="783" w:type="dxa"/>
            <w:tcBorders>
              <w:top w:val="nil"/>
              <w:left w:val="nil"/>
              <w:right w:val="nil"/>
            </w:tcBorders>
            <w:shd w:val="clear" w:color="auto" w:fill="auto"/>
            <w:vAlign w:val="center"/>
            <w:hideMark/>
          </w:tcPr>
          <w:p w14:paraId="185FC478"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-27 213</w:t>
            </w:r>
          </w:p>
        </w:tc>
        <w:tc>
          <w:tcPr>
            <w:tcW w:w="708" w:type="dxa"/>
            <w:tcBorders>
              <w:top w:val="nil"/>
              <w:left w:val="nil"/>
              <w:right w:val="nil"/>
            </w:tcBorders>
            <w:shd w:val="clear" w:color="auto" w:fill="auto"/>
            <w:vAlign w:val="center"/>
            <w:hideMark/>
          </w:tcPr>
          <w:p w14:paraId="2D00F368"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-89,3</w:t>
            </w:r>
          </w:p>
        </w:tc>
      </w:tr>
      <w:tr w:rsidR="00E91EE6" w:rsidRPr="00E91EE6" w14:paraId="60372A52" w14:textId="77777777" w:rsidTr="00FA0777">
        <w:trPr>
          <w:trHeight w:val="345"/>
        </w:trPr>
        <w:tc>
          <w:tcPr>
            <w:tcW w:w="4111" w:type="dxa"/>
            <w:tcBorders>
              <w:top w:val="nil"/>
              <w:left w:val="nil"/>
              <w:right w:val="nil"/>
            </w:tcBorders>
            <w:shd w:val="clear" w:color="auto" w:fill="auto"/>
            <w:vAlign w:val="center"/>
            <w:hideMark/>
          </w:tcPr>
          <w:p w14:paraId="7F8F4C2B" w14:textId="77777777" w:rsidR="00E91EE6" w:rsidRPr="00E91EE6" w:rsidRDefault="00E91EE6" w:rsidP="00CE4ED5">
            <w:pPr>
              <w:spacing w:after="0" w:line="240" w:lineRule="auto"/>
              <w:jc w:val="left"/>
              <w:rPr>
                <w:rFonts w:cs="Times New Roman"/>
                <w:bCs/>
                <w:sz w:val="20"/>
                <w:szCs w:val="20"/>
                <w:lang w:eastAsia="sk-SK"/>
              </w:rPr>
            </w:pPr>
            <w:r w:rsidRPr="00E91EE6">
              <w:rPr>
                <w:rFonts w:cs="Times New Roman"/>
                <w:bCs/>
                <w:sz w:val="20"/>
                <w:szCs w:val="20"/>
                <w:lang w:eastAsia="sk-SK"/>
              </w:rPr>
              <w:t xml:space="preserve">   Východoslovenská energetika HOLDING, </w:t>
            </w:r>
            <w:proofErr w:type="spellStart"/>
            <w:r w:rsidRPr="00E91EE6">
              <w:rPr>
                <w:rFonts w:cs="Times New Roman"/>
                <w:bCs/>
                <w:sz w:val="20"/>
                <w:szCs w:val="20"/>
                <w:lang w:eastAsia="sk-SK"/>
              </w:rPr>
              <w:t>a.s</w:t>
            </w:r>
            <w:proofErr w:type="spellEnd"/>
            <w:r w:rsidRPr="00E91EE6">
              <w:rPr>
                <w:rFonts w:cs="Times New Roman"/>
                <w:bCs/>
                <w:sz w:val="20"/>
                <w:szCs w:val="20"/>
                <w:lang w:eastAsia="sk-SK"/>
              </w:rPr>
              <w:t>.</w:t>
            </w:r>
          </w:p>
        </w:tc>
        <w:tc>
          <w:tcPr>
            <w:tcW w:w="993" w:type="dxa"/>
            <w:tcBorders>
              <w:top w:val="nil"/>
              <w:left w:val="nil"/>
              <w:right w:val="nil"/>
            </w:tcBorders>
            <w:shd w:val="clear" w:color="auto" w:fill="auto"/>
            <w:vAlign w:val="center"/>
            <w:hideMark/>
          </w:tcPr>
          <w:p w14:paraId="376A0728"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36 000</w:t>
            </w:r>
          </w:p>
        </w:tc>
        <w:tc>
          <w:tcPr>
            <w:tcW w:w="1134" w:type="dxa"/>
            <w:tcBorders>
              <w:top w:val="nil"/>
              <w:left w:val="nil"/>
              <w:right w:val="nil"/>
            </w:tcBorders>
            <w:shd w:val="clear" w:color="auto" w:fill="auto"/>
            <w:vAlign w:val="center"/>
            <w:hideMark/>
          </w:tcPr>
          <w:p w14:paraId="79A154FB"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28 722</w:t>
            </w:r>
          </w:p>
        </w:tc>
        <w:tc>
          <w:tcPr>
            <w:tcW w:w="929" w:type="dxa"/>
            <w:tcBorders>
              <w:top w:val="nil"/>
              <w:left w:val="nil"/>
              <w:right w:val="nil"/>
            </w:tcBorders>
            <w:shd w:val="clear" w:color="auto" w:fill="auto"/>
            <w:vAlign w:val="center"/>
            <w:hideMark/>
          </w:tcPr>
          <w:p w14:paraId="3D461E04"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31 671</w:t>
            </w:r>
          </w:p>
        </w:tc>
        <w:tc>
          <w:tcPr>
            <w:tcW w:w="1123" w:type="dxa"/>
            <w:tcBorders>
              <w:top w:val="nil"/>
              <w:left w:val="nil"/>
              <w:right w:val="nil"/>
            </w:tcBorders>
            <w:shd w:val="clear" w:color="auto" w:fill="BFBFBF" w:themeFill="background1" w:themeFillShade="BF"/>
            <w:vAlign w:val="center"/>
            <w:hideMark/>
          </w:tcPr>
          <w:p w14:paraId="45FA4A9B"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23 411</w:t>
            </w:r>
          </w:p>
        </w:tc>
        <w:tc>
          <w:tcPr>
            <w:tcW w:w="783" w:type="dxa"/>
            <w:tcBorders>
              <w:top w:val="nil"/>
              <w:left w:val="nil"/>
              <w:right w:val="nil"/>
            </w:tcBorders>
            <w:shd w:val="clear" w:color="auto" w:fill="auto"/>
            <w:vAlign w:val="center"/>
            <w:hideMark/>
          </w:tcPr>
          <w:p w14:paraId="2E0CFD44"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-8 260</w:t>
            </w:r>
          </w:p>
        </w:tc>
        <w:tc>
          <w:tcPr>
            <w:tcW w:w="708" w:type="dxa"/>
            <w:tcBorders>
              <w:top w:val="nil"/>
              <w:left w:val="nil"/>
              <w:right w:val="nil"/>
            </w:tcBorders>
            <w:shd w:val="clear" w:color="auto" w:fill="auto"/>
            <w:vAlign w:val="center"/>
            <w:hideMark/>
          </w:tcPr>
          <w:p w14:paraId="435CF531"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-26,1</w:t>
            </w:r>
          </w:p>
        </w:tc>
      </w:tr>
      <w:tr w:rsidR="00E91EE6" w:rsidRPr="00E91EE6" w14:paraId="4FDD44C9" w14:textId="77777777" w:rsidTr="00FA0777">
        <w:trPr>
          <w:trHeight w:val="345"/>
        </w:trPr>
        <w:tc>
          <w:tcPr>
            <w:tcW w:w="4111" w:type="dxa"/>
            <w:tcBorders>
              <w:top w:val="nil"/>
              <w:left w:val="nil"/>
              <w:right w:val="nil"/>
            </w:tcBorders>
            <w:shd w:val="clear" w:color="auto" w:fill="auto"/>
            <w:vAlign w:val="center"/>
            <w:hideMark/>
          </w:tcPr>
          <w:p w14:paraId="6370D190" w14:textId="77777777" w:rsidR="00E91EE6" w:rsidRPr="00E91EE6" w:rsidRDefault="00E91EE6" w:rsidP="00CE4ED5">
            <w:pPr>
              <w:spacing w:after="0" w:line="240" w:lineRule="auto"/>
              <w:jc w:val="left"/>
              <w:rPr>
                <w:rFonts w:cs="Times New Roman"/>
                <w:b/>
                <w:bCs/>
                <w:sz w:val="20"/>
                <w:szCs w:val="20"/>
                <w:lang w:eastAsia="sk-SK"/>
              </w:rPr>
            </w:pPr>
            <w:r w:rsidRPr="00E91EE6">
              <w:rPr>
                <w:rFonts w:cs="Times New Roman"/>
                <w:b/>
                <w:bCs/>
                <w:sz w:val="20"/>
                <w:szCs w:val="20"/>
                <w:lang w:eastAsia="sk-SK"/>
              </w:rPr>
              <w:t>Ministerstvo financií SR</w:t>
            </w:r>
          </w:p>
        </w:tc>
        <w:tc>
          <w:tcPr>
            <w:tcW w:w="993" w:type="dxa"/>
            <w:tcBorders>
              <w:top w:val="nil"/>
              <w:left w:val="nil"/>
              <w:right w:val="nil"/>
            </w:tcBorders>
            <w:shd w:val="clear" w:color="auto" w:fill="auto"/>
            <w:vAlign w:val="center"/>
            <w:hideMark/>
          </w:tcPr>
          <w:p w14:paraId="7A24621E" w14:textId="77777777" w:rsidR="00E91EE6" w:rsidRPr="00E91EE6" w:rsidRDefault="00E91EE6" w:rsidP="00E91EE6">
            <w:pPr>
              <w:spacing w:after="0" w:line="240" w:lineRule="auto"/>
              <w:jc w:val="center"/>
              <w:rPr>
                <w:rFonts w:cs="Times New Roman"/>
                <w:b/>
                <w:bCs/>
                <w:sz w:val="20"/>
                <w:szCs w:val="20"/>
                <w:lang w:eastAsia="sk-SK"/>
              </w:rPr>
            </w:pPr>
            <w:r w:rsidRPr="00E91EE6">
              <w:rPr>
                <w:rFonts w:cs="Times New Roman"/>
                <w:b/>
                <w:bCs/>
                <w:sz w:val="20"/>
                <w:szCs w:val="20"/>
                <w:lang w:eastAsia="sk-SK"/>
              </w:rPr>
              <w:t>62 572</w:t>
            </w:r>
          </w:p>
        </w:tc>
        <w:tc>
          <w:tcPr>
            <w:tcW w:w="1134" w:type="dxa"/>
            <w:tcBorders>
              <w:top w:val="nil"/>
              <w:left w:val="nil"/>
              <w:right w:val="nil"/>
            </w:tcBorders>
            <w:shd w:val="clear" w:color="auto" w:fill="auto"/>
            <w:vAlign w:val="center"/>
            <w:hideMark/>
          </w:tcPr>
          <w:p w14:paraId="60D50CD0" w14:textId="77777777" w:rsidR="00E91EE6" w:rsidRPr="00E91EE6" w:rsidRDefault="00E91EE6" w:rsidP="00E91EE6">
            <w:pPr>
              <w:spacing w:after="0" w:line="240" w:lineRule="auto"/>
              <w:jc w:val="center"/>
              <w:rPr>
                <w:rFonts w:cs="Times New Roman"/>
                <w:b/>
                <w:bCs/>
                <w:sz w:val="20"/>
                <w:szCs w:val="20"/>
                <w:lang w:eastAsia="sk-SK"/>
              </w:rPr>
            </w:pPr>
            <w:r w:rsidRPr="00E91EE6">
              <w:rPr>
                <w:rFonts w:cs="Times New Roman"/>
                <w:b/>
                <w:bCs/>
                <w:sz w:val="20"/>
                <w:szCs w:val="20"/>
                <w:lang w:eastAsia="sk-SK"/>
              </w:rPr>
              <w:t>69 130</w:t>
            </w:r>
          </w:p>
        </w:tc>
        <w:tc>
          <w:tcPr>
            <w:tcW w:w="929" w:type="dxa"/>
            <w:tcBorders>
              <w:top w:val="nil"/>
              <w:left w:val="nil"/>
              <w:right w:val="nil"/>
            </w:tcBorders>
            <w:shd w:val="clear" w:color="auto" w:fill="auto"/>
            <w:vAlign w:val="center"/>
            <w:hideMark/>
          </w:tcPr>
          <w:p w14:paraId="68596166" w14:textId="77777777" w:rsidR="00E91EE6" w:rsidRPr="00E91EE6" w:rsidRDefault="00E91EE6" w:rsidP="00E91EE6">
            <w:pPr>
              <w:spacing w:after="0" w:line="240" w:lineRule="auto"/>
              <w:jc w:val="center"/>
              <w:rPr>
                <w:rFonts w:cs="Times New Roman"/>
                <w:b/>
                <w:bCs/>
                <w:sz w:val="20"/>
                <w:szCs w:val="20"/>
                <w:lang w:eastAsia="sk-SK"/>
              </w:rPr>
            </w:pPr>
            <w:r w:rsidRPr="00E91EE6">
              <w:rPr>
                <w:rFonts w:cs="Times New Roman"/>
                <w:b/>
                <w:bCs/>
                <w:sz w:val="20"/>
                <w:szCs w:val="20"/>
                <w:lang w:eastAsia="sk-SK"/>
              </w:rPr>
              <w:t>19 560</w:t>
            </w:r>
          </w:p>
        </w:tc>
        <w:tc>
          <w:tcPr>
            <w:tcW w:w="1123" w:type="dxa"/>
            <w:tcBorders>
              <w:top w:val="nil"/>
              <w:left w:val="nil"/>
              <w:right w:val="nil"/>
            </w:tcBorders>
            <w:shd w:val="clear" w:color="auto" w:fill="BFBFBF" w:themeFill="background1" w:themeFillShade="BF"/>
            <w:vAlign w:val="center"/>
            <w:hideMark/>
          </w:tcPr>
          <w:p w14:paraId="47FA7E17" w14:textId="77777777" w:rsidR="00E91EE6" w:rsidRPr="00E91EE6" w:rsidRDefault="00E91EE6" w:rsidP="00E91EE6">
            <w:pPr>
              <w:spacing w:after="0" w:line="240" w:lineRule="auto"/>
              <w:jc w:val="center"/>
              <w:rPr>
                <w:rFonts w:cs="Times New Roman"/>
                <w:b/>
                <w:bCs/>
                <w:sz w:val="20"/>
                <w:szCs w:val="20"/>
                <w:lang w:eastAsia="sk-SK"/>
              </w:rPr>
            </w:pPr>
            <w:r w:rsidRPr="00E91EE6">
              <w:rPr>
                <w:rFonts w:cs="Times New Roman"/>
                <w:b/>
                <w:bCs/>
                <w:sz w:val="20"/>
                <w:szCs w:val="20"/>
                <w:lang w:eastAsia="sk-SK"/>
              </w:rPr>
              <w:t>69 092</w:t>
            </w:r>
          </w:p>
        </w:tc>
        <w:tc>
          <w:tcPr>
            <w:tcW w:w="783" w:type="dxa"/>
            <w:tcBorders>
              <w:top w:val="nil"/>
              <w:left w:val="nil"/>
              <w:right w:val="nil"/>
            </w:tcBorders>
            <w:shd w:val="clear" w:color="auto" w:fill="auto"/>
            <w:vAlign w:val="center"/>
            <w:hideMark/>
          </w:tcPr>
          <w:p w14:paraId="6FC411BE" w14:textId="77777777" w:rsidR="00E91EE6" w:rsidRPr="00E91EE6" w:rsidRDefault="00E91EE6" w:rsidP="00E91EE6">
            <w:pPr>
              <w:spacing w:after="0" w:line="240" w:lineRule="auto"/>
              <w:jc w:val="center"/>
              <w:rPr>
                <w:rFonts w:cs="Times New Roman"/>
                <w:b/>
                <w:bCs/>
                <w:sz w:val="20"/>
                <w:szCs w:val="20"/>
                <w:lang w:eastAsia="sk-SK"/>
              </w:rPr>
            </w:pPr>
            <w:r w:rsidRPr="00E91EE6">
              <w:rPr>
                <w:rFonts w:cs="Times New Roman"/>
                <w:b/>
                <w:bCs/>
                <w:sz w:val="20"/>
                <w:szCs w:val="20"/>
                <w:lang w:eastAsia="sk-SK"/>
              </w:rPr>
              <w:t>49 532</w:t>
            </w:r>
          </w:p>
        </w:tc>
        <w:tc>
          <w:tcPr>
            <w:tcW w:w="708" w:type="dxa"/>
            <w:tcBorders>
              <w:top w:val="nil"/>
              <w:left w:val="nil"/>
              <w:right w:val="nil"/>
            </w:tcBorders>
            <w:shd w:val="clear" w:color="auto" w:fill="auto"/>
            <w:vAlign w:val="center"/>
            <w:hideMark/>
          </w:tcPr>
          <w:p w14:paraId="4FE99A9C" w14:textId="77777777" w:rsidR="00E91EE6" w:rsidRPr="00E91EE6" w:rsidRDefault="00E91EE6" w:rsidP="00E91EE6">
            <w:pPr>
              <w:spacing w:after="0" w:line="240" w:lineRule="auto"/>
              <w:jc w:val="center"/>
              <w:rPr>
                <w:rFonts w:cs="Times New Roman"/>
                <w:b/>
                <w:bCs/>
                <w:sz w:val="20"/>
                <w:szCs w:val="20"/>
                <w:lang w:eastAsia="sk-SK"/>
              </w:rPr>
            </w:pPr>
            <w:r w:rsidRPr="00E91EE6">
              <w:rPr>
                <w:rFonts w:cs="Times New Roman"/>
                <w:b/>
                <w:bCs/>
                <w:sz w:val="20"/>
                <w:szCs w:val="20"/>
                <w:lang w:eastAsia="sk-SK"/>
              </w:rPr>
              <w:t>253,2</w:t>
            </w:r>
          </w:p>
        </w:tc>
      </w:tr>
      <w:tr w:rsidR="00E91EE6" w:rsidRPr="00E91EE6" w14:paraId="3A36644A" w14:textId="77777777" w:rsidTr="00FA0777">
        <w:trPr>
          <w:trHeight w:val="345"/>
        </w:trPr>
        <w:tc>
          <w:tcPr>
            <w:tcW w:w="4111" w:type="dxa"/>
            <w:tcBorders>
              <w:top w:val="nil"/>
              <w:left w:val="nil"/>
              <w:right w:val="nil"/>
            </w:tcBorders>
            <w:shd w:val="clear" w:color="auto" w:fill="auto"/>
            <w:vAlign w:val="center"/>
            <w:hideMark/>
          </w:tcPr>
          <w:p w14:paraId="76A4C55B" w14:textId="07EC16FB" w:rsidR="00E91EE6" w:rsidRPr="00E91EE6" w:rsidRDefault="00E91EE6" w:rsidP="00FA0777">
            <w:pPr>
              <w:spacing w:after="0" w:line="240" w:lineRule="auto"/>
              <w:jc w:val="left"/>
              <w:rPr>
                <w:rFonts w:cs="Times New Roman"/>
                <w:bCs/>
                <w:sz w:val="20"/>
                <w:szCs w:val="20"/>
                <w:lang w:eastAsia="sk-SK"/>
              </w:rPr>
            </w:pPr>
            <w:r w:rsidRPr="00E91EE6">
              <w:rPr>
                <w:rFonts w:cs="Times New Roman"/>
                <w:bCs/>
                <w:sz w:val="20"/>
                <w:szCs w:val="20"/>
                <w:lang w:eastAsia="sk-SK"/>
              </w:rPr>
              <w:t xml:space="preserve">     Tipos, národná lotériová spoločnosť, </w:t>
            </w:r>
            <w:proofErr w:type="spellStart"/>
            <w:r w:rsidRPr="00E91EE6">
              <w:rPr>
                <w:rFonts w:cs="Times New Roman"/>
                <w:bCs/>
                <w:sz w:val="20"/>
                <w:szCs w:val="20"/>
                <w:lang w:eastAsia="sk-SK"/>
              </w:rPr>
              <w:t>a.s</w:t>
            </w:r>
            <w:proofErr w:type="spellEnd"/>
            <w:r w:rsidRPr="00E91EE6">
              <w:rPr>
                <w:rFonts w:cs="Times New Roman"/>
                <w:bCs/>
                <w:sz w:val="20"/>
                <w:szCs w:val="20"/>
                <w:lang w:eastAsia="sk-SK"/>
              </w:rPr>
              <w:t xml:space="preserve">. </w:t>
            </w:r>
          </w:p>
        </w:tc>
        <w:tc>
          <w:tcPr>
            <w:tcW w:w="993" w:type="dxa"/>
            <w:tcBorders>
              <w:top w:val="nil"/>
              <w:left w:val="nil"/>
              <w:right w:val="nil"/>
            </w:tcBorders>
            <w:shd w:val="clear" w:color="auto" w:fill="auto"/>
            <w:vAlign w:val="center"/>
            <w:hideMark/>
          </w:tcPr>
          <w:p w14:paraId="2A343B4E"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5 000</w:t>
            </w:r>
          </w:p>
        </w:tc>
        <w:tc>
          <w:tcPr>
            <w:tcW w:w="1134" w:type="dxa"/>
            <w:tcBorders>
              <w:top w:val="nil"/>
              <w:left w:val="nil"/>
              <w:right w:val="nil"/>
            </w:tcBorders>
            <w:shd w:val="clear" w:color="auto" w:fill="auto"/>
            <w:vAlign w:val="center"/>
            <w:hideMark/>
          </w:tcPr>
          <w:p w14:paraId="30D3F3EE"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8 000</w:t>
            </w:r>
          </w:p>
        </w:tc>
        <w:tc>
          <w:tcPr>
            <w:tcW w:w="929" w:type="dxa"/>
            <w:tcBorders>
              <w:top w:val="nil"/>
              <w:left w:val="nil"/>
              <w:right w:val="nil"/>
            </w:tcBorders>
            <w:shd w:val="clear" w:color="auto" w:fill="auto"/>
            <w:vAlign w:val="center"/>
            <w:hideMark/>
          </w:tcPr>
          <w:p w14:paraId="4E41CE12"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3 000</w:t>
            </w:r>
          </w:p>
        </w:tc>
        <w:tc>
          <w:tcPr>
            <w:tcW w:w="1123" w:type="dxa"/>
            <w:tcBorders>
              <w:top w:val="nil"/>
              <w:left w:val="nil"/>
              <w:right w:val="nil"/>
            </w:tcBorders>
            <w:shd w:val="clear" w:color="auto" w:fill="BFBFBF" w:themeFill="background1" w:themeFillShade="BF"/>
            <w:vAlign w:val="center"/>
            <w:hideMark/>
          </w:tcPr>
          <w:p w14:paraId="4D8B75DC"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6 000</w:t>
            </w:r>
          </w:p>
        </w:tc>
        <w:tc>
          <w:tcPr>
            <w:tcW w:w="783" w:type="dxa"/>
            <w:tcBorders>
              <w:top w:val="nil"/>
              <w:left w:val="nil"/>
              <w:right w:val="nil"/>
            </w:tcBorders>
            <w:shd w:val="clear" w:color="auto" w:fill="auto"/>
            <w:vAlign w:val="center"/>
            <w:hideMark/>
          </w:tcPr>
          <w:p w14:paraId="7A355348"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3 000</w:t>
            </w:r>
          </w:p>
        </w:tc>
        <w:tc>
          <w:tcPr>
            <w:tcW w:w="708" w:type="dxa"/>
            <w:tcBorders>
              <w:top w:val="nil"/>
              <w:left w:val="nil"/>
              <w:right w:val="nil"/>
            </w:tcBorders>
            <w:shd w:val="clear" w:color="auto" w:fill="auto"/>
            <w:vAlign w:val="center"/>
            <w:hideMark/>
          </w:tcPr>
          <w:p w14:paraId="6AC8F39B"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100,0</w:t>
            </w:r>
          </w:p>
        </w:tc>
      </w:tr>
      <w:tr w:rsidR="00E91EE6" w:rsidRPr="00E91EE6" w14:paraId="1F4E2EF4" w14:textId="77777777" w:rsidTr="00FA0777">
        <w:trPr>
          <w:trHeight w:val="345"/>
        </w:trPr>
        <w:tc>
          <w:tcPr>
            <w:tcW w:w="4111" w:type="dxa"/>
            <w:tcBorders>
              <w:top w:val="nil"/>
              <w:left w:val="nil"/>
              <w:right w:val="nil"/>
            </w:tcBorders>
            <w:shd w:val="clear" w:color="auto" w:fill="auto"/>
            <w:vAlign w:val="center"/>
            <w:hideMark/>
          </w:tcPr>
          <w:p w14:paraId="53B242C6" w14:textId="77777777" w:rsidR="00E91EE6" w:rsidRPr="00E91EE6" w:rsidRDefault="00E91EE6" w:rsidP="00CE4ED5">
            <w:pPr>
              <w:spacing w:after="0" w:line="240" w:lineRule="auto"/>
              <w:jc w:val="left"/>
              <w:rPr>
                <w:rFonts w:cs="Times New Roman"/>
                <w:bCs/>
                <w:sz w:val="20"/>
                <w:szCs w:val="20"/>
                <w:lang w:eastAsia="sk-SK"/>
              </w:rPr>
            </w:pPr>
            <w:r w:rsidRPr="00E91EE6">
              <w:rPr>
                <w:rFonts w:cs="Times New Roman"/>
                <w:bCs/>
                <w:sz w:val="20"/>
                <w:szCs w:val="20"/>
                <w:lang w:eastAsia="sk-SK"/>
              </w:rPr>
              <w:t xml:space="preserve">     Slovenská konsolidačná, </w:t>
            </w:r>
            <w:proofErr w:type="spellStart"/>
            <w:r w:rsidRPr="00E91EE6">
              <w:rPr>
                <w:rFonts w:cs="Times New Roman"/>
                <w:bCs/>
                <w:sz w:val="20"/>
                <w:szCs w:val="20"/>
                <w:lang w:eastAsia="sk-SK"/>
              </w:rPr>
              <w:t>a.s</w:t>
            </w:r>
            <w:proofErr w:type="spellEnd"/>
            <w:r w:rsidRPr="00E91EE6">
              <w:rPr>
                <w:rFonts w:cs="Times New Roman"/>
                <w:bCs/>
                <w:sz w:val="20"/>
                <w:szCs w:val="20"/>
                <w:lang w:eastAsia="sk-SK"/>
              </w:rPr>
              <w:t>. Bratislava</w:t>
            </w:r>
          </w:p>
        </w:tc>
        <w:tc>
          <w:tcPr>
            <w:tcW w:w="993" w:type="dxa"/>
            <w:tcBorders>
              <w:top w:val="nil"/>
              <w:left w:val="nil"/>
              <w:right w:val="nil"/>
            </w:tcBorders>
            <w:shd w:val="clear" w:color="auto" w:fill="auto"/>
            <w:vAlign w:val="center"/>
            <w:hideMark/>
          </w:tcPr>
          <w:p w14:paraId="78B8823D"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2 221</w:t>
            </w:r>
          </w:p>
        </w:tc>
        <w:tc>
          <w:tcPr>
            <w:tcW w:w="1134" w:type="dxa"/>
            <w:tcBorders>
              <w:top w:val="nil"/>
              <w:left w:val="nil"/>
              <w:right w:val="nil"/>
            </w:tcBorders>
            <w:shd w:val="clear" w:color="auto" w:fill="auto"/>
            <w:vAlign w:val="center"/>
            <w:hideMark/>
          </w:tcPr>
          <w:p w14:paraId="596955F8"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2 130</w:t>
            </w:r>
          </w:p>
        </w:tc>
        <w:tc>
          <w:tcPr>
            <w:tcW w:w="929" w:type="dxa"/>
            <w:tcBorders>
              <w:top w:val="nil"/>
              <w:left w:val="nil"/>
              <w:right w:val="nil"/>
            </w:tcBorders>
            <w:shd w:val="clear" w:color="auto" w:fill="auto"/>
            <w:vAlign w:val="center"/>
            <w:hideMark/>
          </w:tcPr>
          <w:p w14:paraId="3913F604"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844</w:t>
            </w:r>
          </w:p>
        </w:tc>
        <w:tc>
          <w:tcPr>
            <w:tcW w:w="1123" w:type="dxa"/>
            <w:tcBorders>
              <w:top w:val="nil"/>
              <w:left w:val="nil"/>
              <w:right w:val="nil"/>
            </w:tcBorders>
            <w:shd w:val="clear" w:color="auto" w:fill="BFBFBF" w:themeFill="background1" w:themeFillShade="BF"/>
            <w:vAlign w:val="center"/>
            <w:hideMark/>
          </w:tcPr>
          <w:p w14:paraId="4DD1D902"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1 742</w:t>
            </w:r>
          </w:p>
        </w:tc>
        <w:tc>
          <w:tcPr>
            <w:tcW w:w="783" w:type="dxa"/>
            <w:tcBorders>
              <w:top w:val="nil"/>
              <w:left w:val="nil"/>
              <w:right w:val="nil"/>
            </w:tcBorders>
            <w:shd w:val="clear" w:color="auto" w:fill="auto"/>
            <w:vAlign w:val="center"/>
            <w:hideMark/>
          </w:tcPr>
          <w:p w14:paraId="067F0E9A"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898</w:t>
            </w:r>
          </w:p>
        </w:tc>
        <w:tc>
          <w:tcPr>
            <w:tcW w:w="708" w:type="dxa"/>
            <w:tcBorders>
              <w:top w:val="nil"/>
              <w:left w:val="nil"/>
              <w:right w:val="nil"/>
            </w:tcBorders>
            <w:shd w:val="clear" w:color="auto" w:fill="auto"/>
            <w:vAlign w:val="center"/>
            <w:hideMark/>
          </w:tcPr>
          <w:p w14:paraId="535FDA7F"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106,4</w:t>
            </w:r>
          </w:p>
        </w:tc>
      </w:tr>
      <w:tr w:rsidR="00E91EE6" w:rsidRPr="00E91EE6" w14:paraId="798D6BDE" w14:textId="77777777" w:rsidTr="00FA0777">
        <w:trPr>
          <w:trHeight w:val="345"/>
        </w:trPr>
        <w:tc>
          <w:tcPr>
            <w:tcW w:w="4111" w:type="dxa"/>
            <w:tcBorders>
              <w:top w:val="nil"/>
              <w:left w:val="nil"/>
              <w:right w:val="nil"/>
            </w:tcBorders>
            <w:shd w:val="clear" w:color="auto" w:fill="auto"/>
            <w:vAlign w:val="center"/>
            <w:hideMark/>
          </w:tcPr>
          <w:p w14:paraId="156C00F0" w14:textId="77777777" w:rsidR="00E91EE6" w:rsidRPr="00E91EE6" w:rsidRDefault="00E91EE6" w:rsidP="00CE4ED5">
            <w:pPr>
              <w:spacing w:after="0" w:line="240" w:lineRule="auto"/>
              <w:jc w:val="left"/>
              <w:rPr>
                <w:rFonts w:cs="Times New Roman"/>
                <w:bCs/>
                <w:sz w:val="20"/>
                <w:szCs w:val="20"/>
                <w:lang w:eastAsia="sk-SK"/>
              </w:rPr>
            </w:pPr>
            <w:r w:rsidRPr="00E91EE6">
              <w:rPr>
                <w:rFonts w:cs="Times New Roman"/>
                <w:bCs/>
                <w:sz w:val="20"/>
                <w:szCs w:val="20"/>
                <w:lang w:eastAsia="sk-SK"/>
              </w:rPr>
              <w:t xml:space="preserve">     Slovenská záručná a rozvojová banka, </w:t>
            </w:r>
            <w:proofErr w:type="spellStart"/>
            <w:r w:rsidRPr="00E91EE6">
              <w:rPr>
                <w:rFonts w:cs="Times New Roman"/>
                <w:bCs/>
                <w:sz w:val="20"/>
                <w:szCs w:val="20"/>
                <w:lang w:eastAsia="sk-SK"/>
              </w:rPr>
              <w:t>a.s</w:t>
            </w:r>
            <w:proofErr w:type="spellEnd"/>
            <w:r w:rsidRPr="00E91EE6">
              <w:rPr>
                <w:rFonts w:cs="Times New Roman"/>
                <w:bCs/>
                <w:sz w:val="20"/>
                <w:szCs w:val="20"/>
                <w:lang w:eastAsia="sk-SK"/>
              </w:rPr>
              <w:t>.</w:t>
            </w:r>
          </w:p>
        </w:tc>
        <w:tc>
          <w:tcPr>
            <w:tcW w:w="993" w:type="dxa"/>
            <w:tcBorders>
              <w:top w:val="nil"/>
              <w:left w:val="nil"/>
              <w:right w:val="nil"/>
            </w:tcBorders>
            <w:shd w:val="clear" w:color="auto" w:fill="auto"/>
            <w:vAlign w:val="center"/>
            <w:hideMark/>
          </w:tcPr>
          <w:p w14:paraId="6B6CB6CD"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2 000</w:t>
            </w:r>
          </w:p>
        </w:tc>
        <w:tc>
          <w:tcPr>
            <w:tcW w:w="1134" w:type="dxa"/>
            <w:tcBorders>
              <w:top w:val="nil"/>
              <w:left w:val="nil"/>
              <w:right w:val="nil"/>
            </w:tcBorders>
            <w:shd w:val="clear" w:color="auto" w:fill="auto"/>
            <w:vAlign w:val="center"/>
            <w:hideMark/>
          </w:tcPr>
          <w:p w14:paraId="44ADB87B"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2 000</w:t>
            </w:r>
          </w:p>
        </w:tc>
        <w:tc>
          <w:tcPr>
            <w:tcW w:w="929" w:type="dxa"/>
            <w:tcBorders>
              <w:top w:val="nil"/>
              <w:left w:val="nil"/>
              <w:right w:val="nil"/>
            </w:tcBorders>
            <w:shd w:val="clear" w:color="auto" w:fill="auto"/>
            <w:vAlign w:val="center"/>
            <w:hideMark/>
          </w:tcPr>
          <w:p w14:paraId="578B10A3"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1 000</w:t>
            </w:r>
          </w:p>
        </w:tc>
        <w:tc>
          <w:tcPr>
            <w:tcW w:w="1123" w:type="dxa"/>
            <w:tcBorders>
              <w:top w:val="nil"/>
              <w:left w:val="nil"/>
              <w:right w:val="nil"/>
            </w:tcBorders>
            <w:shd w:val="clear" w:color="auto" w:fill="BFBFBF" w:themeFill="background1" w:themeFillShade="BF"/>
            <w:vAlign w:val="center"/>
            <w:hideMark/>
          </w:tcPr>
          <w:p w14:paraId="0D0A21C6"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2 350</w:t>
            </w:r>
          </w:p>
        </w:tc>
        <w:tc>
          <w:tcPr>
            <w:tcW w:w="783" w:type="dxa"/>
            <w:tcBorders>
              <w:top w:val="nil"/>
              <w:left w:val="nil"/>
              <w:right w:val="nil"/>
            </w:tcBorders>
            <w:shd w:val="clear" w:color="auto" w:fill="auto"/>
            <w:vAlign w:val="center"/>
            <w:hideMark/>
          </w:tcPr>
          <w:p w14:paraId="58BE5343"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1 350</w:t>
            </w:r>
          </w:p>
        </w:tc>
        <w:tc>
          <w:tcPr>
            <w:tcW w:w="708" w:type="dxa"/>
            <w:tcBorders>
              <w:top w:val="nil"/>
              <w:left w:val="nil"/>
              <w:right w:val="nil"/>
            </w:tcBorders>
            <w:shd w:val="clear" w:color="auto" w:fill="auto"/>
            <w:vAlign w:val="center"/>
            <w:hideMark/>
          </w:tcPr>
          <w:p w14:paraId="188D233C"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135,0</w:t>
            </w:r>
          </w:p>
        </w:tc>
      </w:tr>
      <w:tr w:rsidR="00E91EE6" w:rsidRPr="00E91EE6" w14:paraId="23C6C052" w14:textId="77777777" w:rsidTr="00FA0777">
        <w:trPr>
          <w:trHeight w:val="345"/>
        </w:trPr>
        <w:tc>
          <w:tcPr>
            <w:tcW w:w="4111" w:type="dxa"/>
            <w:tcBorders>
              <w:top w:val="nil"/>
              <w:left w:val="nil"/>
              <w:right w:val="nil"/>
            </w:tcBorders>
            <w:shd w:val="clear" w:color="auto" w:fill="auto"/>
            <w:vAlign w:val="center"/>
            <w:hideMark/>
          </w:tcPr>
          <w:p w14:paraId="417010E5" w14:textId="77777777" w:rsidR="00E91EE6" w:rsidRPr="00E91EE6" w:rsidRDefault="00E91EE6" w:rsidP="00CE4ED5">
            <w:pPr>
              <w:spacing w:after="0" w:line="240" w:lineRule="auto"/>
              <w:jc w:val="left"/>
              <w:rPr>
                <w:rFonts w:cs="Times New Roman"/>
                <w:bCs/>
                <w:sz w:val="20"/>
                <w:szCs w:val="20"/>
                <w:lang w:eastAsia="sk-SK"/>
              </w:rPr>
            </w:pPr>
            <w:r w:rsidRPr="00E91EE6">
              <w:rPr>
                <w:rFonts w:cs="Times New Roman"/>
                <w:bCs/>
                <w:sz w:val="20"/>
                <w:szCs w:val="20"/>
                <w:lang w:eastAsia="sk-SK"/>
              </w:rPr>
              <w:t xml:space="preserve">     Slovenská elektrizačná prenosová sústava, </w:t>
            </w:r>
            <w:proofErr w:type="spellStart"/>
            <w:r w:rsidRPr="00E91EE6">
              <w:rPr>
                <w:rFonts w:cs="Times New Roman"/>
                <w:bCs/>
                <w:sz w:val="20"/>
                <w:szCs w:val="20"/>
                <w:lang w:eastAsia="sk-SK"/>
              </w:rPr>
              <w:t>a.s</w:t>
            </w:r>
            <w:proofErr w:type="spellEnd"/>
            <w:r w:rsidRPr="00E91EE6">
              <w:rPr>
                <w:rFonts w:cs="Times New Roman"/>
                <w:bCs/>
                <w:sz w:val="20"/>
                <w:szCs w:val="20"/>
                <w:lang w:eastAsia="sk-SK"/>
              </w:rPr>
              <w:t>.</w:t>
            </w:r>
          </w:p>
        </w:tc>
        <w:tc>
          <w:tcPr>
            <w:tcW w:w="993" w:type="dxa"/>
            <w:tcBorders>
              <w:top w:val="nil"/>
              <w:left w:val="nil"/>
              <w:right w:val="nil"/>
            </w:tcBorders>
            <w:shd w:val="clear" w:color="auto" w:fill="auto"/>
            <w:vAlign w:val="center"/>
            <w:hideMark/>
          </w:tcPr>
          <w:p w14:paraId="0344F4BE"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53 351</w:t>
            </w:r>
          </w:p>
        </w:tc>
        <w:tc>
          <w:tcPr>
            <w:tcW w:w="1134" w:type="dxa"/>
            <w:tcBorders>
              <w:top w:val="nil"/>
              <w:left w:val="nil"/>
              <w:right w:val="nil"/>
            </w:tcBorders>
            <w:shd w:val="clear" w:color="auto" w:fill="auto"/>
            <w:vAlign w:val="center"/>
            <w:hideMark/>
          </w:tcPr>
          <w:p w14:paraId="076DBE72"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57 000</w:t>
            </w:r>
          </w:p>
        </w:tc>
        <w:tc>
          <w:tcPr>
            <w:tcW w:w="929" w:type="dxa"/>
            <w:tcBorders>
              <w:top w:val="nil"/>
              <w:left w:val="nil"/>
              <w:right w:val="nil"/>
            </w:tcBorders>
            <w:shd w:val="clear" w:color="auto" w:fill="auto"/>
            <w:vAlign w:val="center"/>
            <w:hideMark/>
          </w:tcPr>
          <w:p w14:paraId="182FCF58"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14 716</w:t>
            </w:r>
          </w:p>
        </w:tc>
        <w:tc>
          <w:tcPr>
            <w:tcW w:w="1123" w:type="dxa"/>
            <w:tcBorders>
              <w:top w:val="nil"/>
              <w:left w:val="nil"/>
              <w:right w:val="nil"/>
            </w:tcBorders>
            <w:shd w:val="clear" w:color="auto" w:fill="BFBFBF" w:themeFill="background1" w:themeFillShade="BF"/>
            <w:vAlign w:val="center"/>
            <w:hideMark/>
          </w:tcPr>
          <w:p w14:paraId="7D3228B7"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59 000</w:t>
            </w:r>
          </w:p>
        </w:tc>
        <w:tc>
          <w:tcPr>
            <w:tcW w:w="783" w:type="dxa"/>
            <w:tcBorders>
              <w:top w:val="nil"/>
              <w:left w:val="nil"/>
              <w:right w:val="nil"/>
            </w:tcBorders>
            <w:shd w:val="clear" w:color="auto" w:fill="auto"/>
            <w:vAlign w:val="center"/>
            <w:hideMark/>
          </w:tcPr>
          <w:p w14:paraId="0850E98F"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44 284</w:t>
            </w:r>
          </w:p>
        </w:tc>
        <w:tc>
          <w:tcPr>
            <w:tcW w:w="708" w:type="dxa"/>
            <w:tcBorders>
              <w:top w:val="nil"/>
              <w:left w:val="nil"/>
              <w:right w:val="nil"/>
            </w:tcBorders>
            <w:shd w:val="clear" w:color="auto" w:fill="auto"/>
            <w:vAlign w:val="center"/>
            <w:hideMark/>
          </w:tcPr>
          <w:p w14:paraId="231CD291"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300,9</w:t>
            </w:r>
          </w:p>
        </w:tc>
      </w:tr>
      <w:tr w:rsidR="00E91EE6" w:rsidRPr="00E91EE6" w14:paraId="13E04C8D" w14:textId="77777777" w:rsidTr="00FA0777">
        <w:trPr>
          <w:trHeight w:val="345"/>
        </w:trPr>
        <w:tc>
          <w:tcPr>
            <w:tcW w:w="4111" w:type="dxa"/>
            <w:tcBorders>
              <w:top w:val="nil"/>
              <w:left w:val="nil"/>
              <w:right w:val="nil"/>
            </w:tcBorders>
            <w:shd w:val="clear" w:color="auto" w:fill="auto"/>
            <w:vAlign w:val="center"/>
            <w:hideMark/>
          </w:tcPr>
          <w:p w14:paraId="1774D0A3" w14:textId="77777777" w:rsidR="00E91EE6" w:rsidRPr="00E91EE6" w:rsidRDefault="00E91EE6" w:rsidP="00CE4ED5">
            <w:pPr>
              <w:spacing w:after="0" w:line="240" w:lineRule="auto"/>
              <w:jc w:val="left"/>
              <w:rPr>
                <w:rFonts w:cs="Times New Roman"/>
                <w:b/>
                <w:bCs/>
                <w:sz w:val="20"/>
                <w:szCs w:val="20"/>
                <w:lang w:eastAsia="sk-SK"/>
              </w:rPr>
            </w:pPr>
            <w:r w:rsidRPr="00E91EE6">
              <w:rPr>
                <w:rFonts w:cs="Times New Roman"/>
                <w:b/>
                <w:bCs/>
                <w:sz w:val="20"/>
                <w:szCs w:val="20"/>
                <w:lang w:eastAsia="sk-SK"/>
              </w:rPr>
              <w:t>Ministerstvo hospodárstva SR</w:t>
            </w:r>
          </w:p>
        </w:tc>
        <w:tc>
          <w:tcPr>
            <w:tcW w:w="993" w:type="dxa"/>
            <w:tcBorders>
              <w:top w:val="nil"/>
              <w:left w:val="nil"/>
              <w:right w:val="nil"/>
            </w:tcBorders>
            <w:shd w:val="clear" w:color="auto" w:fill="auto"/>
            <w:vAlign w:val="center"/>
            <w:hideMark/>
          </w:tcPr>
          <w:p w14:paraId="7774BE1A" w14:textId="77777777" w:rsidR="00E91EE6" w:rsidRPr="00E91EE6" w:rsidRDefault="00E91EE6" w:rsidP="00E91EE6">
            <w:pPr>
              <w:spacing w:after="0" w:line="240" w:lineRule="auto"/>
              <w:jc w:val="center"/>
              <w:rPr>
                <w:rFonts w:cs="Times New Roman"/>
                <w:b/>
                <w:bCs/>
                <w:sz w:val="20"/>
                <w:szCs w:val="20"/>
                <w:lang w:eastAsia="sk-SK"/>
              </w:rPr>
            </w:pPr>
            <w:r w:rsidRPr="00E91EE6">
              <w:rPr>
                <w:rFonts w:cs="Times New Roman"/>
                <w:b/>
                <w:bCs/>
                <w:sz w:val="20"/>
                <w:szCs w:val="20"/>
                <w:lang w:eastAsia="sk-SK"/>
              </w:rPr>
              <w:t>11 939</w:t>
            </w:r>
          </w:p>
        </w:tc>
        <w:tc>
          <w:tcPr>
            <w:tcW w:w="1134" w:type="dxa"/>
            <w:tcBorders>
              <w:top w:val="nil"/>
              <w:left w:val="nil"/>
              <w:right w:val="nil"/>
            </w:tcBorders>
            <w:shd w:val="clear" w:color="auto" w:fill="auto"/>
            <w:vAlign w:val="center"/>
            <w:hideMark/>
          </w:tcPr>
          <w:p w14:paraId="54ADD0D3" w14:textId="77777777" w:rsidR="00E91EE6" w:rsidRPr="00E91EE6" w:rsidRDefault="00E91EE6" w:rsidP="00E91EE6">
            <w:pPr>
              <w:spacing w:after="0" w:line="240" w:lineRule="auto"/>
              <w:jc w:val="center"/>
              <w:rPr>
                <w:rFonts w:cs="Times New Roman"/>
                <w:b/>
                <w:bCs/>
                <w:sz w:val="20"/>
                <w:szCs w:val="20"/>
                <w:lang w:eastAsia="sk-SK"/>
              </w:rPr>
            </w:pPr>
            <w:r w:rsidRPr="00E91EE6">
              <w:rPr>
                <w:rFonts w:cs="Times New Roman"/>
                <w:b/>
                <w:bCs/>
                <w:sz w:val="20"/>
                <w:szCs w:val="20"/>
                <w:lang w:eastAsia="sk-SK"/>
              </w:rPr>
              <w:t>5 000</w:t>
            </w:r>
          </w:p>
        </w:tc>
        <w:tc>
          <w:tcPr>
            <w:tcW w:w="929" w:type="dxa"/>
            <w:tcBorders>
              <w:top w:val="nil"/>
              <w:left w:val="nil"/>
              <w:right w:val="nil"/>
            </w:tcBorders>
            <w:shd w:val="clear" w:color="auto" w:fill="auto"/>
            <w:vAlign w:val="center"/>
            <w:hideMark/>
          </w:tcPr>
          <w:p w14:paraId="2B30FF5A" w14:textId="77777777" w:rsidR="00E91EE6" w:rsidRPr="00E91EE6" w:rsidRDefault="00E91EE6" w:rsidP="00E91EE6">
            <w:pPr>
              <w:spacing w:after="0" w:line="240" w:lineRule="auto"/>
              <w:jc w:val="center"/>
              <w:rPr>
                <w:rFonts w:cs="Times New Roman"/>
                <w:b/>
                <w:bCs/>
                <w:sz w:val="20"/>
                <w:szCs w:val="20"/>
                <w:lang w:eastAsia="sk-SK"/>
              </w:rPr>
            </w:pPr>
            <w:r w:rsidRPr="00E91EE6">
              <w:rPr>
                <w:rFonts w:cs="Times New Roman"/>
                <w:b/>
                <w:bCs/>
                <w:sz w:val="20"/>
                <w:szCs w:val="20"/>
                <w:lang w:eastAsia="sk-SK"/>
              </w:rPr>
              <w:t>8 737</w:t>
            </w:r>
          </w:p>
        </w:tc>
        <w:tc>
          <w:tcPr>
            <w:tcW w:w="1123" w:type="dxa"/>
            <w:tcBorders>
              <w:top w:val="nil"/>
              <w:left w:val="nil"/>
              <w:right w:val="nil"/>
            </w:tcBorders>
            <w:shd w:val="clear" w:color="auto" w:fill="BFBFBF" w:themeFill="background1" w:themeFillShade="BF"/>
            <w:vAlign w:val="center"/>
            <w:hideMark/>
          </w:tcPr>
          <w:p w14:paraId="11C0EB3A" w14:textId="77777777" w:rsidR="00E91EE6" w:rsidRPr="00E91EE6" w:rsidRDefault="00E91EE6" w:rsidP="00E91EE6">
            <w:pPr>
              <w:spacing w:after="0" w:line="240" w:lineRule="auto"/>
              <w:jc w:val="center"/>
              <w:rPr>
                <w:rFonts w:cs="Times New Roman"/>
                <w:b/>
                <w:bCs/>
                <w:sz w:val="20"/>
                <w:szCs w:val="20"/>
                <w:lang w:eastAsia="sk-SK"/>
              </w:rPr>
            </w:pPr>
            <w:r w:rsidRPr="00E91EE6">
              <w:rPr>
                <w:rFonts w:cs="Times New Roman"/>
                <w:b/>
                <w:bCs/>
                <w:sz w:val="20"/>
                <w:szCs w:val="20"/>
                <w:lang w:eastAsia="sk-SK"/>
              </w:rPr>
              <w:t>6 000</w:t>
            </w:r>
          </w:p>
        </w:tc>
        <w:tc>
          <w:tcPr>
            <w:tcW w:w="783" w:type="dxa"/>
            <w:tcBorders>
              <w:top w:val="nil"/>
              <w:left w:val="nil"/>
              <w:right w:val="nil"/>
            </w:tcBorders>
            <w:shd w:val="clear" w:color="auto" w:fill="auto"/>
            <w:vAlign w:val="center"/>
            <w:hideMark/>
          </w:tcPr>
          <w:p w14:paraId="310CC725" w14:textId="77777777" w:rsidR="00E91EE6" w:rsidRPr="00E91EE6" w:rsidRDefault="00E91EE6" w:rsidP="00E91EE6">
            <w:pPr>
              <w:spacing w:after="0" w:line="240" w:lineRule="auto"/>
              <w:jc w:val="center"/>
              <w:rPr>
                <w:rFonts w:cs="Times New Roman"/>
                <w:b/>
                <w:bCs/>
                <w:sz w:val="20"/>
                <w:szCs w:val="20"/>
                <w:lang w:eastAsia="sk-SK"/>
              </w:rPr>
            </w:pPr>
            <w:r w:rsidRPr="00E91EE6">
              <w:rPr>
                <w:rFonts w:cs="Times New Roman"/>
                <w:b/>
                <w:bCs/>
                <w:sz w:val="20"/>
                <w:szCs w:val="20"/>
                <w:lang w:eastAsia="sk-SK"/>
              </w:rPr>
              <w:t>-2 737</w:t>
            </w:r>
          </w:p>
        </w:tc>
        <w:tc>
          <w:tcPr>
            <w:tcW w:w="708" w:type="dxa"/>
            <w:tcBorders>
              <w:top w:val="nil"/>
              <w:left w:val="nil"/>
              <w:right w:val="nil"/>
            </w:tcBorders>
            <w:shd w:val="clear" w:color="auto" w:fill="auto"/>
            <w:vAlign w:val="center"/>
            <w:hideMark/>
          </w:tcPr>
          <w:p w14:paraId="52409D53" w14:textId="77777777" w:rsidR="00E91EE6" w:rsidRPr="00E91EE6" w:rsidRDefault="00E91EE6" w:rsidP="00E91EE6">
            <w:pPr>
              <w:spacing w:after="0" w:line="240" w:lineRule="auto"/>
              <w:jc w:val="center"/>
              <w:rPr>
                <w:rFonts w:cs="Times New Roman"/>
                <w:b/>
                <w:bCs/>
                <w:sz w:val="20"/>
                <w:szCs w:val="20"/>
                <w:lang w:eastAsia="sk-SK"/>
              </w:rPr>
            </w:pPr>
            <w:r w:rsidRPr="00E91EE6">
              <w:rPr>
                <w:rFonts w:cs="Times New Roman"/>
                <w:b/>
                <w:bCs/>
                <w:sz w:val="20"/>
                <w:szCs w:val="20"/>
                <w:lang w:eastAsia="sk-SK"/>
              </w:rPr>
              <w:t>-31,3</w:t>
            </w:r>
          </w:p>
        </w:tc>
      </w:tr>
      <w:tr w:rsidR="00E91EE6" w:rsidRPr="00E91EE6" w14:paraId="213E138E" w14:textId="77777777" w:rsidTr="00FA0777">
        <w:trPr>
          <w:trHeight w:val="345"/>
        </w:trPr>
        <w:tc>
          <w:tcPr>
            <w:tcW w:w="4111" w:type="dxa"/>
            <w:tcBorders>
              <w:top w:val="nil"/>
              <w:left w:val="nil"/>
              <w:right w:val="nil"/>
            </w:tcBorders>
            <w:shd w:val="clear" w:color="auto" w:fill="auto"/>
            <w:vAlign w:val="center"/>
            <w:hideMark/>
          </w:tcPr>
          <w:p w14:paraId="1EE57712" w14:textId="77777777" w:rsidR="00E91EE6" w:rsidRPr="00E91EE6" w:rsidRDefault="00E91EE6" w:rsidP="00CE4ED5">
            <w:pPr>
              <w:spacing w:after="0" w:line="240" w:lineRule="auto"/>
              <w:jc w:val="left"/>
              <w:rPr>
                <w:rFonts w:cs="Times New Roman"/>
                <w:bCs/>
                <w:sz w:val="20"/>
                <w:szCs w:val="20"/>
                <w:lang w:eastAsia="sk-SK"/>
              </w:rPr>
            </w:pPr>
            <w:r w:rsidRPr="00E91EE6">
              <w:rPr>
                <w:rFonts w:cs="Times New Roman"/>
                <w:bCs/>
                <w:sz w:val="20"/>
                <w:szCs w:val="20"/>
                <w:lang w:eastAsia="sk-SK"/>
              </w:rPr>
              <w:t xml:space="preserve">     Transpetrol, </w:t>
            </w:r>
            <w:proofErr w:type="spellStart"/>
            <w:r w:rsidRPr="00E91EE6">
              <w:rPr>
                <w:rFonts w:cs="Times New Roman"/>
                <w:bCs/>
                <w:sz w:val="20"/>
                <w:szCs w:val="20"/>
                <w:lang w:eastAsia="sk-SK"/>
              </w:rPr>
              <w:t>a.s</w:t>
            </w:r>
            <w:proofErr w:type="spellEnd"/>
            <w:r w:rsidRPr="00E91EE6">
              <w:rPr>
                <w:rFonts w:cs="Times New Roman"/>
                <w:bCs/>
                <w:sz w:val="20"/>
                <w:szCs w:val="20"/>
                <w:lang w:eastAsia="sk-SK"/>
              </w:rPr>
              <w:t>.</w:t>
            </w:r>
          </w:p>
        </w:tc>
        <w:tc>
          <w:tcPr>
            <w:tcW w:w="993" w:type="dxa"/>
            <w:tcBorders>
              <w:top w:val="nil"/>
              <w:left w:val="nil"/>
              <w:right w:val="nil"/>
            </w:tcBorders>
            <w:shd w:val="clear" w:color="auto" w:fill="auto"/>
            <w:vAlign w:val="center"/>
            <w:hideMark/>
          </w:tcPr>
          <w:p w14:paraId="6415A9B4"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6 939</w:t>
            </w:r>
          </w:p>
        </w:tc>
        <w:tc>
          <w:tcPr>
            <w:tcW w:w="1134" w:type="dxa"/>
            <w:tcBorders>
              <w:top w:val="nil"/>
              <w:left w:val="nil"/>
              <w:right w:val="nil"/>
            </w:tcBorders>
            <w:shd w:val="clear" w:color="auto" w:fill="auto"/>
            <w:vAlign w:val="center"/>
            <w:hideMark/>
          </w:tcPr>
          <w:p w14:paraId="2E1C5920"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0</w:t>
            </w:r>
          </w:p>
        </w:tc>
        <w:tc>
          <w:tcPr>
            <w:tcW w:w="929" w:type="dxa"/>
            <w:tcBorders>
              <w:top w:val="nil"/>
              <w:left w:val="nil"/>
              <w:right w:val="nil"/>
            </w:tcBorders>
            <w:shd w:val="clear" w:color="auto" w:fill="auto"/>
            <w:vAlign w:val="center"/>
            <w:hideMark/>
          </w:tcPr>
          <w:p w14:paraId="1093E856"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7 000</w:t>
            </w:r>
          </w:p>
        </w:tc>
        <w:tc>
          <w:tcPr>
            <w:tcW w:w="1123" w:type="dxa"/>
            <w:tcBorders>
              <w:top w:val="nil"/>
              <w:left w:val="nil"/>
              <w:right w:val="nil"/>
            </w:tcBorders>
            <w:shd w:val="clear" w:color="auto" w:fill="BFBFBF" w:themeFill="background1" w:themeFillShade="BF"/>
            <w:vAlign w:val="center"/>
            <w:hideMark/>
          </w:tcPr>
          <w:p w14:paraId="1544D834"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0</w:t>
            </w:r>
          </w:p>
        </w:tc>
        <w:tc>
          <w:tcPr>
            <w:tcW w:w="783" w:type="dxa"/>
            <w:tcBorders>
              <w:top w:val="nil"/>
              <w:left w:val="nil"/>
              <w:right w:val="nil"/>
            </w:tcBorders>
            <w:shd w:val="clear" w:color="auto" w:fill="auto"/>
            <w:vAlign w:val="center"/>
            <w:hideMark/>
          </w:tcPr>
          <w:p w14:paraId="0D26F5C5"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-7 000</w:t>
            </w:r>
          </w:p>
        </w:tc>
        <w:tc>
          <w:tcPr>
            <w:tcW w:w="708" w:type="dxa"/>
            <w:tcBorders>
              <w:top w:val="nil"/>
              <w:left w:val="nil"/>
              <w:right w:val="nil"/>
            </w:tcBorders>
            <w:shd w:val="clear" w:color="auto" w:fill="auto"/>
            <w:vAlign w:val="center"/>
            <w:hideMark/>
          </w:tcPr>
          <w:p w14:paraId="2AAF46DB"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-100,0</w:t>
            </w:r>
          </w:p>
        </w:tc>
      </w:tr>
      <w:tr w:rsidR="00E91EE6" w:rsidRPr="00E91EE6" w14:paraId="7DAEC957" w14:textId="77777777" w:rsidTr="00FA0777">
        <w:trPr>
          <w:trHeight w:val="345"/>
        </w:trPr>
        <w:tc>
          <w:tcPr>
            <w:tcW w:w="4111" w:type="dxa"/>
            <w:tcBorders>
              <w:top w:val="nil"/>
              <w:left w:val="nil"/>
              <w:right w:val="nil"/>
            </w:tcBorders>
            <w:shd w:val="clear" w:color="auto" w:fill="auto"/>
            <w:vAlign w:val="center"/>
            <w:hideMark/>
          </w:tcPr>
          <w:p w14:paraId="6580F9D0" w14:textId="77777777" w:rsidR="00E91EE6" w:rsidRPr="00E91EE6" w:rsidRDefault="00E91EE6" w:rsidP="00CE4ED5">
            <w:pPr>
              <w:spacing w:after="0" w:line="240" w:lineRule="auto"/>
              <w:jc w:val="left"/>
              <w:rPr>
                <w:rFonts w:cs="Times New Roman"/>
                <w:bCs/>
                <w:sz w:val="20"/>
                <w:szCs w:val="20"/>
                <w:lang w:eastAsia="sk-SK"/>
              </w:rPr>
            </w:pPr>
            <w:r w:rsidRPr="00E91EE6">
              <w:rPr>
                <w:rFonts w:cs="Times New Roman"/>
                <w:bCs/>
                <w:sz w:val="20"/>
                <w:szCs w:val="20"/>
                <w:lang w:eastAsia="sk-SK"/>
              </w:rPr>
              <w:t xml:space="preserve">     Slovak Telekom, </w:t>
            </w:r>
            <w:proofErr w:type="spellStart"/>
            <w:r w:rsidRPr="00E91EE6">
              <w:rPr>
                <w:rFonts w:cs="Times New Roman"/>
                <w:bCs/>
                <w:sz w:val="20"/>
                <w:szCs w:val="20"/>
                <w:lang w:eastAsia="sk-SK"/>
              </w:rPr>
              <w:t>a.s</w:t>
            </w:r>
            <w:proofErr w:type="spellEnd"/>
            <w:r w:rsidRPr="00E91EE6">
              <w:rPr>
                <w:rFonts w:cs="Times New Roman"/>
                <w:bCs/>
                <w:sz w:val="20"/>
                <w:szCs w:val="20"/>
                <w:lang w:eastAsia="sk-SK"/>
              </w:rPr>
              <w:t>.</w:t>
            </w:r>
          </w:p>
        </w:tc>
        <w:tc>
          <w:tcPr>
            <w:tcW w:w="993" w:type="dxa"/>
            <w:tcBorders>
              <w:top w:val="nil"/>
              <w:left w:val="nil"/>
              <w:right w:val="nil"/>
            </w:tcBorders>
            <w:shd w:val="clear" w:color="auto" w:fill="auto"/>
            <w:vAlign w:val="center"/>
            <w:hideMark/>
          </w:tcPr>
          <w:p w14:paraId="1FFC887E" w14:textId="77777777" w:rsidR="00E91EE6" w:rsidRPr="00E91EE6" w:rsidRDefault="00E91EE6" w:rsidP="00030868">
            <w:pPr>
              <w:spacing w:after="0" w:line="240" w:lineRule="auto"/>
              <w:jc w:val="center"/>
              <w:rPr>
                <w:rFonts w:cs="Times New Roman"/>
                <w:bCs/>
                <w:sz w:val="20"/>
                <w:szCs w:val="20"/>
                <w:lang w:eastAsia="sk-SK"/>
              </w:rPr>
            </w:pPr>
            <w:r w:rsidRPr="00E91EE6">
              <w:rPr>
                <w:rFonts w:cs="Times New Roman"/>
                <w:bCs/>
                <w:sz w:val="20"/>
                <w:szCs w:val="20"/>
                <w:lang w:eastAsia="sk-SK"/>
              </w:rPr>
              <w:t>x</w:t>
            </w:r>
          </w:p>
        </w:tc>
        <w:tc>
          <w:tcPr>
            <w:tcW w:w="1134" w:type="dxa"/>
            <w:tcBorders>
              <w:top w:val="nil"/>
              <w:left w:val="nil"/>
              <w:right w:val="nil"/>
            </w:tcBorders>
            <w:shd w:val="clear" w:color="auto" w:fill="auto"/>
            <w:vAlign w:val="center"/>
            <w:hideMark/>
          </w:tcPr>
          <w:p w14:paraId="360CFAC7"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0</w:t>
            </w:r>
          </w:p>
        </w:tc>
        <w:tc>
          <w:tcPr>
            <w:tcW w:w="929" w:type="dxa"/>
            <w:tcBorders>
              <w:top w:val="nil"/>
              <w:left w:val="nil"/>
              <w:right w:val="nil"/>
            </w:tcBorders>
            <w:shd w:val="clear" w:color="auto" w:fill="auto"/>
            <w:vAlign w:val="center"/>
            <w:hideMark/>
          </w:tcPr>
          <w:p w14:paraId="2AFD7631"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0</w:t>
            </w:r>
          </w:p>
        </w:tc>
        <w:tc>
          <w:tcPr>
            <w:tcW w:w="1123" w:type="dxa"/>
            <w:tcBorders>
              <w:top w:val="nil"/>
              <w:left w:val="nil"/>
              <w:right w:val="nil"/>
            </w:tcBorders>
            <w:shd w:val="clear" w:color="auto" w:fill="BFBFBF" w:themeFill="background1" w:themeFillShade="BF"/>
            <w:vAlign w:val="center"/>
            <w:hideMark/>
          </w:tcPr>
          <w:p w14:paraId="58ABFDBB"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0</w:t>
            </w:r>
          </w:p>
        </w:tc>
        <w:tc>
          <w:tcPr>
            <w:tcW w:w="783" w:type="dxa"/>
            <w:tcBorders>
              <w:top w:val="nil"/>
              <w:left w:val="nil"/>
              <w:right w:val="nil"/>
            </w:tcBorders>
            <w:shd w:val="clear" w:color="auto" w:fill="auto"/>
            <w:vAlign w:val="center"/>
            <w:hideMark/>
          </w:tcPr>
          <w:p w14:paraId="5931D728"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x</w:t>
            </w:r>
          </w:p>
        </w:tc>
        <w:tc>
          <w:tcPr>
            <w:tcW w:w="708" w:type="dxa"/>
            <w:tcBorders>
              <w:top w:val="nil"/>
              <w:left w:val="nil"/>
              <w:right w:val="nil"/>
            </w:tcBorders>
            <w:shd w:val="clear" w:color="auto" w:fill="auto"/>
            <w:vAlign w:val="center"/>
            <w:hideMark/>
          </w:tcPr>
          <w:p w14:paraId="68180CC5"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x</w:t>
            </w:r>
          </w:p>
        </w:tc>
      </w:tr>
      <w:tr w:rsidR="00E91EE6" w:rsidRPr="00E91EE6" w14:paraId="66F9E5E9" w14:textId="77777777" w:rsidTr="00FA0777">
        <w:trPr>
          <w:trHeight w:val="345"/>
        </w:trPr>
        <w:tc>
          <w:tcPr>
            <w:tcW w:w="4111" w:type="dxa"/>
            <w:tcBorders>
              <w:top w:val="nil"/>
              <w:left w:val="nil"/>
              <w:right w:val="nil"/>
            </w:tcBorders>
            <w:shd w:val="clear" w:color="auto" w:fill="auto"/>
            <w:vAlign w:val="center"/>
            <w:hideMark/>
          </w:tcPr>
          <w:p w14:paraId="356EFE66" w14:textId="77777777" w:rsidR="00E91EE6" w:rsidRPr="00E91EE6" w:rsidRDefault="00E91EE6" w:rsidP="00CE4ED5">
            <w:pPr>
              <w:spacing w:after="0" w:line="240" w:lineRule="auto"/>
              <w:jc w:val="left"/>
              <w:rPr>
                <w:rFonts w:cs="Times New Roman"/>
                <w:bCs/>
                <w:sz w:val="20"/>
                <w:szCs w:val="20"/>
                <w:lang w:eastAsia="sk-SK"/>
              </w:rPr>
            </w:pPr>
            <w:r w:rsidRPr="00E91EE6">
              <w:rPr>
                <w:rFonts w:cs="Times New Roman"/>
                <w:bCs/>
                <w:sz w:val="20"/>
                <w:szCs w:val="20"/>
                <w:lang w:eastAsia="sk-SK"/>
              </w:rPr>
              <w:t xml:space="preserve">     JAVYS, </w:t>
            </w:r>
            <w:proofErr w:type="spellStart"/>
            <w:r w:rsidRPr="00E91EE6">
              <w:rPr>
                <w:rFonts w:cs="Times New Roman"/>
                <w:bCs/>
                <w:sz w:val="20"/>
                <w:szCs w:val="20"/>
                <w:lang w:eastAsia="sk-SK"/>
              </w:rPr>
              <w:t>a.s</w:t>
            </w:r>
            <w:proofErr w:type="spellEnd"/>
            <w:r w:rsidRPr="00E91EE6">
              <w:rPr>
                <w:rFonts w:cs="Times New Roman"/>
                <w:bCs/>
                <w:sz w:val="20"/>
                <w:szCs w:val="20"/>
                <w:lang w:eastAsia="sk-SK"/>
              </w:rPr>
              <w:t>.</w:t>
            </w:r>
          </w:p>
        </w:tc>
        <w:tc>
          <w:tcPr>
            <w:tcW w:w="993" w:type="dxa"/>
            <w:tcBorders>
              <w:top w:val="nil"/>
              <w:left w:val="nil"/>
              <w:right w:val="nil"/>
            </w:tcBorders>
            <w:shd w:val="clear" w:color="auto" w:fill="auto"/>
            <w:vAlign w:val="center"/>
            <w:hideMark/>
          </w:tcPr>
          <w:p w14:paraId="7E226931" w14:textId="77777777" w:rsidR="00E91EE6" w:rsidRPr="00E91EE6" w:rsidRDefault="00E91EE6" w:rsidP="00030868">
            <w:pPr>
              <w:spacing w:after="0" w:line="240" w:lineRule="auto"/>
              <w:jc w:val="center"/>
              <w:rPr>
                <w:rFonts w:cs="Times New Roman"/>
                <w:bCs/>
                <w:sz w:val="20"/>
                <w:szCs w:val="20"/>
                <w:lang w:eastAsia="sk-SK"/>
              </w:rPr>
            </w:pPr>
            <w:r w:rsidRPr="00E91EE6">
              <w:rPr>
                <w:rFonts w:cs="Times New Roman"/>
                <w:bCs/>
                <w:sz w:val="20"/>
                <w:szCs w:val="20"/>
                <w:lang w:eastAsia="sk-SK"/>
              </w:rPr>
              <w:t>5 000</w:t>
            </w:r>
          </w:p>
        </w:tc>
        <w:tc>
          <w:tcPr>
            <w:tcW w:w="1134" w:type="dxa"/>
            <w:tcBorders>
              <w:top w:val="nil"/>
              <w:left w:val="nil"/>
              <w:right w:val="nil"/>
            </w:tcBorders>
            <w:shd w:val="clear" w:color="auto" w:fill="auto"/>
            <w:vAlign w:val="center"/>
            <w:hideMark/>
          </w:tcPr>
          <w:p w14:paraId="092A6A5A"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5 000</w:t>
            </w:r>
          </w:p>
        </w:tc>
        <w:tc>
          <w:tcPr>
            <w:tcW w:w="929" w:type="dxa"/>
            <w:tcBorders>
              <w:top w:val="nil"/>
              <w:left w:val="nil"/>
              <w:right w:val="nil"/>
            </w:tcBorders>
            <w:shd w:val="clear" w:color="auto" w:fill="auto"/>
            <w:vAlign w:val="center"/>
            <w:hideMark/>
          </w:tcPr>
          <w:p w14:paraId="3B3EA163"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1 737</w:t>
            </w:r>
          </w:p>
        </w:tc>
        <w:tc>
          <w:tcPr>
            <w:tcW w:w="1123" w:type="dxa"/>
            <w:tcBorders>
              <w:top w:val="nil"/>
              <w:left w:val="nil"/>
              <w:right w:val="nil"/>
            </w:tcBorders>
            <w:shd w:val="clear" w:color="auto" w:fill="BFBFBF" w:themeFill="background1" w:themeFillShade="BF"/>
            <w:vAlign w:val="center"/>
            <w:hideMark/>
          </w:tcPr>
          <w:p w14:paraId="6CC2309F"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6 000</w:t>
            </w:r>
          </w:p>
        </w:tc>
        <w:tc>
          <w:tcPr>
            <w:tcW w:w="783" w:type="dxa"/>
            <w:tcBorders>
              <w:top w:val="nil"/>
              <w:left w:val="nil"/>
              <w:right w:val="nil"/>
            </w:tcBorders>
            <w:shd w:val="clear" w:color="auto" w:fill="auto"/>
            <w:vAlign w:val="center"/>
            <w:hideMark/>
          </w:tcPr>
          <w:p w14:paraId="70D045E9"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4 263</w:t>
            </w:r>
          </w:p>
        </w:tc>
        <w:tc>
          <w:tcPr>
            <w:tcW w:w="708" w:type="dxa"/>
            <w:tcBorders>
              <w:top w:val="nil"/>
              <w:left w:val="nil"/>
              <w:right w:val="nil"/>
            </w:tcBorders>
            <w:shd w:val="clear" w:color="auto" w:fill="auto"/>
            <w:vAlign w:val="center"/>
            <w:hideMark/>
          </w:tcPr>
          <w:p w14:paraId="0116E91E"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245,4</w:t>
            </w:r>
          </w:p>
        </w:tc>
      </w:tr>
      <w:tr w:rsidR="00E91EE6" w:rsidRPr="00E91EE6" w14:paraId="79ABC240" w14:textId="77777777" w:rsidTr="00FA0777">
        <w:trPr>
          <w:trHeight w:val="345"/>
        </w:trPr>
        <w:tc>
          <w:tcPr>
            <w:tcW w:w="4111" w:type="dxa"/>
            <w:tcBorders>
              <w:top w:val="nil"/>
              <w:left w:val="nil"/>
              <w:right w:val="nil"/>
            </w:tcBorders>
            <w:shd w:val="clear" w:color="auto" w:fill="auto"/>
            <w:vAlign w:val="center"/>
            <w:hideMark/>
          </w:tcPr>
          <w:p w14:paraId="6B22E661" w14:textId="77777777" w:rsidR="00E91EE6" w:rsidRPr="00E91EE6" w:rsidRDefault="00E91EE6" w:rsidP="00CE4ED5">
            <w:pPr>
              <w:spacing w:after="0" w:line="240" w:lineRule="auto"/>
              <w:jc w:val="left"/>
              <w:rPr>
                <w:rFonts w:cs="Times New Roman"/>
                <w:b/>
                <w:bCs/>
                <w:sz w:val="20"/>
                <w:szCs w:val="20"/>
                <w:lang w:eastAsia="sk-SK"/>
              </w:rPr>
            </w:pPr>
            <w:r w:rsidRPr="00E91EE6">
              <w:rPr>
                <w:rFonts w:cs="Times New Roman"/>
                <w:b/>
                <w:bCs/>
                <w:sz w:val="20"/>
                <w:szCs w:val="20"/>
                <w:lang w:eastAsia="sk-SK"/>
              </w:rPr>
              <w:t>Ministerstvo dopravy a výstavby SR</w:t>
            </w:r>
          </w:p>
        </w:tc>
        <w:tc>
          <w:tcPr>
            <w:tcW w:w="993" w:type="dxa"/>
            <w:tcBorders>
              <w:top w:val="nil"/>
              <w:left w:val="nil"/>
              <w:right w:val="nil"/>
            </w:tcBorders>
            <w:shd w:val="clear" w:color="auto" w:fill="auto"/>
            <w:vAlign w:val="center"/>
            <w:hideMark/>
          </w:tcPr>
          <w:p w14:paraId="34ED0516" w14:textId="77777777" w:rsidR="00E91EE6" w:rsidRPr="00E91EE6" w:rsidRDefault="00E91EE6" w:rsidP="00030868">
            <w:pPr>
              <w:spacing w:after="0" w:line="240" w:lineRule="auto"/>
              <w:jc w:val="center"/>
              <w:rPr>
                <w:rFonts w:cs="Times New Roman"/>
                <w:b/>
                <w:bCs/>
                <w:sz w:val="20"/>
                <w:szCs w:val="20"/>
                <w:lang w:eastAsia="sk-SK"/>
              </w:rPr>
            </w:pPr>
            <w:r w:rsidRPr="00E91EE6">
              <w:rPr>
                <w:rFonts w:cs="Times New Roman"/>
                <w:b/>
                <w:bCs/>
                <w:sz w:val="20"/>
                <w:szCs w:val="20"/>
                <w:lang w:eastAsia="sk-SK"/>
              </w:rPr>
              <w:t>856</w:t>
            </w:r>
          </w:p>
        </w:tc>
        <w:tc>
          <w:tcPr>
            <w:tcW w:w="1134" w:type="dxa"/>
            <w:tcBorders>
              <w:top w:val="nil"/>
              <w:left w:val="nil"/>
              <w:right w:val="nil"/>
            </w:tcBorders>
            <w:shd w:val="clear" w:color="auto" w:fill="auto"/>
            <w:vAlign w:val="center"/>
            <w:hideMark/>
          </w:tcPr>
          <w:p w14:paraId="03E8DB90" w14:textId="77777777" w:rsidR="00E91EE6" w:rsidRPr="00E91EE6" w:rsidRDefault="00E91EE6" w:rsidP="00E91EE6">
            <w:pPr>
              <w:spacing w:after="0" w:line="240" w:lineRule="auto"/>
              <w:jc w:val="center"/>
              <w:rPr>
                <w:rFonts w:cs="Times New Roman"/>
                <w:b/>
                <w:bCs/>
                <w:sz w:val="20"/>
                <w:szCs w:val="20"/>
                <w:lang w:eastAsia="sk-SK"/>
              </w:rPr>
            </w:pPr>
            <w:r w:rsidRPr="00E91EE6">
              <w:rPr>
                <w:rFonts w:cs="Times New Roman"/>
                <w:b/>
                <w:bCs/>
                <w:sz w:val="20"/>
                <w:szCs w:val="20"/>
                <w:lang w:eastAsia="sk-SK"/>
              </w:rPr>
              <w:t>437</w:t>
            </w:r>
          </w:p>
        </w:tc>
        <w:tc>
          <w:tcPr>
            <w:tcW w:w="929" w:type="dxa"/>
            <w:tcBorders>
              <w:top w:val="nil"/>
              <w:left w:val="nil"/>
              <w:right w:val="nil"/>
            </w:tcBorders>
            <w:shd w:val="clear" w:color="auto" w:fill="auto"/>
            <w:vAlign w:val="center"/>
            <w:hideMark/>
          </w:tcPr>
          <w:p w14:paraId="173BCA21" w14:textId="77777777" w:rsidR="00E91EE6" w:rsidRPr="00E91EE6" w:rsidRDefault="00E91EE6" w:rsidP="00E91EE6">
            <w:pPr>
              <w:spacing w:after="0" w:line="240" w:lineRule="auto"/>
              <w:jc w:val="center"/>
              <w:rPr>
                <w:rFonts w:cs="Times New Roman"/>
                <w:b/>
                <w:bCs/>
                <w:sz w:val="20"/>
                <w:szCs w:val="20"/>
                <w:lang w:eastAsia="sk-SK"/>
              </w:rPr>
            </w:pPr>
            <w:r w:rsidRPr="00E91EE6">
              <w:rPr>
                <w:rFonts w:cs="Times New Roman"/>
                <w:b/>
                <w:bCs/>
                <w:sz w:val="20"/>
                <w:szCs w:val="20"/>
                <w:lang w:eastAsia="sk-SK"/>
              </w:rPr>
              <w:t>328</w:t>
            </w:r>
          </w:p>
        </w:tc>
        <w:tc>
          <w:tcPr>
            <w:tcW w:w="1123" w:type="dxa"/>
            <w:tcBorders>
              <w:top w:val="nil"/>
              <w:left w:val="nil"/>
              <w:right w:val="nil"/>
            </w:tcBorders>
            <w:shd w:val="clear" w:color="auto" w:fill="BFBFBF" w:themeFill="background1" w:themeFillShade="BF"/>
            <w:vAlign w:val="center"/>
            <w:hideMark/>
          </w:tcPr>
          <w:p w14:paraId="6BC60AE9" w14:textId="77777777" w:rsidR="00E91EE6" w:rsidRPr="00E91EE6" w:rsidRDefault="00E91EE6" w:rsidP="00E91EE6">
            <w:pPr>
              <w:spacing w:after="0" w:line="240" w:lineRule="auto"/>
              <w:jc w:val="center"/>
              <w:rPr>
                <w:rFonts w:cs="Times New Roman"/>
                <w:b/>
                <w:bCs/>
                <w:sz w:val="20"/>
                <w:szCs w:val="20"/>
                <w:lang w:eastAsia="sk-SK"/>
              </w:rPr>
            </w:pPr>
            <w:r w:rsidRPr="00E91EE6">
              <w:rPr>
                <w:rFonts w:cs="Times New Roman"/>
                <w:b/>
                <w:bCs/>
                <w:sz w:val="20"/>
                <w:szCs w:val="20"/>
                <w:lang w:eastAsia="sk-SK"/>
              </w:rPr>
              <w:t>597</w:t>
            </w:r>
          </w:p>
        </w:tc>
        <w:tc>
          <w:tcPr>
            <w:tcW w:w="783" w:type="dxa"/>
            <w:tcBorders>
              <w:top w:val="nil"/>
              <w:left w:val="nil"/>
              <w:right w:val="nil"/>
            </w:tcBorders>
            <w:shd w:val="clear" w:color="auto" w:fill="auto"/>
            <w:vAlign w:val="center"/>
            <w:hideMark/>
          </w:tcPr>
          <w:p w14:paraId="279D6BF5" w14:textId="77777777" w:rsidR="00E91EE6" w:rsidRPr="00E91EE6" w:rsidRDefault="00E91EE6" w:rsidP="00E91EE6">
            <w:pPr>
              <w:spacing w:after="0" w:line="240" w:lineRule="auto"/>
              <w:jc w:val="center"/>
              <w:rPr>
                <w:rFonts w:cs="Times New Roman"/>
                <w:b/>
                <w:bCs/>
                <w:sz w:val="20"/>
                <w:szCs w:val="20"/>
                <w:lang w:eastAsia="sk-SK"/>
              </w:rPr>
            </w:pPr>
            <w:r w:rsidRPr="00E91EE6">
              <w:rPr>
                <w:rFonts w:cs="Times New Roman"/>
                <w:b/>
                <w:bCs/>
                <w:sz w:val="20"/>
                <w:szCs w:val="20"/>
                <w:lang w:eastAsia="sk-SK"/>
              </w:rPr>
              <w:t>269</w:t>
            </w:r>
          </w:p>
        </w:tc>
        <w:tc>
          <w:tcPr>
            <w:tcW w:w="708" w:type="dxa"/>
            <w:tcBorders>
              <w:top w:val="nil"/>
              <w:left w:val="nil"/>
              <w:right w:val="nil"/>
            </w:tcBorders>
            <w:shd w:val="clear" w:color="auto" w:fill="auto"/>
            <w:vAlign w:val="center"/>
            <w:hideMark/>
          </w:tcPr>
          <w:p w14:paraId="5D434B47" w14:textId="77777777" w:rsidR="00E91EE6" w:rsidRPr="00E91EE6" w:rsidRDefault="00E91EE6" w:rsidP="00E91EE6">
            <w:pPr>
              <w:spacing w:after="0" w:line="240" w:lineRule="auto"/>
              <w:jc w:val="center"/>
              <w:rPr>
                <w:rFonts w:cs="Times New Roman"/>
                <w:b/>
                <w:bCs/>
                <w:sz w:val="20"/>
                <w:szCs w:val="20"/>
                <w:lang w:eastAsia="sk-SK"/>
              </w:rPr>
            </w:pPr>
            <w:r w:rsidRPr="00E91EE6">
              <w:rPr>
                <w:rFonts w:cs="Times New Roman"/>
                <w:b/>
                <w:bCs/>
                <w:sz w:val="20"/>
                <w:szCs w:val="20"/>
                <w:lang w:eastAsia="sk-SK"/>
              </w:rPr>
              <w:t>82,0</w:t>
            </w:r>
          </w:p>
        </w:tc>
      </w:tr>
      <w:tr w:rsidR="00E91EE6" w:rsidRPr="00E91EE6" w14:paraId="3191F1CD" w14:textId="77777777" w:rsidTr="00FA0777">
        <w:trPr>
          <w:trHeight w:val="345"/>
        </w:trPr>
        <w:tc>
          <w:tcPr>
            <w:tcW w:w="4111" w:type="dxa"/>
            <w:tcBorders>
              <w:top w:val="nil"/>
              <w:left w:val="nil"/>
              <w:right w:val="nil"/>
            </w:tcBorders>
            <w:shd w:val="clear" w:color="auto" w:fill="auto"/>
            <w:vAlign w:val="center"/>
            <w:hideMark/>
          </w:tcPr>
          <w:p w14:paraId="4D47FAD3" w14:textId="77777777" w:rsidR="00E91EE6" w:rsidRPr="00E91EE6" w:rsidRDefault="00E91EE6" w:rsidP="00CE4ED5">
            <w:pPr>
              <w:spacing w:after="0" w:line="240" w:lineRule="auto"/>
              <w:jc w:val="left"/>
              <w:rPr>
                <w:rFonts w:cs="Times New Roman"/>
                <w:bCs/>
                <w:sz w:val="20"/>
                <w:szCs w:val="20"/>
                <w:lang w:eastAsia="sk-SK"/>
              </w:rPr>
            </w:pPr>
            <w:r w:rsidRPr="00E91EE6">
              <w:rPr>
                <w:rFonts w:cs="Times New Roman"/>
                <w:bCs/>
                <w:sz w:val="20"/>
                <w:szCs w:val="20"/>
                <w:lang w:eastAsia="sk-SK"/>
              </w:rPr>
              <w:t xml:space="preserve">    Letisko Košice - </w:t>
            </w:r>
            <w:proofErr w:type="spellStart"/>
            <w:r w:rsidRPr="00E91EE6">
              <w:rPr>
                <w:rFonts w:cs="Times New Roman"/>
                <w:bCs/>
                <w:sz w:val="20"/>
                <w:szCs w:val="20"/>
                <w:lang w:eastAsia="sk-SK"/>
              </w:rPr>
              <w:t>Airport</w:t>
            </w:r>
            <w:proofErr w:type="spellEnd"/>
            <w:r w:rsidRPr="00E91EE6">
              <w:rPr>
                <w:rFonts w:cs="Times New Roman"/>
                <w:bCs/>
                <w:sz w:val="20"/>
                <w:szCs w:val="20"/>
                <w:lang w:eastAsia="sk-SK"/>
              </w:rPr>
              <w:t xml:space="preserve"> Košice, </w:t>
            </w:r>
            <w:proofErr w:type="spellStart"/>
            <w:r w:rsidRPr="00E91EE6">
              <w:rPr>
                <w:rFonts w:cs="Times New Roman"/>
                <w:bCs/>
                <w:sz w:val="20"/>
                <w:szCs w:val="20"/>
                <w:lang w:eastAsia="sk-SK"/>
              </w:rPr>
              <w:t>a.s</w:t>
            </w:r>
            <w:proofErr w:type="spellEnd"/>
            <w:r w:rsidRPr="00E91EE6">
              <w:rPr>
                <w:rFonts w:cs="Times New Roman"/>
                <w:bCs/>
                <w:sz w:val="20"/>
                <w:szCs w:val="20"/>
                <w:lang w:eastAsia="sk-SK"/>
              </w:rPr>
              <w:t>.</w:t>
            </w:r>
          </w:p>
        </w:tc>
        <w:tc>
          <w:tcPr>
            <w:tcW w:w="993" w:type="dxa"/>
            <w:tcBorders>
              <w:top w:val="nil"/>
              <w:left w:val="nil"/>
              <w:right w:val="nil"/>
            </w:tcBorders>
            <w:shd w:val="clear" w:color="auto" w:fill="auto"/>
            <w:vAlign w:val="center"/>
            <w:hideMark/>
          </w:tcPr>
          <w:p w14:paraId="5D6E47F1" w14:textId="77777777" w:rsidR="00E91EE6" w:rsidRPr="00E91EE6" w:rsidRDefault="00E91EE6" w:rsidP="00030868">
            <w:pPr>
              <w:spacing w:after="0" w:line="240" w:lineRule="auto"/>
              <w:jc w:val="center"/>
              <w:rPr>
                <w:rFonts w:cs="Times New Roman"/>
                <w:bCs/>
                <w:sz w:val="20"/>
                <w:szCs w:val="20"/>
                <w:lang w:eastAsia="sk-SK"/>
              </w:rPr>
            </w:pPr>
            <w:r w:rsidRPr="00E91EE6">
              <w:rPr>
                <w:rFonts w:cs="Times New Roman"/>
                <w:bCs/>
                <w:sz w:val="20"/>
                <w:szCs w:val="20"/>
                <w:lang w:eastAsia="sk-SK"/>
              </w:rPr>
              <w:t>589</w:t>
            </w:r>
          </w:p>
        </w:tc>
        <w:tc>
          <w:tcPr>
            <w:tcW w:w="1134" w:type="dxa"/>
            <w:tcBorders>
              <w:top w:val="nil"/>
              <w:left w:val="nil"/>
              <w:right w:val="nil"/>
            </w:tcBorders>
            <w:shd w:val="clear" w:color="auto" w:fill="auto"/>
            <w:vAlign w:val="center"/>
            <w:hideMark/>
          </w:tcPr>
          <w:p w14:paraId="6ACAD9D7"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433</w:t>
            </w:r>
          </w:p>
        </w:tc>
        <w:tc>
          <w:tcPr>
            <w:tcW w:w="929" w:type="dxa"/>
            <w:tcBorders>
              <w:top w:val="nil"/>
              <w:left w:val="nil"/>
              <w:right w:val="nil"/>
            </w:tcBorders>
            <w:shd w:val="clear" w:color="auto" w:fill="auto"/>
            <w:vAlign w:val="center"/>
            <w:hideMark/>
          </w:tcPr>
          <w:p w14:paraId="0313FF86"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308</w:t>
            </w:r>
          </w:p>
        </w:tc>
        <w:tc>
          <w:tcPr>
            <w:tcW w:w="1123" w:type="dxa"/>
            <w:tcBorders>
              <w:top w:val="nil"/>
              <w:left w:val="nil"/>
              <w:right w:val="nil"/>
            </w:tcBorders>
            <w:shd w:val="clear" w:color="auto" w:fill="BFBFBF" w:themeFill="background1" w:themeFillShade="BF"/>
            <w:vAlign w:val="center"/>
            <w:hideMark/>
          </w:tcPr>
          <w:p w14:paraId="313E793E"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570</w:t>
            </w:r>
          </w:p>
        </w:tc>
        <w:tc>
          <w:tcPr>
            <w:tcW w:w="783" w:type="dxa"/>
            <w:tcBorders>
              <w:top w:val="nil"/>
              <w:left w:val="nil"/>
              <w:right w:val="nil"/>
            </w:tcBorders>
            <w:shd w:val="clear" w:color="auto" w:fill="auto"/>
            <w:vAlign w:val="center"/>
            <w:hideMark/>
          </w:tcPr>
          <w:p w14:paraId="44BE16E4"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262</w:t>
            </w:r>
          </w:p>
        </w:tc>
        <w:tc>
          <w:tcPr>
            <w:tcW w:w="708" w:type="dxa"/>
            <w:tcBorders>
              <w:top w:val="nil"/>
              <w:left w:val="nil"/>
              <w:right w:val="nil"/>
            </w:tcBorders>
            <w:shd w:val="clear" w:color="auto" w:fill="auto"/>
            <w:vAlign w:val="center"/>
            <w:hideMark/>
          </w:tcPr>
          <w:p w14:paraId="4B8111BA"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85,1</w:t>
            </w:r>
          </w:p>
        </w:tc>
      </w:tr>
      <w:tr w:rsidR="00E91EE6" w:rsidRPr="00E91EE6" w14:paraId="7DDEB5BA" w14:textId="77777777" w:rsidTr="00FA0777">
        <w:trPr>
          <w:trHeight w:val="345"/>
        </w:trPr>
        <w:tc>
          <w:tcPr>
            <w:tcW w:w="4111" w:type="dxa"/>
            <w:tcBorders>
              <w:top w:val="nil"/>
              <w:left w:val="nil"/>
              <w:right w:val="nil"/>
            </w:tcBorders>
            <w:shd w:val="clear" w:color="auto" w:fill="auto"/>
            <w:vAlign w:val="center"/>
            <w:hideMark/>
          </w:tcPr>
          <w:p w14:paraId="46F60829" w14:textId="77777777" w:rsidR="00E91EE6" w:rsidRPr="00E91EE6" w:rsidRDefault="00E91EE6" w:rsidP="00CE4ED5">
            <w:pPr>
              <w:spacing w:after="0" w:line="240" w:lineRule="auto"/>
              <w:jc w:val="left"/>
              <w:rPr>
                <w:rFonts w:cs="Times New Roman"/>
                <w:bCs/>
                <w:sz w:val="20"/>
                <w:szCs w:val="20"/>
                <w:lang w:eastAsia="sk-SK"/>
              </w:rPr>
            </w:pPr>
            <w:r w:rsidRPr="00E91EE6">
              <w:rPr>
                <w:rFonts w:cs="Times New Roman"/>
                <w:bCs/>
                <w:sz w:val="20"/>
                <w:szCs w:val="20"/>
                <w:lang w:eastAsia="sk-SK"/>
              </w:rPr>
              <w:t xml:space="preserve">    Letisko Sliač, </w:t>
            </w:r>
            <w:proofErr w:type="spellStart"/>
            <w:r w:rsidRPr="00E91EE6">
              <w:rPr>
                <w:rFonts w:cs="Times New Roman"/>
                <w:bCs/>
                <w:sz w:val="20"/>
                <w:szCs w:val="20"/>
                <w:lang w:eastAsia="sk-SK"/>
              </w:rPr>
              <w:t>a.s</w:t>
            </w:r>
            <w:proofErr w:type="spellEnd"/>
            <w:r w:rsidRPr="00E91EE6">
              <w:rPr>
                <w:rFonts w:cs="Times New Roman"/>
                <w:bCs/>
                <w:sz w:val="20"/>
                <w:szCs w:val="20"/>
                <w:lang w:eastAsia="sk-SK"/>
              </w:rPr>
              <w:t>.</w:t>
            </w:r>
          </w:p>
        </w:tc>
        <w:tc>
          <w:tcPr>
            <w:tcW w:w="993" w:type="dxa"/>
            <w:tcBorders>
              <w:top w:val="nil"/>
              <w:left w:val="nil"/>
              <w:right w:val="nil"/>
            </w:tcBorders>
            <w:shd w:val="clear" w:color="auto" w:fill="auto"/>
            <w:vAlign w:val="center"/>
            <w:hideMark/>
          </w:tcPr>
          <w:p w14:paraId="67A3D9B2" w14:textId="77777777" w:rsidR="00E91EE6" w:rsidRPr="00E91EE6" w:rsidRDefault="00E91EE6" w:rsidP="00030868">
            <w:pPr>
              <w:spacing w:after="0" w:line="240" w:lineRule="auto"/>
              <w:jc w:val="center"/>
              <w:rPr>
                <w:rFonts w:cs="Times New Roman"/>
                <w:bCs/>
                <w:sz w:val="20"/>
                <w:szCs w:val="20"/>
                <w:lang w:eastAsia="sk-SK"/>
              </w:rPr>
            </w:pPr>
            <w:r w:rsidRPr="00E91EE6">
              <w:rPr>
                <w:rFonts w:cs="Times New Roman"/>
                <w:bCs/>
                <w:sz w:val="20"/>
                <w:szCs w:val="20"/>
                <w:lang w:eastAsia="sk-SK"/>
              </w:rPr>
              <w:t>0</w:t>
            </w:r>
          </w:p>
        </w:tc>
        <w:tc>
          <w:tcPr>
            <w:tcW w:w="1134" w:type="dxa"/>
            <w:tcBorders>
              <w:top w:val="nil"/>
              <w:left w:val="nil"/>
              <w:right w:val="nil"/>
            </w:tcBorders>
            <w:shd w:val="clear" w:color="auto" w:fill="auto"/>
            <w:vAlign w:val="center"/>
            <w:hideMark/>
          </w:tcPr>
          <w:p w14:paraId="13E36279"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0</w:t>
            </w:r>
          </w:p>
        </w:tc>
        <w:tc>
          <w:tcPr>
            <w:tcW w:w="929" w:type="dxa"/>
            <w:tcBorders>
              <w:top w:val="nil"/>
              <w:left w:val="nil"/>
              <w:right w:val="nil"/>
            </w:tcBorders>
            <w:shd w:val="clear" w:color="auto" w:fill="auto"/>
            <w:vAlign w:val="center"/>
            <w:hideMark/>
          </w:tcPr>
          <w:p w14:paraId="15458983"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20</w:t>
            </w:r>
          </w:p>
        </w:tc>
        <w:tc>
          <w:tcPr>
            <w:tcW w:w="1123" w:type="dxa"/>
            <w:tcBorders>
              <w:top w:val="nil"/>
              <w:left w:val="nil"/>
              <w:right w:val="nil"/>
            </w:tcBorders>
            <w:shd w:val="clear" w:color="auto" w:fill="BFBFBF" w:themeFill="background1" w:themeFillShade="BF"/>
            <w:vAlign w:val="center"/>
            <w:hideMark/>
          </w:tcPr>
          <w:p w14:paraId="27B919FE"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20</w:t>
            </w:r>
          </w:p>
        </w:tc>
        <w:tc>
          <w:tcPr>
            <w:tcW w:w="783" w:type="dxa"/>
            <w:tcBorders>
              <w:top w:val="nil"/>
              <w:left w:val="nil"/>
              <w:right w:val="nil"/>
            </w:tcBorders>
            <w:shd w:val="clear" w:color="auto" w:fill="auto"/>
            <w:vAlign w:val="center"/>
            <w:hideMark/>
          </w:tcPr>
          <w:p w14:paraId="0326EFFB"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0</w:t>
            </w:r>
          </w:p>
        </w:tc>
        <w:tc>
          <w:tcPr>
            <w:tcW w:w="708" w:type="dxa"/>
            <w:tcBorders>
              <w:top w:val="nil"/>
              <w:left w:val="nil"/>
              <w:right w:val="nil"/>
            </w:tcBorders>
            <w:shd w:val="clear" w:color="auto" w:fill="auto"/>
            <w:vAlign w:val="center"/>
            <w:hideMark/>
          </w:tcPr>
          <w:p w14:paraId="07D12756"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0,0</w:t>
            </w:r>
          </w:p>
        </w:tc>
      </w:tr>
      <w:tr w:rsidR="00E91EE6" w:rsidRPr="00E91EE6" w14:paraId="08D59B5E" w14:textId="77777777" w:rsidTr="00FA0777">
        <w:trPr>
          <w:trHeight w:val="345"/>
        </w:trPr>
        <w:tc>
          <w:tcPr>
            <w:tcW w:w="4111" w:type="dxa"/>
            <w:tcBorders>
              <w:top w:val="nil"/>
              <w:left w:val="nil"/>
              <w:right w:val="nil"/>
            </w:tcBorders>
            <w:shd w:val="clear" w:color="auto" w:fill="auto"/>
            <w:vAlign w:val="center"/>
            <w:hideMark/>
          </w:tcPr>
          <w:p w14:paraId="63EEAD33" w14:textId="77777777" w:rsidR="00E91EE6" w:rsidRPr="00E91EE6" w:rsidRDefault="00E91EE6" w:rsidP="00CE4ED5">
            <w:pPr>
              <w:spacing w:after="0" w:line="240" w:lineRule="auto"/>
              <w:jc w:val="left"/>
              <w:rPr>
                <w:rFonts w:cs="Times New Roman"/>
                <w:bCs/>
                <w:sz w:val="20"/>
                <w:szCs w:val="20"/>
                <w:lang w:eastAsia="sk-SK"/>
              </w:rPr>
            </w:pPr>
            <w:r w:rsidRPr="00E91EE6">
              <w:rPr>
                <w:rFonts w:cs="Times New Roman"/>
                <w:bCs/>
                <w:sz w:val="20"/>
                <w:szCs w:val="20"/>
                <w:lang w:eastAsia="sk-SK"/>
              </w:rPr>
              <w:t xml:space="preserve">    Verejné prístavy, </w:t>
            </w:r>
            <w:proofErr w:type="spellStart"/>
            <w:r w:rsidRPr="00E91EE6">
              <w:rPr>
                <w:rFonts w:cs="Times New Roman"/>
                <w:bCs/>
                <w:sz w:val="20"/>
                <w:szCs w:val="20"/>
                <w:lang w:eastAsia="sk-SK"/>
              </w:rPr>
              <w:t>a.s</w:t>
            </w:r>
            <w:proofErr w:type="spellEnd"/>
            <w:r w:rsidRPr="00E91EE6">
              <w:rPr>
                <w:rFonts w:cs="Times New Roman"/>
                <w:bCs/>
                <w:sz w:val="20"/>
                <w:szCs w:val="20"/>
                <w:lang w:eastAsia="sk-SK"/>
              </w:rPr>
              <w:t>.</w:t>
            </w:r>
          </w:p>
        </w:tc>
        <w:tc>
          <w:tcPr>
            <w:tcW w:w="993" w:type="dxa"/>
            <w:tcBorders>
              <w:top w:val="nil"/>
              <w:left w:val="nil"/>
              <w:right w:val="nil"/>
            </w:tcBorders>
            <w:shd w:val="clear" w:color="auto" w:fill="auto"/>
            <w:vAlign w:val="center"/>
            <w:hideMark/>
          </w:tcPr>
          <w:p w14:paraId="56776C32" w14:textId="77777777" w:rsidR="00E91EE6" w:rsidRPr="00E91EE6" w:rsidRDefault="00E91EE6" w:rsidP="00030868">
            <w:pPr>
              <w:spacing w:after="0" w:line="240" w:lineRule="auto"/>
              <w:jc w:val="center"/>
              <w:rPr>
                <w:rFonts w:cs="Times New Roman"/>
                <w:bCs/>
                <w:sz w:val="20"/>
                <w:szCs w:val="20"/>
                <w:lang w:eastAsia="sk-SK"/>
              </w:rPr>
            </w:pPr>
            <w:r w:rsidRPr="00E91EE6">
              <w:rPr>
                <w:rFonts w:cs="Times New Roman"/>
                <w:bCs/>
                <w:sz w:val="20"/>
                <w:szCs w:val="20"/>
                <w:lang w:eastAsia="sk-SK"/>
              </w:rPr>
              <w:t>255</w:t>
            </w:r>
          </w:p>
        </w:tc>
        <w:tc>
          <w:tcPr>
            <w:tcW w:w="1134" w:type="dxa"/>
            <w:tcBorders>
              <w:top w:val="nil"/>
              <w:left w:val="nil"/>
              <w:right w:val="nil"/>
            </w:tcBorders>
            <w:shd w:val="clear" w:color="auto" w:fill="auto"/>
            <w:vAlign w:val="center"/>
            <w:hideMark/>
          </w:tcPr>
          <w:p w14:paraId="3E7E9EDE"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0</w:t>
            </w:r>
          </w:p>
        </w:tc>
        <w:tc>
          <w:tcPr>
            <w:tcW w:w="929" w:type="dxa"/>
            <w:tcBorders>
              <w:top w:val="nil"/>
              <w:left w:val="nil"/>
              <w:right w:val="nil"/>
            </w:tcBorders>
            <w:shd w:val="clear" w:color="auto" w:fill="auto"/>
            <w:vAlign w:val="center"/>
            <w:hideMark/>
          </w:tcPr>
          <w:p w14:paraId="1AA18949"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0</w:t>
            </w:r>
          </w:p>
        </w:tc>
        <w:tc>
          <w:tcPr>
            <w:tcW w:w="1123" w:type="dxa"/>
            <w:tcBorders>
              <w:top w:val="nil"/>
              <w:left w:val="nil"/>
              <w:right w:val="nil"/>
            </w:tcBorders>
            <w:shd w:val="clear" w:color="auto" w:fill="BFBFBF" w:themeFill="background1" w:themeFillShade="BF"/>
            <w:vAlign w:val="center"/>
            <w:hideMark/>
          </w:tcPr>
          <w:p w14:paraId="421C78CE"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0</w:t>
            </w:r>
          </w:p>
        </w:tc>
        <w:tc>
          <w:tcPr>
            <w:tcW w:w="783" w:type="dxa"/>
            <w:tcBorders>
              <w:top w:val="nil"/>
              <w:left w:val="nil"/>
              <w:right w:val="nil"/>
            </w:tcBorders>
            <w:shd w:val="clear" w:color="auto" w:fill="auto"/>
            <w:vAlign w:val="center"/>
            <w:hideMark/>
          </w:tcPr>
          <w:p w14:paraId="59535505"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0</w:t>
            </w:r>
          </w:p>
        </w:tc>
        <w:tc>
          <w:tcPr>
            <w:tcW w:w="708" w:type="dxa"/>
            <w:tcBorders>
              <w:top w:val="nil"/>
              <w:left w:val="nil"/>
              <w:right w:val="nil"/>
            </w:tcBorders>
            <w:shd w:val="clear" w:color="auto" w:fill="auto"/>
            <w:vAlign w:val="center"/>
            <w:hideMark/>
          </w:tcPr>
          <w:p w14:paraId="6CF18704" w14:textId="77777777" w:rsidR="00E91EE6" w:rsidRPr="00E91EE6" w:rsidRDefault="00E91EE6" w:rsidP="00E91EE6">
            <w:pPr>
              <w:spacing w:after="0" w:line="240" w:lineRule="auto"/>
              <w:jc w:val="center"/>
              <w:rPr>
                <w:rFonts w:cs="Times New Roman"/>
                <w:bCs/>
                <w:sz w:val="20"/>
                <w:szCs w:val="20"/>
                <w:lang w:eastAsia="sk-SK"/>
              </w:rPr>
            </w:pPr>
            <w:r w:rsidRPr="00E91EE6">
              <w:rPr>
                <w:rFonts w:cs="Times New Roman"/>
                <w:bCs/>
                <w:sz w:val="20"/>
                <w:szCs w:val="20"/>
                <w:lang w:eastAsia="sk-SK"/>
              </w:rPr>
              <w:t>x</w:t>
            </w:r>
          </w:p>
        </w:tc>
      </w:tr>
      <w:tr w:rsidR="00E91EE6" w:rsidRPr="00E91EE6" w14:paraId="53D32FD0" w14:textId="77777777" w:rsidTr="00FA0777">
        <w:trPr>
          <w:trHeight w:val="345"/>
        </w:trPr>
        <w:tc>
          <w:tcPr>
            <w:tcW w:w="4111" w:type="dxa"/>
            <w:tcBorders>
              <w:top w:val="nil"/>
              <w:left w:val="nil"/>
              <w:right w:val="nil"/>
            </w:tcBorders>
            <w:shd w:val="clear" w:color="auto" w:fill="auto"/>
            <w:vAlign w:val="center"/>
            <w:hideMark/>
          </w:tcPr>
          <w:p w14:paraId="05B622D1" w14:textId="77777777" w:rsidR="00E91EE6" w:rsidRPr="00E91EE6" w:rsidRDefault="00E91EE6" w:rsidP="00CE4ED5">
            <w:pPr>
              <w:spacing w:after="0" w:line="240" w:lineRule="auto"/>
              <w:jc w:val="left"/>
              <w:rPr>
                <w:rFonts w:cs="Times New Roman"/>
                <w:bCs/>
                <w:sz w:val="20"/>
                <w:szCs w:val="20"/>
                <w:lang w:eastAsia="sk-SK"/>
              </w:rPr>
            </w:pPr>
            <w:r w:rsidRPr="00E91EE6">
              <w:rPr>
                <w:rFonts w:cs="Times New Roman"/>
                <w:bCs/>
                <w:sz w:val="20"/>
                <w:szCs w:val="20"/>
                <w:lang w:eastAsia="sk-SK"/>
              </w:rPr>
              <w:t xml:space="preserve">    Poštová banka, </w:t>
            </w:r>
            <w:proofErr w:type="spellStart"/>
            <w:r w:rsidRPr="00E91EE6">
              <w:rPr>
                <w:rFonts w:cs="Times New Roman"/>
                <w:bCs/>
                <w:sz w:val="20"/>
                <w:szCs w:val="20"/>
                <w:lang w:eastAsia="sk-SK"/>
              </w:rPr>
              <w:t>a.s</w:t>
            </w:r>
            <w:proofErr w:type="spellEnd"/>
            <w:r w:rsidRPr="00E91EE6">
              <w:rPr>
                <w:rFonts w:cs="Times New Roman"/>
                <w:bCs/>
                <w:sz w:val="20"/>
                <w:szCs w:val="20"/>
                <w:lang w:eastAsia="sk-SK"/>
              </w:rPr>
              <w:t>.</w:t>
            </w:r>
          </w:p>
        </w:tc>
        <w:tc>
          <w:tcPr>
            <w:tcW w:w="993" w:type="dxa"/>
            <w:tcBorders>
              <w:top w:val="nil"/>
              <w:left w:val="nil"/>
              <w:right w:val="nil"/>
            </w:tcBorders>
            <w:shd w:val="clear" w:color="auto" w:fill="auto"/>
            <w:vAlign w:val="center"/>
            <w:hideMark/>
          </w:tcPr>
          <w:p w14:paraId="37627236" w14:textId="77777777" w:rsidR="00E91EE6" w:rsidRPr="00E91EE6" w:rsidRDefault="00E91EE6" w:rsidP="00030868">
            <w:pPr>
              <w:spacing w:after="0" w:line="240" w:lineRule="auto"/>
              <w:jc w:val="center"/>
              <w:rPr>
                <w:rFonts w:cs="Times New Roman"/>
                <w:bCs/>
                <w:sz w:val="20"/>
                <w:szCs w:val="20"/>
                <w:lang w:eastAsia="sk-SK"/>
              </w:rPr>
            </w:pPr>
            <w:r w:rsidRPr="00E91EE6">
              <w:rPr>
                <w:rFonts w:cs="Times New Roman"/>
                <w:bCs/>
                <w:sz w:val="20"/>
                <w:szCs w:val="20"/>
                <w:lang w:eastAsia="sk-SK"/>
              </w:rPr>
              <w:t>12</w:t>
            </w:r>
          </w:p>
        </w:tc>
        <w:tc>
          <w:tcPr>
            <w:tcW w:w="1134" w:type="dxa"/>
            <w:tcBorders>
              <w:top w:val="nil"/>
              <w:left w:val="nil"/>
              <w:right w:val="nil"/>
            </w:tcBorders>
            <w:shd w:val="clear" w:color="auto" w:fill="auto"/>
            <w:vAlign w:val="center"/>
            <w:hideMark/>
          </w:tcPr>
          <w:p w14:paraId="56C443A1" w14:textId="77777777" w:rsidR="00E91EE6" w:rsidRPr="00E91EE6" w:rsidRDefault="00E91EE6" w:rsidP="00030868">
            <w:pPr>
              <w:spacing w:after="0" w:line="240" w:lineRule="auto"/>
              <w:jc w:val="center"/>
              <w:rPr>
                <w:rFonts w:cs="Times New Roman"/>
                <w:bCs/>
                <w:sz w:val="20"/>
                <w:szCs w:val="20"/>
                <w:lang w:eastAsia="sk-SK"/>
              </w:rPr>
            </w:pPr>
            <w:r w:rsidRPr="00E91EE6">
              <w:rPr>
                <w:rFonts w:cs="Times New Roman"/>
                <w:bCs/>
                <w:sz w:val="20"/>
                <w:szCs w:val="20"/>
                <w:lang w:eastAsia="sk-SK"/>
              </w:rPr>
              <w:t>4</w:t>
            </w:r>
          </w:p>
        </w:tc>
        <w:tc>
          <w:tcPr>
            <w:tcW w:w="929" w:type="dxa"/>
            <w:tcBorders>
              <w:top w:val="nil"/>
              <w:left w:val="nil"/>
              <w:right w:val="nil"/>
            </w:tcBorders>
            <w:shd w:val="clear" w:color="auto" w:fill="auto"/>
            <w:vAlign w:val="center"/>
            <w:hideMark/>
          </w:tcPr>
          <w:p w14:paraId="4263524D" w14:textId="77777777" w:rsidR="00E91EE6" w:rsidRPr="00E91EE6" w:rsidRDefault="00E91EE6" w:rsidP="00030868">
            <w:pPr>
              <w:spacing w:after="0" w:line="240" w:lineRule="auto"/>
              <w:jc w:val="center"/>
              <w:rPr>
                <w:rFonts w:cs="Times New Roman"/>
                <w:bCs/>
                <w:sz w:val="20"/>
                <w:szCs w:val="20"/>
                <w:lang w:eastAsia="sk-SK"/>
              </w:rPr>
            </w:pPr>
            <w:r w:rsidRPr="00E91EE6">
              <w:rPr>
                <w:rFonts w:cs="Times New Roman"/>
                <w:bCs/>
                <w:sz w:val="20"/>
                <w:szCs w:val="20"/>
                <w:lang w:eastAsia="sk-SK"/>
              </w:rPr>
              <w:t>0</w:t>
            </w:r>
          </w:p>
        </w:tc>
        <w:tc>
          <w:tcPr>
            <w:tcW w:w="1123" w:type="dxa"/>
            <w:tcBorders>
              <w:top w:val="nil"/>
              <w:left w:val="nil"/>
              <w:right w:val="nil"/>
            </w:tcBorders>
            <w:shd w:val="clear" w:color="auto" w:fill="BFBFBF" w:themeFill="background1" w:themeFillShade="BF"/>
            <w:vAlign w:val="center"/>
            <w:hideMark/>
          </w:tcPr>
          <w:p w14:paraId="77593381" w14:textId="77777777" w:rsidR="00E91EE6" w:rsidRPr="00E91EE6" w:rsidRDefault="00E91EE6" w:rsidP="00030868">
            <w:pPr>
              <w:spacing w:after="0" w:line="240" w:lineRule="auto"/>
              <w:jc w:val="center"/>
              <w:rPr>
                <w:rFonts w:cs="Times New Roman"/>
                <w:bCs/>
                <w:sz w:val="20"/>
                <w:szCs w:val="20"/>
                <w:lang w:eastAsia="sk-SK"/>
              </w:rPr>
            </w:pPr>
            <w:r w:rsidRPr="00E91EE6">
              <w:rPr>
                <w:rFonts w:cs="Times New Roman"/>
                <w:bCs/>
                <w:sz w:val="20"/>
                <w:szCs w:val="20"/>
                <w:lang w:eastAsia="sk-SK"/>
              </w:rPr>
              <w:t>7</w:t>
            </w:r>
          </w:p>
        </w:tc>
        <w:tc>
          <w:tcPr>
            <w:tcW w:w="783" w:type="dxa"/>
            <w:tcBorders>
              <w:top w:val="nil"/>
              <w:left w:val="nil"/>
              <w:right w:val="nil"/>
            </w:tcBorders>
            <w:shd w:val="clear" w:color="auto" w:fill="auto"/>
            <w:vAlign w:val="center"/>
            <w:hideMark/>
          </w:tcPr>
          <w:p w14:paraId="3419CC68" w14:textId="77777777" w:rsidR="00E91EE6" w:rsidRPr="00E91EE6" w:rsidRDefault="00E91EE6" w:rsidP="00030868">
            <w:pPr>
              <w:spacing w:after="0" w:line="240" w:lineRule="auto"/>
              <w:jc w:val="center"/>
              <w:rPr>
                <w:rFonts w:cs="Times New Roman"/>
                <w:bCs/>
                <w:sz w:val="20"/>
                <w:szCs w:val="20"/>
                <w:lang w:eastAsia="sk-SK"/>
              </w:rPr>
            </w:pPr>
            <w:r w:rsidRPr="00E91EE6">
              <w:rPr>
                <w:rFonts w:cs="Times New Roman"/>
                <w:bCs/>
                <w:sz w:val="20"/>
                <w:szCs w:val="20"/>
                <w:lang w:eastAsia="sk-SK"/>
              </w:rPr>
              <w:t>7</w:t>
            </w:r>
          </w:p>
        </w:tc>
        <w:tc>
          <w:tcPr>
            <w:tcW w:w="708" w:type="dxa"/>
            <w:tcBorders>
              <w:top w:val="nil"/>
              <w:left w:val="nil"/>
              <w:right w:val="nil"/>
            </w:tcBorders>
            <w:shd w:val="clear" w:color="auto" w:fill="auto"/>
            <w:vAlign w:val="center"/>
            <w:hideMark/>
          </w:tcPr>
          <w:p w14:paraId="5CC38506" w14:textId="77777777" w:rsidR="00E91EE6" w:rsidRPr="00E91EE6" w:rsidRDefault="00E91EE6" w:rsidP="00030868">
            <w:pPr>
              <w:spacing w:after="0" w:line="240" w:lineRule="auto"/>
              <w:jc w:val="center"/>
              <w:rPr>
                <w:rFonts w:cs="Times New Roman"/>
                <w:bCs/>
                <w:sz w:val="20"/>
                <w:szCs w:val="20"/>
                <w:lang w:eastAsia="sk-SK"/>
              </w:rPr>
            </w:pPr>
            <w:r w:rsidRPr="00E91EE6">
              <w:rPr>
                <w:rFonts w:cs="Times New Roman"/>
                <w:bCs/>
                <w:sz w:val="20"/>
                <w:szCs w:val="20"/>
                <w:lang w:eastAsia="sk-SK"/>
              </w:rPr>
              <w:t>x</w:t>
            </w:r>
          </w:p>
        </w:tc>
      </w:tr>
      <w:tr w:rsidR="008F75C2" w:rsidRPr="00E91EE6" w14:paraId="243314BA" w14:textId="77777777" w:rsidTr="00FA0777">
        <w:trPr>
          <w:trHeight w:val="330"/>
        </w:trPr>
        <w:tc>
          <w:tcPr>
            <w:tcW w:w="4111" w:type="dxa"/>
            <w:tcBorders>
              <w:left w:val="nil"/>
              <w:bottom w:val="nil"/>
              <w:right w:val="nil"/>
            </w:tcBorders>
            <w:shd w:val="clear" w:color="000000" w:fill="FFFFFF"/>
            <w:noWrap/>
            <w:vAlign w:val="center"/>
            <w:hideMark/>
          </w:tcPr>
          <w:p w14:paraId="51CDC927" w14:textId="77777777" w:rsidR="008F75C2" w:rsidRPr="00E91EE6" w:rsidRDefault="008F75C2" w:rsidP="0002384D">
            <w:pPr>
              <w:spacing w:after="0" w:line="240" w:lineRule="auto"/>
              <w:jc w:val="left"/>
              <w:rPr>
                <w:rFonts w:cs="Times New Roman"/>
                <w:b/>
                <w:color w:val="000000"/>
                <w:sz w:val="20"/>
                <w:szCs w:val="20"/>
                <w:lang w:eastAsia="sk-SK"/>
              </w:rPr>
            </w:pPr>
            <w:r w:rsidRPr="00E91EE6">
              <w:rPr>
                <w:rFonts w:cs="Times New Roman"/>
                <w:b/>
                <w:color w:val="000000"/>
                <w:sz w:val="20"/>
                <w:szCs w:val="20"/>
                <w:lang w:eastAsia="sk-SK"/>
              </w:rPr>
              <w:t xml:space="preserve">Ministerstvo </w:t>
            </w:r>
            <w:proofErr w:type="spellStart"/>
            <w:r w:rsidRPr="00E91EE6">
              <w:rPr>
                <w:rFonts w:cs="Times New Roman"/>
                <w:b/>
                <w:color w:val="000000"/>
                <w:sz w:val="20"/>
                <w:szCs w:val="20"/>
                <w:lang w:eastAsia="sk-SK"/>
              </w:rPr>
              <w:t>zahranič.vecí</w:t>
            </w:r>
            <w:proofErr w:type="spellEnd"/>
            <w:r w:rsidRPr="00E91EE6">
              <w:rPr>
                <w:rFonts w:cs="Times New Roman"/>
                <w:b/>
                <w:color w:val="000000"/>
                <w:sz w:val="20"/>
                <w:szCs w:val="20"/>
                <w:lang w:eastAsia="sk-SK"/>
              </w:rPr>
              <w:t xml:space="preserve"> a európskych záležitostí SR</w:t>
            </w:r>
          </w:p>
        </w:tc>
        <w:tc>
          <w:tcPr>
            <w:tcW w:w="993" w:type="dxa"/>
            <w:tcBorders>
              <w:left w:val="nil"/>
              <w:bottom w:val="nil"/>
              <w:right w:val="nil"/>
            </w:tcBorders>
            <w:shd w:val="clear" w:color="000000" w:fill="FFFFFF"/>
            <w:noWrap/>
            <w:vAlign w:val="center"/>
            <w:hideMark/>
          </w:tcPr>
          <w:p w14:paraId="5EAABD73" w14:textId="77777777" w:rsidR="008F75C2" w:rsidRPr="00E91EE6" w:rsidRDefault="008F75C2" w:rsidP="00030868">
            <w:pPr>
              <w:spacing w:after="0" w:line="240" w:lineRule="auto"/>
              <w:jc w:val="center"/>
              <w:rPr>
                <w:rFonts w:cs="Times New Roman"/>
                <w:b/>
                <w:color w:val="000000"/>
                <w:sz w:val="20"/>
                <w:szCs w:val="20"/>
                <w:lang w:eastAsia="sk-SK"/>
              </w:rPr>
            </w:pPr>
            <w:r w:rsidRPr="00E91EE6">
              <w:rPr>
                <w:rFonts w:cs="Times New Roman"/>
                <w:b/>
                <w:color w:val="000000"/>
                <w:sz w:val="20"/>
                <w:szCs w:val="20"/>
                <w:lang w:eastAsia="sk-SK"/>
              </w:rPr>
              <w:t>205</w:t>
            </w:r>
          </w:p>
        </w:tc>
        <w:tc>
          <w:tcPr>
            <w:tcW w:w="1134" w:type="dxa"/>
            <w:tcBorders>
              <w:left w:val="nil"/>
              <w:bottom w:val="nil"/>
              <w:right w:val="nil"/>
            </w:tcBorders>
            <w:shd w:val="clear" w:color="auto" w:fill="auto"/>
            <w:noWrap/>
            <w:vAlign w:val="center"/>
            <w:hideMark/>
          </w:tcPr>
          <w:p w14:paraId="5732CE46" w14:textId="77777777" w:rsidR="008F75C2" w:rsidRPr="00E91EE6" w:rsidRDefault="008F75C2" w:rsidP="00030868">
            <w:pPr>
              <w:spacing w:after="0" w:line="240" w:lineRule="auto"/>
              <w:jc w:val="center"/>
              <w:rPr>
                <w:rFonts w:cs="Times New Roman"/>
                <w:b/>
                <w:color w:val="000000"/>
                <w:sz w:val="20"/>
                <w:szCs w:val="20"/>
                <w:lang w:eastAsia="sk-SK"/>
              </w:rPr>
            </w:pPr>
            <w:r w:rsidRPr="00E91EE6">
              <w:rPr>
                <w:rFonts w:cs="Times New Roman"/>
                <w:b/>
                <w:color w:val="000000"/>
                <w:sz w:val="20"/>
                <w:szCs w:val="20"/>
                <w:lang w:eastAsia="sk-SK"/>
              </w:rPr>
              <w:t>210</w:t>
            </w:r>
          </w:p>
        </w:tc>
        <w:tc>
          <w:tcPr>
            <w:tcW w:w="929" w:type="dxa"/>
            <w:tcBorders>
              <w:left w:val="nil"/>
              <w:bottom w:val="nil"/>
              <w:right w:val="nil"/>
            </w:tcBorders>
            <w:shd w:val="clear" w:color="000000" w:fill="FFFFFF"/>
            <w:noWrap/>
            <w:vAlign w:val="center"/>
            <w:hideMark/>
          </w:tcPr>
          <w:p w14:paraId="53204A0A" w14:textId="77777777" w:rsidR="008F75C2" w:rsidRPr="00E91EE6" w:rsidRDefault="008F75C2" w:rsidP="00030868">
            <w:pPr>
              <w:spacing w:after="0" w:line="240" w:lineRule="auto"/>
              <w:jc w:val="center"/>
              <w:rPr>
                <w:rFonts w:cs="Times New Roman"/>
                <w:b/>
                <w:color w:val="000000"/>
                <w:sz w:val="20"/>
                <w:szCs w:val="20"/>
                <w:lang w:eastAsia="sk-SK"/>
              </w:rPr>
            </w:pPr>
            <w:r w:rsidRPr="00E91EE6">
              <w:rPr>
                <w:rFonts w:cs="Times New Roman"/>
                <w:b/>
                <w:color w:val="000000"/>
                <w:sz w:val="20"/>
                <w:szCs w:val="20"/>
                <w:lang w:eastAsia="sk-SK"/>
              </w:rPr>
              <w:t>213</w:t>
            </w:r>
          </w:p>
        </w:tc>
        <w:tc>
          <w:tcPr>
            <w:tcW w:w="1123" w:type="dxa"/>
            <w:tcBorders>
              <w:left w:val="nil"/>
              <w:bottom w:val="nil"/>
              <w:right w:val="nil"/>
            </w:tcBorders>
            <w:shd w:val="clear" w:color="000000" w:fill="BFBFBF"/>
            <w:noWrap/>
            <w:vAlign w:val="center"/>
            <w:hideMark/>
          </w:tcPr>
          <w:p w14:paraId="18C55014" w14:textId="77777777" w:rsidR="008F75C2" w:rsidRPr="00E91EE6" w:rsidRDefault="008F75C2" w:rsidP="00030868">
            <w:pPr>
              <w:spacing w:after="0" w:line="240" w:lineRule="auto"/>
              <w:jc w:val="center"/>
              <w:rPr>
                <w:rFonts w:cs="Times New Roman"/>
                <w:b/>
                <w:color w:val="000000"/>
                <w:sz w:val="20"/>
                <w:szCs w:val="20"/>
                <w:lang w:eastAsia="sk-SK"/>
              </w:rPr>
            </w:pPr>
            <w:r w:rsidRPr="00E91EE6">
              <w:rPr>
                <w:rFonts w:cs="Times New Roman"/>
                <w:b/>
                <w:color w:val="000000"/>
                <w:sz w:val="20"/>
                <w:szCs w:val="20"/>
                <w:lang w:eastAsia="sk-SK"/>
              </w:rPr>
              <w:t>213</w:t>
            </w:r>
          </w:p>
        </w:tc>
        <w:tc>
          <w:tcPr>
            <w:tcW w:w="783" w:type="dxa"/>
            <w:tcBorders>
              <w:left w:val="nil"/>
              <w:bottom w:val="nil"/>
              <w:right w:val="nil"/>
            </w:tcBorders>
            <w:shd w:val="clear" w:color="000000" w:fill="FFFFFF"/>
            <w:vAlign w:val="center"/>
            <w:hideMark/>
          </w:tcPr>
          <w:p w14:paraId="649DDF10" w14:textId="77777777" w:rsidR="008F75C2" w:rsidRPr="00E91EE6" w:rsidRDefault="008F75C2" w:rsidP="00030868">
            <w:pPr>
              <w:spacing w:after="0" w:line="240" w:lineRule="auto"/>
              <w:jc w:val="center"/>
              <w:rPr>
                <w:rFonts w:cs="Times New Roman"/>
                <w:b/>
                <w:color w:val="000000"/>
                <w:sz w:val="20"/>
                <w:szCs w:val="20"/>
                <w:lang w:eastAsia="sk-SK"/>
              </w:rPr>
            </w:pPr>
            <w:r w:rsidRPr="00E91EE6">
              <w:rPr>
                <w:rFonts w:cs="Times New Roman"/>
                <w:b/>
                <w:color w:val="000000"/>
                <w:sz w:val="20"/>
                <w:szCs w:val="20"/>
                <w:lang w:eastAsia="sk-SK"/>
              </w:rPr>
              <w:t>0</w:t>
            </w:r>
          </w:p>
        </w:tc>
        <w:tc>
          <w:tcPr>
            <w:tcW w:w="708" w:type="dxa"/>
            <w:tcBorders>
              <w:left w:val="nil"/>
              <w:bottom w:val="nil"/>
              <w:right w:val="nil"/>
            </w:tcBorders>
            <w:shd w:val="clear" w:color="000000" w:fill="FFFFFF"/>
            <w:vAlign w:val="center"/>
            <w:hideMark/>
          </w:tcPr>
          <w:p w14:paraId="178353D0" w14:textId="77777777" w:rsidR="008F75C2" w:rsidRPr="00E91EE6" w:rsidRDefault="008F75C2" w:rsidP="00030868">
            <w:pPr>
              <w:spacing w:after="0" w:line="240" w:lineRule="auto"/>
              <w:jc w:val="center"/>
              <w:rPr>
                <w:rFonts w:cs="Times New Roman"/>
                <w:b/>
                <w:color w:val="000000"/>
                <w:sz w:val="20"/>
                <w:szCs w:val="20"/>
                <w:lang w:eastAsia="sk-SK"/>
              </w:rPr>
            </w:pPr>
            <w:r w:rsidRPr="00E91EE6">
              <w:rPr>
                <w:rFonts w:cs="Times New Roman"/>
                <w:b/>
                <w:color w:val="000000"/>
                <w:sz w:val="20"/>
                <w:szCs w:val="20"/>
                <w:lang w:eastAsia="sk-SK"/>
              </w:rPr>
              <w:t>0,0</w:t>
            </w:r>
          </w:p>
        </w:tc>
      </w:tr>
      <w:tr w:rsidR="008F75C2" w:rsidRPr="00E91EE6" w14:paraId="1263A4BE" w14:textId="77777777" w:rsidTr="00FA0777">
        <w:trPr>
          <w:trHeight w:val="330"/>
        </w:trPr>
        <w:tc>
          <w:tcPr>
            <w:tcW w:w="4111" w:type="dxa"/>
            <w:tcBorders>
              <w:top w:val="nil"/>
              <w:left w:val="nil"/>
              <w:bottom w:val="nil"/>
              <w:right w:val="nil"/>
            </w:tcBorders>
            <w:shd w:val="clear" w:color="000000" w:fill="FFFFFF"/>
            <w:noWrap/>
            <w:vAlign w:val="center"/>
            <w:hideMark/>
          </w:tcPr>
          <w:p w14:paraId="56AEE5F5" w14:textId="77777777" w:rsidR="008F75C2" w:rsidRPr="00E91EE6" w:rsidRDefault="008F75C2" w:rsidP="0002384D">
            <w:pPr>
              <w:spacing w:after="0" w:line="240" w:lineRule="auto"/>
              <w:jc w:val="left"/>
              <w:rPr>
                <w:rFonts w:cs="Times New Roman"/>
                <w:color w:val="000000"/>
                <w:sz w:val="20"/>
                <w:szCs w:val="20"/>
                <w:lang w:eastAsia="sk-SK"/>
              </w:rPr>
            </w:pPr>
            <w:r w:rsidRPr="00E91EE6">
              <w:rPr>
                <w:rFonts w:cs="Times New Roman"/>
                <w:color w:val="000000"/>
                <w:sz w:val="20"/>
                <w:szCs w:val="20"/>
                <w:lang w:eastAsia="sk-SK"/>
              </w:rPr>
              <w:t xml:space="preserve">     Správa služieb diplomatického zboru, </w:t>
            </w:r>
            <w:proofErr w:type="spellStart"/>
            <w:r w:rsidRPr="00E91EE6">
              <w:rPr>
                <w:rFonts w:cs="Times New Roman"/>
                <w:color w:val="000000"/>
                <w:sz w:val="20"/>
                <w:szCs w:val="20"/>
                <w:lang w:eastAsia="sk-SK"/>
              </w:rPr>
              <w:t>a.s</w:t>
            </w:r>
            <w:proofErr w:type="spellEnd"/>
            <w:r w:rsidRPr="00E91EE6">
              <w:rPr>
                <w:rFonts w:cs="Times New Roman"/>
                <w:color w:val="000000"/>
                <w:sz w:val="20"/>
                <w:szCs w:val="20"/>
                <w:lang w:eastAsia="sk-SK"/>
              </w:rPr>
              <w:t>.</w:t>
            </w:r>
          </w:p>
        </w:tc>
        <w:tc>
          <w:tcPr>
            <w:tcW w:w="993" w:type="dxa"/>
            <w:tcBorders>
              <w:top w:val="nil"/>
              <w:left w:val="nil"/>
              <w:bottom w:val="nil"/>
              <w:right w:val="nil"/>
            </w:tcBorders>
            <w:shd w:val="clear" w:color="000000" w:fill="FFFFFF"/>
            <w:noWrap/>
            <w:vAlign w:val="center"/>
            <w:hideMark/>
          </w:tcPr>
          <w:p w14:paraId="0EB8BF4C" w14:textId="77777777" w:rsidR="008F75C2" w:rsidRPr="00E91EE6" w:rsidRDefault="008F75C2" w:rsidP="00030868">
            <w:pPr>
              <w:spacing w:after="0" w:line="240" w:lineRule="auto"/>
              <w:jc w:val="center"/>
              <w:rPr>
                <w:rFonts w:cs="Times New Roman"/>
                <w:color w:val="000000"/>
                <w:sz w:val="20"/>
                <w:szCs w:val="20"/>
                <w:lang w:eastAsia="sk-SK"/>
              </w:rPr>
            </w:pPr>
            <w:r w:rsidRPr="00E91EE6">
              <w:rPr>
                <w:rFonts w:cs="Times New Roman"/>
                <w:color w:val="000000"/>
                <w:sz w:val="20"/>
                <w:szCs w:val="20"/>
                <w:lang w:eastAsia="sk-SK"/>
              </w:rPr>
              <w:t>205</w:t>
            </w:r>
          </w:p>
        </w:tc>
        <w:tc>
          <w:tcPr>
            <w:tcW w:w="1134" w:type="dxa"/>
            <w:tcBorders>
              <w:top w:val="nil"/>
              <w:left w:val="nil"/>
              <w:bottom w:val="nil"/>
              <w:right w:val="nil"/>
            </w:tcBorders>
            <w:shd w:val="clear" w:color="auto" w:fill="auto"/>
            <w:noWrap/>
            <w:vAlign w:val="center"/>
            <w:hideMark/>
          </w:tcPr>
          <w:p w14:paraId="608F9189" w14:textId="77777777" w:rsidR="008F75C2" w:rsidRPr="00E91EE6" w:rsidRDefault="008F75C2" w:rsidP="00030868">
            <w:pPr>
              <w:spacing w:after="0" w:line="240" w:lineRule="auto"/>
              <w:jc w:val="center"/>
              <w:rPr>
                <w:rFonts w:cs="Times New Roman"/>
                <w:color w:val="000000"/>
                <w:sz w:val="20"/>
                <w:szCs w:val="20"/>
                <w:lang w:eastAsia="sk-SK"/>
              </w:rPr>
            </w:pPr>
            <w:r w:rsidRPr="00E91EE6">
              <w:rPr>
                <w:rFonts w:cs="Times New Roman"/>
                <w:color w:val="000000"/>
                <w:sz w:val="20"/>
                <w:szCs w:val="20"/>
                <w:lang w:eastAsia="sk-SK"/>
              </w:rPr>
              <w:t>210</w:t>
            </w:r>
          </w:p>
        </w:tc>
        <w:tc>
          <w:tcPr>
            <w:tcW w:w="929" w:type="dxa"/>
            <w:tcBorders>
              <w:top w:val="nil"/>
              <w:left w:val="nil"/>
              <w:bottom w:val="nil"/>
              <w:right w:val="nil"/>
            </w:tcBorders>
            <w:shd w:val="clear" w:color="000000" w:fill="FFFFFF"/>
            <w:noWrap/>
            <w:vAlign w:val="center"/>
            <w:hideMark/>
          </w:tcPr>
          <w:p w14:paraId="7ECF272E" w14:textId="77777777" w:rsidR="008F75C2" w:rsidRPr="00E91EE6" w:rsidRDefault="008F75C2" w:rsidP="00030868">
            <w:pPr>
              <w:spacing w:after="0" w:line="240" w:lineRule="auto"/>
              <w:jc w:val="center"/>
              <w:rPr>
                <w:rFonts w:cs="Times New Roman"/>
                <w:color w:val="000000"/>
                <w:sz w:val="20"/>
                <w:szCs w:val="20"/>
                <w:lang w:eastAsia="sk-SK"/>
              </w:rPr>
            </w:pPr>
            <w:r w:rsidRPr="00E91EE6">
              <w:rPr>
                <w:rFonts w:cs="Times New Roman"/>
                <w:color w:val="000000"/>
                <w:sz w:val="20"/>
                <w:szCs w:val="20"/>
                <w:lang w:eastAsia="sk-SK"/>
              </w:rPr>
              <w:t>213</w:t>
            </w:r>
          </w:p>
        </w:tc>
        <w:tc>
          <w:tcPr>
            <w:tcW w:w="1123" w:type="dxa"/>
            <w:tcBorders>
              <w:top w:val="nil"/>
              <w:left w:val="nil"/>
              <w:bottom w:val="nil"/>
              <w:right w:val="nil"/>
            </w:tcBorders>
            <w:shd w:val="clear" w:color="000000" w:fill="BFBFBF"/>
            <w:noWrap/>
            <w:vAlign w:val="center"/>
            <w:hideMark/>
          </w:tcPr>
          <w:p w14:paraId="6C1F1DEC" w14:textId="77777777" w:rsidR="008F75C2" w:rsidRPr="00E91EE6" w:rsidRDefault="008F75C2" w:rsidP="00030868">
            <w:pPr>
              <w:spacing w:after="0" w:line="240" w:lineRule="auto"/>
              <w:jc w:val="center"/>
              <w:rPr>
                <w:rFonts w:cs="Times New Roman"/>
                <w:color w:val="000000"/>
                <w:sz w:val="20"/>
                <w:szCs w:val="20"/>
                <w:lang w:eastAsia="sk-SK"/>
              </w:rPr>
            </w:pPr>
            <w:r w:rsidRPr="00E91EE6">
              <w:rPr>
                <w:rFonts w:cs="Times New Roman"/>
                <w:color w:val="000000"/>
                <w:sz w:val="20"/>
                <w:szCs w:val="20"/>
                <w:lang w:eastAsia="sk-SK"/>
              </w:rPr>
              <w:t>213</w:t>
            </w:r>
          </w:p>
        </w:tc>
        <w:tc>
          <w:tcPr>
            <w:tcW w:w="783" w:type="dxa"/>
            <w:tcBorders>
              <w:top w:val="nil"/>
              <w:left w:val="nil"/>
              <w:bottom w:val="nil"/>
              <w:right w:val="nil"/>
            </w:tcBorders>
            <w:shd w:val="clear" w:color="000000" w:fill="FFFFFF"/>
            <w:vAlign w:val="center"/>
            <w:hideMark/>
          </w:tcPr>
          <w:p w14:paraId="00CBDDA6" w14:textId="77777777" w:rsidR="008F75C2" w:rsidRPr="00E91EE6" w:rsidRDefault="008F75C2" w:rsidP="00030868">
            <w:pPr>
              <w:spacing w:after="0" w:line="240" w:lineRule="auto"/>
              <w:jc w:val="center"/>
              <w:rPr>
                <w:rFonts w:cs="Times New Roman"/>
                <w:color w:val="000000"/>
                <w:sz w:val="20"/>
                <w:szCs w:val="20"/>
                <w:lang w:eastAsia="sk-SK"/>
              </w:rPr>
            </w:pPr>
            <w:r w:rsidRPr="00E91EE6">
              <w:rPr>
                <w:rFonts w:cs="Times New Roman"/>
                <w:color w:val="000000"/>
                <w:sz w:val="20"/>
                <w:szCs w:val="20"/>
                <w:lang w:eastAsia="sk-SK"/>
              </w:rPr>
              <w:t>0</w:t>
            </w:r>
          </w:p>
        </w:tc>
        <w:tc>
          <w:tcPr>
            <w:tcW w:w="708" w:type="dxa"/>
            <w:tcBorders>
              <w:top w:val="nil"/>
              <w:left w:val="nil"/>
              <w:bottom w:val="nil"/>
              <w:right w:val="nil"/>
            </w:tcBorders>
            <w:shd w:val="clear" w:color="000000" w:fill="FFFFFF"/>
            <w:vAlign w:val="center"/>
            <w:hideMark/>
          </w:tcPr>
          <w:p w14:paraId="2802E6F9" w14:textId="77777777" w:rsidR="008F75C2" w:rsidRPr="00E91EE6" w:rsidRDefault="008F75C2" w:rsidP="00030868">
            <w:pPr>
              <w:spacing w:after="0" w:line="240" w:lineRule="auto"/>
              <w:jc w:val="center"/>
              <w:rPr>
                <w:rFonts w:cs="Times New Roman"/>
                <w:color w:val="000000"/>
                <w:sz w:val="20"/>
                <w:szCs w:val="20"/>
                <w:lang w:eastAsia="sk-SK"/>
              </w:rPr>
            </w:pPr>
            <w:r w:rsidRPr="00E91EE6">
              <w:rPr>
                <w:rFonts w:cs="Times New Roman"/>
                <w:color w:val="000000"/>
                <w:sz w:val="20"/>
                <w:szCs w:val="20"/>
                <w:lang w:eastAsia="sk-SK"/>
              </w:rPr>
              <w:t>0,0</w:t>
            </w:r>
          </w:p>
        </w:tc>
      </w:tr>
      <w:tr w:rsidR="008F75C2" w:rsidRPr="00E91EE6" w14:paraId="1F424C69" w14:textId="77777777" w:rsidTr="00FA0777">
        <w:trPr>
          <w:trHeight w:val="330"/>
        </w:trPr>
        <w:tc>
          <w:tcPr>
            <w:tcW w:w="4111" w:type="dxa"/>
            <w:tcBorders>
              <w:top w:val="nil"/>
              <w:left w:val="nil"/>
              <w:bottom w:val="nil"/>
              <w:right w:val="nil"/>
            </w:tcBorders>
            <w:shd w:val="clear" w:color="000000" w:fill="FFFFFF"/>
            <w:noWrap/>
            <w:vAlign w:val="center"/>
            <w:hideMark/>
          </w:tcPr>
          <w:p w14:paraId="2A2E7842" w14:textId="77777777" w:rsidR="008F75C2" w:rsidRPr="00E91EE6" w:rsidRDefault="008F75C2" w:rsidP="0002384D">
            <w:pPr>
              <w:spacing w:after="0" w:line="240" w:lineRule="auto"/>
              <w:jc w:val="left"/>
              <w:rPr>
                <w:rFonts w:cs="Times New Roman"/>
                <w:b/>
                <w:color w:val="000000"/>
                <w:sz w:val="20"/>
                <w:szCs w:val="20"/>
                <w:lang w:eastAsia="sk-SK"/>
              </w:rPr>
            </w:pPr>
            <w:r w:rsidRPr="00E91EE6">
              <w:rPr>
                <w:rFonts w:cs="Times New Roman"/>
                <w:b/>
                <w:color w:val="000000"/>
                <w:sz w:val="20"/>
                <w:szCs w:val="20"/>
                <w:lang w:eastAsia="sk-SK"/>
              </w:rPr>
              <w:t>Ministerstvo práce, sociálnych vecí a rodiny SR</w:t>
            </w:r>
          </w:p>
        </w:tc>
        <w:tc>
          <w:tcPr>
            <w:tcW w:w="993" w:type="dxa"/>
            <w:tcBorders>
              <w:top w:val="nil"/>
              <w:left w:val="nil"/>
              <w:bottom w:val="nil"/>
              <w:right w:val="nil"/>
            </w:tcBorders>
            <w:shd w:val="clear" w:color="000000" w:fill="FFFFFF"/>
            <w:noWrap/>
            <w:vAlign w:val="center"/>
            <w:hideMark/>
          </w:tcPr>
          <w:p w14:paraId="53C845C8" w14:textId="77777777" w:rsidR="008F75C2" w:rsidRPr="00E91EE6" w:rsidRDefault="008F75C2" w:rsidP="00030868">
            <w:pPr>
              <w:spacing w:after="0" w:line="240" w:lineRule="auto"/>
              <w:jc w:val="center"/>
              <w:rPr>
                <w:rFonts w:cs="Times New Roman"/>
                <w:b/>
                <w:color w:val="000000"/>
                <w:sz w:val="20"/>
                <w:szCs w:val="20"/>
                <w:lang w:eastAsia="sk-SK"/>
              </w:rPr>
            </w:pPr>
            <w:r w:rsidRPr="00E91EE6">
              <w:rPr>
                <w:rFonts w:cs="Times New Roman"/>
                <w:b/>
                <w:color w:val="000000"/>
                <w:sz w:val="20"/>
                <w:szCs w:val="20"/>
                <w:lang w:eastAsia="sk-SK"/>
              </w:rPr>
              <w:t>27</w:t>
            </w:r>
          </w:p>
        </w:tc>
        <w:tc>
          <w:tcPr>
            <w:tcW w:w="1134" w:type="dxa"/>
            <w:tcBorders>
              <w:top w:val="nil"/>
              <w:left w:val="nil"/>
              <w:bottom w:val="nil"/>
              <w:right w:val="nil"/>
            </w:tcBorders>
            <w:shd w:val="clear" w:color="auto" w:fill="auto"/>
            <w:noWrap/>
            <w:vAlign w:val="center"/>
            <w:hideMark/>
          </w:tcPr>
          <w:p w14:paraId="4529F747" w14:textId="77777777" w:rsidR="008F75C2" w:rsidRPr="00E91EE6" w:rsidRDefault="008F75C2" w:rsidP="00030868">
            <w:pPr>
              <w:spacing w:after="0" w:line="240" w:lineRule="auto"/>
              <w:jc w:val="center"/>
              <w:rPr>
                <w:rFonts w:cs="Times New Roman"/>
                <w:b/>
                <w:color w:val="000000"/>
                <w:sz w:val="20"/>
                <w:szCs w:val="20"/>
                <w:lang w:eastAsia="sk-SK"/>
              </w:rPr>
            </w:pPr>
            <w:r w:rsidRPr="00E91EE6">
              <w:rPr>
                <w:rFonts w:cs="Times New Roman"/>
                <w:b/>
                <w:color w:val="000000"/>
                <w:sz w:val="20"/>
                <w:szCs w:val="20"/>
                <w:lang w:eastAsia="sk-SK"/>
              </w:rPr>
              <w:t>47</w:t>
            </w:r>
          </w:p>
        </w:tc>
        <w:tc>
          <w:tcPr>
            <w:tcW w:w="929" w:type="dxa"/>
            <w:tcBorders>
              <w:top w:val="nil"/>
              <w:left w:val="nil"/>
              <w:bottom w:val="nil"/>
              <w:right w:val="nil"/>
            </w:tcBorders>
            <w:shd w:val="clear" w:color="000000" w:fill="FFFFFF"/>
            <w:noWrap/>
            <w:vAlign w:val="center"/>
            <w:hideMark/>
          </w:tcPr>
          <w:p w14:paraId="76002EAA" w14:textId="77777777" w:rsidR="008F75C2" w:rsidRPr="00E91EE6" w:rsidRDefault="008F75C2" w:rsidP="00030868">
            <w:pPr>
              <w:spacing w:after="0" w:line="240" w:lineRule="auto"/>
              <w:jc w:val="center"/>
              <w:rPr>
                <w:rFonts w:cs="Times New Roman"/>
                <w:b/>
                <w:color w:val="000000"/>
                <w:sz w:val="20"/>
                <w:szCs w:val="20"/>
                <w:lang w:eastAsia="sk-SK"/>
              </w:rPr>
            </w:pPr>
            <w:r w:rsidRPr="00E91EE6">
              <w:rPr>
                <w:rFonts w:cs="Times New Roman"/>
                <w:b/>
                <w:color w:val="000000"/>
                <w:sz w:val="20"/>
                <w:szCs w:val="20"/>
                <w:lang w:eastAsia="sk-SK"/>
              </w:rPr>
              <w:t>32</w:t>
            </w:r>
          </w:p>
        </w:tc>
        <w:tc>
          <w:tcPr>
            <w:tcW w:w="1123" w:type="dxa"/>
            <w:tcBorders>
              <w:top w:val="nil"/>
              <w:left w:val="nil"/>
              <w:bottom w:val="nil"/>
              <w:right w:val="nil"/>
            </w:tcBorders>
            <w:shd w:val="clear" w:color="000000" w:fill="BFBFBF"/>
            <w:noWrap/>
            <w:vAlign w:val="center"/>
            <w:hideMark/>
          </w:tcPr>
          <w:p w14:paraId="000B21BA" w14:textId="77777777" w:rsidR="008F75C2" w:rsidRPr="00E91EE6" w:rsidRDefault="008F75C2" w:rsidP="00030868">
            <w:pPr>
              <w:spacing w:after="0" w:line="240" w:lineRule="auto"/>
              <w:jc w:val="center"/>
              <w:rPr>
                <w:rFonts w:cs="Times New Roman"/>
                <w:b/>
                <w:color w:val="000000"/>
                <w:sz w:val="20"/>
                <w:szCs w:val="20"/>
                <w:lang w:eastAsia="sk-SK"/>
              </w:rPr>
            </w:pPr>
            <w:r w:rsidRPr="00E91EE6">
              <w:rPr>
                <w:rFonts w:cs="Times New Roman"/>
                <w:b/>
                <w:color w:val="000000"/>
                <w:sz w:val="20"/>
                <w:szCs w:val="20"/>
                <w:lang w:eastAsia="sk-SK"/>
              </w:rPr>
              <w:t>63</w:t>
            </w:r>
          </w:p>
        </w:tc>
        <w:tc>
          <w:tcPr>
            <w:tcW w:w="783" w:type="dxa"/>
            <w:tcBorders>
              <w:top w:val="nil"/>
              <w:left w:val="nil"/>
              <w:bottom w:val="nil"/>
              <w:right w:val="nil"/>
            </w:tcBorders>
            <w:shd w:val="clear" w:color="000000" w:fill="FFFFFF"/>
            <w:vAlign w:val="center"/>
            <w:hideMark/>
          </w:tcPr>
          <w:p w14:paraId="46199AB0" w14:textId="77777777" w:rsidR="008F75C2" w:rsidRPr="00E91EE6" w:rsidRDefault="008F75C2" w:rsidP="00030868">
            <w:pPr>
              <w:spacing w:after="0" w:line="240" w:lineRule="auto"/>
              <w:jc w:val="center"/>
              <w:rPr>
                <w:rFonts w:cs="Times New Roman"/>
                <w:b/>
                <w:color w:val="000000"/>
                <w:sz w:val="20"/>
                <w:szCs w:val="20"/>
                <w:lang w:eastAsia="sk-SK"/>
              </w:rPr>
            </w:pPr>
            <w:r w:rsidRPr="00E91EE6">
              <w:rPr>
                <w:rFonts w:cs="Times New Roman"/>
                <w:b/>
                <w:color w:val="000000"/>
                <w:sz w:val="20"/>
                <w:szCs w:val="20"/>
                <w:lang w:eastAsia="sk-SK"/>
              </w:rPr>
              <w:t>31</w:t>
            </w:r>
          </w:p>
        </w:tc>
        <w:tc>
          <w:tcPr>
            <w:tcW w:w="708" w:type="dxa"/>
            <w:tcBorders>
              <w:top w:val="nil"/>
              <w:left w:val="nil"/>
              <w:bottom w:val="nil"/>
              <w:right w:val="nil"/>
            </w:tcBorders>
            <w:shd w:val="clear" w:color="000000" w:fill="FFFFFF"/>
            <w:vAlign w:val="center"/>
            <w:hideMark/>
          </w:tcPr>
          <w:p w14:paraId="5F501BAB" w14:textId="77777777" w:rsidR="008F75C2" w:rsidRPr="00E91EE6" w:rsidRDefault="008F75C2" w:rsidP="00030868">
            <w:pPr>
              <w:spacing w:after="0" w:line="240" w:lineRule="auto"/>
              <w:jc w:val="center"/>
              <w:rPr>
                <w:rFonts w:cs="Times New Roman"/>
                <w:b/>
                <w:color w:val="000000"/>
                <w:sz w:val="20"/>
                <w:szCs w:val="20"/>
                <w:lang w:eastAsia="sk-SK"/>
              </w:rPr>
            </w:pPr>
            <w:r w:rsidRPr="00E91EE6">
              <w:rPr>
                <w:rFonts w:cs="Times New Roman"/>
                <w:b/>
                <w:color w:val="000000"/>
                <w:sz w:val="20"/>
                <w:szCs w:val="20"/>
                <w:lang w:eastAsia="sk-SK"/>
              </w:rPr>
              <w:t>96,9</w:t>
            </w:r>
          </w:p>
        </w:tc>
      </w:tr>
      <w:tr w:rsidR="008F75C2" w:rsidRPr="00E91EE6" w14:paraId="0FCDD20B" w14:textId="77777777" w:rsidTr="00FA0777">
        <w:trPr>
          <w:trHeight w:val="330"/>
        </w:trPr>
        <w:tc>
          <w:tcPr>
            <w:tcW w:w="4111" w:type="dxa"/>
            <w:tcBorders>
              <w:top w:val="nil"/>
              <w:left w:val="nil"/>
              <w:bottom w:val="nil"/>
              <w:right w:val="nil"/>
            </w:tcBorders>
            <w:shd w:val="clear" w:color="000000" w:fill="FFFFFF"/>
            <w:noWrap/>
            <w:vAlign w:val="center"/>
            <w:hideMark/>
          </w:tcPr>
          <w:p w14:paraId="4D7A1117" w14:textId="77777777" w:rsidR="008F75C2" w:rsidRPr="00E91EE6" w:rsidRDefault="008F75C2" w:rsidP="0002384D">
            <w:pPr>
              <w:spacing w:after="0" w:line="240" w:lineRule="auto"/>
              <w:jc w:val="left"/>
              <w:rPr>
                <w:rFonts w:cs="Times New Roman"/>
                <w:color w:val="000000"/>
                <w:sz w:val="20"/>
                <w:szCs w:val="20"/>
                <w:lang w:eastAsia="sk-SK"/>
              </w:rPr>
            </w:pPr>
            <w:r w:rsidRPr="00E91EE6">
              <w:rPr>
                <w:rFonts w:cs="Times New Roman"/>
                <w:color w:val="000000"/>
                <w:sz w:val="20"/>
                <w:szCs w:val="20"/>
                <w:lang w:eastAsia="sk-SK"/>
              </w:rPr>
              <w:t xml:space="preserve">     Technická inšpekcia, </w:t>
            </w:r>
            <w:proofErr w:type="spellStart"/>
            <w:r w:rsidRPr="00E91EE6">
              <w:rPr>
                <w:rFonts w:cs="Times New Roman"/>
                <w:color w:val="000000"/>
                <w:sz w:val="20"/>
                <w:szCs w:val="20"/>
                <w:lang w:eastAsia="sk-SK"/>
              </w:rPr>
              <w:t>a.s</w:t>
            </w:r>
            <w:proofErr w:type="spellEnd"/>
            <w:r w:rsidRPr="00E91EE6">
              <w:rPr>
                <w:rFonts w:cs="Times New Roman"/>
                <w:color w:val="000000"/>
                <w:sz w:val="20"/>
                <w:szCs w:val="20"/>
                <w:lang w:eastAsia="sk-SK"/>
              </w:rPr>
              <w:t>. Bratislava</w:t>
            </w:r>
          </w:p>
        </w:tc>
        <w:tc>
          <w:tcPr>
            <w:tcW w:w="993" w:type="dxa"/>
            <w:tcBorders>
              <w:top w:val="nil"/>
              <w:left w:val="nil"/>
              <w:bottom w:val="nil"/>
              <w:right w:val="nil"/>
            </w:tcBorders>
            <w:shd w:val="clear" w:color="000000" w:fill="FFFFFF"/>
            <w:noWrap/>
            <w:vAlign w:val="center"/>
            <w:hideMark/>
          </w:tcPr>
          <w:p w14:paraId="5EEE7AFE" w14:textId="77777777" w:rsidR="008F75C2" w:rsidRPr="00E91EE6" w:rsidRDefault="008F75C2" w:rsidP="00030868">
            <w:pPr>
              <w:spacing w:after="0" w:line="240" w:lineRule="auto"/>
              <w:jc w:val="center"/>
              <w:rPr>
                <w:rFonts w:cs="Times New Roman"/>
                <w:color w:val="000000"/>
                <w:sz w:val="20"/>
                <w:szCs w:val="20"/>
                <w:lang w:eastAsia="sk-SK"/>
              </w:rPr>
            </w:pPr>
            <w:r w:rsidRPr="00E91EE6">
              <w:rPr>
                <w:rFonts w:cs="Times New Roman"/>
                <w:color w:val="000000"/>
                <w:sz w:val="20"/>
                <w:szCs w:val="20"/>
                <w:lang w:eastAsia="sk-SK"/>
              </w:rPr>
              <w:t>27</w:t>
            </w:r>
          </w:p>
        </w:tc>
        <w:tc>
          <w:tcPr>
            <w:tcW w:w="1134" w:type="dxa"/>
            <w:tcBorders>
              <w:top w:val="nil"/>
              <w:left w:val="nil"/>
              <w:bottom w:val="nil"/>
              <w:right w:val="nil"/>
            </w:tcBorders>
            <w:shd w:val="clear" w:color="auto" w:fill="auto"/>
            <w:noWrap/>
            <w:vAlign w:val="center"/>
            <w:hideMark/>
          </w:tcPr>
          <w:p w14:paraId="7DF141BB" w14:textId="77777777" w:rsidR="008F75C2" w:rsidRPr="00E91EE6" w:rsidRDefault="008F75C2" w:rsidP="00030868">
            <w:pPr>
              <w:spacing w:after="0" w:line="240" w:lineRule="auto"/>
              <w:jc w:val="center"/>
              <w:rPr>
                <w:rFonts w:cs="Times New Roman"/>
                <w:color w:val="000000"/>
                <w:sz w:val="20"/>
                <w:szCs w:val="20"/>
                <w:lang w:eastAsia="sk-SK"/>
              </w:rPr>
            </w:pPr>
            <w:r w:rsidRPr="00E91EE6">
              <w:rPr>
                <w:rFonts w:cs="Times New Roman"/>
                <w:color w:val="000000"/>
                <w:sz w:val="20"/>
                <w:szCs w:val="20"/>
                <w:lang w:eastAsia="sk-SK"/>
              </w:rPr>
              <w:t>47</w:t>
            </w:r>
          </w:p>
        </w:tc>
        <w:tc>
          <w:tcPr>
            <w:tcW w:w="929" w:type="dxa"/>
            <w:tcBorders>
              <w:top w:val="nil"/>
              <w:left w:val="nil"/>
              <w:bottom w:val="nil"/>
              <w:right w:val="nil"/>
            </w:tcBorders>
            <w:shd w:val="clear" w:color="000000" w:fill="FFFFFF"/>
            <w:noWrap/>
            <w:vAlign w:val="center"/>
            <w:hideMark/>
          </w:tcPr>
          <w:p w14:paraId="2B738C82" w14:textId="77777777" w:rsidR="008F75C2" w:rsidRPr="00E91EE6" w:rsidRDefault="008F75C2" w:rsidP="00030868">
            <w:pPr>
              <w:spacing w:after="0" w:line="240" w:lineRule="auto"/>
              <w:jc w:val="center"/>
              <w:rPr>
                <w:rFonts w:cs="Times New Roman"/>
                <w:color w:val="000000"/>
                <w:sz w:val="20"/>
                <w:szCs w:val="20"/>
                <w:lang w:eastAsia="sk-SK"/>
              </w:rPr>
            </w:pPr>
            <w:r w:rsidRPr="00E91EE6">
              <w:rPr>
                <w:rFonts w:cs="Times New Roman"/>
                <w:color w:val="000000"/>
                <w:sz w:val="20"/>
                <w:szCs w:val="20"/>
                <w:lang w:eastAsia="sk-SK"/>
              </w:rPr>
              <w:t>32</w:t>
            </w:r>
          </w:p>
        </w:tc>
        <w:tc>
          <w:tcPr>
            <w:tcW w:w="1123" w:type="dxa"/>
            <w:tcBorders>
              <w:top w:val="nil"/>
              <w:left w:val="nil"/>
              <w:bottom w:val="nil"/>
              <w:right w:val="nil"/>
            </w:tcBorders>
            <w:shd w:val="clear" w:color="000000" w:fill="BFBFBF"/>
            <w:noWrap/>
            <w:vAlign w:val="center"/>
            <w:hideMark/>
          </w:tcPr>
          <w:p w14:paraId="0AE22E86" w14:textId="77777777" w:rsidR="008F75C2" w:rsidRPr="00E91EE6" w:rsidRDefault="008F75C2" w:rsidP="00030868">
            <w:pPr>
              <w:spacing w:after="0" w:line="240" w:lineRule="auto"/>
              <w:jc w:val="center"/>
              <w:rPr>
                <w:rFonts w:cs="Times New Roman"/>
                <w:color w:val="000000"/>
                <w:sz w:val="20"/>
                <w:szCs w:val="20"/>
                <w:lang w:eastAsia="sk-SK"/>
              </w:rPr>
            </w:pPr>
            <w:r w:rsidRPr="00E91EE6">
              <w:rPr>
                <w:rFonts w:cs="Times New Roman"/>
                <w:color w:val="000000"/>
                <w:sz w:val="20"/>
                <w:szCs w:val="20"/>
                <w:lang w:eastAsia="sk-SK"/>
              </w:rPr>
              <w:t>63</w:t>
            </w:r>
          </w:p>
        </w:tc>
        <w:tc>
          <w:tcPr>
            <w:tcW w:w="783" w:type="dxa"/>
            <w:tcBorders>
              <w:top w:val="nil"/>
              <w:left w:val="nil"/>
              <w:bottom w:val="nil"/>
              <w:right w:val="nil"/>
            </w:tcBorders>
            <w:shd w:val="clear" w:color="000000" w:fill="FFFFFF"/>
            <w:vAlign w:val="center"/>
            <w:hideMark/>
          </w:tcPr>
          <w:p w14:paraId="221F6F3F" w14:textId="77777777" w:rsidR="008F75C2" w:rsidRPr="00E91EE6" w:rsidRDefault="008F75C2" w:rsidP="00030868">
            <w:pPr>
              <w:spacing w:after="0" w:line="240" w:lineRule="auto"/>
              <w:jc w:val="center"/>
              <w:rPr>
                <w:rFonts w:cs="Times New Roman"/>
                <w:color w:val="000000"/>
                <w:sz w:val="20"/>
                <w:szCs w:val="20"/>
                <w:lang w:eastAsia="sk-SK"/>
              </w:rPr>
            </w:pPr>
            <w:r w:rsidRPr="00E91EE6">
              <w:rPr>
                <w:rFonts w:cs="Times New Roman"/>
                <w:color w:val="000000"/>
                <w:sz w:val="20"/>
                <w:szCs w:val="20"/>
                <w:lang w:eastAsia="sk-SK"/>
              </w:rPr>
              <w:t>31</w:t>
            </w:r>
          </w:p>
        </w:tc>
        <w:tc>
          <w:tcPr>
            <w:tcW w:w="708" w:type="dxa"/>
            <w:tcBorders>
              <w:top w:val="nil"/>
              <w:left w:val="nil"/>
              <w:bottom w:val="nil"/>
              <w:right w:val="nil"/>
            </w:tcBorders>
            <w:shd w:val="clear" w:color="000000" w:fill="FFFFFF"/>
            <w:vAlign w:val="center"/>
            <w:hideMark/>
          </w:tcPr>
          <w:p w14:paraId="2AFB8FF1" w14:textId="77777777" w:rsidR="008F75C2" w:rsidRPr="00E91EE6" w:rsidRDefault="008F75C2" w:rsidP="00030868">
            <w:pPr>
              <w:spacing w:after="0" w:line="240" w:lineRule="auto"/>
              <w:jc w:val="center"/>
              <w:rPr>
                <w:rFonts w:cs="Times New Roman"/>
                <w:color w:val="000000"/>
                <w:sz w:val="20"/>
                <w:szCs w:val="20"/>
                <w:lang w:eastAsia="sk-SK"/>
              </w:rPr>
            </w:pPr>
            <w:r w:rsidRPr="00E91EE6">
              <w:rPr>
                <w:rFonts w:cs="Times New Roman"/>
                <w:color w:val="000000"/>
                <w:sz w:val="20"/>
                <w:szCs w:val="20"/>
                <w:lang w:eastAsia="sk-SK"/>
              </w:rPr>
              <w:t>96,9</w:t>
            </w:r>
          </w:p>
        </w:tc>
      </w:tr>
      <w:tr w:rsidR="008F75C2" w:rsidRPr="00E91EE6" w14:paraId="472BE231" w14:textId="77777777" w:rsidTr="00FA0777">
        <w:trPr>
          <w:trHeight w:val="345"/>
        </w:trPr>
        <w:tc>
          <w:tcPr>
            <w:tcW w:w="4111" w:type="dxa"/>
            <w:tcBorders>
              <w:top w:val="single" w:sz="4" w:space="0" w:color="auto"/>
              <w:left w:val="nil"/>
              <w:bottom w:val="single" w:sz="8" w:space="0" w:color="auto"/>
              <w:right w:val="nil"/>
            </w:tcBorders>
            <w:shd w:val="clear" w:color="000000" w:fill="FFFFFF"/>
            <w:noWrap/>
            <w:vAlign w:val="center"/>
            <w:hideMark/>
          </w:tcPr>
          <w:p w14:paraId="70DCE238" w14:textId="77777777" w:rsidR="008F75C2" w:rsidRPr="00E91EE6" w:rsidRDefault="008F75C2" w:rsidP="0002384D">
            <w:pPr>
              <w:spacing w:after="0" w:line="240" w:lineRule="auto"/>
              <w:contextualSpacing/>
              <w:jc w:val="left"/>
              <w:rPr>
                <w:rFonts w:cs="Times New Roman"/>
                <w:b/>
                <w:bCs/>
                <w:color w:val="000000"/>
                <w:sz w:val="20"/>
                <w:szCs w:val="20"/>
                <w:lang w:eastAsia="sk-SK"/>
              </w:rPr>
            </w:pPr>
            <w:r w:rsidRPr="00E91EE6">
              <w:rPr>
                <w:rFonts w:cs="Times New Roman"/>
                <w:b/>
                <w:bCs/>
                <w:color w:val="000000"/>
                <w:sz w:val="20"/>
                <w:szCs w:val="20"/>
                <w:lang w:eastAsia="sk-SK"/>
              </w:rPr>
              <w:t>Spolu</w:t>
            </w:r>
          </w:p>
        </w:tc>
        <w:tc>
          <w:tcPr>
            <w:tcW w:w="993" w:type="dxa"/>
            <w:tcBorders>
              <w:top w:val="single" w:sz="4" w:space="0" w:color="auto"/>
              <w:left w:val="nil"/>
              <w:bottom w:val="single" w:sz="8" w:space="0" w:color="auto"/>
              <w:right w:val="nil"/>
            </w:tcBorders>
            <w:shd w:val="clear" w:color="000000" w:fill="FFFFFF"/>
            <w:noWrap/>
            <w:vAlign w:val="center"/>
            <w:hideMark/>
          </w:tcPr>
          <w:p w14:paraId="64DF7C4C" w14:textId="77777777" w:rsidR="008F75C2" w:rsidRPr="00E91EE6" w:rsidRDefault="008F75C2" w:rsidP="00030868">
            <w:pPr>
              <w:spacing w:after="0" w:line="240" w:lineRule="auto"/>
              <w:contextualSpacing/>
              <w:jc w:val="center"/>
              <w:rPr>
                <w:rFonts w:cs="Times New Roman"/>
                <w:b/>
                <w:bCs/>
                <w:color w:val="000000"/>
                <w:sz w:val="20"/>
                <w:szCs w:val="20"/>
                <w:lang w:eastAsia="sk-SK"/>
              </w:rPr>
            </w:pPr>
            <w:r w:rsidRPr="00E91EE6">
              <w:rPr>
                <w:rFonts w:cs="Times New Roman"/>
                <w:b/>
                <w:bCs/>
                <w:color w:val="000000"/>
                <w:sz w:val="20"/>
                <w:szCs w:val="20"/>
                <w:lang w:eastAsia="sk-SK"/>
              </w:rPr>
              <w:t>477 439</w:t>
            </w:r>
          </w:p>
        </w:tc>
        <w:tc>
          <w:tcPr>
            <w:tcW w:w="1134" w:type="dxa"/>
            <w:tcBorders>
              <w:top w:val="single" w:sz="4" w:space="0" w:color="auto"/>
              <w:left w:val="nil"/>
              <w:bottom w:val="single" w:sz="8" w:space="0" w:color="auto"/>
              <w:right w:val="nil"/>
            </w:tcBorders>
            <w:shd w:val="clear" w:color="000000" w:fill="FFFFFF"/>
            <w:noWrap/>
            <w:vAlign w:val="center"/>
            <w:hideMark/>
          </w:tcPr>
          <w:p w14:paraId="6CB0567C" w14:textId="77777777" w:rsidR="008F75C2" w:rsidRPr="00E91EE6" w:rsidRDefault="008F75C2" w:rsidP="00030868">
            <w:pPr>
              <w:spacing w:after="0" w:line="240" w:lineRule="auto"/>
              <w:contextualSpacing/>
              <w:jc w:val="center"/>
              <w:rPr>
                <w:rFonts w:cs="Times New Roman"/>
                <w:b/>
                <w:bCs/>
                <w:color w:val="000000"/>
                <w:sz w:val="20"/>
                <w:szCs w:val="20"/>
                <w:lang w:eastAsia="sk-SK"/>
              </w:rPr>
            </w:pPr>
            <w:r w:rsidRPr="00E91EE6">
              <w:rPr>
                <w:rFonts w:cs="Times New Roman"/>
                <w:b/>
                <w:bCs/>
                <w:color w:val="000000"/>
                <w:sz w:val="20"/>
                <w:szCs w:val="20"/>
                <w:lang w:eastAsia="sk-SK"/>
              </w:rPr>
              <w:t>599 068</w:t>
            </w:r>
          </w:p>
        </w:tc>
        <w:tc>
          <w:tcPr>
            <w:tcW w:w="929" w:type="dxa"/>
            <w:tcBorders>
              <w:top w:val="single" w:sz="4" w:space="0" w:color="auto"/>
              <w:left w:val="nil"/>
              <w:bottom w:val="single" w:sz="8" w:space="0" w:color="auto"/>
              <w:right w:val="nil"/>
            </w:tcBorders>
            <w:shd w:val="clear" w:color="000000" w:fill="FFFFFF"/>
            <w:noWrap/>
            <w:vAlign w:val="center"/>
            <w:hideMark/>
          </w:tcPr>
          <w:p w14:paraId="43F2BBF2" w14:textId="77777777" w:rsidR="008F75C2" w:rsidRPr="00E91EE6" w:rsidRDefault="008F75C2" w:rsidP="00030868">
            <w:pPr>
              <w:spacing w:after="0" w:line="240" w:lineRule="auto"/>
              <w:contextualSpacing/>
              <w:jc w:val="center"/>
              <w:rPr>
                <w:rFonts w:cs="Times New Roman"/>
                <w:b/>
                <w:bCs/>
                <w:color w:val="000000"/>
                <w:sz w:val="20"/>
                <w:szCs w:val="20"/>
                <w:lang w:eastAsia="sk-SK"/>
              </w:rPr>
            </w:pPr>
            <w:r w:rsidRPr="00E91EE6">
              <w:rPr>
                <w:rFonts w:cs="Times New Roman"/>
                <w:b/>
                <w:bCs/>
                <w:color w:val="000000"/>
                <w:sz w:val="20"/>
                <w:szCs w:val="20"/>
                <w:lang w:eastAsia="sk-SK"/>
              </w:rPr>
              <w:t>424 999</w:t>
            </w:r>
          </w:p>
        </w:tc>
        <w:tc>
          <w:tcPr>
            <w:tcW w:w="1123" w:type="dxa"/>
            <w:tcBorders>
              <w:top w:val="single" w:sz="4" w:space="0" w:color="auto"/>
              <w:left w:val="nil"/>
              <w:bottom w:val="single" w:sz="8" w:space="0" w:color="auto"/>
              <w:right w:val="nil"/>
            </w:tcBorders>
            <w:shd w:val="clear" w:color="000000" w:fill="BFBFBF"/>
            <w:noWrap/>
            <w:vAlign w:val="center"/>
            <w:hideMark/>
          </w:tcPr>
          <w:p w14:paraId="52211824" w14:textId="77777777" w:rsidR="008F75C2" w:rsidRPr="00E91EE6" w:rsidRDefault="008F75C2" w:rsidP="00030868">
            <w:pPr>
              <w:spacing w:after="0" w:line="240" w:lineRule="auto"/>
              <w:contextualSpacing/>
              <w:jc w:val="center"/>
              <w:rPr>
                <w:rFonts w:cs="Times New Roman"/>
                <w:b/>
                <w:bCs/>
                <w:color w:val="000000"/>
                <w:sz w:val="20"/>
                <w:szCs w:val="20"/>
                <w:lang w:eastAsia="sk-SK"/>
              </w:rPr>
            </w:pPr>
            <w:r w:rsidRPr="00E91EE6">
              <w:rPr>
                <w:rFonts w:cs="Times New Roman"/>
                <w:b/>
                <w:bCs/>
                <w:color w:val="000000"/>
                <w:sz w:val="20"/>
                <w:szCs w:val="20"/>
                <w:lang w:eastAsia="sk-SK"/>
              </w:rPr>
              <w:t>438 596</w:t>
            </w:r>
          </w:p>
        </w:tc>
        <w:tc>
          <w:tcPr>
            <w:tcW w:w="783" w:type="dxa"/>
            <w:tcBorders>
              <w:top w:val="single" w:sz="4" w:space="0" w:color="auto"/>
              <w:left w:val="nil"/>
              <w:bottom w:val="single" w:sz="8" w:space="0" w:color="auto"/>
              <w:right w:val="nil"/>
            </w:tcBorders>
            <w:shd w:val="clear" w:color="000000" w:fill="FFFFFF"/>
            <w:noWrap/>
            <w:vAlign w:val="center"/>
            <w:hideMark/>
          </w:tcPr>
          <w:p w14:paraId="5AA80620" w14:textId="77777777" w:rsidR="008F75C2" w:rsidRPr="00E91EE6" w:rsidRDefault="008F75C2" w:rsidP="00030868">
            <w:pPr>
              <w:spacing w:after="0" w:line="240" w:lineRule="auto"/>
              <w:contextualSpacing/>
              <w:jc w:val="center"/>
              <w:rPr>
                <w:rFonts w:cs="Times New Roman"/>
                <w:b/>
                <w:bCs/>
                <w:color w:val="000000"/>
                <w:sz w:val="20"/>
                <w:szCs w:val="20"/>
                <w:lang w:eastAsia="sk-SK"/>
              </w:rPr>
            </w:pPr>
            <w:r w:rsidRPr="00E91EE6">
              <w:rPr>
                <w:rFonts w:cs="Times New Roman"/>
                <w:b/>
                <w:bCs/>
                <w:color w:val="000000"/>
                <w:sz w:val="20"/>
                <w:szCs w:val="20"/>
                <w:lang w:eastAsia="sk-SK"/>
              </w:rPr>
              <w:t>13 597</w:t>
            </w:r>
          </w:p>
        </w:tc>
        <w:tc>
          <w:tcPr>
            <w:tcW w:w="708" w:type="dxa"/>
            <w:tcBorders>
              <w:top w:val="single" w:sz="4" w:space="0" w:color="auto"/>
              <w:left w:val="nil"/>
              <w:bottom w:val="single" w:sz="8" w:space="0" w:color="auto"/>
              <w:right w:val="nil"/>
            </w:tcBorders>
            <w:shd w:val="clear" w:color="000000" w:fill="FFFFFF"/>
            <w:noWrap/>
            <w:vAlign w:val="center"/>
            <w:hideMark/>
          </w:tcPr>
          <w:p w14:paraId="7AFFECC9" w14:textId="77777777" w:rsidR="008F75C2" w:rsidRPr="00E91EE6" w:rsidRDefault="008F75C2" w:rsidP="00030868">
            <w:pPr>
              <w:spacing w:after="0" w:line="240" w:lineRule="auto"/>
              <w:contextualSpacing/>
              <w:jc w:val="center"/>
              <w:rPr>
                <w:rFonts w:cs="Times New Roman"/>
                <w:b/>
                <w:bCs/>
                <w:color w:val="000000"/>
                <w:sz w:val="20"/>
                <w:szCs w:val="20"/>
                <w:lang w:eastAsia="sk-SK"/>
              </w:rPr>
            </w:pPr>
            <w:r w:rsidRPr="00E91EE6">
              <w:rPr>
                <w:rFonts w:cs="Times New Roman"/>
                <w:b/>
                <w:bCs/>
                <w:color w:val="000000"/>
                <w:sz w:val="20"/>
                <w:szCs w:val="20"/>
                <w:lang w:eastAsia="sk-SK"/>
              </w:rPr>
              <w:t>3,2</w:t>
            </w:r>
          </w:p>
        </w:tc>
      </w:tr>
    </w:tbl>
    <w:p w14:paraId="79913F59" w14:textId="77777777" w:rsidR="008F75C2" w:rsidRPr="00082CF4" w:rsidRDefault="008F75C2" w:rsidP="0002384D">
      <w:pPr>
        <w:suppressAutoHyphens/>
        <w:jc w:val="right"/>
        <w:rPr>
          <w:rFonts w:eastAsia="Calibri"/>
          <w:sz w:val="18"/>
          <w:szCs w:val="18"/>
        </w:rPr>
      </w:pPr>
      <w:r w:rsidRPr="00082CF4">
        <w:rPr>
          <w:rFonts w:eastAsia="Calibri"/>
          <w:sz w:val="18"/>
          <w:szCs w:val="18"/>
        </w:rPr>
        <w:t>Zdroj: MF SR</w:t>
      </w:r>
    </w:p>
    <w:p w14:paraId="7ED952EC" w14:textId="043F67A1" w:rsidR="00851B15" w:rsidRPr="00851B15" w:rsidRDefault="003A5900" w:rsidP="00851B15">
      <w:pPr>
        <w:tabs>
          <w:tab w:val="left" w:pos="284"/>
        </w:tabs>
        <w:suppressAutoHyphens/>
      </w:pPr>
      <w:r w:rsidRPr="006A5306">
        <w:rPr>
          <w:rFonts w:eastAsia="Calibri"/>
        </w:rPr>
        <w:t>Rozdiel medzi rozpočtovanou čiastkou a skutočne prijatou sumou</w:t>
      </w:r>
      <w:r w:rsidR="00563E40">
        <w:rPr>
          <w:rFonts w:eastAsia="Calibri"/>
        </w:rPr>
        <w:t xml:space="preserve"> dividend tvorili</w:t>
      </w:r>
      <w:r w:rsidRPr="006A5306">
        <w:rPr>
          <w:rFonts w:eastAsia="Calibri"/>
        </w:rPr>
        <w:t xml:space="preserve"> </w:t>
      </w:r>
      <w:r w:rsidR="00563E40">
        <w:rPr>
          <w:rFonts w:eastAsia="Calibri"/>
        </w:rPr>
        <w:t>vyššie</w:t>
      </w:r>
      <w:r>
        <w:rPr>
          <w:rFonts w:eastAsia="Calibri"/>
        </w:rPr>
        <w:t xml:space="preserve"> dividend</w:t>
      </w:r>
      <w:r w:rsidR="00563E40">
        <w:rPr>
          <w:rFonts w:eastAsia="Calibri"/>
        </w:rPr>
        <w:t>y Ministerstva financií SR</w:t>
      </w:r>
      <w:r>
        <w:rPr>
          <w:rFonts w:eastAsia="Calibri"/>
        </w:rPr>
        <w:t xml:space="preserve"> o</w:t>
      </w:r>
      <w:r w:rsidRPr="006A5306">
        <w:rPr>
          <w:rFonts w:eastAsia="Calibri"/>
        </w:rPr>
        <w:t xml:space="preserve"> 49 532 tis. eur, z toho najväčší </w:t>
      </w:r>
      <w:r w:rsidR="00563E40">
        <w:rPr>
          <w:rFonts w:eastAsia="Calibri"/>
        </w:rPr>
        <w:t>rozdiel</w:t>
      </w:r>
      <w:r w:rsidRPr="006A5306">
        <w:rPr>
          <w:rFonts w:eastAsia="Calibri"/>
        </w:rPr>
        <w:t xml:space="preserve"> bol u Slovenskej elektrizačnej prenosovej sústavy, a.</w:t>
      </w:r>
      <w:r>
        <w:rPr>
          <w:rFonts w:eastAsia="Calibri"/>
        </w:rPr>
        <w:t xml:space="preserve"> </w:t>
      </w:r>
      <w:r w:rsidRPr="006A5306">
        <w:rPr>
          <w:rFonts w:eastAsia="Calibri"/>
        </w:rPr>
        <w:t>s. (44 284 tis. eur)</w:t>
      </w:r>
      <w:r w:rsidR="00B518A1">
        <w:rPr>
          <w:rFonts w:eastAsia="Calibri"/>
        </w:rPr>
        <w:t>, kde boli schválené dividendy v súlade s Rozhodnutím Ministerstva financií SR vykonaného v</w:t>
      </w:r>
      <w:r w:rsidR="009256E8">
        <w:rPr>
          <w:rFonts w:eastAsia="Calibri"/>
        </w:rPr>
        <w:t> </w:t>
      </w:r>
      <w:r w:rsidR="00B518A1">
        <w:rPr>
          <w:rFonts w:eastAsia="Calibri"/>
        </w:rPr>
        <w:t>pôsobnosti</w:t>
      </w:r>
      <w:r w:rsidR="009256E8">
        <w:rPr>
          <w:rFonts w:eastAsia="Calibri"/>
        </w:rPr>
        <w:t xml:space="preserve"> Valného zhromaždenia spoločnosti Slovenská elektrizačná prenosová sústav</w:t>
      </w:r>
      <w:r w:rsidR="009E2E54">
        <w:rPr>
          <w:rFonts w:eastAsia="Calibri"/>
        </w:rPr>
        <w:t>a</w:t>
      </w:r>
      <w:r w:rsidR="009256E8">
        <w:rPr>
          <w:rFonts w:eastAsia="Calibri"/>
        </w:rPr>
        <w:t xml:space="preserve">, </w:t>
      </w:r>
      <w:proofErr w:type="spellStart"/>
      <w:r w:rsidR="009256E8">
        <w:rPr>
          <w:rFonts w:eastAsia="Calibri"/>
        </w:rPr>
        <w:t>a.s</w:t>
      </w:r>
      <w:proofErr w:type="spellEnd"/>
      <w:r w:rsidR="009256E8">
        <w:rPr>
          <w:rFonts w:eastAsia="Calibri"/>
        </w:rPr>
        <w:t>. v celkovej sume 59 000 tis. eur.</w:t>
      </w:r>
      <w:r w:rsidRPr="00CF5275">
        <w:t xml:space="preserve"> </w:t>
      </w:r>
      <w:r w:rsidR="00563E40">
        <w:t>Rozpočtované dividendy od s</w:t>
      </w:r>
      <w:r>
        <w:t xml:space="preserve">poločnosti </w:t>
      </w:r>
      <w:r w:rsidRPr="008C66C3">
        <w:t>Transpetrol, a. s vo výške 7 000 tis. eur neboli vyplatené vzhľadom na to, že</w:t>
      </w:r>
      <w:r>
        <w:t xml:space="preserve"> spoločnosť</w:t>
      </w:r>
      <w:r w:rsidRPr="008C66C3">
        <w:t xml:space="preserve"> financ</w:t>
      </w:r>
      <w:r w:rsidR="006D748A">
        <w:t>uje z vlastných zdrojov projekt</w:t>
      </w:r>
      <w:r w:rsidR="00BF5D19">
        <w:t xml:space="preserve"> </w:t>
      </w:r>
      <w:r w:rsidRPr="008C66C3">
        <w:t xml:space="preserve">Modernizácie bezpečnostných prvkov ochrany objektov osobitnej dôležitosti a ďalších </w:t>
      </w:r>
      <w:r>
        <w:t>dôležitých objektov.</w:t>
      </w:r>
      <w:r w:rsidR="00EF372B">
        <w:t xml:space="preserve"> Nižšie ako rozpočtované dividendy zaznamenala aj Všeobecná p</w:t>
      </w:r>
      <w:r w:rsidR="00F45C50">
        <w:t>okladničná správa o 33 498 tis. </w:t>
      </w:r>
      <w:r w:rsidR="00EF372B" w:rsidRPr="0019620A">
        <w:t>eur, n</w:t>
      </w:r>
      <w:r w:rsidR="00851B15">
        <w:t xml:space="preserve">ajmä z dôvodu, že </w:t>
      </w:r>
      <w:r w:rsidR="00851B15" w:rsidRPr="00851B15">
        <w:rPr>
          <w:color w:val="000000" w:themeColor="text1"/>
        </w:rPr>
        <w:t>pri tvorbe návrhu rozpočtu, resp. výšky dividend na rok 2018 pre uvedené spoločnosti sa vychádzalo z aktuálne predpokladaných výsledkov hospodárenia spoločností. Skutočnosť odvedených dividend bola realizovaná na základne konečného výsledku hospodárenia a rozhodnutia orgánov uvedených spoločností.</w:t>
      </w:r>
    </w:p>
    <w:p w14:paraId="54383975" w14:textId="2679A0DD" w:rsidR="008F75C2" w:rsidRPr="00B15B8E" w:rsidRDefault="008F75C2" w:rsidP="008F75C2">
      <w:pPr>
        <w:tabs>
          <w:tab w:val="left" w:pos="284"/>
        </w:tabs>
        <w:suppressAutoHyphens/>
        <w:rPr>
          <w:rFonts w:eastAsia="Calibri"/>
        </w:rPr>
      </w:pPr>
      <w:r w:rsidRPr="00CE18D3">
        <w:rPr>
          <w:rFonts w:eastAsia="Calibri"/>
          <w:b/>
          <w:i/>
        </w:rPr>
        <w:t>Iné príjmy z podnikania</w:t>
      </w:r>
      <w:r>
        <w:rPr>
          <w:rFonts w:eastAsia="Calibri"/>
        </w:rPr>
        <w:t xml:space="preserve"> v celkovej sume 5 555 tis. eur zahŕňali najmä osobitný odvod zo zisku po zdanení, ktorý</w:t>
      </w:r>
      <w:r w:rsidRPr="00C33FDD">
        <w:rPr>
          <w:rFonts w:eastAsia="Calibri"/>
        </w:rPr>
        <w:t xml:space="preserve"> prijal</w:t>
      </w:r>
      <w:r>
        <w:rPr>
          <w:rFonts w:eastAsia="Calibri"/>
        </w:rPr>
        <w:t>i</w:t>
      </w:r>
      <w:r w:rsidRPr="00C33FDD">
        <w:rPr>
          <w:rFonts w:eastAsia="Calibri"/>
        </w:rPr>
        <w:t xml:space="preserve"> Ministerstvo pôdohospodárstva a rozvoja vidieka SR</w:t>
      </w:r>
      <w:r>
        <w:rPr>
          <w:rFonts w:eastAsia="Calibri"/>
        </w:rPr>
        <w:t xml:space="preserve"> v</w:t>
      </w:r>
      <w:r w:rsidRPr="00C33FDD">
        <w:rPr>
          <w:rFonts w:eastAsia="Calibri"/>
        </w:rPr>
        <w:t xml:space="preserve"> čiastk</w:t>
      </w:r>
      <w:r>
        <w:rPr>
          <w:rFonts w:eastAsia="Calibri"/>
        </w:rPr>
        <w:t>e</w:t>
      </w:r>
      <w:r w:rsidRPr="00C33FDD">
        <w:rPr>
          <w:rFonts w:eastAsia="Calibri"/>
        </w:rPr>
        <w:t xml:space="preserve"> 5 000 tis. eur od štátneho podniku LESY SR, </w:t>
      </w:r>
      <w:proofErr w:type="spellStart"/>
      <w:r w:rsidRPr="00C33FDD">
        <w:rPr>
          <w:rFonts w:eastAsia="Calibri"/>
        </w:rPr>
        <w:t>š.p</w:t>
      </w:r>
      <w:proofErr w:type="spellEnd"/>
      <w:r w:rsidRPr="00C33FDD">
        <w:rPr>
          <w:rFonts w:eastAsia="Calibri"/>
        </w:rPr>
        <w:t>.</w:t>
      </w:r>
      <w:r>
        <w:rPr>
          <w:rFonts w:eastAsia="Calibri"/>
        </w:rPr>
        <w:t xml:space="preserve">, </w:t>
      </w:r>
      <w:r w:rsidRPr="00AD4C61">
        <w:rPr>
          <w:rFonts w:eastAsia="Calibri"/>
        </w:rPr>
        <w:t xml:space="preserve">Ministerstvo životného prostredia SR 200 tis. eur od Vodohospodárskej výstavby, </w:t>
      </w:r>
      <w:proofErr w:type="spellStart"/>
      <w:r w:rsidRPr="00AD4C61">
        <w:rPr>
          <w:rFonts w:eastAsia="Calibri"/>
        </w:rPr>
        <w:t>š.p</w:t>
      </w:r>
      <w:proofErr w:type="spellEnd"/>
      <w:r w:rsidRPr="00AD4C61">
        <w:rPr>
          <w:rFonts w:eastAsia="Calibri"/>
        </w:rPr>
        <w:t xml:space="preserve">. </w:t>
      </w:r>
      <w:r>
        <w:rPr>
          <w:rFonts w:eastAsia="Calibri"/>
        </w:rPr>
        <w:t xml:space="preserve">a </w:t>
      </w:r>
      <w:r w:rsidRPr="00B15B8E">
        <w:rPr>
          <w:rFonts w:eastAsia="Calibri"/>
        </w:rPr>
        <w:t>Ministerstvo financií SR 200 tis. eur od Exportno-importnej banky SR.</w:t>
      </w:r>
    </w:p>
    <w:p w14:paraId="0C012EB9" w14:textId="2A836BA4" w:rsidR="008F75C2" w:rsidRPr="002031C9" w:rsidRDefault="008F75C2" w:rsidP="008F75C2">
      <w:pPr>
        <w:tabs>
          <w:tab w:val="left" w:pos="284"/>
        </w:tabs>
        <w:suppressAutoHyphens/>
        <w:rPr>
          <w:rFonts w:eastAsia="Calibri"/>
        </w:rPr>
      </w:pPr>
      <w:r w:rsidRPr="002B1164">
        <w:rPr>
          <w:rFonts w:eastAsia="Calibri"/>
          <w:b/>
          <w:i/>
        </w:rPr>
        <w:t>Príjmy z vlastníctva</w:t>
      </w:r>
      <w:r w:rsidRPr="00FF69A4">
        <w:rPr>
          <w:rFonts w:eastAsia="Calibri"/>
        </w:rPr>
        <w:t xml:space="preserve"> prenajatých budov, priestorov a objektov dosiahli 6 962 tis. eur, z toho najviac </w:t>
      </w:r>
      <w:r w:rsidR="00702DCE">
        <w:rPr>
          <w:rFonts w:eastAsia="Calibri"/>
        </w:rPr>
        <w:t xml:space="preserve">v rozpočte </w:t>
      </w:r>
      <w:r w:rsidRPr="00FF69A4">
        <w:rPr>
          <w:rFonts w:eastAsia="Calibri"/>
        </w:rPr>
        <w:t>Ministerstv</w:t>
      </w:r>
      <w:r w:rsidR="00702DCE">
        <w:rPr>
          <w:rFonts w:eastAsia="Calibri"/>
        </w:rPr>
        <w:t>a</w:t>
      </w:r>
      <w:r w:rsidRPr="00FF69A4">
        <w:rPr>
          <w:rFonts w:eastAsia="Calibri"/>
        </w:rPr>
        <w:t xml:space="preserve"> vnútra SR </w:t>
      </w:r>
      <w:r>
        <w:rPr>
          <w:rFonts w:eastAsia="Calibri"/>
        </w:rPr>
        <w:t>2 042</w:t>
      </w:r>
      <w:r w:rsidRPr="00FF69A4">
        <w:rPr>
          <w:rFonts w:eastAsia="Calibri"/>
        </w:rPr>
        <w:t> tis. eur</w:t>
      </w:r>
      <w:r w:rsidRPr="000D7BB3">
        <w:rPr>
          <w:rFonts w:eastAsia="Calibri"/>
        </w:rPr>
        <w:t>,</w:t>
      </w:r>
      <w:r w:rsidRPr="00E6078D">
        <w:rPr>
          <w:rFonts w:eastAsia="Calibri"/>
          <w:color w:val="FF0000"/>
        </w:rPr>
        <w:t xml:space="preserve"> </w:t>
      </w:r>
      <w:r w:rsidRPr="00FB2921">
        <w:rPr>
          <w:rFonts w:eastAsia="Calibri"/>
        </w:rPr>
        <w:t>Ministerstv</w:t>
      </w:r>
      <w:r w:rsidR="00702DCE">
        <w:rPr>
          <w:rFonts w:eastAsia="Calibri"/>
        </w:rPr>
        <w:t>a</w:t>
      </w:r>
      <w:r w:rsidRPr="00FB2921">
        <w:rPr>
          <w:rFonts w:eastAsia="Calibri"/>
        </w:rPr>
        <w:t xml:space="preserve"> zahraničných vecí a európskych záležitostí SR 889 tis. eur, Ministerstv</w:t>
      </w:r>
      <w:r w:rsidR="00702DCE">
        <w:rPr>
          <w:rFonts w:eastAsia="Calibri"/>
        </w:rPr>
        <w:t>a</w:t>
      </w:r>
      <w:r w:rsidRPr="00FB2921">
        <w:rPr>
          <w:rFonts w:eastAsia="Calibri"/>
        </w:rPr>
        <w:t xml:space="preserve"> zdravotníctva</w:t>
      </w:r>
      <w:r>
        <w:rPr>
          <w:rFonts w:eastAsia="Calibri"/>
        </w:rPr>
        <w:t xml:space="preserve"> SR</w:t>
      </w:r>
      <w:r w:rsidRPr="00FB2921">
        <w:rPr>
          <w:rFonts w:eastAsia="Calibri"/>
        </w:rPr>
        <w:t xml:space="preserve"> 679 tis. eur</w:t>
      </w:r>
      <w:r w:rsidR="00702DCE">
        <w:rPr>
          <w:rFonts w:eastAsia="Calibri"/>
        </w:rPr>
        <w:t xml:space="preserve"> a</w:t>
      </w:r>
      <w:r w:rsidRPr="00FB2921">
        <w:rPr>
          <w:rFonts w:eastAsia="Calibri"/>
        </w:rPr>
        <w:t xml:space="preserve"> </w:t>
      </w:r>
      <w:r w:rsidRPr="000047D9">
        <w:rPr>
          <w:rFonts w:eastAsia="Calibri"/>
        </w:rPr>
        <w:t>Ministerstvo spravodlivosti SR 644 tis. </w:t>
      </w:r>
      <w:r w:rsidRPr="0002384D">
        <w:rPr>
          <w:rFonts w:eastAsia="Calibri"/>
        </w:rPr>
        <w:t>eur</w:t>
      </w:r>
      <w:r w:rsidR="00702DCE">
        <w:rPr>
          <w:rFonts w:eastAsia="Calibri"/>
        </w:rPr>
        <w:t>. Z celkovej sumy tvorili príjmy z prenájmu budov a priestorov 4 931 tis. eur a príjmy z prenájmu pozemkov 1 445 tis. eur.</w:t>
      </w:r>
    </w:p>
    <w:p w14:paraId="246A344B" w14:textId="7841B879" w:rsidR="008F75C2" w:rsidRPr="00D12ECF" w:rsidRDefault="008F75C2" w:rsidP="00736CEA">
      <w:pPr>
        <w:tabs>
          <w:tab w:val="left" w:pos="284"/>
        </w:tabs>
        <w:suppressAutoHyphens/>
        <w:rPr>
          <w:rFonts w:eastAsia="Calibri"/>
        </w:rPr>
      </w:pPr>
      <w:r w:rsidRPr="00615CB7">
        <w:rPr>
          <w:rFonts w:eastAsia="Calibri"/>
          <w:b/>
        </w:rPr>
        <w:t>Príjem z administratívnych poplatkov a</w:t>
      </w:r>
      <w:r w:rsidR="0002384D">
        <w:rPr>
          <w:rFonts w:eastAsia="Calibri"/>
          <w:b/>
        </w:rPr>
        <w:t xml:space="preserve"> </w:t>
      </w:r>
      <w:r w:rsidRPr="00615CB7">
        <w:rPr>
          <w:rFonts w:eastAsia="Calibri"/>
          <w:b/>
        </w:rPr>
        <w:t>iných poplatkov a</w:t>
      </w:r>
      <w:r w:rsidR="0002384D">
        <w:rPr>
          <w:rFonts w:eastAsia="Calibri"/>
          <w:b/>
        </w:rPr>
        <w:t xml:space="preserve"> </w:t>
      </w:r>
      <w:r w:rsidRPr="000E5A47">
        <w:rPr>
          <w:rFonts w:eastAsia="Calibri"/>
          <w:b/>
        </w:rPr>
        <w:t>platieb</w:t>
      </w:r>
      <w:r w:rsidRPr="000E5A47">
        <w:rPr>
          <w:rFonts w:eastAsia="Calibri"/>
        </w:rPr>
        <w:t xml:space="preserve"> závisí od počtu jednotlivých konaní v priebehu roka.</w:t>
      </w:r>
      <w:r w:rsidRPr="00E6078D">
        <w:rPr>
          <w:rFonts w:eastAsia="Calibri"/>
          <w:color w:val="FF0000"/>
        </w:rPr>
        <w:t xml:space="preserve"> </w:t>
      </w:r>
      <w:r w:rsidRPr="00D12ECF">
        <w:rPr>
          <w:rFonts w:eastAsia="Calibri"/>
        </w:rPr>
        <w:t xml:space="preserve">Schválený rozpočet vo výške </w:t>
      </w:r>
      <w:r>
        <w:rPr>
          <w:rFonts w:eastAsia="Calibri"/>
        </w:rPr>
        <w:t>338</w:t>
      </w:r>
      <w:r w:rsidRPr="00D12ECF">
        <w:rPr>
          <w:rFonts w:eastAsia="Calibri"/>
        </w:rPr>
        <w:t> </w:t>
      </w:r>
      <w:r>
        <w:rPr>
          <w:rFonts w:eastAsia="Calibri"/>
        </w:rPr>
        <w:t>616</w:t>
      </w:r>
      <w:r w:rsidRPr="00D12ECF">
        <w:rPr>
          <w:rFonts w:eastAsia="Calibri"/>
        </w:rPr>
        <w:t xml:space="preserve"> tis. eur dosiahol plnenie </w:t>
      </w:r>
      <w:r w:rsidRPr="00A265D6">
        <w:rPr>
          <w:rFonts w:eastAsia="Calibri"/>
        </w:rPr>
        <w:t>345 6</w:t>
      </w:r>
      <w:r w:rsidR="00A4418A" w:rsidRPr="00A265D6">
        <w:rPr>
          <w:rFonts w:eastAsia="Calibri"/>
        </w:rPr>
        <w:t>37</w:t>
      </w:r>
      <w:r w:rsidRPr="00A265D6">
        <w:rPr>
          <w:rFonts w:eastAsia="Calibri"/>
        </w:rPr>
        <w:t> tis.</w:t>
      </w:r>
      <w:r w:rsidRPr="00D12ECF">
        <w:rPr>
          <w:rFonts w:eastAsia="Calibri"/>
        </w:rPr>
        <w:t xml:space="preserve"> eur, </w:t>
      </w:r>
      <w:r w:rsidR="004B2AB6">
        <w:rPr>
          <w:rFonts w:eastAsia="Calibri"/>
        </w:rPr>
        <w:t xml:space="preserve">a </w:t>
      </w:r>
      <w:r w:rsidRPr="00D12ECF">
        <w:rPr>
          <w:rFonts w:eastAsia="Calibri"/>
        </w:rPr>
        <w:t xml:space="preserve">v porovnaní s rokom 2017 </w:t>
      </w:r>
      <w:r w:rsidR="004B2AB6">
        <w:rPr>
          <w:rFonts w:eastAsia="Calibri"/>
        </w:rPr>
        <w:t xml:space="preserve">je to </w:t>
      </w:r>
      <w:r>
        <w:rPr>
          <w:rFonts w:eastAsia="Calibri"/>
        </w:rPr>
        <w:t>menej</w:t>
      </w:r>
      <w:r w:rsidRPr="00D12ECF">
        <w:rPr>
          <w:rFonts w:eastAsia="Calibri"/>
        </w:rPr>
        <w:t xml:space="preserve"> o</w:t>
      </w:r>
      <w:r>
        <w:rPr>
          <w:rFonts w:eastAsia="Calibri"/>
        </w:rPr>
        <w:t> 20 24</w:t>
      </w:r>
      <w:r w:rsidR="00694471">
        <w:rPr>
          <w:rFonts w:eastAsia="Calibri"/>
        </w:rPr>
        <w:t>7</w:t>
      </w:r>
      <w:r w:rsidRPr="00D12ECF">
        <w:rPr>
          <w:rFonts w:eastAsia="Calibri"/>
        </w:rPr>
        <w:t> tis. eur.</w:t>
      </w:r>
    </w:p>
    <w:p w14:paraId="1964E6DB" w14:textId="71F4C110" w:rsidR="008F75C2" w:rsidRDefault="008F75C2" w:rsidP="008F75C2">
      <w:r w:rsidRPr="009E075B">
        <w:t>Súhrnný prehľad o plnení administratívnych poplatkov a</w:t>
      </w:r>
      <w:r w:rsidR="003855B7">
        <w:t xml:space="preserve"> </w:t>
      </w:r>
      <w:r w:rsidRPr="009E075B">
        <w:t>iných poplatkov a platieb poskytuje nasledovná tabuľka:</w:t>
      </w:r>
    </w:p>
    <w:tbl>
      <w:tblPr>
        <w:tblW w:w="9356" w:type="dxa"/>
        <w:tblInd w:w="-152" w:type="dxa"/>
        <w:tblLayout w:type="fixed"/>
        <w:tblCellMar>
          <w:left w:w="70" w:type="dxa"/>
          <w:right w:w="70" w:type="dxa"/>
        </w:tblCellMar>
        <w:tblLook w:val="04A0" w:firstRow="1" w:lastRow="0" w:firstColumn="1" w:lastColumn="0" w:noHBand="0" w:noVBand="1"/>
      </w:tblPr>
      <w:tblGrid>
        <w:gridCol w:w="3261"/>
        <w:gridCol w:w="1134"/>
        <w:gridCol w:w="992"/>
        <w:gridCol w:w="992"/>
        <w:gridCol w:w="1134"/>
        <w:gridCol w:w="993"/>
        <w:gridCol w:w="850"/>
      </w:tblGrid>
      <w:tr w:rsidR="008F75C2" w:rsidRPr="00F81D8D" w14:paraId="39F4BC49" w14:textId="77777777" w:rsidTr="00F81D8D">
        <w:trPr>
          <w:trHeight w:val="330"/>
        </w:trPr>
        <w:tc>
          <w:tcPr>
            <w:tcW w:w="8506" w:type="dxa"/>
            <w:gridSpan w:val="6"/>
            <w:tcBorders>
              <w:top w:val="nil"/>
              <w:left w:val="single" w:sz="8" w:space="0" w:color="auto"/>
              <w:bottom w:val="nil"/>
              <w:right w:val="nil"/>
            </w:tcBorders>
            <w:shd w:val="clear" w:color="000000" w:fill="000000"/>
            <w:vAlign w:val="center"/>
            <w:hideMark/>
          </w:tcPr>
          <w:p w14:paraId="4EF92F95" w14:textId="77777777" w:rsidR="008F75C2" w:rsidRPr="00F81D8D" w:rsidRDefault="008F75C2" w:rsidP="00F81D8D">
            <w:pPr>
              <w:tabs>
                <w:tab w:val="left" w:pos="7032"/>
              </w:tabs>
              <w:spacing w:after="0" w:line="240" w:lineRule="auto"/>
              <w:ind w:right="-211"/>
              <w:jc w:val="left"/>
              <w:rPr>
                <w:rFonts w:eastAsia="Times New Roman" w:cs="Times New Roman"/>
                <w:b/>
                <w:bCs/>
                <w:color w:val="FFFFFF"/>
                <w:sz w:val="20"/>
                <w:szCs w:val="20"/>
                <w:lang w:eastAsia="sk-SK"/>
              </w:rPr>
            </w:pPr>
            <w:bookmarkStart w:id="42" w:name="RANGE!B5:H16"/>
            <w:r w:rsidRPr="00F81D8D">
              <w:rPr>
                <w:rFonts w:eastAsia="Times New Roman" w:cs="Times New Roman"/>
                <w:b/>
                <w:bCs/>
                <w:color w:val="FFFFFF"/>
                <w:sz w:val="20"/>
                <w:szCs w:val="20"/>
                <w:lang w:eastAsia="sk-SK"/>
              </w:rPr>
              <w:t>Administratívne poplatky a iné poplatky a platby</w:t>
            </w:r>
            <w:bookmarkEnd w:id="42"/>
          </w:p>
        </w:tc>
        <w:tc>
          <w:tcPr>
            <w:tcW w:w="850" w:type="dxa"/>
            <w:tcBorders>
              <w:top w:val="nil"/>
              <w:left w:val="nil"/>
              <w:bottom w:val="nil"/>
              <w:right w:val="nil"/>
            </w:tcBorders>
            <w:shd w:val="clear" w:color="000000" w:fill="000000"/>
            <w:noWrap/>
            <w:vAlign w:val="center"/>
            <w:hideMark/>
          </w:tcPr>
          <w:p w14:paraId="48A340AB" w14:textId="5B4BDB28" w:rsidR="008F75C2" w:rsidRPr="00F81D8D" w:rsidRDefault="008F75C2" w:rsidP="00F81D8D">
            <w:pPr>
              <w:tabs>
                <w:tab w:val="left" w:pos="7032"/>
              </w:tabs>
              <w:spacing w:after="0" w:line="240" w:lineRule="auto"/>
              <w:ind w:right="-110" w:hanging="70"/>
              <w:jc w:val="left"/>
              <w:rPr>
                <w:rFonts w:eastAsia="Times New Roman" w:cs="Times New Roman"/>
                <w:b/>
                <w:bCs/>
                <w:color w:val="FFFFFF"/>
                <w:sz w:val="20"/>
                <w:szCs w:val="20"/>
                <w:lang w:eastAsia="sk-SK"/>
              </w:rPr>
            </w:pPr>
            <w:r w:rsidRPr="00F81D8D">
              <w:rPr>
                <w:rFonts w:eastAsia="Times New Roman" w:cs="Times New Roman"/>
                <w:b/>
                <w:bCs/>
                <w:color w:val="FFFFFF"/>
                <w:sz w:val="20"/>
                <w:szCs w:val="20"/>
                <w:lang w:eastAsia="sk-SK"/>
              </w:rPr>
              <w:t>v tis.</w:t>
            </w:r>
            <w:r w:rsidR="0002384D" w:rsidRPr="00F81D8D">
              <w:rPr>
                <w:rFonts w:eastAsia="Times New Roman" w:cs="Times New Roman"/>
                <w:b/>
                <w:bCs/>
                <w:color w:val="FFFFFF"/>
                <w:sz w:val="20"/>
                <w:szCs w:val="20"/>
                <w:lang w:eastAsia="sk-SK"/>
              </w:rPr>
              <w:t xml:space="preserve"> </w:t>
            </w:r>
            <w:r w:rsidRPr="00F81D8D">
              <w:rPr>
                <w:rFonts w:eastAsia="Times New Roman" w:cs="Times New Roman"/>
                <w:b/>
                <w:bCs/>
                <w:color w:val="FFFFFF"/>
                <w:sz w:val="20"/>
                <w:szCs w:val="20"/>
                <w:lang w:eastAsia="sk-SK"/>
              </w:rPr>
              <w:t>eur</w:t>
            </w:r>
          </w:p>
        </w:tc>
      </w:tr>
      <w:tr w:rsidR="008F75C2" w:rsidRPr="008F75C2" w14:paraId="2668C019" w14:textId="77777777" w:rsidTr="00F81D8D">
        <w:trPr>
          <w:trHeight w:val="330"/>
        </w:trPr>
        <w:tc>
          <w:tcPr>
            <w:tcW w:w="3261" w:type="dxa"/>
            <w:tcBorders>
              <w:top w:val="nil"/>
              <w:left w:val="nil"/>
              <w:bottom w:val="nil"/>
              <w:right w:val="nil"/>
            </w:tcBorders>
            <w:shd w:val="clear" w:color="000000" w:fill="BFBFBF"/>
            <w:vAlign w:val="center"/>
            <w:hideMark/>
          </w:tcPr>
          <w:p w14:paraId="7CE80007" w14:textId="77777777" w:rsidR="008F75C2" w:rsidRPr="0002384D" w:rsidRDefault="008F75C2" w:rsidP="00BE272D">
            <w:pPr>
              <w:spacing w:after="0" w:line="240" w:lineRule="auto"/>
              <w:jc w:val="left"/>
              <w:rPr>
                <w:b/>
                <w:bCs/>
                <w:sz w:val="18"/>
                <w:szCs w:val="18"/>
                <w:lang w:eastAsia="sk-SK"/>
              </w:rPr>
            </w:pPr>
            <w:r w:rsidRPr="0002384D">
              <w:rPr>
                <w:b/>
                <w:bCs/>
                <w:sz w:val="18"/>
                <w:szCs w:val="18"/>
                <w:lang w:eastAsia="sk-SK"/>
              </w:rPr>
              <w:t> </w:t>
            </w:r>
          </w:p>
        </w:tc>
        <w:tc>
          <w:tcPr>
            <w:tcW w:w="2126" w:type="dxa"/>
            <w:gridSpan w:val="2"/>
            <w:tcBorders>
              <w:top w:val="nil"/>
              <w:left w:val="nil"/>
              <w:bottom w:val="nil"/>
              <w:right w:val="nil"/>
            </w:tcBorders>
            <w:shd w:val="clear" w:color="000000" w:fill="BFBFBF"/>
            <w:vAlign w:val="center"/>
            <w:hideMark/>
          </w:tcPr>
          <w:p w14:paraId="6B55FFA1" w14:textId="77777777" w:rsidR="008F75C2" w:rsidRPr="0002384D" w:rsidRDefault="008F75C2" w:rsidP="00BE272D">
            <w:pPr>
              <w:spacing w:after="0" w:line="240" w:lineRule="auto"/>
              <w:jc w:val="left"/>
              <w:rPr>
                <w:b/>
                <w:bCs/>
                <w:sz w:val="18"/>
                <w:szCs w:val="18"/>
                <w:lang w:eastAsia="sk-SK"/>
              </w:rPr>
            </w:pPr>
            <w:r w:rsidRPr="0002384D">
              <w:rPr>
                <w:b/>
                <w:bCs/>
                <w:sz w:val="18"/>
                <w:szCs w:val="18"/>
                <w:lang w:eastAsia="sk-SK"/>
              </w:rPr>
              <w:t>Skutočnosť</w:t>
            </w:r>
          </w:p>
        </w:tc>
        <w:tc>
          <w:tcPr>
            <w:tcW w:w="992" w:type="dxa"/>
            <w:tcBorders>
              <w:top w:val="nil"/>
              <w:left w:val="nil"/>
              <w:bottom w:val="nil"/>
              <w:right w:val="nil"/>
            </w:tcBorders>
            <w:shd w:val="clear" w:color="000000" w:fill="BFBFBF"/>
            <w:vAlign w:val="center"/>
            <w:hideMark/>
          </w:tcPr>
          <w:p w14:paraId="5D3CC3B0" w14:textId="77777777" w:rsidR="008F75C2" w:rsidRPr="0002384D" w:rsidRDefault="008F75C2" w:rsidP="00BE272D">
            <w:pPr>
              <w:spacing w:after="0" w:line="240" w:lineRule="auto"/>
              <w:jc w:val="left"/>
              <w:rPr>
                <w:b/>
                <w:bCs/>
                <w:sz w:val="18"/>
                <w:szCs w:val="18"/>
                <w:lang w:eastAsia="sk-SK"/>
              </w:rPr>
            </w:pPr>
            <w:r w:rsidRPr="0002384D">
              <w:rPr>
                <w:b/>
                <w:bCs/>
                <w:sz w:val="18"/>
                <w:szCs w:val="18"/>
                <w:lang w:eastAsia="sk-SK"/>
              </w:rPr>
              <w:t>Rozpočet</w:t>
            </w:r>
          </w:p>
        </w:tc>
        <w:tc>
          <w:tcPr>
            <w:tcW w:w="1134" w:type="dxa"/>
            <w:tcBorders>
              <w:top w:val="nil"/>
              <w:left w:val="nil"/>
              <w:bottom w:val="nil"/>
              <w:right w:val="nil"/>
            </w:tcBorders>
            <w:shd w:val="clear" w:color="000000" w:fill="BFBFBF"/>
            <w:vAlign w:val="center"/>
            <w:hideMark/>
          </w:tcPr>
          <w:p w14:paraId="7F2C2F0B" w14:textId="77777777" w:rsidR="008F75C2" w:rsidRPr="0002384D" w:rsidRDefault="008F75C2" w:rsidP="00BE272D">
            <w:pPr>
              <w:spacing w:after="0" w:line="240" w:lineRule="auto"/>
              <w:jc w:val="left"/>
              <w:rPr>
                <w:b/>
                <w:bCs/>
                <w:sz w:val="18"/>
                <w:szCs w:val="18"/>
                <w:lang w:eastAsia="sk-SK"/>
              </w:rPr>
            </w:pPr>
            <w:r w:rsidRPr="0002384D">
              <w:rPr>
                <w:b/>
                <w:bCs/>
                <w:sz w:val="18"/>
                <w:szCs w:val="18"/>
                <w:lang w:eastAsia="sk-SK"/>
              </w:rPr>
              <w:t>Skutočnosť</w:t>
            </w:r>
          </w:p>
        </w:tc>
        <w:tc>
          <w:tcPr>
            <w:tcW w:w="1843" w:type="dxa"/>
            <w:gridSpan w:val="2"/>
            <w:tcBorders>
              <w:top w:val="nil"/>
              <w:left w:val="nil"/>
              <w:bottom w:val="nil"/>
              <w:right w:val="nil"/>
            </w:tcBorders>
            <w:shd w:val="clear" w:color="000000" w:fill="BFBFBF"/>
            <w:vAlign w:val="center"/>
            <w:hideMark/>
          </w:tcPr>
          <w:p w14:paraId="5D15BFB7" w14:textId="77777777" w:rsidR="008F75C2" w:rsidRPr="0002384D" w:rsidRDefault="008F75C2" w:rsidP="00BE272D">
            <w:pPr>
              <w:spacing w:after="0" w:line="240" w:lineRule="auto"/>
              <w:jc w:val="left"/>
              <w:rPr>
                <w:b/>
                <w:bCs/>
                <w:sz w:val="18"/>
                <w:szCs w:val="18"/>
                <w:lang w:eastAsia="sk-SK"/>
              </w:rPr>
            </w:pPr>
            <w:r w:rsidRPr="0002384D">
              <w:rPr>
                <w:b/>
                <w:bCs/>
                <w:sz w:val="18"/>
                <w:szCs w:val="18"/>
                <w:lang w:eastAsia="sk-SK"/>
              </w:rPr>
              <w:t>Rozdiel</w:t>
            </w:r>
          </w:p>
        </w:tc>
      </w:tr>
      <w:tr w:rsidR="00F81D8D" w:rsidRPr="008F75C2" w14:paraId="7B1A2776" w14:textId="77777777" w:rsidTr="00F81D8D">
        <w:trPr>
          <w:trHeight w:val="510"/>
        </w:trPr>
        <w:tc>
          <w:tcPr>
            <w:tcW w:w="3261" w:type="dxa"/>
            <w:tcBorders>
              <w:top w:val="nil"/>
              <w:left w:val="nil"/>
              <w:bottom w:val="nil"/>
              <w:right w:val="nil"/>
            </w:tcBorders>
            <w:shd w:val="clear" w:color="000000" w:fill="BFBFBF"/>
            <w:vAlign w:val="center"/>
            <w:hideMark/>
          </w:tcPr>
          <w:p w14:paraId="1B9E5926" w14:textId="77777777" w:rsidR="008F75C2" w:rsidRPr="0002384D" w:rsidRDefault="008F75C2" w:rsidP="00BE272D">
            <w:pPr>
              <w:spacing w:after="0" w:line="240" w:lineRule="auto"/>
              <w:jc w:val="left"/>
              <w:rPr>
                <w:b/>
                <w:bCs/>
                <w:sz w:val="18"/>
                <w:szCs w:val="18"/>
                <w:lang w:eastAsia="sk-SK"/>
              </w:rPr>
            </w:pPr>
            <w:r w:rsidRPr="0002384D">
              <w:rPr>
                <w:b/>
                <w:bCs/>
                <w:sz w:val="18"/>
                <w:szCs w:val="18"/>
                <w:lang w:eastAsia="sk-SK"/>
              </w:rPr>
              <w:t> </w:t>
            </w:r>
          </w:p>
        </w:tc>
        <w:tc>
          <w:tcPr>
            <w:tcW w:w="1134" w:type="dxa"/>
            <w:tcBorders>
              <w:top w:val="nil"/>
              <w:left w:val="nil"/>
              <w:bottom w:val="nil"/>
              <w:right w:val="nil"/>
            </w:tcBorders>
            <w:shd w:val="clear" w:color="000000" w:fill="BFBFBF"/>
            <w:vAlign w:val="center"/>
            <w:hideMark/>
          </w:tcPr>
          <w:p w14:paraId="24CEC705" w14:textId="77777777" w:rsidR="008F75C2" w:rsidRPr="0002384D" w:rsidRDefault="008F75C2" w:rsidP="00BE272D">
            <w:pPr>
              <w:spacing w:after="0" w:line="240" w:lineRule="auto"/>
              <w:jc w:val="left"/>
              <w:rPr>
                <w:b/>
                <w:bCs/>
                <w:sz w:val="18"/>
                <w:szCs w:val="18"/>
                <w:lang w:eastAsia="sk-SK"/>
              </w:rPr>
            </w:pPr>
            <w:r w:rsidRPr="0002384D">
              <w:rPr>
                <w:b/>
                <w:bCs/>
                <w:sz w:val="18"/>
                <w:szCs w:val="18"/>
                <w:lang w:eastAsia="sk-SK"/>
              </w:rPr>
              <w:t>2016</w:t>
            </w:r>
          </w:p>
        </w:tc>
        <w:tc>
          <w:tcPr>
            <w:tcW w:w="992" w:type="dxa"/>
            <w:tcBorders>
              <w:top w:val="nil"/>
              <w:left w:val="nil"/>
              <w:bottom w:val="nil"/>
              <w:right w:val="nil"/>
            </w:tcBorders>
            <w:shd w:val="clear" w:color="000000" w:fill="BFBFBF"/>
            <w:vAlign w:val="center"/>
            <w:hideMark/>
          </w:tcPr>
          <w:p w14:paraId="2BB5D7D8" w14:textId="77777777" w:rsidR="008F75C2" w:rsidRPr="0002384D" w:rsidRDefault="008F75C2" w:rsidP="00BE272D">
            <w:pPr>
              <w:spacing w:after="0" w:line="240" w:lineRule="auto"/>
              <w:jc w:val="left"/>
              <w:rPr>
                <w:b/>
                <w:bCs/>
                <w:sz w:val="18"/>
                <w:szCs w:val="18"/>
                <w:lang w:eastAsia="sk-SK"/>
              </w:rPr>
            </w:pPr>
            <w:r w:rsidRPr="0002384D">
              <w:rPr>
                <w:b/>
                <w:bCs/>
                <w:sz w:val="18"/>
                <w:szCs w:val="18"/>
                <w:lang w:eastAsia="sk-SK"/>
              </w:rPr>
              <w:t>2017</w:t>
            </w:r>
          </w:p>
        </w:tc>
        <w:tc>
          <w:tcPr>
            <w:tcW w:w="992" w:type="dxa"/>
            <w:tcBorders>
              <w:top w:val="nil"/>
              <w:left w:val="nil"/>
              <w:bottom w:val="nil"/>
              <w:right w:val="nil"/>
            </w:tcBorders>
            <w:shd w:val="clear" w:color="000000" w:fill="BFBFBF"/>
            <w:vAlign w:val="center"/>
            <w:hideMark/>
          </w:tcPr>
          <w:p w14:paraId="7A2648D1" w14:textId="77777777" w:rsidR="008F75C2" w:rsidRPr="0002384D" w:rsidRDefault="008F75C2" w:rsidP="00BE272D">
            <w:pPr>
              <w:spacing w:after="0" w:line="240" w:lineRule="auto"/>
              <w:jc w:val="left"/>
              <w:rPr>
                <w:b/>
                <w:bCs/>
                <w:sz w:val="18"/>
                <w:szCs w:val="18"/>
                <w:lang w:eastAsia="sk-SK"/>
              </w:rPr>
            </w:pPr>
            <w:r w:rsidRPr="0002384D">
              <w:rPr>
                <w:b/>
                <w:bCs/>
                <w:sz w:val="18"/>
                <w:szCs w:val="18"/>
                <w:lang w:eastAsia="sk-SK"/>
              </w:rPr>
              <w:t>2018</w:t>
            </w:r>
          </w:p>
        </w:tc>
        <w:tc>
          <w:tcPr>
            <w:tcW w:w="1134" w:type="dxa"/>
            <w:tcBorders>
              <w:top w:val="nil"/>
              <w:left w:val="nil"/>
              <w:bottom w:val="nil"/>
              <w:right w:val="nil"/>
            </w:tcBorders>
            <w:shd w:val="clear" w:color="000000" w:fill="BFBFBF"/>
            <w:vAlign w:val="center"/>
            <w:hideMark/>
          </w:tcPr>
          <w:p w14:paraId="29C4617A" w14:textId="77777777" w:rsidR="008F75C2" w:rsidRPr="0002384D" w:rsidRDefault="008F75C2" w:rsidP="00BE272D">
            <w:pPr>
              <w:spacing w:after="0" w:line="240" w:lineRule="auto"/>
              <w:jc w:val="left"/>
              <w:rPr>
                <w:b/>
                <w:bCs/>
                <w:sz w:val="18"/>
                <w:szCs w:val="18"/>
                <w:lang w:eastAsia="sk-SK"/>
              </w:rPr>
            </w:pPr>
            <w:r w:rsidRPr="0002384D">
              <w:rPr>
                <w:b/>
                <w:bCs/>
                <w:sz w:val="18"/>
                <w:szCs w:val="18"/>
                <w:lang w:eastAsia="sk-SK"/>
              </w:rPr>
              <w:t>2018</w:t>
            </w:r>
          </w:p>
        </w:tc>
        <w:tc>
          <w:tcPr>
            <w:tcW w:w="993" w:type="dxa"/>
            <w:tcBorders>
              <w:top w:val="nil"/>
              <w:left w:val="nil"/>
              <w:bottom w:val="nil"/>
              <w:right w:val="nil"/>
            </w:tcBorders>
            <w:shd w:val="clear" w:color="000000" w:fill="BFBFBF"/>
            <w:vAlign w:val="center"/>
            <w:hideMark/>
          </w:tcPr>
          <w:p w14:paraId="6DDC605B" w14:textId="0368DA84" w:rsidR="008F75C2" w:rsidRPr="0002384D" w:rsidRDefault="008F75C2" w:rsidP="00BE272D">
            <w:pPr>
              <w:spacing w:after="0" w:line="240" w:lineRule="auto"/>
              <w:jc w:val="left"/>
              <w:rPr>
                <w:b/>
                <w:bCs/>
                <w:sz w:val="18"/>
                <w:szCs w:val="18"/>
                <w:lang w:eastAsia="sk-SK"/>
              </w:rPr>
            </w:pPr>
            <w:r w:rsidRPr="0002384D">
              <w:rPr>
                <w:b/>
                <w:bCs/>
                <w:sz w:val="18"/>
                <w:szCs w:val="18"/>
                <w:lang w:eastAsia="sk-SK"/>
              </w:rPr>
              <w:t>v tis. eur</w:t>
            </w:r>
          </w:p>
        </w:tc>
        <w:tc>
          <w:tcPr>
            <w:tcW w:w="850" w:type="dxa"/>
            <w:tcBorders>
              <w:top w:val="nil"/>
              <w:left w:val="nil"/>
              <w:bottom w:val="nil"/>
              <w:right w:val="nil"/>
            </w:tcBorders>
            <w:shd w:val="clear" w:color="000000" w:fill="BFBFBF"/>
            <w:vAlign w:val="center"/>
            <w:hideMark/>
          </w:tcPr>
          <w:p w14:paraId="3A69777F" w14:textId="77777777" w:rsidR="008F75C2" w:rsidRPr="0002384D" w:rsidRDefault="008F75C2" w:rsidP="00BE272D">
            <w:pPr>
              <w:spacing w:after="0" w:line="240" w:lineRule="auto"/>
              <w:jc w:val="left"/>
              <w:rPr>
                <w:b/>
                <w:bCs/>
                <w:sz w:val="18"/>
                <w:szCs w:val="18"/>
                <w:lang w:eastAsia="sk-SK"/>
              </w:rPr>
            </w:pPr>
            <w:r w:rsidRPr="0002384D">
              <w:rPr>
                <w:b/>
                <w:bCs/>
                <w:sz w:val="18"/>
                <w:szCs w:val="18"/>
                <w:lang w:eastAsia="sk-SK"/>
              </w:rPr>
              <w:t>v %</w:t>
            </w:r>
          </w:p>
        </w:tc>
      </w:tr>
      <w:tr w:rsidR="00F81D8D" w:rsidRPr="008F75C2" w14:paraId="03CB19A9" w14:textId="77777777" w:rsidTr="00F81D8D">
        <w:trPr>
          <w:trHeight w:val="345"/>
        </w:trPr>
        <w:tc>
          <w:tcPr>
            <w:tcW w:w="3261" w:type="dxa"/>
            <w:tcBorders>
              <w:top w:val="nil"/>
              <w:left w:val="nil"/>
              <w:bottom w:val="single" w:sz="8" w:space="0" w:color="auto"/>
              <w:right w:val="nil"/>
            </w:tcBorders>
            <w:shd w:val="clear" w:color="000000" w:fill="BFBFBF"/>
            <w:vAlign w:val="center"/>
            <w:hideMark/>
          </w:tcPr>
          <w:p w14:paraId="3568E263" w14:textId="77777777" w:rsidR="008F75C2" w:rsidRPr="0002384D" w:rsidRDefault="008F75C2" w:rsidP="00BE272D">
            <w:pPr>
              <w:spacing w:after="0" w:line="240" w:lineRule="auto"/>
              <w:jc w:val="left"/>
              <w:rPr>
                <w:b/>
                <w:bCs/>
                <w:sz w:val="18"/>
                <w:szCs w:val="18"/>
                <w:lang w:eastAsia="sk-SK"/>
              </w:rPr>
            </w:pPr>
            <w:r w:rsidRPr="0002384D">
              <w:rPr>
                <w:b/>
                <w:bCs/>
                <w:sz w:val="18"/>
                <w:szCs w:val="18"/>
                <w:lang w:eastAsia="sk-SK"/>
              </w:rPr>
              <w:t> </w:t>
            </w:r>
          </w:p>
        </w:tc>
        <w:tc>
          <w:tcPr>
            <w:tcW w:w="1134" w:type="dxa"/>
            <w:tcBorders>
              <w:top w:val="nil"/>
              <w:left w:val="nil"/>
              <w:bottom w:val="single" w:sz="8" w:space="0" w:color="auto"/>
              <w:right w:val="nil"/>
            </w:tcBorders>
            <w:shd w:val="clear" w:color="000000" w:fill="BFBFBF"/>
            <w:vAlign w:val="center"/>
            <w:hideMark/>
          </w:tcPr>
          <w:p w14:paraId="13C1C802" w14:textId="77777777" w:rsidR="008F75C2" w:rsidRPr="0002384D" w:rsidRDefault="008F75C2" w:rsidP="00BE272D">
            <w:pPr>
              <w:spacing w:after="0" w:line="240" w:lineRule="auto"/>
              <w:jc w:val="left"/>
              <w:rPr>
                <w:b/>
                <w:bCs/>
                <w:sz w:val="18"/>
                <w:szCs w:val="18"/>
                <w:lang w:eastAsia="sk-SK"/>
              </w:rPr>
            </w:pPr>
            <w:r w:rsidRPr="0002384D">
              <w:rPr>
                <w:b/>
                <w:bCs/>
                <w:sz w:val="18"/>
                <w:szCs w:val="18"/>
                <w:lang w:eastAsia="sk-SK"/>
              </w:rPr>
              <w:t>1</w:t>
            </w:r>
          </w:p>
        </w:tc>
        <w:tc>
          <w:tcPr>
            <w:tcW w:w="992" w:type="dxa"/>
            <w:tcBorders>
              <w:top w:val="nil"/>
              <w:left w:val="nil"/>
              <w:bottom w:val="single" w:sz="8" w:space="0" w:color="auto"/>
              <w:right w:val="nil"/>
            </w:tcBorders>
            <w:shd w:val="clear" w:color="000000" w:fill="BFBFBF"/>
            <w:vAlign w:val="center"/>
            <w:hideMark/>
          </w:tcPr>
          <w:p w14:paraId="0C22B89D" w14:textId="77777777" w:rsidR="008F75C2" w:rsidRPr="0002384D" w:rsidRDefault="008F75C2" w:rsidP="00BE272D">
            <w:pPr>
              <w:spacing w:after="0" w:line="240" w:lineRule="auto"/>
              <w:jc w:val="left"/>
              <w:rPr>
                <w:b/>
                <w:bCs/>
                <w:sz w:val="18"/>
                <w:szCs w:val="18"/>
                <w:lang w:eastAsia="sk-SK"/>
              </w:rPr>
            </w:pPr>
            <w:r w:rsidRPr="0002384D">
              <w:rPr>
                <w:b/>
                <w:bCs/>
                <w:sz w:val="18"/>
                <w:szCs w:val="18"/>
                <w:lang w:eastAsia="sk-SK"/>
              </w:rPr>
              <w:t>2</w:t>
            </w:r>
          </w:p>
        </w:tc>
        <w:tc>
          <w:tcPr>
            <w:tcW w:w="992" w:type="dxa"/>
            <w:tcBorders>
              <w:top w:val="nil"/>
              <w:left w:val="nil"/>
              <w:bottom w:val="single" w:sz="8" w:space="0" w:color="auto"/>
              <w:right w:val="nil"/>
            </w:tcBorders>
            <w:shd w:val="clear" w:color="000000" w:fill="BFBFBF"/>
            <w:vAlign w:val="center"/>
            <w:hideMark/>
          </w:tcPr>
          <w:p w14:paraId="2B11283E" w14:textId="77777777" w:rsidR="008F75C2" w:rsidRPr="0002384D" w:rsidRDefault="008F75C2" w:rsidP="00BE272D">
            <w:pPr>
              <w:spacing w:after="0" w:line="240" w:lineRule="auto"/>
              <w:jc w:val="left"/>
              <w:rPr>
                <w:b/>
                <w:bCs/>
                <w:sz w:val="18"/>
                <w:szCs w:val="18"/>
                <w:lang w:eastAsia="sk-SK"/>
              </w:rPr>
            </w:pPr>
            <w:r w:rsidRPr="0002384D">
              <w:rPr>
                <w:b/>
                <w:bCs/>
                <w:sz w:val="18"/>
                <w:szCs w:val="18"/>
                <w:lang w:eastAsia="sk-SK"/>
              </w:rPr>
              <w:t>3</w:t>
            </w:r>
          </w:p>
        </w:tc>
        <w:tc>
          <w:tcPr>
            <w:tcW w:w="1134" w:type="dxa"/>
            <w:tcBorders>
              <w:top w:val="nil"/>
              <w:left w:val="nil"/>
              <w:bottom w:val="single" w:sz="8" w:space="0" w:color="auto"/>
              <w:right w:val="nil"/>
            </w:tcBorders>
            <w:shd w:val="clear" w:color="000000" w:fill="BFBFBF"/>
            <w:vAlign w:val="center"/>
            <w:hideMark/>
          </w:tcPr>
          <w:p w14:paraId="4C4197C2" w14:textId="77777777" w:rsidR="008F75C2" w:rsidRPr="0002384D" w:rsidRDefault="008F75C2" w:rsidP="00BE272D">
            <w:pPr>
              <w:spacing w:after="0" w:line="240" w:lineRule="auto"/>
              <w:jc w:val="left"/>
              <w:rPr>
                <w:b/>
                <w:bCs/>
                <w:sz w:val="18"/>
                <w:szCs w:val="18"/>
                <w:lang w:eastAsia="sk-SK"/>
              </w:rPr>
            </w:pPr>
            <w:r w:rsidRPr="0002384D">
              <w:rPr>
                <w:b/>
                <w:bCs/>
                <w:sz w:val="18"/>
                <w:szCs w:val="18"/>
                <w:lang w:eastAsia="sk-SK"/>
              </w:rPr>
              <w:t>4</w:t>
            </w:r>
          </w:p>
        </w:tc>
        <w:tc>
          <w:tcPr>
            <w:tcW w:w="993" w:type="dxa"/>
            <w:tcBorders>
              <w:top w:val="nil"/>
              <w:left w:val="nil"/>
              <w:bottom w:val="single" w:sz="8" w:space="0" w:color="auto"/>
              <w:right w:val="nil"/>
            </w:tcBorders>
            <w:shd w:val="clear" w:color="000000" w:fill="BFBFBF"/>
            <w:vAlign w:val="center"/>
            <w:hideMark/>
          </w:tcPr>
          <w:p w14:paraId="0B67C106" w14:textId="77777777" w:rsidR="008F75C2" w:rsidRPr="0002384D" w:rsidRDefault="008F75C2" w:rsidP="00BE272D">
            <w:pPr>
              <w:spacing w:after="0" w:line="240" w:lineRule="auto"/>
              <w:jc w:val="left"/>
              <w:rPr>
                <w:b/>
                <w:bCs/>
                <w:sz w:val="18"/>
                <w:szCs w:val="18"/>
                <w:lang w:eastAsia="sk-SK"/>
              </w:rPr>
            </w:pPr>
            <w:r w:rsidRPr="0002384D">
              <w:rPr>
                <w:b/>
                <w:bCs/>
                <w:sz w:val="18"/>
                <w:szCs w:val="18"/>
                <w:lang w:eastAsia="sk-SK"/>
              </w:rPr>
              <w:t>5=4-3</w:t>
            </w:r>
          </w:p>
        </w:tc>
        <w:tc>
          <w:tcPr>
            <w:tcW w:w="850" w:type="dxa"/>
            <w:tcBorders>
              <w:top w:val="nil"/>
              <w:left w:val="nil"/>
              <w:bottom w:val="single" w:sz="8" w:space="0" w:color="auto"/>
              <w:right w:val="nil"/>
            </w:tcBorders>
            <w:shd w:val="clear" w:color="000000" w:fill="BFBFBF"/>
            <w:vAlign w:val="center"/>
            <w:hideMark/>
          </w:tcPr>
          <w:p w14:paraId="2664CAF6" w14:textId="77777777" w:rsidR="008F75C2" w:rsidRPr="0002384D" w:rsidRDefault="008F75C2" w:rsidP="00BE272D">
            <w:pPr>
              <w:spacing w:after="0" w:line="240" w:lineRule="auto"/>
              <w:jc w:val="left"/>
              <w:rPr>
                <w:b/>
                <w:bCs/>
                <w:sz w:val="18"/>
                <w:szCs w:val="18"/>
                <w:lang w:eastAsia="sk-SK"/>
              </w:rPr>
            </w:pPr>
            <w:r w:rsidRPr="0002384D">
              <w:rPr>
                <w:b/>
                <w:bCs/>
                <w:sz w:val="18"/>
                <w:szCs w:val="18"/>
                <w:lang w:eastAsia="sk-SK"/>
              </w:rPr>
              <w:t>6=4-3</w:t>
            </w:r>
          </w:p>
        </w:tc>
      </w:tr>
      <w:tr w:rsidR="00F81D8D" w:rsidRPr="00D82E5B" w14:paraId="71F109BE" w14:textId="77777777" w:rsidTr="00F81D8D">
        <w:trPr>
          <w:trHeight w:val="330"/>
        </w:trPr>
        <w:tc>
          <w:tcPr>
            <w:tcW w:w="3261" w:type="dxa"/>
            <w:tcBorders>
              <w:top w:val="nil"/>
              <w:left w:val="nil"/>
              <w:bottom w:val="nil"/>
              <w:right w:val="nil"/>
            </w:tcBorders>
            <w:shd w:val="clear" w:color="000000" w:fill="FFFFFF"/>
            <w:noWrap/>
            <w:vAlign w:val="center"/>
            <w:hideMark/>
          </w:tcPr>
          <w:p w14:paraId="21A41727" w14:textId="77777777" w:rsidR="008F75C2" w:rsidRPr="00D82E5B" w:rsidRDefault="008F75C2" w:rsidP="0002384D">
            <w:pPr>
              <w:spacing w:after="0" w:line="240" w:lineRule="auto"/>
              <w:jc w:val="left"/>
              <w:rPr>
                <w:b/>
                <w:color w:val="000000"/>
                <w:sz w:val="20"/>
                <w:szCs w:val="20"/>
                <w:lang w:eastAsia="sk-SK"/>
              </w:rPr>
            </w:pPr>
            <w:r w:rsidRPr="00D82E5B">
              <w:rPr>
                <w:b/>
                <w:color w:val="000000"/>
                <w:sz w:val="20"/>
                <w:szCs w:val="20"/>
                <w:lang w:eastAsia="sk-SK"/>
              </w:rPr>
              <w:t>Administratívne poplatky</w:t>
            </w:r>
          </w:p>
        </w:tc>
        <w:tc>
          <w:tcPr>
            <w:tcW w:w="1134" w:type="dxa"/>
            <w:tcBorders>
              <w:top w:val="nil"/>
              <w:left w:val="nil"/>
              <w:bottom w:val="nil"/>
              <w:right w:val="nil"/>
            </w:tcBorders>
            <w:shd w:val="clear" w:color="000000" w:fill="FFFFFF"/>
            <w:noWrap/>
            <w:vAlign w:val="center"/>
            <w:hideMark/>
          </w:tcPr>
          <w:p w14:paraId="2F18F3D5" w14:textId="77777777" w:rsidR="008F75C2" w:rsidRPr="00D82E5B" w:rsidRDefault="008F75C2" w:rsidP="0002384D">
            <w:pPr>
              <w:spacing w:after="0" w:line="240" w:lineRule="auto"/>
              <w:jc w:val="right"/>
              <w:rPr>
                <w:b/>
                <w:color w:val="000000"/>
                <w:sz w:val="20"/>
                <w:szCs w:val="20"/>
                <w:lang w:eastAsia="sk-SK"/>
              </w:rPr>
            </w:pPr>
            <w:r w:rsidRPr="00D82E5B">
              <w:rPr>
                <w:b/>
                <w:color w:val="000000"/>
                <w:sz w:val="20"/>
                <w:szCs w:val="20"/>
                <w:lang w:eastAsia="sk-SK"/>
              </w:rPr>
              <w:t>219 894</w:t>
            </w:r>
          </w:p>
        </w:tc>
        <w:tc>
          <w:tcPr>
            <w:tcW w:w="992" w:type="dxa"/>
            <w:tcBorders>
              <w:top w:val="nil"/>
              <w:left w:val="nil"/>
              <w:bottom w:val="nil"/>
              <w:right w:val="nil"/>
            </w:tcBorders>
            <w:shd w:val="clear" w:color="000000" w:fill="FFFFFF"/>
            <w:noWrap/>
            <w:vAlign w:val="center"/>
            <w:hideMark/>
          </w:tcPr>
          <w:p w14:paraId="6B4F02D9" w14:textId="77777777" w:rsidR="008F75C2" w:rsidRPr="00D82E5B" w:rsidRDefault="008F75C2" w:rsidP="0002384D">
            <w:pPr>
              <w:spacing w:after="0" w:line="240" w:lineRule="auto"/>
              <w:jc w:val="right"/>
              <w:rPr>
                <w:b/>
                <w:color w:val="000000"/>
                <w:sz w:val="20"/>
                <w:szCs w:val="20"/>
                <w:lang w:eastAsia="sk-SK"/>
              </w:rPr>
            </w:pPr>
            <w:r w:rsidRPr="00D82E5B">
              <w:rPr>
                <w:b/>
                <w:color w:val="000000"/>
                <w:sz w:val="20"/>
                <w:szCs w:val="20"/>
                <w:lang w:eastAsia="sk-SK"/>
              </w:rPr>
              <w:t>217 375</w:t>
            </w:r>
          </w:p>
        </w:tc>
        <w:tc>
          <w:tcPr>
            <w:tcW w:w="992" w:type="dxa"/>
            <w:tcBorders>
              <w:top w:val="nil"/>
              <w:left w:val="nil"/>
              <w:bottom w:val="nil"/>
              <w:right w:val="nil"/>
            </w:tcBorders>
            <w:shd w:val="clear" w:color="000000" w:fill="FFFFFF"/>
            <w:noWrap/>
            <w:vAlign w:val="center"/>
            <w:hideMark/>
          </w:tcPr>
          <w:p w14:paraId="512D422E" w14:textId="77777777" w:rsidR="008F75C2" w:rsidRPr="00D82E5B" w:rsidRDefault="008F75C2" w:rsidP="0002384D">
            <w:pPr>
              <w:spacing w:after="0" w:line="240" w:lineRule="auto"/>
              <w:jc w:val="right"/>
              <w:rPr>
                <w:b/>
                <w:color w:val="000000"/>
                <w:sz w:val="20"/>
                <w:szCs w:val="20"/>
                <w:lang w:eastAsia="sk-SK"/>
              </w:rPr>
            </w:pPr>
            <w:r w:rsidRPr="00D82E5B">
              <w:rPr>
                <w:b/>
                <w:color w:val="000000"/>
                <w:sz w:val="20"/>
                <w:szCs w:val="20"/>
                <w:lang w:eastAsia="sk-SK"/>
              </w:rPr>
              <w:t>217 817</w:t>
            </w:r>
          </w:p>
        </w:tc>
        <w:tc>
          <w:tcPr>
            <w:tcW w:w="1134" w:type="dxa"/>
            <w:tcBorders>
              <w:top w:val="nil"/>
              <w:left w:val="nil"/>
              <w:bottom w:val="nil"/>
              <w:right w:val="nil"/>
            </w:tcBorders>
            <w:shd w:val="clear" w:color="000000" w:fill="BFBFBF"/>
            <w:noWrap/>
            <w:vAlign w:val="center"/>
            <w:hideMark/>
          </w:tcPr>
          <w:p w14:paraId="5050C895" w14:textId="41976500" w:rsidR="008F75C2" w:rsidRPr="00D82E5B" w:rsidRDefault="008F75C2" w:rsidP="00A4418A">
            <w:pPr>
              <w:spacing w:after="0" w:line="240" w:lineRule="auto"/>
              <w:jc w:val="right"/>
              <w:rPr>
                <w:b/>
                <w:color w:val="000000"/>
                <w:sz w:val="20"/>
                <w:szCs w:val="20"/>
                <w:lang w:eastAsia="sk-SK"/>
              </w:rPr>
            </w:pPr>
            <w:r w:rsidRPr="00D82E5B">
              <w:rPr>
                <w:b/>
                <w:color w:val="000000"/>
                <w:sz w:val="20"/>
                <w:szCs w:val="20"/>
                <w:lang w:eastAsia="sk-SK"/>
              </w:rPr>
              <w:t>224 86</w:t>
            </w:r>
            <w:r w:rsidR="00A4418A" w:rsidRPr="00D82E5B">
              <w:rPr>
                <w:b/>
                <w:color w:val="000000"/>
                <w:sz w:val="20"/>
                <w:szCs w:val="20"/>
                <w:lang w:eastAsia="sk-SK"/>
              </w:rPr>
              <w:t>6</w:t>
            </w:r>
          </w:p>
        </w:tc>
        <w:tc>
          <w:tcPr>
            <w:tcW w:w="993" w:type="dxa"/>
            <w:tcBorders>
              <w:top w:val="nil"/>
              <w:left w:val="nil"/>
              <w:bottom w:val="nil"/>
              <w:right w:val="nil"/>
            </w:tcBorders>
            <w:shd w:val="clear" w:color="000000" w:fill="FFFFFF"/>
            <w:noWrap/>
            <w:vAlign w:val="center"/>
            <w:hideMark/>
          </w:tcPr>
          <w:p w14:paraId="462BEF38" w14:textId="0881C6F8" w:rsidR="008F75C2" w:rsidRPr="00D82E5B" w:rsidRDefault="008F75C2" w:rsidP="00A4418A">
            <w:pPr>
              <w:spacing w:after="0" w:line="240" w:lineRule="auto"/>
              <w:jc w:val="right"/>
              <w:rPr>
                <w:b/>
                <w:color w:val="000000"/>
                <w:sz w:val="20"/>
                <w:szCs w:val="20"/>
                <w:lang w:eastAsia="sk-SK"/>
              </w:rPr>
            </w:pPr>
            <w:r w:rsidRPr="00D82E5B">
              <w:rPr>
                <w:b/>
                <w:color w:val="000000"/>
                <w:sz w:val="20"/>
                <w:szCs w:val="20"/>
                <w:lang w:eastAsia="sk-SK"/>
              </w:rPr>
              <w:t>7 0</w:t>
            </w:r>
            <w:r w:rsidR="00A4418A" w:rsidRPr="00D82E5B">
              <w:rPr>
                <w:b/>
                <w:color w:val="000000"/>
                <w:sz w:val="20"/>
                <w:szCs w:val="20"/>
                <w:lang w:eastAsia="sk-SK"/>
              </w:rPr>
              <w:t>49</w:t>
            </w:r>
          </w:p>
        </w:tc>
        <w:tc>
          <w:tcPr>
            <w:tcW w:w="850" w:type="dxa"/>
            <w:tcBorders>
              <w:top w:val="nil"/>
              <w:left w:val="nil"/>
              <w:bottom w:val="nil"/>
              <w:right w:val="nil"/>
            </w:tcBorders>
            <w:shd w:val="clear" w:color="000000" w:fill="FFFFFF"/>
            <w:vAlign w:val="center"/>
            <w:hideMark/>
          </w:tcPr>
          <w:p w14:paraId="1E85112F" w14:textId="77777777" w:rsidR="008F75C2" w:rsidRPr="00D82E5B" w:rsidRDefault="008F75C2" w:rsidP="0002384D">
            <w:pPr>
              <w:spacing w:after="0" w:line="240" w:lineRule="auto"/>
              <w:jc w:val="right"/>
              <w:rPr>
                <w:b/>
                <w:color w:val="000000"/>
                <w:sz w:val="20"/>
                <w:szCs w:val="20"/>
                <w:lang w:eastAsia="sk-SK"/>
              </w:rPr>
            </w:pPr>
            <w:r w:rsidRPr="00D82E5B">
              <w:rPr>
                <w:b/>
                <w:color w:val="000000"/>
                <w:sz w:val="20"/>
                <w:szCs w:val="20"/>
                <w:lang w:eastAsia="sk-SK"/>
              </w:rPr>
              <w:t>3,2</w:t>
            </w:r>
          </w:p>
        </w:tc>
      </w:tr>
      <w:tr w:rsidR="00F81D8D" w:rsidRPr="0002384D" w14:paraId="29A560C8" w14:textId="77777777" w:rsidTr="00F81D8D">
        <w:trPr>
          <w:trHeight w:val="330"/>
        </w:trPr>
        <w:tc>
          <w:tcPr>
            <w:tcW w:w="3261" w:type="dxa"/>
            <w:tcBorders>
              <w:top w:val="nil"/>
              <w:left w:val="nil"/>
              <w:bottom w:val="nil"/>
              <w:right w:val="nil"/>
            </w:tcBorders>
            <w:shd w:val="clear" w:color="000000" w:fill="FFFFFF"/>
            <w:noWrap/>
            <w:vAlign w:val="center"/>
            <w:hideMark/>
          </w:tcPr>
          <w:p w14:paraId="470FBDC7" w14:textId="0ACA9A9F" w:rsidR="008F75C2" w:rsidRPr="0002384D" w:rsidRDefault="008F75C2" w:rsidP="0017407C">
            <w:pPr>
              <w:spacing w:after="0" w:line="240" w:lineRule="auto"/>
              <w:jc w:val="left"/>
              <w:rPr>
                <w:color w:val="000000"/>
                <w:sz w:val="20"/>
                <w:szCs w:val="20"/>
                <w:lang w:eastAsia="sk-SK"/>
              </w:rPr>
            </w:pPr>
            <w:r w:rsidRPr="0002384D">
              <w:rPr>
                <w:color w:val="000000"/>
                <w:sz w:val="20"/>
                <w:szCs w:val="20"/>
                <w:lang w:eastAsia="sk-SK"/>
              </w:rPr>
              <w:t xml:space="preserve">   Súdne a ostatné poplatky</w:t>
            </w:r>
          </w:p>
        </w:tc>
        <w:tc>
          <w:tcPr>
            <w:tcW w:w="1134" w:type="dxa"/>
            <w:tcBorders>
              <w:top w:val="nil"/>
              <w:left w:val="nil"/>
              <w:bottom w:val="nil"/>
              <w:right w:val="nil"/>
            </w:tcBorders>
            <w:shd w:val="clear" w:color="000000" w:fill="FFFFFF"/>
            <w:noWrap/>
            <w:vAlign w:val="center"/>
            <w:hideMark/>
          </w:tcPr>
          <w:p w14:paraId="41F04998" w14:textId="77777777" w:rsidR="008F75C2" w:rsidRPr="0002384D" w:rsidRDefault="008F75C2" w:rsidP="0002384D">
            <w:pPr>
              <w:spacing w:after="0" w:line="240" w:lineRule="auto"/>
              <w:jc w:val="right"/>
              <w:rPr>
                <w:color w:val="000000"/>
                <w:sz w:val="20"/>
                <w:szCs w:val="20"/>
                <w:lang w:eastAsia="sk-SK"/>
              </w:rPr>
            </w:pPr>
            <w:r w:rsidRPr="0002384D">
              <w:rPr>
                <w:color w:val="000000"/>
                <w:sz w:val="20"/>
                <w:szCs w:val="20"/>
                <w:lang w:eastAsia="sk-SK"/>
              </w:rPr>
              <w:t>219 145</w:t>
            </w:r>
          </w:p>
        </w:tc>
        <w:tc>
          <w:tcPr>
            <w:tcW w:w="992" w:type="dxa"/>
            <w:tcBorders>
              <w:top w:val="nil"/>
              <w:left w:val="nil"/>
              <w:bottom w:val="nil"/>
              <w:right w:val="nil"/>
            </w:tcBorders>
            <w:shd w:val="clear" w:color="000000" w:fill="FFFFFF"/>
            <w:noWrap/>
            <w:vAlign w:val="center"/>
            <w:hideMark/>
          </w:tcPr>
          <w:p w14:paraId="3A441EF1" w14:textId="77777777" w:rsidR="008F75C2" w:rsidRPr="0002384D" w:rsidRDefault="008F75C2" w:rsidP="0002384D">
            <w:pPr>
              <w:spacing w:after="0" w:line="240" w:lineRule="auto"/>
              <w:jc w:val="right"/>
              <w:rPr>
                <w:color w:val="000000"/>
                <w:sz w:val="20"/>
                <w:szCs w:val="20"/>
                <w:lang w:eastAsia="sk-SK"/>
              </w:rPr>
            </w:pPr>
            <w:r w:rsidRPr="0002384D">
              <w:rPr>
                <w:color w:val="000000"/>
                <w:sz w:val="20"/>
                <w:szCs w:val="20"/>
                <w:lang w:eastAsia="sk-SK"/>
              </w:rPr>
              <w:t>216 578</w:t>
            </w:r>
          </w:p>
        </w:tc>
        <w:tc>
          <w:tcPr>
            <w:tcW w:w="992" w:type="dxa"/>
            <w:tcBorders>
              <w:top w:val="nil"/>
              <w:left w:val="nil"/>
              <w:bottom w:val="nil"/>
              <w:right w:val="nil"/>
            </w:tcBorders>
            <w:shd w:val="clear" w:color="000000" w:fill="FFFFFF"/>
            <w:noWrap/>
            <w:vAlign w:val="center"/>
            <w:hideMark/>
          </w:tcPr>
          <w:p w14:paraId="6263CB68" w14:textId="77777777" w:rsidR="008F75C2" w:rsidRPr="0002384D" w:rsidRDefault="008F75C2" w:rsidP="0002384D">
            <w:pPr>
              <w:spacing w:after="0" w:line="240" w:lineRule="auto"/>
              <w:jc w:val="right"/>
              <w:rPr>
                <w:color w:val="000000"/>
                <w:sz w:val="20"/>
                <w:szCs w:val="20"/>
                <w:lang w:eastAsia="sk-SK"/>
              </w:rPr>
            </w:pPr>
            <w:r w:rsidRPr="0002384D">
              <w:rPr>
                <w:color w:val="000000"/>
                <w:sz w:val="20"/>
                <w:szCs w:val="20"/>
                <w:lang w:eastAsia="sk-SK"/>
              </w:rPr>
              <w:t>217 117</w:t>
            </w:r>
          </w:p>
        </w:tc>
        <w:tc>
          <w:tcPr>
            <w:tcW w:w="1134" w:type="dxa"/>
            <w:tcBorders>
              <w:top w:val="nil"/>
              <w:left w:val="nil"/>
              <w:bottom w:val="nil"/>
              <w:right w:val="nil"/>
            </w:tcBorders>
            <w:shd w:val="clear" w:color="000000" w:fill="BFBFBF"/>
            <w:noWrap/>
            <w:vAlign w:val="center"/>
            <w:hideMark/>
          </w:tcPr>
          <w:p w14:paraId="297F360A" w14:textId="19AD6272" w:rsidR="008F75C2" w:rsidRPr="0002384D" w:rsidRDefault="008F75C2" w:rsidP="00A4418A">
            <w:pPr>
              <w:spacing w:after="0" w:line="240" w:lineRule="auto"/>
              <w:jc w:val="right"/>
              <w:rPr>
                <w:color w:val="000000"/>
                <w:sz w:val="20"/>
                <w:szCs w:val="20"/>
                <w:lang w:eastAsia="sk-SK"/>
              </w:rPr>
            </w:pPr>
            <w:r w:rsidRPr="0002384D">
              <w:rPr>
                <w:color w:val="000000"/>
                <w:sz w:val="20"/>
                <w:szCs w:val="20"/>
                <w:lang w:eastAsia="sk-SK"/>
              </w:rPr>
              <w:t>224 01</w:t>
            </w:r>
            <w:r w:rsidR="00A4418A">
              <w:rPr>
                <w:color w:val="000000"/>
                <w:sz w:val="20"/>
                <w:szCs w:val="20"/>
                <w:lang w:eastAsia="sk-SK"/>
              </w:rPr>
              <w:t>8</w:t>
            </w:r>
          </w:p>
        </w:tc>
        <w:tc>
          <w:tcPr>
            <w:tcW w:w="993" w:type="dxa"/>
            <w:tcBorders>
              <w:top w:val="nil"/>
              <w:left w:val="nil"/>
              <w:bottom w:val="nil"/>
              <w:right w:val="nil"/>
            </w:tcBorders>
            <w:shd w:val="clear" w:color="000000" w:fill="FFFFFF"/>
            <w:noWrap/>
            <w:vAlign w:val="center"/>
            <w:hideMark/>
          </w:tcPr>
          <w:p w14:paraId="1048EEA2" w14:textId="1B204634" w:rsidR="008F75C2" w:rsidRPr="0002384D" w:rsidRDefault="008F75C2" w:rsidP="00A4418A">
            <w:pPr>
              <w:spacing w:after="0" w:line="240" w:lineRule="auto"/>
              <w:jc w:val="right"/>
              <w:rPr>
                <w:color w:val="000000"/>
                <w:sz w:val="20"/>
                <w:szCs w:val="20"/>
                <w:lang w:eastAsia="sk-SK"/>
              </w:rPr>
            </w:pPr>
            <w:r w:rsidRPr="0002384D">
              <w:rPr>
                <w:color w:val="000000"/>
                <w:sz w:val="20"/>
                <w:szCs w:val="20"/>
                <w:lang w:eastAsia="sk-SK"/>
              </w:rPr>
              <w:t>6 90</w:t>
            </w:r>
            <w:r w:rsidR="00A4418A">
              <w:rPr>
                <w:color w:val="000000"/>
                <w:sz w:val="20"/>
                <w:szCs w:val="20"/>
                <w:lang w:eastAsia="sk-SK"/>
              </w:rPr>
              <w:t>1</w:t>
            </w:r>
          </w:p>
        </w:tc>
        <w:tc>
          <w:tcPr>
            <w:tcW w:w="850" w:type="dxa"/>
            <w:tcBorders>
              <w:top w:val="nil"/>
              <w:left w:val="nil"/>
              <w:bottom w:val="nil"/>
              <w:right w:val="nil"/>
            </w:tcBorders>
            <w:shd w:val="clear" w:color="000000" w:fill="FFFFFF"/>
            <w:vAlign w:val="center"/>
            <w:hideMark/>
          </w:tcPr>
          <w:p w14:paraId="58F77DE3" w14:textId="77777777" w:rsidR="008F75C2" w:rsidRPr="0002384D" w:rsidRDefault="008F75C2" w:rsidP="0002384D">
            <w:pPr>
              <w:spacing w:after="0" w:line="240" w:lineRule="auto"/>
              <w:jc w:val="right"/>
              <w:rPr>
                <w:color w:val="000000"/>
                <w:sz w:val="20"/>
                <w:szCs w:val="20"/>
                <w:lang w:eastAsia="sk-SK"/>
              </w:rPr>
            </w:pPr>
            <w:r w:rsidRPr="0002384D">
              <w:rPr>
                <w:color w:val="000000"/>
                <w:sz w:val="20"/>
                <w:szCs w:val="20"/>
                <w:lang w:eastAsia="sk-SK"/>
              </w:rPr>
              <w:t>3,2</w:t>
            </w:r>
          </w:p>
        </w:tc>
      </w:tr>
      <w:tr w:rsidR="00F81D8D" w:rsidRPr="0002384D" w14:paraId="6C321D94" w14:textId="77777777" w:rsidTr="00F81D8D">
        <w:trPr>
          <w:trHeight w:val="330"/>
        </w:trPr>
        <w:tc>
          <w:tcPr>
            <w:tcW w:w="3261" w:type="dxa"/>
            <w:tcBorders>
              <w:top w:val="nil"/>
              <w:left w:val="nil"/>
              <w:bottom w:val="nil"/>
              <w:right w:val="nil"/>
            </w:tcBorders>
            <w:shd w:val="clear" w:color="000000" w:fill="FFFFFF"/>
            <w:noWrap/>
            <w:vAlign w:val="center"/>
            <w:hideMark/>
          </w:tcPr>
          <w:p w14:paraId="2EEE0767" w14:textId="77777777" w:rsidR="008F75C2" w:rsidRPr="0002384D" w:rsidRDefault="008F75C2" w:rsidP="0002384D">
            <w:pPr>
              <w:spacing w:after="0" w:line="240" w:lineRule="auto"/>
              <w:jc w:val="left"/>
              <w:rPr>
                <w:color w:val="000000"/>
                <w:sz w:val="20"/>
                <w:szCs w:val="20"/>
                <w:lang w:eastAsia="sk-SK"/>
              </w:rPr>
            </w:pPr>
            <w:r w:rsidRPr="0002384D">
              <w:rPr>
                <w:color w:val="000000"/>
                <w:sz w:val="20"/>
                <w:szCs w:val="20"/>
                <w:lang w:eastAsia="sk-SK"/>
              </w:rPr>
              <w:t xml:space="preserve">   Puncové poplatky</w:t>
            </w:r>
          </w:p>
        </w:tc>
        <w:tc>
          <w:tcPr>
            <w:tcW w:w="1134" w:type="dxa"/>
            <w:tcBorders>
              <w:top w:val="nil"/>
              <w:left w:val="nil"/>
              <w:bottom w:val="nil"/>
              <w:right w:val="nil"/>
            </w:tcBorders>
            <w:shd w:val="clear" w:color="000000" w:fill="FFFFFF"/>
            <w:noWrap/>
            <w:vAlign w:val="center"/>
            <w:hideMark/>
          </w:tcPr>
          <w:p w14:paraId="7C9EC9EA" w14:textId="77777777" w:rsidR="008F75C2" w:rsidRPr="0002384D" w:rsidRDefault="008F75C2" w:rsidP="0002384D">
            <w:pPr>
              <w:spacing w:after="0" w:line="240" w:lineRule="auto"/>
              <w:jc w:val="right"/>
              <w:rPr>
                <w:color w:val="000000"/>
                <w:sz w:val="20"/>
                <w:szCs w:val="20"/>
                <w:lang w:eastAsia="sk-SK"/>
              </w:rPr>
            </w:pPr>
            <w:r w:rsidRPr="0002384D">
              <w:rPr>
                <w:color w:val="000000"/>
                <w:sz w:val="20"/>
                <w:szCs w:val="20"/>
                <w:lang w:eastAsia="sk-SK"/>
              </w:rPr>
              <w:t>622</w:t>
            </w:r>
          </w:p>
        </w:tc>
        <w:tc>
          <w:tcPr>
            <w:tcW w:w="992" w:type="dxa"/>
            <w:tcBorders>
              <w:top w:val="nil"/>
              <w:left w:val="nil"/>
              <w:bottom w:val="nil"/>
              <w:right w:val="nil"/>
            </w:tcBorders>
            <w:shd w:val="clear" w:color="000000" w:fill="FFFFFF"/>
            <w:noWrap/>
            <w:vAlign w:val="center"/>
            <w:hideMark/>
          </w:tcPr>
          <w:p w14:paraId="72B50B7E" w14:textId="77777777" w:rsidR="008F75C2" w:rsidRPr="0002384D" w:rsidRDefault="008F75C2" w:rsidP="0002384D">
            <w:pPr>
              <w:spacing w:after="0" w:line="240" w:lineRule="auto"/>
              <w:jc w:val="right"/>
              <w:rPr>
                <w:color w:val="000000"/>
                <w:sz w:val="20"/>
                <w:szCs w:val="20"/>
                <w:lang w:eastAsia="sk-SK"/>
              </w:rPr>
            </w:pPr>
            <w:r w:rsidRPr="0002384D">
              <w:rPr>
                <w:color w:val="000000"/>
                <w:sz w:val="20"/>
                <w:szCs w:val="20"/>
                <w:lang w:eastAsia="sk-SK"/>
              </w:rPr>
              <w:t>640</w:t>
            </w:r>
          </w:p>
        </w:tc>
        <w:tc>
          <w:tcPr>
            <w:tcW w:w="992" w:type="dxa"/>
            <w:tcBorders>
              <w:top w:val="nil"/>
              <w:left w:val="nil"/>
              <w:bottom w:val="nil"/>
              <w:right w:val="nil"/>
            </w:tcBorders>
            <w:shd w:val="clear" w:color="000000" w:fill="FFFFFF"/>
            <w:noWrap/>
            <w:vAlign w:val="center"/>
            <w:hideMark/>
          </w:tcPr>
          <w:p w14:paraId="2686D9C9" w14:textId="77777777" w:rsidR="008F75C2" w:rsidRPr="0002384D" w:rsidRDefault="008F75C2" w:rsidP="0002384D">
            <w:pPr>
              <w:spacing w:after="0" w:line="240" w:lineRule="auto"/>
              <w:jc w:val="right"/>
              <w:rPr>
                <w:color w:val="000000"/>
                <w:sz w:val="20"/>
                <w:szCs w:val="20"/>
                <w:lang w:eastAsia="sk-SK"/>
              </w:rPr>
            </w:pPr>
            <w:r w:rsidRPr="0002384D">
              <w:rPr>
                <w:color w:val="000000"/>
                <w:sz w:val="20"/>
                <w:szCs w:val="20"/>
                <w:lang w:eastAsia="sk-SK"/>
              </w:rPr>
              <w:t>600</w:t>
            </w:r>
          </w:p>
        </w:tc>
        <w:tc>
          <w:tcPr>
            <w:tcW w:w="1134" w:type="dxa"/>
            <w:tcBorders>
              <w:top w:val="nil"/>
              <w:left w:val="nil"/>
              <w:bottom w:val="nil"/>
              <w:right w:val="nil"/>
            </w:tcBorders>
            <w:shd w:val="clear" w:color="000000" w:fill="BFBFBF"/>
            <w:noWrap/>
            <w:vAlign w:val="center"/>
            <w:hideMark/>
          </w:tcPr>
          <w:p w14:paraId="1E5DB4FC" w14:textId="77777777" w:rsidR="008F75C2" w:rsidRPr="0002384D" w:rsidRDefault="008F75C2" w:rsidP="0002384D">
            <w:pPr>
              <w:spacing w:after="0" w:line="240" w:lineRule="auto"/>
              <w:jc w:val="right"/>
              <w:rPr>
                <w:color w:val="000000"/>
                <w:sz w:val="20"/>
                <w:szCs w:val="20"/>
                <w:lang w:eastAsia="sk-SK"/>
              </w:rPr>
            </w:pPr>
            <w:r w:rsidRPr="0002384D">
              <w:rPr>
                <w:color w:val="000000"/>
                <w:sz w:val="20"/>
                <w:szCs w:val="20"/>
                <w:lang w:eastAsia="sk-SK"/>
              </w:rPr>
              <w:t>706</w:t>
            </w:r>
          </w:p>
        </w:tc>
        <w:tc>
          <w:tcPr>
            <w:tcW w:w="993" w:type="dxa"/>
            <w:tcBorders>
              <w:top w:val="nil"/>
              <w:left w:val="nil"/>
              <w:bottom w:val="nil"/>
              <w:right w:val="nil"/>
            </w:tcBorders>
            <w:shd w:val="clear" w:color="000000" w:fill="FFFFFF"/>
            <w:vAlign w:val="center"/>
            <w:hideMark/>
          </w:tcPr>
          <w:p w14:paraId="0BF4ED89" w14:textId="77777777" w:rsidR="008F75C2" w:rsidRPr="0002384D" w:rsidRDefault="008F75C2" w:rsidP="0002384D">
            <w:pPr>
              <w:spacing w:after="0" w:line="240" w:lineRule="auto"/>
              <w:jc w:val="right"/>
              <w:rPr>
                <w:color w:val="000000"/>
                <w:sz w:val="20"/>
                <w:szCs w:val="20"/>
                <w:lang w:eastAsia="sk-SK"/>
              </w:rPr>
            </w:pPr>
            <w:r w:rsidRPr="0002384D">
              <w:rPr>
                <w:color w:val="000000"/>
                <w:sz w:val="20"/>
                <w:szCs w:val="20"/>
                <w:lang w:eastAsia="sk-SK"/>
              </w:rPr>
              <w:t>106</w:t>
            </w:r>
          </w:p>
        </w:tc>
        <w:tc>
          <w:tcPr>
            <w:tcW w:w="850" w:type="dxa"/>
            <w:tcBorders>
              <w:top w:val="nil"/>
              <w:left w:val="nil"/>
              <w:bottom w:val="nil"/>
              <w:right w:val="nil"/>
            </w:tcBorders>
            <w:shd w:val="clear" w:color="000000" w:fill="FFFFFF"/>
            <w:vAlign w:val="center"/>
            <w:hideMark/>
          </w:tcPr>
          <w:p w14:paraId="4E4946E8" w14:textId="77777777" w:rsidR="008F75C2" w:rsidRPr="0002384D" w:rsidRDefault="008F75C2" w:rsidP="0002384D">
            <w:pPr>
              <w:spacing w:after="0" w:line="240" w:lineRule="auto"/>
              <w:jc w:val="right"/>
              <w:rPr>
                <w:color w:val="000000"/>
                <w:sz w:val="20"/>
                <w:szCs w:val="20"/>
                <w:lang w:eastAsia="sk-SK"/>
              </w:rPr>
            </w:pPr>
            <w:r w:rsidRPr="0002384D">
              <w:rPr>
                <w:color w:val="000000"/>
                <w:sz w:val="20"/>
                <w:szCs w:val="20"/>
                <w:lang w:eastAsia="sk-SK"/>
              </w:rPr>
              <w:t>17,7</w:t>
            </w:r>
          </w:p>
        </w:tc>
      </w:tr>
      <w:tr w:rsidR="00F81D8D" w:rsidRPr="0002384D" w14:paraId="5673C33F" w14:textId="77777777" w:rsidTr="00F81D8D">
        <w:trPr>
          <w:trHeight w:val="330"/>
        </w:trPr>
        <w:tc>
          <w:tcPr>
            <w:tcW w:w="3261" w:type="dxa"/>
            <w:tcBorders>
              <w:top w:val="nil"/>
              <w:left w:val="nil"/>
              <w:bottom w:val="nil"/>
              <w:right w:val="nil"/>
            </w:tcBorders>
            <w:shd w:val="clear" w:color="000000" w:fill="FFFFFF"/>
            <w:noWrap/>
            <w:vAlign w:val="center"/>
            <w:hideMark/>
          </w:tcPr>
          <w:p w14:paraId="59A594CD" w14:textId="77777777" w:rsidR="008F75C2" w:rsidRPr="0002384D" w:rsidRDefault="008F75C2" w:rsidP="0002384D">
            <w:pPr>
              <w:spacing w:after="0" w:line="240" w:lineRule="auto"/>
              <w:jc w:val="left"/>
              <w:rPr>
                <w:color w:val="000000"/>
                <w:sz w:val="20"/>
                <w:szCs w:val="20"/>
                <w:lang w:eastAsia="sk-SK"/>
              </w:rPr>
            </w:pPr>
            <w:r w:rsidRPr="0002384D">
              <w:rPr>
                <w:color w:val="000000"/>
                <w:sz w:val="20"/>
                <w:szCs w:val="20"/>
                <w:lang w:eastAsia="sk-SK"/>
              </w:rPr>
              <w:t xml:space="preserve">   Licencie</w:t>
            </w:r>
          </w:p>
        </w:tc>
        <w:tc>
          <w:tcPr>
            <w:tcW w:w="1134" w:type="dxa"/>
            <w:tcBorders>
              <w:top w:val="nil"/>
              <w:left w:val="nil"/>
              <w:bottom w:val="nil"/>
              <w:right w:val="nil"/>
            </w:tcBorders>
            <w:shd w:val="clear" w:color="000000" w:fill="FFFFFF"/>
            <w:noWrap/>
            <w:vAlign w:val="center"/>
            <w:hideMark/>
          </w:tcPr>
          <w:p w14:paraId="404A54D0" w14:textId="77777777" w:rsidR="008F75C2" w:rsidRPr="0002384D" w:rsidRDefault="008F75C2" w:rsidP="0002384D">
            <w:pPr>
              <w:spacing w:after="0" w:line="240" w:lineRule="auto"/>
              <w:jc w:val="right"/>
              <w:rPr>
                <w:color w:val="000000"/>
                <w:sz w:val="20"/>
                <w:szCs w:val="20"/>
                <w:lang w:eastAsia="sk-SK"/>
              </w:rPr>
            </w:pPr>
            <w:r w:rsidRPr="0002384D">
              <w:rPr>
                <w:color w:val="000000"/>
                <w:sz w:val="20"/>
                <w:szCs w:val="20"/>
                <w:lang w:eastAsia="sk-SK"/>
              </w:rPr>
              <w:t>127</w:t>
            </w:r>
          </w:p>
        </w:tc>
        <w:tc>
          <w:tcPr>
            <w:tcW w:w="992" w:type="dxa"/>
            <w:tcBorders>
              <w:top w:val="nil"/>
              <w:left w:val="nil"/>
              <w:bottom w:val="nil"/>
              <w:right w:val="nil"/>
            </w:tcBorders>
            <w:shd w:val="clear" w:color="000000" w:fill="FFFFFF"/>
            <w:noWrap/>
            <w:vAlign w:val="center"/>
            <w:hideMark/>
          </w:tcPr>
          <w:p w14:paraId="7EA48F51" w14:textId="77777777" w:rsidR="008F75C2" w:rsidRPr="0002384D" w:rsidRDefault="008F75C2" w:rsidP="0002384D">
            <w:pPr>
              <w:spacing w:after="0" w:line="240" w:lineRule="auto"/>
              <w:jc w:val="right"/>
              <w:rPr>
                <w:color w:val="000000"/>
                <w:sz w:val="20"/>
                <w:szCs w:val="20"/>
                <w:lang w:eastAsia="sk-SK"/>
              </w:rPr>
            </w:pPr>
            <w:r w:rsidRPr="0002384D">
              <w:rPr>
                <w:color w:val="000000"/>
                <w:sz w:val="20"/>
                <w:szCs w:val="20"/>
                <w:lang w:eastAsia="sk-SK"/>
              </w:rPr>
              <w:t>147</w:t>
            </w:r>
          </w:p>
        </w:tc>
        <w:tc>
          <w:tcPr>
            <w:tcW w:w="992" w:type="dxa"/>
            <w:tcBorders>
              <w:top w:val="nil"/>
              <w:left w:val="nil"/>
              <w:bottom w:val="nil"/>
              <w:right w:val="nil"/>
            </w:tcBorders>
            <w:shd w:val="clear" w:color="000000" w:fill="FFFFFF"/>
            <w:noWrap/>
            <w:vAlign w:val="center"/>
            <w:hideMark/>
          </w:tcPr>
          <w:p w14:paraId="0A1B1BE0" w14:textId="77777777" w:rsidR="008F75C2" w:rsidRPr="0002384D" w:rsidRDefault="008F75C2" w:rsidP="0002384D">
            <w:pPr>
              <w:spacing w:after="0" w:line="240" w:lineRule="auto"/>
              <w:jc w:val="right"/>
              <w:rPr>
                <w:color w:val="000000"/>
                <w:sz w:val="20"/>
                <w:szCs w:val="20"/>
                <w:lang w:eastAsia="sk-SK"/>
              </w:rPr>
            </w:pPr>
            <w:r w:rsidRPr="0002384D">
              <w:rPr>
                <w:color w:val="000000"/>
                <w:sz w:val="20"/>
                <w:szCs w:val="20"/>
                <w:lang w:eastAsia="sk-SK"/>
              </w:rPr>
              <w:t>100</w:t>
            </w:r>
          </w:p>
        </w:tc>
        <w:tc>
          <w:tcPr>
            <w:tcW w:w="1134" w:type="dxa"/>
            <w:tcBorders>
              <w:top w:val="nil"/>
              <w:left w:val="nil"/>
              <w:bottom w:val="nil"/>
              <w:right w:val="nil"/>
            </w:tcBorders>
            <w:shd w:val="clear" w:color="000000" w:fill="BFBFBF"/>
            <w:noWrap/>
            <w:vAlign w:val="center"/>
            <w:hideMark/>
          </w:tcPr>
          <w:p w14:paraId="4D09272F" w14:textId="77777777" w:rsidR="008F75C2" w:rsidRPr="0002384D" w:rsidRDefault="008F75C2" w:rsidP="0002384D">
            <w:pPr>
              <w:spacing w:after="0" w:line="240" w:lineRule="auto"/>
              <w:jc w:val="right"/>
              <w:rPr>
                <w:color w:val="000000"/>
                <w:sz w:val="20"/>
                <w:szCs w:val="20"/>
                <w:lang w:eastAsia="sk-SK"/>
              </w:rPr>
            </w:pPr>
            <w:r w:rsidRPr="0002384D">
              <w:rPr>
                <w:color w:val="000000"/>
                <w:sz w:val="20"/>
                <w:szCs w:val="20"/>
                <w:lang w:eastAsia="sk-SK"/>
              </w:rPr>
              <w:t>142</w:t>
            </w:r>
          </w:p>
        </w:tc>
        <w:tc>
          <w:tcPr>
            <w:tcW w:w="993" w:type="dxa"/>
            <w:tcBorders>
              <w:top w:val="nil"/>
              <w:left w:val="nil"/>
              <w:bottom w:val="nil"/>
              <w:right w:val="nil"/>
            </w:tcBorders>
            <w:shd w:val="clear" w:color="000000" w:fill="FFFFFF"/>
            <w:vAlign w:val="center"/>
            <w:hideMark/>
          </w:tcPr>
          <w:p w14:paraId="73310280" w14:textId="77777777" w:rsidR="008F75C2" w:rsidRPr="0002384D" w:rsidRDefault="008F75C2" w:rsidP="0002384D">
            <w:pPr>
              <w:spacing w:after="0" w:line="240" w:lineRule="auto"/>
              <w:jc w:val="right"/>
              <w:rPr>
                <w:color w:val="000000"/>
                <w:sz w:val="20"/>
                <w:szCs w:val="20"/>
                <w:lang w:eastAsia="sk-SK"/>
              </w:rPr>
            </w:pPr>
            <w:r w:rsidRPr="0002384D">
              <w:rPr>
                <w:color w:val="000000"/>
                <w:sz w:val="20"/>
                <w:szCs w:val="20"/>
                <w:lang w:eastAsia="sk-SK"/>
              </w:rPr>
              <w:t>42</w:t>
            </w:r>
          </w:p>
        </w:tc>
        <w:tc>
          <w:tcPr>
            <w:tcW w:w="850" w:type="dxa"/>
            <w:tcBorders>
              <w:top w:val="nil"/>
              <w:left w:val="nil"/>
              <w:bottom w:val="nil"/>
              <w:right w:val="nil"/>
            </w:tcBorders>
            <w:shd w:val="clear" w:color="000000" w:fill="FFFFFF"/>
            <w:vAlign w:val="center"/>
            <w:hideMark/>
          </w:tcPr>
          <w:p w14:paraId="3A39CCD4" w14:textId="77777777" w:rsidR="008F75C2" w:rsidRPr="0002384D" w:rsidRDefault="008F75C2" w:rsidP="0002384D">
            <w:pPr>
              <w:spacing w:after="0" w:line="240" w:lineRule="auto"/>
              <w:jc w:val="right"/>
              <w:rPr>
                <w:color w:val="000000"/>
                <w:sz w:val="20"/>
                <w:szCs w:val="20"/>
                <w:lang w:eastAsia="sk-SK"/>
              </w:rPr>
            </w:pPr>
            <w:r w:rsidRPr="0002384D">
              <w:rPr>
                <w:color w:val="000000"/>
                <w:sz w:val="20"/>
                <w:szCs w:val="20"/>
                <w:lang w:eastAsia="sk-SK"/>
              </w:rPr>
              <w:t>42,0</w:t>
            </w:r>
          </w:p>
        </w:tc>
      </w:tr>
      <w:tr w:rsidR="00F81D8D" w:rsidRPr="00D82E5B" w14:paraId="72D06D4A" w14:textId="77777777" w:rsidTr="00F81D8D">
        <w:trPr>
          <w:trHeight w:val="330"/>
        </w:trPr>
        <w:tc>
          <w:tcPr>
            <w:tcW w:w="3261" w:type="dxa"/>
            <w:tcBorders>
              <w:top w:val="nil"/>
              <w:left w:val="nil"/>
              <w:bottom w:val="nil"/>
              <w:right w:val="nil"/>
            </w:tcBorders>
            <w:shd w:val="clear" w:color="000000" w:fill="FFFFFF"/>
            <w:noWrap/>
            <w:vAlign w:val="center"/>
            <w:hideMark/>
          </w:tcPr>
          <w:p w14:paraId="321626BF" w14:textId="77777777" w:rsidR="008F75C2" w:rsidRPr="00D82E5B" w:rsidRDefault="008F75C2" w:rsidP="0002384D">
            <w:pPr>
              <w:spacing w:after="0" w:line="240" w:lineRule="auto"/>
              <w:jc w:val="left"/>
              <w:rPr>
                <w:b/>
                <w:color w:val="000000"/>
                <w:sz w:val="20"/>
                <w:szCs w:val="20"/>
                <w:lang w:eastAsia="sk-SK"/>
              </w:rPr>
            </w:pPr>
            <w:r w:rsidRPr="00D82E5B">
              <w:rPr>
                <w:b/>
                <w:color w:val="000000"/>
                <w:sz w:val="20"/>
                <w:szCs w:val="20"/>
                <w:lang w:eastAsia="sk-SK"/>
              </w:rPr>
              <w:t>Pokuty, penále a iné sankcie</w:t>
            </w:r>
          </w:p>
        </w:tc>
        <w:tc>
          <w:tcPr>
            <w:tcW w:w="1134" w:type="dxa"/>
            <w:tcBorders>
              <w:top w:val="nil"/>
              <w:left w:val="nil"/>
              <w:bottom w:val="nil"/>
              <w:right w:val="nil"/>
            </w:tcBorders>
            <w:shd w:val="clear" w:color="000000" w:fill="FFFFFF"/>
            <w:noWrap/>
            <w:vAlign w:val="center"/>
            <w:hideMark/>
          </w:tcPr>
          <w:p w14:paraId="16D94595" w14:textId="77777777" w:rsidR="008F75C2" w:rsidRPr="00D82E5B" w:rsidRDefault="008F75C2" w:rsidP="0002384D">
            <w:pPr>
              <w:spacing w:after="0" w:line="240" w:lineRule="auto"/>
              <w:jc w:val="right"/>
              <w:rPr>
                <w:b/>
                <w:color w:val="000000"/>
                <w:sz w:val="20"/>
                <w:szCs w:val="20"/>
                <w:lang w:eastAsia="sk-SK"/>
              </w:rPr>
            </w:pPr>
            <w:r w:rsidRPr="00D82E5B">
              <w:rPr>
                <w:b/>
                <w:color w:val="000000"/>
                <w:sz w:val="20"/>
                <w:szCs w:val="20"/>
                <w:lang w:eastAsia="sk-SK"/>
              </w:rPr>
              <w:t>51 862</w:t>
            </w:r>
          </w:p>
        </w:tc>
        <w:tc>
          <w:tcPr>
            <w:tcW w:w="992" w:type="dxa"/>
            <w:tcBorders>
              <w:top w:val="nil"/>
              <w:left w:val="nil"/>
              <w:bottom w:val="nil"/>
              <w:right w:val="nil"/>
            </w:tcBorders>
            <w:shd w:val="clear" w:color="000000" w:fill="FFFFFF"/>
            <w:noWrap/>
            <w:vAlign w:val="center"/>
            <w:hideMark/>
          </w:tcPr>
          <w:p w14:paraId="284F1097" w14:textId="77777777" w:rsidR="008F75C2" w:rsidRPr="00D82E5B" w:rsidRDefault="008F75C2" w:rsidP="0002384D">
            <w:pPr>
              <w:spacing w:after="0" w:line="240" w:lineRule="auto"/>
              <w:jc w:val="right"/>
              <w:rPr>
                <w:b/>
                <w:color w:val="000000"/>
                <w:sz w:val="20"/>
                <w:szCs w:val="20"/>
                <w:lang w:eastAsia="sk-SK"/>
              </w:rPr>
            </w:pPr>
            <w:r w:rsidRPr="00D82E5B">
              <w:rPr>
                <w:b/>
                <w:color w:val="000000"/>
                <w:sz w:val="20"/>
                <w:szCs w:val="20"/>
                <w:lang w:eastAsia="sk-SK"/>
              </w:rPr>
              <w:t>81 535</w:t>
            </w:r>
          </w:p>
        </w:tc>
        <w:tc>
          <w:tcPr>
            <w:tcW w:w="992" w:type="dxa"/>
            <w:tcBorders>
              <w:top w:val="nil"/>
              <w:left w:val="nil"/>
              <w:bottom w:val="nil"/>
              <w:right w:val="nil"/>
            </w:tcBorders>
            <w:shd w:val="clear" w:color="000000" w:fill="FFFFFF"/>
            <w:noWrap/>
            <w:vAlign w:val="center"/>
            <w:hideMark/>
          </w:tcPr>
          <w:p w14:paraId="7C3C31D1" w14:textId="77777777" w:rsidR="008F75C2" w:rsidRPr="00D82E5B" w:rsidRDefault="008F75C2" w:rsidP="0002384D">
            <w:pPr>
              <w:spacing w:after="0" w:line="240" w:lineRule="auto"/>
              <w:jc w:val="right"/>
              <w:rPr>
                <w:b/>
                <w:color w:val="000000"/>
                <w:sz w:val="20"/>
                <w:szCs w:val="20"/>
                <w:lang w:eastAsia="sk-SK"/>
              </w:rPr>
            </w:pPr>
            <w:r w:rsidRPr="00D82E5B">
              <w:rPr>
                <w:b/>
                <w:color w:val="000000"/>
                <w:sz w:val="20"/>
                <w:szCs w:val="20"/>
                <w:lang w:eastAsia="sk-SK"/>
              </w:rPr>
              <w:t>64 427</w:t>
            </w:r>
          </w:p>
        </w:tc>
        <w:tc>
          <w:tcPr>
            <w:tcW w:w="1134" w:type="dxa"/>
            <w:tcBorders>
              <w:top w:val="nil"/>
              <w:left w:val="nil"/>
              <w:bottom w:val="nil"/>
              <w:right w:val="nil"/>
            </w:tcBorders>
            <w:shd w:val="clear" w:color="000000" w:fill="BFBFBF"/>
            <w:noWrap/>
            <w:vAlign w:val="center"/>
            <w:hideMark/>
          </w:tcPr>
          <w:p w14:paraId="2C500B46" w14:textId="77777777" w:rsidR="008F75C2" w:rsidRPr="00D82E5B" w:rsidRDefault="008F75C2" w:rsidP="0002384D">
            <w:pPr>
              <w:spacing w:after="0" w:line="240" w:lineRule="auto"/>
              <w:jc w:val="right"/>
              <w:rPr>
                <w:b/>
                <w:color w:val="000000"/>
                <w:sz w:val="20"/>
                <w:szCs w:val="20"/>
                <w:lang w:eastAsia="sk-SK"/>
              </w:rPr>
            </w:pPr>
            <w:r w:rsidRPr="00D82E5B">
              <w:rPr>
                <w:b/>
                <w:color w:val="000000"/>
                <w:sz w:val="20"/>
                <w:szCs w:val="20"/>
                <w:lang w:eastAsia="sk-SK"/>
              </w:rPr>
              <w:t>68 147</w:t>
            </w:r>
          </w:p>
        </w:tc>
        <w:tc>
          <w:tcPr>
            <w:tcW w:w="993" w:type="dxa"/>
            <w:tcBorders>
              <w:top w:val="nil"/>
              <w:left w:val="nil"/>
              <w:bottom w:val="nil"/>
              <w:right w:val="nil"/>
            </w:tcBorders>
            <w:shd w:val="clear" w:color="000000" w:fill="FFFFFF"/>
            <w:vAlign w:val="center"/>
            <w:hideMark/>
          </w:tcPr>
          <w:p w14:paraId="15CD4916" w14:textId="77777777" w:rsidR="008F75C2" w:rsidRPr="00D82E5B" w:rsidRDefault="008F75C2" w:rsidP="0002384D">
            <w:pPr>
              <w:spacing w:after="0" w:line="240" w:lineRule="auto"/>
              <w:jc w:val="right"/>
              <w:rPr>
                <w:b/>
                <w:color w:val="000000"/>
                <w:sz w:val="20"/>
                <w:szCs w:val="20"/>
                <w:lang w:eastAsia="sk-SK"/>
              </w:rPr>
            </w:pPr>
            <w:r w:rsidRPr="00D82E5B">
              <w:rPr>
                <w:b/>
                <w:color w:val="000000"/>
                <w:sz w:val="20"/>
                <w:szCs w:val="20"/>
                <w:lang w:eastAsia="sk-SK"/>
              </w:rPr>
              <w:t>3 720</w:t>
            </w:r>
          </w:p>
        </w:tc>
        <w:tc>
          <w:tcPr>
            <w:tcW w:w="850" w:type="dxa"/>
            <w:tcBorders>
              <w:top w:val="nil"/>
              <w:left w:val="nil"/>
              <w:bottom w:val="nil"/>
              <w:right w:val="nil"/>
            </w:tcBorders>
            <w:shd w:val="clear" w:color="000000" w:fill="FFFFFF"/>
            <w:vAlign w:val="center"/>
            <w:hideMark/>
          </w:tcPr>
          <w:p w14:paraId="7F797D7F" w14:textId="77777777" w:rsidR="008F75C2" w:rsidRPr="00D82E5B" w:rsidRDefault="008F75C2" w:rsidP="0002384D">
            <w:pPr>
              <w:spacing w:after="0" w:line="240" w:lineRule="auto"/>
              <w:jc w:val="right"/>
              <w:rPr>
                <w:b/>
                <w:color w:val="000000"/>
                <w:sz w:val="20"/>
                <w:szCs w:val="20"/>
                <w:lang w:eastAsia="sk-SK"/>
              </w:rPr>
            </w:pPr>
            <w:r w:rsidRPr="00D82E5B">
              <w:rPr>
                <w:b/>
                <w:color w:val="000000"/>
                <w:sz w:val="20"/>
                <w:szCs w:val="20"/>
                <w:lang w:eastAsia="sk-SK"/>
              </w:rPr>
              <w:t>5,8</w:t>
            </w:r>
          </w:p>
        </w:tc>
      </w:tr>
      <w:tr w:rsidR="00F81D8D" w:rsidRPr="00D82E5B" w14:paraId="158E6823" w14:textId="77777777" w:rsidTr="00F81D8D">
        <w:trPr>
          <w:trHeight w:val="330"/>
        </w:trPr>
        <w:tc>
          <w:tcPr>
            <w:tcW w:w="3261" w:type="dxa"/>
            <w:tcBorders>
              <w:top w:val="nil"/>
              <w:left w:val="nil"/>
              <w:bottom w:val="nil"/>
              <w:right w:val="nil"/>
            </w:tcBorders>
            <w:shd w:val="clear" w:color="000000" w:fill="FFFFFF"/>
            <w:noWrap/>
            <w:vAlign w:val="center"/>
            <w:hideMark/>
          </w:tcPr>
          <w:p w14:paraId="40FDAF56" w14:textId="77777777" w:rsidR="008F75C2" w:rsidRPr="00D82E5B" w:rsidRDefault="008F75C2" w:rsidP="0002384D">
            <w:pPr>
              <w:spacing w:after="0" w:line="240" w:lineRule="auto"/>
              <w:jc w:val="left"/>
              <w:rPr>
                <w:b/>
                <w:color w:val="000000"/>
                <w:sz w:val="20"/>
                <w:szCs w:val="20"/>
                <w:lang w:eastAsia="sk-SK"/>
              </w:rPr>
            </w:pPr>
            <w:r w:rsidRPr="00D82E5B">
              <w:rPr>
                <w:b/>
                <w:color w:val="000000"/>
                <w:sz w:val="20"/>
                <w:szCs w:val="20"/>
                <w:lang w:eastAsia="sk-SK"/>
              </w:rPr>
              <w:t>Poplatky a platby z nepriemyselného a náhod. predaja</w:t>
            </w:r>
          </w:p>
        </w:tc>
        <w:tc>
          <w:tcPr>
            <w:tcW w:w="1134" w:type="dxa"/>
            <w:tcBorders>
              <w:top w:val="nil"/>
              <w:left w:val="nil"/>
              <w:bottom w:val="nil"/>
              <w:right w:val="nil"/>
            </w:tcBorders>
            <w:shd w:val="clear" w:color="000000" w:fill="FFFFFF"/>
            <w:noWrap/>
            <w:vAlign w:val="center"/>
            <w:hideMark/>
          </w:tcPr>
          <w:p w14:paraId="5F3C4F08" w14:textId="77777777" w:rsidR="008F75C2" w:rsidRPr="00D82E5B" w:rsidRDefault="008F75C2" w:rsidP="0002384D">
            <w:pPr>
              <w:spacing w:after="0" w:line="240" w:lineRule="auto"/>
              <w:jc w:val="right"/>
              <w:rPr>
                <w:b/>
                <w:color w:val="000000"/>
                <w:sz w:val="20"/>
                <w:szCs w:val="20"/>
                <w:lang w:eastAsia="sk-SK"/>
              </w:rPr>
            </w:pPr>
            <w:r w:rsidRPr="00D82E5B">
              <w:rPr>
                <w:b/>
                <w:color w:val="000000"/>
                <w:sz w:val="20"/>
                <w:szCs w:val="20"/>
                <w:lang w:eastAsia="sk-SK"/>
              </w:rPr>
              <w:t>65 638</w:t>
            </w:r>
          </w:p>
        </w:tc>
        <w:tc>
          <w:tcPr>
            <w:tcW w:w="992" w:type="dxa"/>
            <w:tcBorders>
              <w:top w:val="nil"/>
              <w:left w:val="nil"/>
              <w:bottom w:val="nil"/>
              <w:right w:val="nil"/>
            </w:tcBorders>
            <w:shd w:val="clear" w:color="000000" w:fill="FFFFFF"/>
            <w:noWrap/>
            <w:vAlign w:val="center"/>
            <w:hideMark/>
          </w:tcPr>
          <w:p w14:paraId="27B0C91D" w14:textId="77777777" w:rsidR="008F75C2" w:rsidRPr="00D82E5B" w:rsidRDefault="008F75C2" w:rsidP="0002384D">
            <w:pPr>
              <w:spacing w:after="0" w:line="240" w:lineRule="auto"/>
              <w:jc w:val="right"/>
              <w:rPr>
                <w:b/>
                <w:color w:val="000000"/>
                <w:sz w:val="20"/>
                <w:szCs w:val="20"/>
                <w:lang w:eastAsia="sk-SK"/>
              </w:rPr>
            </w:pPr>
            <w:r w:rsidRPr="00D82E5B">
              <w:rPr>
                <w:b/>
                <w:color w:val="000000"/>
                <w:sz w:val="20"/>
                <w:szCs w:val="20"/>
                <w:lang w:eastAsia="sk-SK"/>
              </w:rPr>
              <w:t>66 974</w:t>
            </w:r>
          </w:p>
        </w:tc>
        <w:tc>
          <w:tcPr>
            <w:tcW w:w="992" w:type="dxa"/>
            <w:tcBorders>
              <w:top w:val="nil"/>
              <w:left w:val="nil"/>
              <w:bottom w:val="nil"/>
              <w:right w:val="nil"/>
            </w:tcBorders>
            <w:shd w:val="clear" w:color="000000" w:fill="FFFFFF"/>
            <w:noWrap/>
            <w:vAlign w:val="center"/>
            <w:hideMark/>
          </w:tcPr>
          <w:p w14:paraId="442023E5" w14:textId="77777777" w:rsidR="008F75C2" w:rsidRPr="00D82E5B" w:rsidRDefault="008F75C2" w:rsidP="0002384D">
            <w:pPr>
              <w:spacing w:after="0" w:line="240" w:lineRule="auto"/>
              <w:jc w:val="right"/>
              <w:rPr>
                <w:b/>
                <w:color w:val="000000"/>
                <w:sz w:val="20"/>
                <w:szCs w:val="20"/>
                <w:lang w:eastAsia="sk-SK"/>
              </w:rPr>
            </w:pPr>
            <w:r w:rsidRPr="00D82E5B">
              <w:rPr>
                <w:b/>
                <w:color w:val="000000"/>
                <w:sz w:val="20"/>
                <w:szCs w:val="20"/>
                <w:lang w:eastAsia="sk-SK"/>
              </w:rPr>
              <w:t>56 372</w:t>
            </w:r>
          </w:p>
        </w:tc>
        <w:tc>
          <w:tcPr>
            <w:tcW w:w="1134" w:type="dxa"/>
            <w:tcBorders>
              <w:top w:val="nil"/>
              <w:left w:val="nil"/>
              <w:bottom w:val="nil"/>
              <w:right w:val="nil"/>
            </w:tcBorders>
            <w:shd w:val="clear" w:color="000000" w:fill="BFBFBF"/>
            <w:noWrap/>
            <w:vAlign w:val="center"/>
            <w:hideMark/>
          </w:tcPr>
          <w:p w14:paraId="200DD12D" w14:textId="746C6F15" w:rsidR="008F75C2" w:rsidRPr="00D82E5B" w:rsidRDefault="008F75C2" w:rsidP="00A4418A">
            <w:pPr>
              <w:spacing w:after="0" w:line="240" w:lineRule="auto"/>
              <w:jc w:val="right"/>
              <w:rPr>
                <w:b/>
                <w:color w:val="000000"/>
                <w:sz w:val="20"/>
                <w:szCs w:val="20"/>
                <w:lang w:eastAsia="sk-SK"/>
              </w:rPr>
            </w:pPr>
            <w:r w:rsidRPr="00D82E5B">
              <w:rPr>
                <w:b/>
                <w:color w:val="000000"/>
                <w:sz w:val="20"/>
                <w:szCs w:val="20"/>
                <w:lang w:eastAsia="sk-SK"/>
              </w:rPr>
              <w:t>52 62</w:t>
            </w:r>
            <w:r w:rsidR="00A4418A" w:rsidRPr="00D82E5B">
              <w:rPr>
                <w:b/>
                <w:color w:val="000000"/>
                <w:sz w:val="20"/>
                <w:szCs w:val="20"/>
                <w:lang w:eastAsia="sk-SK"/>
              </w:rPr>
              <w:t>4</w:t>
            </w:r>
          </w:p>
        </w:tc>
        <w:tc>
          <w:tcPr>
            <w:tcW w:w="993" w:type="dxa"/>
            <w:tcBorders>
              <w:top w:val="nil"/>
              <w:left w:val="nil"/>
              <w:bottom w:val="nil"/>
              <w:right w:val="nil"/>
            </w:tcBorders>
            <w:shd w:val="clear" w:color="000000" w:fill="FFFFFF"/>
            <w:vAlign w:val="center"/>
            <w:hideMark/>
          </w:tcPr>
          <w:p w14:paraId="4D1E5BAD" w14:textId="58BE075E" w:rsidR="008F75C2" w:rsidRPr="00D82E5B" w:rsidRDefault="008F75C2" w:rsidP="00A4418A">
            <w:pPr>
              <w:spacing w:after="0" w:line="240" w:lineRule="auto"/>
              <w:jc w:val="right"/>
              <w:rPr>
                <w:b/>
                <w:color w:val="000000"/>
                <w:sz w:val="20"/>
                <w:szCs w:val="20"/>
                <w:lang w:eastAsia="sk-SK"/>
              </w:rPr>
            </w:pPr>
            <w:r w:rsidRPr="00D82E5B">
              <w:rPr>
                <w:b/>
                <w:color w:val="000000"/>
                <w:sz w:val="20"/>
                <w:szCs w:val="20"/>
                <w:lang w:eastAsia="sk-SK"/>
              </w:rPr>
              <w:t>-3 74</w:t>
            </w:r>
            <w:r w:rsidR="00A4418A" w:rsidRPr="00D82E5B">
              <w:rPr>
                <w:b/>
                <w:color w:val="000000"/>
                <w:sz w:val="20"/>
                <w:szCs w:val="20"/>
                <w:lang w:eastAsia="sk-SK"/>
              </w:rPr>
              <w:t>8</w:t>
            </w:r>
          </w:p>
        </w:tc>
        <w:tc>
          <w:tcPr>
            <w:tcW w:w="850" w:type="dxa"/>
            <w:tcBorders>
              <w:top w:val="nil"/>
              <w:left w:val="nil"/>
              <w:bottom w:val="nil"/>
              <w:right w:val="nil"/>
            </w:tcBorders>
            <w:shd w:val="clear" w:color="000000" w:fill="FFFFFF"/>
            <w:vAlign w:val="center"/>
            <w:hideMark/>
          </w:tcPr>
          <w:p w14:paraId="20AFDBC2" w14:textId="77777777" w:rsidR="008F75C2" w:rsidRPr="00D82E5B" w:rsidRDefault="008F75C2" w:rsidP="0002384D">
            <w:pPr>
              <w:spacing w:after="0" w:line="240" w:lineRule="auto"/>
              <w:jc w:val="right"/>
              <w:rPr>
                <w:b/>
                <w:color w:val="000000"/>
                <w:sz w:val="20"/>
                <w:szCs w:val="20"/>
                <w:lang w:eastAsia="sk-SK"/>
              </w:rPr>
            </w:pPr>
            <w:r w:rsidRPr="00D82E5B">
              <w:rPr>
                <w:b/>
                <w:color w:val="000000"/>
                <w:sz w:val="20"/>
                <w:szCs w:val="20"/>
                <w:lang w:eastAsia="sk-SK"/>
              </w:rPr>
              <w:t>-6,6</w:t>
            </w:r>
          </w:p>
        </w:tc>
      </w:tr>
      <w:tr w:rsidR="00F81D8D" w:rsidRPr="0002384D" w14:paraId="05F8BDFF" w14:textId="77777777" w:rsidTr="00F81D8D">
        <w:trPr>
          <w:trHeight w:val="345"/>
        </w:trPr>
        <w:tc>
          <w:tcPr>
            <w:tcW w:w="3261" w:type="dxa"/>
            <w:tcBorders>
              <w:top w:val="single" w:sz="4" w:space="0" w:color="auto"/>
              <w:left w:val="nil"/>
              <w:bottom w:val="single" w:sz="8" w:space="0" w:color="auto"/>
              <w:right w:val="nil"/>
            </w:tcBorders>
            <w:shd w:val="clear" w:color="000000" w:fill="FFFFFF"/>
            <w:noWrap/>
            <w:vAlign w:val="center"/>
            <w:hideMark/>
          </w:tcPr>
          <w:p w14:paraId="133DC535" w14:textId="77777777" w:rsidR="008F75C2" w:rsidRPr="0002384D" w:rsidRDefault="008F75C2" w:rsidP="0002384D">
            <w:pPr>
              <w:spacing w:after="0" w:line="240" w:lineRule="auto"/>
              <w:contextualSpacing/>
              <w:jc w:val="left"/>
              <w:rPr>
                <w:b/>
                <w:bCs/>
                <w:color w:val="000000"/>
                <w:sz w:val="20"/>
                <w:szCs w:val="20"/>
                <w:lang w:eastAsia="sk-SK"/>
              </w:rPr>
            </w:pPr>
            <w:r w:rsidRPr="0002384D">
              <w:rPr>
                <w:b/>
                <w:bCs/>
                <w:color w:val="000000"/>
                <w:sz w:val="20"/>
                <w:szCs w:val="20"/>
                <w:lang w:eastAsia="sk-SK"/>
              </w:rPr>
              <w:t>Spolu</w:t>
            </w:r>
          </w:p>
        </w:tc>
        <w:tc>
          <w:tcPr>
            <w:tcW w:w="1134" w:type="dxa"/>
            <w:tcBorders>
              <w:top w:val="single" w:sz="4" w:space="0" w:color="auto"/>
              <w:left w:val="nil"/>
              <w:bottom w:val="single" w:sz="8" w:space="0" w:color="auto"/>
              <w:right w:val="nil"/>
            </w:tcBorders>
            <w:shd w:val="clear" w:color="000000" w:fill="FFFFFF"/>
            <w:noWrap/>
            <w:vAlign w:val="center"/>
            <w:hideMark/>
          </w:tcPr>
          <w:p w14:paraId="43C34876" w14:textId="77777777" w:rsidR="008F75C2" w:rsidRPr="0002384D" w:rsidRDefault="008F75C2" w:rsidP="0002384D">
            <w:pPr>
              <w:spacing w:after="0" w:line="240" w:lineRule="auto"/>
              <w:contextualSpacing/>
              <w:jc w:val="right"/>
              <w:rPr>
                <w:b/>
                <w:bCs/>
                <w:color w:val="000000"/>
                <w:sz w:val="20"/>
                <w:szCs w:val="20"/>
                <w:lang w:eastAsia="sk-SK"/>
              </w:rPr>
            </w:pPr>
            <w:r w:rsidRPr="0002384D">
              <w:rPr>
                <w:b/>
                <w:bCs/>
                <w:color w:val="000000"/>
                <w:sz w:val="20"/>
                <w:szCs w:val="20"/>
                <w:lang w:eastAsia="sk-SK"/>
              </w:rPr>
              <w:t>337 394</w:t>
            </w:r>
          </w:p>
        </w:tc>
        <w:tc>
          <w:tcPr>
            <w:tcW w:w="992" w:type="dxa"/>
            <w:tcBorders>
              <w:top w:val="single" w:sz="4" w:space="0" w:color="auto"/>
              <w:left w:val="nil"/>
              <w:bottom w:val="single" w:sz="8" w:space="0" w:color="auto"/>
              <w:right w:val="nil"/>
            </w:tcBorders>
            <w:shd w:val="clear" w:color="000000" w:fill="FFFFFF"/>
            <w:noWrap/>
            <w:vAlign w:val="center"/>
            <w:hideMark/>
          </w:tcPr>
          <w:p w14:paraId="35BFB846" w14:textId="77777777" w:rsidR="008F75C2" w:rsidRPr="0002384D" w:rsidRDefault="008F75C2" w:rsidP="0002384D">
            <w:pPr>
              <w:spacing w:after="0" w:line="240" w:lineRule="auto"/>
              <w:contextualSpacing/>
              <w:jc w:val="right"/>
              <w:rPr>
                <w:b/>
                <w:bCs/>
                <w:color w:val="000000"/>
                <w:sz w:val="20"/>
                <w:szCs w:val="20"/>
                <w:lang w:eastAsia="sk-SK"/>
              </w:rPr>
            </w:pPr>
            <w:r w:rsidRPr="0002384D">
              <w:rPr>
                <w:b/>
                <w:bCs/>
                <w:color w:val="000000"/>
                <w:sz w:val="20"/>
                <w:szCs w:val="20"/>
                <w:lang w:eastAsia="sk-SK"/>
              </w:rPr>
              <w:t>365 884</w:t>
            </w:r>
          </w:p>
        </w:tc>
        <w:tc>
          <w:tcPr>
            <w:tcW w:w="992" w:type="dxa"/>
            <w:tcBorders>
              <w:top w:val="single" w:sz="4" w:space="0" w:color="auto"/>
              <w:left w:val="nil"/>
              <w:bottom w:val="single" w:sz="8" w:space="0" w:color="auto"/>
              <w:right w:val="nil"/>
            </w:tcBorders>
            <w:shd w:val="clear" w:color="000000" w:fill="FFFFFF"/>
            <w:noWrap/>
            <w:vAlign w:val="center"/>
            <w:hideMark/>
          </w:tcPr>
          <w:p w14:paraId="170D345E" w14:textId="77777777" w:rsidR="008F75C2" w:rsidRPr="0002384D" w:rsidRDefault="008F75C2" w:rsidP="0002384D">
            <w:pPr>
              <w:spacing w:after="0" w:line="240" w:lineRule="auto"/>
              <w:contextualSpacing/>
              <w:jc w:val="right"/>
              <w:rPr>
                <w:b/>
                <w:bCs/>
                <w:color w:val="000000"/>
                <w:sz w:val="20"/>
                <w:szCs w:val="20"/>
                <w:lang w:eastAsia="sk-SK"/>
              </w:rPr>
            </w:pPr>
            <w:r w:rsidRPr="0002384D">
              <w:rPr>
                <w:b/>
                <w:bCs/>
                <w:color w:val="000000"/>
                <w:sz w:val="20"/>
                <w:szCs w:val="20"/>
                <w:lang w:eastAsia="sk-SK"/>
              </w:rPr>
              <w:t>338 616</w:t>
            </w:r>
          </w:p>
        </w:tc>
        <w:tc>
          <w:tcPr>
            <w:tcW w:w="1134" w:type="dxa"/>
            <w:tcBorders>
              <w:top w:val="single" w:sz="4" w:space="0" w:color="auto"/>
              <w:left w:val="nil"/>
              <w:bottom w:val="single" w:sz="8" w:space="0" w:color="auto"/>
              <w:right w:val="nil"/>
            </w:tcBorders>
            <w:shd w:val="clear" w:color="000000" w:fill="BFBFBF"/>
            <w:noWrap/>
            <w:vAlign w:val="center"/>
            <w:hideMark/>
          </w:tcPr>
          <w:p w14:paraId="709EB2F1" w14:textId="5BA00FC8" w:rsidR="008F75C2" w:rsidRPr="00A265D6" w:rsidRDefault="008F75C2" w:rsidP="00A4418A">
            <w:pPr>
              <w:spacing w:after="0" w:line="240" w:lineRule="auto"/>
              <w:contextualSpacing/>
              <w:jc w:val="right"/>
              <w:rPr>
                <w:b/>
                <w:bCs/>
                <w:color w:val="000000"/>
                <w:sz w:val="20"/>
                <w:szCs w:val="20"/>
                <w:lang w:eastAsia="sk-SK"/>
              </w:rPr>
            </w:pPr>
            <w:r w:rsidRPr="00A265D6">
              <w:rPr>
                <w:b/>
                <w:bCs/>
                <w:color w:val="000000"/>
                <w:sz w:val="20"/>
                <w:szCs w:val="20"/>
                <w:lang w:eastAsia="sk-SK"/>
              </w:rPr>
              <w:t>345 6</w:t>
            </w:r>
            <w:r w:rsidR="00A4418A" w:rsidRPr="00A265D6">
              <w:rPr>
                <w:b/>
                <w:bCs/>
                <w:color w:val="000000"/>
                <w:sz w:val="20"/>
                <w:szCs w:val="20"/>
                <w:lang w:eastAsia="sk-SK"/>
              </w:rPr>
              <w:t>37</w:t>
            </w:r>
          </w:p>
        </w:tc>
        <w:tc>
          <w:tcPr>
            <w:tcW w:w="993" w:type="dxa"/>
            <w:tcBorders>
              <w:top w:val="single" w:sz="4" w:space="0" w:color="auto"/>
              <w:left w:val="nil"/>
              <w:bottom w:val="single" w:sz="8" w:space="0" w:color="auto"/>
              <w:right w:val="nil"/>
            </w:tcBorders>
            <w:shd w:val="clear" w:color="000000" w:fill="FFFFFF"/>
            <w:noWrap/>
            <w:vAlign w:val="center"/>
            <w:hideMark/>
          </w:tcPr>
          <w:p w14:paraId="1343BB9E" w14:textId="26DF360C" w:rsidR="008F75C2" w:rsidRPr="00A265D6" w:rsidRDefault="008F75C2" w:rsidP="00A4418A">
            <w:pPr>
              <w:spacing w:after="0" w:line="240" w:lineRule="auto"/>
              <w:contextualSpacing/>
              <w:jc w:val="right"/>
              <w:rPr>
                <w:b/>
                <w:bCs/>
                <w:color w:val="000000"/>
                <w:sz w:val="20"/>
                <w:szCs w:val="20"/>
                <w:lang w:eastAsia="sk-SK"/>
              </w:rPr>
            </w:pPr>
            <w:r w:rsidRPr="00A265D6">
              <w:rPr>
                <w:b/>
                <w:bCs/>
                <w:color w:val="000000"/>
                <w:sz w:val="20"/>
                <w:szCs w:val="20"/>
                <w:lang w:eastAsia="sk-SK"/>
              </w:rPr>
              <w:t>7 02</w:t>
            </w:r>
            <w:r w:rsidR="00A4418A" w:rsidRPr="00A265D6">
              <w:rPr>
                <w:b/>
                <w:bCs/>
                <w:color w:val="000000"/>
                <w:sz w:val="20"/>
                <w:szCs w:val="20"/>
                <w:lang w:eastAsia="sk-SK"/>
              </w:rPr>
              <w:t>1</w:t>
            </w:r>
          </w:p>
        </w:tc>
        <w:tc>
          <w:tcPr>
            <w:tcW w:w="850" w:type="dxa"/>
            <w:tcBorders>
              <w:top w:val="single" w:sz="4" w:space="0" w:color="auto"/>
              <w:left w:val="nil"/>
              <w:bottom w:val="single" w:sz="8" w:space="0" w:color="auto"/>
              <w:right w:val="nil"/>
            </w:tcBorders>
            <w:shd w:val="clear" w:color="000000" w:fill="FFFFFF"/>
            <w:noWrap/>
            <w:vAlign w:val="center"/>
            <w:hideMark/>
          </w:tcPr>
          <w:p w14:paraId="28815DD0" w14:textId="77777777" w:rsidR="008F75C2" w:rsidRPr="0002384D" w:rsidRDefault="008F75C2" w:rsidP="0002384D">
            <w:pPr>
              <w:spacing w:after="0" w:line="240" w:lineRule="auto"/>
              <w:contextualSpacing/>
              <w:jc w:val="right"/>
              <w:rPr>
                <w:b/>
                <w:bCs/>
                <w:color w:val="000000"/>
                <w:sz w:val="20"/>
                <w:szCs w:val="20"/>
                <w:lang w:eastAsia="sk-SK"/>
              </w:rPr>
            </w:pPr>
            <w:r w:rsidRPr="0002384D">
              <w:rPr>
                <w:b/>
                <w:bCs/>
                <w:color w:val="000000"/>
                <w:sz w:val="20"/>
                <w:szCs w:val="20"/>
                <w:lang w:eastAsia="sk-SK"/>
              </w:rPr>
              <w:t>2,1</w:t>
            </w:r>
          </w:p>
        </w:tc>
      </w:tr>
    </w:tbl>
    <w:p w14:paraId="329D936A" w14:textId="77777777" w:rsidR="008F75C2" w:rsidRPr="00334143" w:rsidRDefault="008F75C2" w:rsidP="008F75C2">
      <w:pPr>
        <w:suppressAutoHyphens/>
        <w:jc w:val="right"/>
        <w:rPr>
          <w:rFonts w:eastAsia="Calibri"/>
          <w:sz w:val="18"/>
          <w:szCs w:val="18"/>
        </w:rPr>
      </w:pPr>
      <w:r w:rsidRPr="00334143">
        <w:rPr>
          <w:rFonts w:eastAsia="Calibri"/>
          <w:sz w:val="18"/>
          <w:szCs w:val="18"/>
        </w:rPr>
        <w:t>Zdroj: MF SR</w:t>
      </w:r>
    </w:p>
    <w:p w14:paraId="45327D67" w14:textId="5844472A" w:rsidR="00295A10" w:rsidRDefault="008F75C2" w:rsidP="008F75C2">
      <w:pPr>
        <w:tabs>
          <w:tab w:val="left" w:pos="284"/>
        </w:tabs>
        <w:suppressAutoHyphens/>
        <w:spacing w:line="360" w:lineRule="auto"/>
        <w:rPr>
          <w:rFonts w:eastAsia="Calibri"/>
          <w:color w:val="000000" w:themeColor="text1"/>
        </w:rPr>
      </w:pPr>
      <w:r w:rsidRPr="00E26A6F">
        <w:rPr>
          <w:rFonts w:eastAsia="Calibri"/>
          <w:color w:val="000000" w:themeColor="text1"/>
        </w:rPr>
        <w:t xml:space="preserve">V rámci tejto kategórie dosiahli najvyšší príjem </w:t>
      </w:r>
      <w:r w:rsidR="00FF5F2E" w:rsidRPr="00FF5F2E">
        <w:rPr>
          <w:rFonts w:eastAsia="Calibri"/>
          <w:b/>
          <w:i/>
          <w:color w:val="000000" w:themeColor="text1"/>
        </w:rPr>
        <w:t>súdne a ostatné</w:t>
      </w:r>
      <w:r w:rsidRPr="00E26A6F">
        <w:rPr>
          <w:rFonts w:eastAsia="Calibri"/>
          <w:b/>
          <w:i/>
          <w:color w:val="000000" w:themeColor="text1"/>
        </w:rPr>
        <w:t xml:space="preserve"> poplatky</w:t>
      </w:r>
      <w:r w:rsidRPr="00E26A6F">
        <w:rPr>
          <w:rFonts w:eastAsia="Calibri"/>
          <w:color w:val="000000" w:themeColor="text1"/>
        </w:rPr>
        <w:t>, a to čiastku 224 </w:t>
      </w:r>
      <w:r w:rsidR="00694471">
        <w:rPr>
          <w:rFonts w:eastAsia="Calibri"/>
          <w:color w:val="000000" w:themeColor="text1"/>
        </w:rPr>
        <w:t>018</w:t>
      </w:r>
      <w:r w:rsidRPr="00E26A6F">
        <w:rPr>
          <w:rFonts w:eastAsia="Calibri"/>
          <w:color w:val="000000" w:themeColor="text1"/>
        </w:rPr>
        <w:t> tis. eur</w:t>
      </w:r>
      <w:r w:rsidR="00FF5F2E">
        <w:rPr>
          <w:rFonts w:eastAsia="Calibri"/>
          <w:color w:val="000000" w:themeColor="text1"/>
        </w:rPr>
        <w:t>, z ktorých rozhodujúca suma plynie do rozpočtu kapitoly</w:t>
      </w:r>
      <w:r w:rsidRPr="009C4EC7">
        <w:rPr>
          <w:rFonts w:eastAsia="Calibri"/>
          <w:color w:val="000000" w:themeColor="text1"/>
        </w:rPr>
        <w:t xml:space="preserve"> Všeobecn</w:t>
      </w:r>
      <w:r w:rsidR="00FF5F2E">
        <w:rPr>
          <w:rFonts w:eastAsia="Calibri"/>
          <w:color w:val="000000" w:themeColor="text1"/>
        </w:rPr>
        <w:t>ej</w:t>
      </w:r>
      <w:r w:rsidRPr="009C4EC7">
        <w:rPr>
          <w:rFonts w:eastAsia="Calibri"/>
          <w:color w:val="000000" w:themeColor="text1"/>
        </w:rPr>
        <w:t xml:space="preserve"> pokladničn</w:t>
      </w:r>
      <w:r w:rsidR="00FF5F2E">
        <w:rPr>
          <w:rFonts w:eastAsia="Calibri"/>
          <w:color w:val="000000" w:themeColor="text1"/>
        </w:rPr>
        <w:t>ej</w:t>
      </w:r>
      <w:r w:rsidRPr="009C4EC7">
        <w:rPr>
          <w:rFonts w:eastAsia="Calibri"/>
          <w:color w:val="000000" w:themeColor="text1"/>
        </w:rPr>
        <w:t xml:space="preserve"> správ</w:t>
      </w:r>
      <w:r w:rsidR="00FF5F2E">
        <w:rPr>
          <w:rFonts w:eastAsia="Calibri"/>
          <w:color w:val="000000" w:themeColor="text1"/>
        </w:rPr>
        <w:t>y</w:t>
      </w:r>
      <w:r w:rsidRPr="009C4EC7">
        <w:rPr>
          <w:rFonts w:eastAsia="Calibri"/>
          <w:color w:val="000000" w:themeColor="text1"/>
        </w:rPr>
        <w:t xml:space="preserve"> </w:t>
      </w:r>
      <w:r w:rsidR="00FF5F2E">
        <w:rPr>
          <w:rFonts w:eastAsia="Calibri"/>
          <w:color w:val="000000" w:themeColor="text1"/>
        </w:rPr>
        <w:t>(</w:t>
      </w:r>
      <w:r w:rsidRPr="009C4EC7">
        <w:rPr>
          <w:rFonts w:eastAsia="Calibri"/>
          <w:color w:val="000000" w:themeColor="text1"/>
        </w:rPr>
        <w:t>211 1</w:t>
      </w:r>
      <w:r>
        <w:rPr>
          <w:rFonts w:eastAsia="Calibri"/>
          <w:color w:val="000000" w:themeColor="text1"/>
        </w:rPr>
        <w:t>12</w:t>
      </w:r>
      <w:r w:rsidRPr="009C4EC7">
        <w:rPr>
          <w:rFonts w:eastAsia="Calibri"/>
          <w:color w:val="000000" w:themeColor="text1"/>
        </w:rPr>
        <w:t> tis.</w:t>
      </w:r>
      <w:r w:rsidR="00F81D8D">
        <w:rPr>
          <w:rFonts w:eastAsia="Calibri"/>
          <w:color w:val="000000" w:themeColor="text1"/>
        </w:rPr>
        <w:t> </w:t>
      </w:r>
      <w:r w:rsidRPr="009C4EC7">
        <w:rPr>
          <w:rFonts w:eastAsia="Calibri"/>
          <w:color w:val="000000" w:themeColor="text1"/>
        </w:rPr>
        <w:t>eur)</w:t>
      </w:r>
      <w:r w:rsidR="00FF5F2E">
        <w:rPr>
          <w:rFonts w:eastAsia="Calibri"/>
          <w:color w:val="000000" w:themeColor="text1"/>
        </w:rPr>
        <w:t xml:space="preserve">, ktoré sú uhrádzané cez elektronický systém e-kolkov. </w:t>
      </w:r>
    </w:p>
    <w:p w14:paraId="05319EE0" w14:textId="77777777" w:rsidR="00295A10" w:rsidRDefault="00295A10">
      <w:pPr>
        <w:spacing w:after="160" w:line="259" w:lineRule="auto"/>
        <w:jc w:val="left"/>
        <w:rPr>
          <w:rFonts w:eastAsia="Calibri"/>
          <w:color w:val="000000" w:themeColor="text1"/>
        </w:rPr>
      </w:pPr>
      <w:r>
        <w:rPr>
          <w:rFonts w:eastAsia="Calibri"/>
          <w:color w:val="000000" w:themeColor="text1"/>
        </w:rPr>
        <w:br w:type="page"/>
      </w:r>
    </w:p>
    <w:p w14:paraId="622D10B0" w14:textId="22425AAD" w:rsidR="008F75C2" w:rsidRDefault="00FF5F2E" w:rsidP="008F75C2">
      <w:pPr>
        <w:tabs>
          <w:tab w:val="left" w:pos="284"/>
        </w:tabs>
        <w:suppressAutoHyphens/>
        <w:spacing w:line="360" w:lineRule="auto"/>
        <w:rPr>
          <w:rFonts w:eastAsia="Calibri"/>
          <w:color w:val="000000" w:themeColor="text1"/>
        </w:rPr>
      </w:pPr>
      <w:r>
        <w:rPr>
          <w:rFonts w:eastAsia="Calibri"/>
          <w:color w:val="000000" w:themeColor="text1"/>
        </w:rPr>
        <w:t xml:space="preserve">Súdne poplatky boli rozpočtované na úrovni 33 016 tis. eur, a ich skutočné plnenie sa vykazuje v príjmoch za ostatné poplatky. Medzi ďalšie patria </w:t>
      </w:r>
      <w:r w:rsidR="008F75C2" w:rsidRPr="009C4EC7">
        <w:rPr>
          <w:rFonts w:eastAsia="Calibri"/>
          <w:color w:val="000000" w:themeColor="text1"/>
        </w:rPr>
        <w:t>napr. paušálne náhrady za udeľovanie víz, udržiavacie poplatky za pat</w:t>
      </w:r>
      <w:r w:rsidR="00F81D8D">
        <w:rPr>
          <w:rFonts w:eastAsia="Calibri"/>
          <w:color w:val="000000" w:themeColor="text1"/>
        </w:rPr>
        <w:t xml:space="preserve">ent a </w:t>
      </w:r>
      <w:r w:rsidR="008B3F75">
        <w:rPr>
          <w:rFonts w:eastAsia="Calibri"/>
          <w:color w:val="000000" w:themeColor="text1"/>
        </w:rPr>
        <w:t>pod.</w:t>
      </w:r>
    </w:p>
    <w:p w14:paraId="75E61F34" w14:textId="6433A1CC" w:rsidR="008F75C2" w:rsidRPr="001179E7" w:rsidRDefault="008F75C2" w:rsidP="008F75C2">
      <w:pPr>
        <w:tabs>
          <w:tab w:val="left" w:pos="284"/>
        </w:tabs>
        <w:suppressAutoHyphens/>
        <w:spacing w:line="360" w:lineRule="auto"/>
        <w:rPr>
          <w:rFonts w:eastAsia="Calibri"/>
          <w:color w:val="000000" w:themeColor="text1"/>
        </w:rPr>
      </w:pPr>
      <w:r w:rsidRPr="005F51B5">
        <w:rPr>
          <w:rFonts w:eastAsia="Calibri"/>
          <w:b/>
          <w:i/>
          <w:color w:val="000000" w:themeColor="text1"/>
        </w:rPr>
        <w:t>Puncové poplatky</w:t>
      </w:r>
      <w:r w:rsidRPr="001179E7">
        <w:rPr>
          <w:rFonts w:eastAsia="Calibri"/>
          <w:color w:val="000000" w:themeColor="text1"/>
        </w:rPr>
        <w:t xml:space="preserve"> </w:t>
      </w:r>
      <w:r w:rsidR="005B47EF">
        <w:rPr>
          <w:rFonts w:eastAsia="Calibri"/>
          <w:color w:val="000000" w:themeColor="text1"/>
        </w:rPr>
        <w:t xml:space="preserve">sú príjmom rozpočtu </w:t>
      </w:r>
      <w:r w:rsidRPr="001179E7">
        <w:rPr>
          <w:rFonts w:eastAsia="Calibri"/>
          <w:color w:val="000000" w:themeColor="text1"/>
        </w:rPr>
        <w:t>len v kapitole Ministerstva hospodárstva SR</w:t>
      </w:r>
      <w:r w:rsidR="005B47EF">
        <w:rPr>
          <w:rFonts w:eastAsia="Calibri"/>
          <w:color w:val="000000" w:themeColor="text1"/>
        </w:rPr>
        <w:t>, a</w:t>
      </w:r>
      <w:r w:rsidR="0035143E">
        <w:rPr>
          <w:rFonts w:eastAsia="Calibri"/>
          <w:color w:val="000000" w:themeColor="text1"/>
        </w:rPr>
        <w:t xml:space="preserve"> </w:t>
      </w:r>
      <w:r w:rsidR="005B47EF">
        <w:rPr>
          <w:rFonts w:eastAsia="Calibri"/>
          <w:color w:val="000000" w:themeColor="text1"/>
        </w:rPr>
        <w:t xml:space="preserve">to </w:t>
      </w:r>
      <w:r w:rsidRPr="001179E7">
        <w:rPr>
          <w:rFonts w:eastAsia="Calibri"/>
          <w:color w:val="000000" w:themeColor="text1"/>
        </w:rPr>
        <w:t>v celkovej čiastke 706 tis. eur.</w:t>
      </w:r>
    </w:p>
    <w:p w14:paraId="184803FB" w14:textId="7BE10145" w:rsidR="008F75C2" w:rsidRPr="007E3EE9" w:rsidRDefault="008F75C2" w:rsidP="008F75C2">
      <w:pPr>
        <w:tabs>
          <w:tab w:val="left" w:pos="284"/>
        </w:tabs>
        <w:suppressAutoHyphens/>
        <w:spacing w:line="360" w:lineRule="auto"/>
        <w:rPr>
          <w:rFonts w:eastAsia="Calibri"/>
          <w:color w:val="000000" w:themeColor="text1"/>
        </w:rPr>
      </w:pPr>
      <w:r w:rsidRPr="00EF013C">
        <w:rPr>
          <w:rFonts w:eastAsia="Calibri"/>
          <w:b/>
          <w:i/>
          <w:color w:val="000000" w:themeColor="text1"/>
        </w:rPr>
        <w:t>Príjem z licencií</w:t>
      </w:r>
      <w:r w:rsidRPr="007E3EE9">
        <w:rPr>
          <w:rFonts w:eastAsia="Calibri"/>
          <w:color w:val="000000" w:themeColor="text1"/>
        </w:rPr>
        <w:t xml:space="preserve"> </w:t>
      </w:r>
      <w:r w:rsidRPr="007E3EE9">
        <w:rPr>
          <w:color w:val="000000" w:themeColor="text1"/>
        </w:rPr>
        <w:t>v zmysle § 16 zákona č. 171/2005 Z. z. o hazardných hrách a</w:t>
      </w:r>
      <w:r w:rsidR="00F81D8D">
        <w:rPr>
          <w:color w:val="000000" w:themeColor="text1"/>
        </w:rPr>
        <w:t xml:space="preserve"> </w:t>
      </w:r>
      <w:r w:rsidRPr="007E3EE9">
        <w:rPr>
          <w:color w:val="000000" w:themeColor="text1"/>
        </w:rPr>
        <w:t>o zmene a</w:t>
      </w:r>
      <w:r w:rsidR="00F81D8D">
        <w:rPr>
          <w:color w:val="000000" w:themeColor="text1"/>
        </w:rPr>
        <w:t xml:space="preserve"> </w:t>
      </w:r>
      <w:r w:rsidRPr="007E3EE9">
        <w:rPr>
          <w:color w:val="000000" w:themeColor="text1"/>
        </w:rPr>
        <w:t>doplnení niektorých zákonov</w:t>
      </w:r>
      <w:r w:rsidR="00EF013C">
        <w:rPr>
          <w:color w:val="000000" w:themeColor="text1"/>
        </w:rPr>
        <w:t xml:space="preserve"> </w:t>
      </w:r>
      <w:r w:rsidRPr="007E3EE9">
        <w:rPr>
          <w:rFonts w:eastAsia="Calibri"/>
          <w:color w:val="000000" w:themeColor="text1"/>
        </w:rPr>
        <w:t>v sume 142</w:t>
      </w:r>
      <w:r w:rsidR="00F81D8D">
        <w:rPr>
          <w:rFonts w:eastAsia="Calibri"/>
          <w:color w:val="000000" w:themeColor="text1"/>
        </w:rPr>
        <w:t> </w:t>
      </w:r>
      <w:r w:rsidRPr="007E3EE9">
        <w:rPr>
          <w:rFonts w:eastAsia="Calibri"/>
          <w:color w:val="000000" w:themeColor="text1"/>
        </w:rPr>
        <w:t>tis.</w:t>
      </w:r>
      <w:r w:rsidR="00F81D8D">
        <w:rPr>
          <w:rFonts w:eastAsia="Calibri"/>
          <w:color w:val="000000" w:themeColor="text1"/>
        </w:rPr>
        <w:t> </w:t>
      </w:r>
      <w:r w:rsidRPr="007E3EE9">
        <w:rPr>
          <w:rFonts w:eastAsia="Calibri"/>
          <w:color w:val="000000" w:themeColor="text1"/>
        </w:rPr>
        <w:t>eur</w:t>
      </w:r>
      <w:r w:rsidR="00EF013C">
        <w:rPr>
          <w:rFonts w:eastAsia="Calibri"/>
          <w:color w:val="000000" w:themeColor="text1"/>
        </w:rPr>
        <w:t xml:space="preserve"> je súčasťou rozpočtu prostredníctvom </w:t>
      </w:r>
      <w:r w:rsidR="00EF013C" w:rsidRPr="007E3EE9">
        <w:rPr>
          <w:rFonts w:eastAsia="Calibri"/>
          <w:color w:val="000000" w:themeColor="text1"/>
        </w:rPr>
        <w:t>kapitol</w:t>
      </w:r>
      <w:r w:rsidR="00EF013C">
        <w:rPr>
          <w:rFonts w:eastAsia="Calibri"/>
          <w:color w:val="000000" w:themeColor="text1"/>
        </w:rPr>
        <w:t>y</w:t>
      </w:r>
      <w:r w:rsidR="00EF013C" w:rsidRPr="007E3EE9">
        <w:rPr>
          <w:rFonts w:eastAsia="Calibri"/>
          <w:color w:val="000000" w:themeColor="text1"/>
        </w:rPr>
        <w:t xml:space="preserve"> Všeobecn</w:t>
      </w:r>
      <w:r w:rsidR="00EF013C">
        <w:rPr>
          <w:rFonts w:eastAsia="Calibri"/>
          <w:color w:val="000000" w:themeColor="text1"/>
        </w:rPr>
        <w:t>ej</w:t>
      </w:r>
      <w:r w:rsidR="00EF013C" w:rsidRPr="007E3EE9">
        <w:rPr>
          <w:rFonts w:eastAsia="Calibri"/>
          <w:color w:val="000000" w:themeColor="text1"/>
        </w:rPr>
        <w:t xml:space="preserve"> pokladničn</w:t>
      </w:r>
      <w:r w:rsidR="00EF013C">
        <w:rPr>
          <w:rFonts w:eastAsia="Calibri"/>
          <w:color w:val="000000" w:themeColor="text1"/>
        </w:rPr>
        <w:t>ej</w:t>
      </w:r>
      <w:r w:rsidR="00EF013C" w:rsidRPr="007E3EE9">
        <w:rPr>
          <w:rFonts w:eastAsia="Calibri"/>
          <w:color w:val="000000" w:themeColor="text1"/>
        </w:rPr>
        <w:t xml:space="preserve"> správ</w:t>
      </w:r>
      <w:r w:rsidR="00EF013C">
        <w:rPr>
          <w:rFonts w:eastAsia="Calibri"/>
          <w:color w:val="000000" w:themeColor="text1"/>
        </w:rPr>
        <w:t>y</w:t>
      </w:r>
      <w:r w:rsidRPr="007E3EE9">
        <w:rPr>
          <w:rFonts w:eastAsia="Calibri"/>
          <w:color w:val="000000" w:themeColor="text1"/>
        </w:rPr>
        <w:t>.</w:t>
      </w:r>
    </w:p>
    <w:p w14:paraId="1DCD71DA" w14:textId="3CA5420D" w:rsidR="008F75C2" w:rsidRPr="00F944E0" w:rsidRDefault="00F847A3" w:rsidP="008F75C2">
      <w:pPr>
        <w:spacing w:line="360" w:lineRule="auto"/>
        <w:rPr>
          <w:rFonts w:eastAsia="Calibri"/>
          <w:color w:val="000000" w:themeColor="text1"/>
        </w:rPr>
      </w:pPr>
      <w:r>
        <w:rPr>
          <w:rFonts w:eastAsia="Calibri"/>
          <w:b/>
          <w:i/>
          <w:color w:val="000000" w:themeColor="text1"/>
        </w:rPr>
        <w:t>P</w:t>
      </w:r>
      <w:r w:rsidR="008F75C2" w:rsidRPr="00C75955">
        <w:rPr>
          <w:rFonts w:eastAsia="Calibri"/>
          <w:b/>
          <w:i/>
          <w:color w:val="000000" w:themeColor="text1"/>
        </w:rPr>
        <w:t>okuty, penále a</w:t>
      </w:r>
      <w:r w:rsidR="00F81D8D">
        <w:rPr>
          <w:rFonts w:eastAsia="Calibri"/>
          <w:b/>
          <w:i/>
          <w:color w:val="000000" w:themeColor="text1"/>
        </w:rPr>
        <w:t xml:space="preserve"> </w:t>
      </w:r>
      <w:r w:rsidR="008F75C2" w:rsidRPr="00C75955">
        <w:rPr>
          <w:rFonts w:eastAsia="Calibri"/>
          <w:b/>
          <w:i/>
          <w:color w:val="000000" w:themeColor="text1"/>
        </w:rPr>
        <w:t>iné sankcie</w:t>
      </w:r>
      <w:r>
        <w:rPr>
          <w:rFonts w:eastAsia="Calibri"/>
          <w:b/>
          <w:i/>
          <w:color w:val="000000" w:themeColor="text1"/>
        </w:rPr>
        <w:t xml:space="preserve"> </w:t>
      </w:r>
      <w:r>
        <w:rPr>
          <w:rFonts w:eastAsia="Calibri"/>
          <w:color w:val="000000" w:themeColor="text1"/>
        </w:rPr>
        <w:t xml:space="preserve">dosiahli úhrnom 68 147 tis. eur, a sú vyrubované zo strany štátnych úradov najmä </w:t>
      </w:r>
      <w:r w:rsidR="008F75C2" w:rsidRPr="00C75955">
        <w:rPr>
          <w:color w:val="000000" w:themeColor="text1"/>
        </w:rPr>
        <w:t>v súvislosti s porušení</w:t>
      </w:r>
      <w:r w:rsidR="008F75C2">
        <w:rPr>
          <w:color w:val="000000" w:themeColor="text1"/>
        </w:rPr>
        <w:t>m zákona o rozpočtových pravidl</w:t>
      </w:r>
      <w:r w:rsidR="008F75C2" w:rsidRPr="00C75955">
        <w:rPr>
          <w:color w:val="000000" w:themeColor="text1"/>
        </w:rPr>
        <w:t xml:space="preserve">ách, </w:t>
      </w:r>
      <w:r>
        <w:rPr>
          <w:color w:val="000000" w:themeColor="text1"/>
        </w:rPr>
        <w:t>s</w:t>
      </w:r>
      <w:r w:rsidR="008F75C2" w:rsidRPr="00C75955">
        <w:rPr>
          <w:color w:val="000000" w:themeColor="text1"/>
        </w:rPr>
        <w:t> porušen</w:t>
      </w:r>
      <w:r>
        <w:rPr>
          <w:color w:val="000000" w:themeColor="text1"/>
        </w:rPr>
        <w:t>ím</w:t>
      </w:r>
      <w:r w:rsidR="008F75C2" w:rsidRPr="00C75955">
        <w:rPr>
          <w:color w:val="000000" w:themeColor="text1"/>
        </w:rPr>
        <w:t xml:space="preserve"> daňových, colných</w:t>
      </w:r>
      <w:r>
        <w:rPr>
          <w:color w:val="000000" w:themeColor="text1"/>
        </w:rPr>
        <w:t xml:space="preserve">, </w:t>
      </w:r>
      <w:r w:rsidRPr="00C75955">
        <w:rPr>
          <w:color w:val="000000" w:themeColor="text1"/>
        </w:rPr>
        <w:t>cenových</w:t>
      </w:r>
      <w:r w:rsidR="008F75C2" w:rsidRPr="00C75955">
        <w:rPr>
          <w:color w:val="000000" w:themeColor="text1"/>
        </w:rPr>
        <w:t xml:space="preserve"> a ostatných predpisov.</w:t>
      </w:r>
      <w:r w:rsidR="008F75C2" w:rsidRPr="00C75955">
        <w:rPr>
          <w:rFonts w:eastAsia="Calibri"/>
          <w:color w:val="000000" w:themeColor="text1"/>
        </w:rPr>
        <w:t xml:space="preserve"> </w:t>
      </w:r>
    </w:p>
    <w:p w14:paraId="6D957E7A" w14:textId="6F8E8A3A" w:rsidR="008F75C2" w:rsidRDefault="008F75C2" w:rsidP="008F75C2">
      <w:pPr>
        <w:spacing w:line="360" w:lineRule="auto"/>
        <w:rPr>
          <w:color w:val="000000" w:themeColor="text1"/>
        </w:rPr>
      </w:pPr>
      <w:r w:rsidRPr="00EC0223">
        <w:rPr>
          <w:rFonts w:eastAsia="Calibri"/>
          <w:color w:val="000000" w:themeColor="text1"/>
        </w:rPr>
        <w:t xml:space="preserve">Najväčší podiel </w:t>
      </w:r>
      <w:r w:rsidR="00411EBB">
        <w:rPr>
          <w:rFonts w:eastAsia="Calibri"/>
          <w:color w:val="000000" w:themeColor="text1"/>
        </w:rPr>
        <w:t>tvorí</w:t>
      </w:r>
      <w:r w:rsidRPr="00EC0223">
        <w:rPr>
          <w:rFonts w:eastAsia="Calibri"/>
          <w:color w:val="000000" w:themeColor="text1"/>
        </w:rPr>
        <w:t xml:space="preserve"> </w:t>
      </w:r>
      <w:r w:rsidR="00411EBB">
        <w:rPr>
          <w:rFonts w:eastAsia="Calibri"/>
          <w:color w:val="000000" w:themeColor="text1"/>
        </w:rPr>
        <w:t>k</w:t>
      </w:r>
      <w:r w:rsidRPr="00EC0223">
        <w:rPr>
          <w:rFonts w:eastAsia="Calibri"/>
          <w:color w:val="000000" w:themeColor="text1"/>
        </w:rPr>
        <w:t>apitol</w:t>
      </w:r>
      <w:r w:rsidR="00411EBB">
        <w:rPr>
          <w:rFonts w:eastAsia="Calibri"/>
          <w:color w:val="000000" w:themeColor="text1"/>
        </w:rPr>
        <w:t>a</w:t>
      </w:r>
      <w:r w:rsidRPr="00EC0223">
        <w:rPr>
          <w:rFonts w:eastAsia="Calibri"/>
          <w:color w:val="000000" w:themeColor="text1"/>
        </w:rPr>
        <w:t xml:space="preserve"> Ministerstva vnútra SR (32 980 tis. eur</w:t>
      </w:r>
      <w:r w:rsidRPr="00373155">
        <w:rPr>
          <w:rFonts w:eastAsia="Calibri"/>
          <w:color w:val="000000" w:themeColor="text1"/>
        </w:rPr>
        <w:t xml:space="preserve">), kde išlo o </w:t>
      </w:r>
      <w:r w:rsidRPr="00373155">
        <w:rPr>
          <w:color w:val="000000" w:themeColor="text1"/>
        </w:rPr>
        <w:t xml:space="preserve">príjmy od fyzických a právnických osôb najmä za uložené pokuty za dopravné priestupky, pokuty z objektívnej zodpovednosti, za </w:t>
      </w:r>
      <w:r w:rsidR="00411EBB">
        <w:rPr>
          <w:color w:val="000000" w:themeColor="text1"/>
        </w:rPr>
        <w:t xml:space="preserve">neuhradené </w:t>
      </w:r>
      <w:r w:rsidRPr="00373155">
        <w:rPr>
          <w:color w:val="000000" w:themeColor="text1"/>
        </w:rPr>
        <w:t>diaľničné známky</w:t>
      </w:r>
      <w:r w:rsidR="00411EBB">
        <w:rPr>
          <w:color w:val="000000" w:themeColor="text1"/>
        </w:rPr>
        <w:t xml:space="preserve"> </w:t>
      </w:r>
      <w:r w:rsidRPr="00373155">
        <w:rPr>
          <w:color w:val="000000" w:themeColor="text1"/>
        </w:rPr>
        <w:t xml:space="preserve">a mýto, za </w:t>
      </w:r>
      <w:r w:rsidR="00411EBB">
        <w:rPr>
          <w:color w:val="000000" w:themeColor="text1"/>
        </w:rPr>
        <w:t xml:space="preserve">chýbajúcu </w:t>
      </w:r>
      <w:r w:rsidRPr="00373155">
        <w:rPr>
          <w:color w:val="000000" w:themeColor="text1"/>
        </w:rPr>
        <w:t>emisnú a technickú kontrolu</w:t>
      </w:r>
      <w:r w:rsidR="00411EBB">
        <w:rPr>
          <w:color w:val="000000" w:themeColor="text1"/>
        </w:rPr>
        <w:t xml:space="preserve"> motorových vozidiel</w:t>
      </w:r>
      <w:r w:rsidRPr="00373155">
        <w:rPr>
          <w:color w:val="000000" w:themeColor="text1"/>
        </w:rPr>
        <w:t xml:space="preserve">. Taktiež </w:t>
      </w:r>
      <w:r w:rsidR="007A3048">
        <w:rPr>
          <w:color w:val="000000" w:themeColor="text1"/>
        </w:rPr>
        <w:t xml:space="preserve">sa tu vykazujú </w:t>
      </w:r>
      <w:r w:rsidRPr="00373155">
        <w:rPr>
          <w:color w:val="000000" w:themeColor="text1"/>
        </w:rPr>
        <w:t>príjmy z pok</w:t>
      </w:r>
      <w:r w:rsidR="007A3048">
        <w:rPr>
          <w:color w:val="000000" w:themeColor="text1"/>
        </w:rPr>
        <w:t>út</w:t>
      </w:r>
      <w:r w:rsidRPr="00373155">
        <w:rPr>
          <w:color w:val="000000" w:themeColor="text1"/>
        </w:rPr>
        <w:t xml:space="preserve"> uložen</w:t>
      </w:r>
      <w:r w:rsidR="007A3048">
        <w:rPr>
          <w:color w:val="000000" w:themeColor="text1"/>
        </w:rPr>
        <w:t>ých</w:t>
      </w:r>
      <w:r w:rsidRPr="00373155">
        <w:rPr>
          <w:color w:val="000000" w:themeColor="text1"/>
        </w:rPr>
        <w:t xml:space="preserve"> jednotlivými odbormi okresných úradov v správnom alebo blokovom konaní, napríklad na úseku starostlivosti o životné prostredie, na úseku katastra, na úseku živnostenského </w:t>
      </w:r>
      <w:r w:rsidR="002B427F">
        <w:rPr>
          <w:color w:val="000000" w:themeColor="text1"/>
        </w:rPr>
        <w:t xml:space="preserve">podnikania, na úseku výstavby a </w:t>
      </w:r>
      <w:r w:rsidRPr="00373155">
        <w:rPr>
          <w:color w:val="000000" w:themeColor="text1"/>
        </w:rPr>
        <w:t>územného plánovania a</w:t>
      </w:r>
      <w:r w:rsidR="002B427F">
        <w:rPr>
          <w:color w:val="000000" w:themeColor="text1"/>
        </w:rPr>
        <w:t xml:space="preserve"> </w:t>
      </w:r>
      <w:r w:rsidRPr="00373155">
        <w:rPr>
          <w:color w:val="000000" w:themeColor="text1"/>
        </w:rPr>
        <w:t xml:space="preserve">iné. </w:t>
      </w:r>
    </w:p>
    <w:p w14:paraId="1B21F6B3" w14:textId="447A27A7" w:rsidR="008F75C2" w:rsidRPr="000224EC" w:rsidRDefault="008F75C2" w:rsidP="008F75C2">
      <w:pPr>
        <w:spacing w:line="360" w:lineRule="auto"/>
        <w:rPr>
          <w:color w:val="000000" w:themeColor="text1"/>
        </w:rPr>
      </w:pPr>
      <w:r>
        <w:rPr>
          <w:color w:val="000000" w:themeColor="text1"/>
        </w:rPr>
        <w:t xml:space="preserve">Ministerstvo financií SR vyinkasovalo </w:t>
      </w:r>
      <w:r>
        <w:t>p</w:t>
      </w:r>
      <w:r w:rsidRPr="00B10767">
        <w:t xml:space="preserve">ríjmy za porušenie predpisov </w:t>
      </w:r>
      <w:r>
        <w:t>v celkovej</w:t>
      </w:r>
      <w:r w:rsidRPr="00B10767">
        <w:t xml:space="preserve"> výške </w:t>
      </w:r>
      <w:r>
        <w:t>9 793 tis. eur</w:t>
      </w:r>
      <w:r w:rsidR="001A333C">
        <w:t>, pričom tieto neboli rozpočtované vzhľadom na možnosti predvídať porušenia predpisov</w:t>
      </w:r>
      <w:r w:rsidR="00E226B4">
        <w:t xml:space="preserve"> pri zostavovaní rozpočtu</w:t>
      </w:r>
      <w:r w:rsidR="001A333C">
        <w:t>.</w:t>
      </w:r>
      <w:r w:rsidRPr="00B10767">
        <w:t xml:space="preserve"> </w:t>
      </w:r>
      <w:r>
        <w:t>Ministerstvo práce, sociálnych vecí a rodiny SR prijalo za porušenie predpis</w:t>
      </w:r>
      <w:r w:rsidR="003855B7">
        <w:t xml:space="preserve">ov sumu 6 260 tis. eur vo forme </w:t>
      </w:r>
      <w:r>
        <w:t>blokových pokút a</w:t>
      </w:r>
      <w:r w:rsidR="003855B7">
        <w:t xml:space="preserve"> </w:t>
      </w:r>
      <w:r>
        <w:t>pokút za porušovanie pracovnoprávnych predpisov a predpisov na zaistenie bezpečnosti a</w:t>
      </w:r>
      <w:r w:rsidR="003855B7">
        <w:t xml:space="preserve"> </w:t>
      </w:r>
      <w:r>
        <w:t>ochrany zdravia pri práci (ukladané najmä inšpektorátmi práce) a</w:t>
      </w:r>
      <w:r w:rsidR="003855B7">
        <w:t xml:space="preserve"> </w:t>
      </w:r>
      <w:r>
        <w:t xml:space="preserve">odvodov za neplnenie povinného podielu zamestnávania občanov so zdravotným postihnutím podľa § 65 </w:t>
      </w:r>
      <w:r w:rsidRPr="000224EC">
        <w:rPr>
          <w:rFonts w:eastAsia="Calibri"/>
          <w:color w:val="000000" w:themeColor="text1"/>
        </w:rPr>
        <w:t>zákona č. 5/2004 Z.</w:t>
      </w:r>
      <w:r w:rsidR="00F81D8D">
        <w:rPr>
          <w:rFonts w:eastAsia="Calibri"/>
          <w:color w:val="000000" w:themeColor="text1"/>
        </w:rPr>
        <w:t xml:space="preserve"> </w:t>
      </w:r>
      <w:r w:rsidRPr="000224EC">
        <w:rPr>
          <w:rFonts w:eastAsia="Calibri"/>
          <w:color w:val="000000" w:themeColor="text1"/>
        </w:rPr>
        <w:t>z. o službách zamestnanosti</w:t>
      </w:r>
      <w:r w:rsidRPr="000224EC">
        <w:rPr>
          <w:color w:val="000000" w:themeColor="text1"/>
        </w:rPr>
        <w:t>.</w:t>
      </w:r>
    </w:p>
    <w:p w14:paraId="0101E58E" w14:textId="6BB786E9" w:rsidR="008F75C2" w:rsidRPr="000961B7" w:rsidRDefault="00C14555" w:rsidP="008F75C2">
      <w:pPr>
        <w:spacing w:line="360" w:lineRule="auto"/>
        <w:rPr>
          <w:rFonts w:eastAsia="Calibri"/>
        </w:rPr>
      </w:pPr>
      <w:r>
        <w:rPr>
          <w:rFonts w:eastAsia="Calibri"/>
          <w:color w:val="000000" w:themeColor="text1"/>
        </w:rPr>
        <w:t xml:space="preserve">Významnú hodnotu vykázal aj </w:t>
      </w:r>
      <w:r w:rsidR="008F75C2" w:rsidRPr="004D583B">
        <w:rPr>
          <w:rFonts w:eastAsia="Calibri"/>
          <w:color w:val="000000" w:themeColor="text1"/>
        </w:rPr>
        <w:t>Protimonopolný úrad SR</w:t>
      </w:r>
      <w:r>
        <w:rPr>
          <w:rFonts w:eastAsia="Calibri"/>
          <w:color w:val="000000" w:themeColor="text1"/>
        </w:rPr>
        <w:t>, a to</w:t>
      </w:r>
      <w:r w:rsidR="008F75C2" w:rsidRPr="004D583B">
        <w:rPr>
          <w:rFonts w:eastAsia="Calibri"/>
          <w:color w:val="000000" w:themeColor="text1"/>
        </w:rPr>
        <w:t xml:space="preserve"> 5 455 tis. eur</w:t>
      </w:r>
      <w:r w:rsidR="008F75C2" w:rsidRPr="00E6078D">
        <w:rPr>
          <w:rFonts w:eastAsia="Calibri"/>
          <w:color w:val="FF0000"/>
        </w:rPr>
        <w:t xml:space="preserve"> </w:t>
      </w:r>
      <w:r w:rsidR="008F75C2">
        <w:rPr>
          <w:rFonts w:eastAsia="Calibri"/>
          <w:color w:val="000000" w:themeColor="text1"/>
        </w:rPr>
        <w:t>z</w:t>
      </w:r>
      <w:r w:rsidR="00E22584">
        <w:rPr>
          <w:rFonts w:eastAsia="Calibri"/>
          <w:color w:val="000000" w:themeColor="text1"/>
        </w:rPr>
        <w:t> </w:t>
      </w:r>
      <w:r w:rsidR="008F75C2">
        <w:rPr>
          <w:rFonts w:eastAsia="Calibri"/>
          <w:color w:val="000000" w:themeColor="text1"/>
        </w:rPr>
        <w:t>pok</w:t>
      </w:r>
      <w:r w:rsidR="00E22584">
        <w:rPr>
          <w:rFonts w:eastAsia="Calibri"/>
          <w:color w:val="000000" w:themeColor="text1"/>
        </w:rPr>
        <w:t>út uloženým</w:t>
      </w:r>
      <w:r w:rsidR="008F75C2">
        <w:rPr>
          <w:rFonts w:eastAsia="Calibri"/>
          <w:color w:val="000000" w:themeColor="text1"/>
        </w:rPr>
        <w:t xml:space="preserve"> </w:t>
      </w:r>
      <w:r>
        <w:rPr>
          <w:rFonts w:eastAsia="Calibri"/>
          <w:color w:val="000000" w:themeColor="text1"/>
        </w:rPr>
        <w:t>podnikateľský</w:t>
      </w:r>
      <w:r w:rsidR="00E22584">
        <w:rPr>
          <w:rFonts w:eastAsia="Calibri"/>
          <w:color w:val="000000" w:themeColor="text1"/>
        </w:rPr>
        <w:t>m</w:t>
      </w:r>
      <w:r w:rsidR="008F75C2">
        <w:rPr>
          <w:rFonts w:eastAsia="Calibri"/>
          <w:color w:val="000000" w:themeColor="text1"/>
        </w:rPr>
        <w:t xml:space="preserve"> </w:t>
      </w:r>
      <w:r>
        <w:rPr>
          <w:rFonts w:eastAsia="Calibri"/>
          <w:color w:val="000000" w:themeColor="text1"/>
        </w:rPr>
        <w:t>subjekto</w:t>
      </w:r>
      <w:r w:rsidR="00E22584">
        <w:rPr>
          <w:rFonts w:eastAsia="Calibri"/>
          <w:color w:val="000000" w:themeColor="text1"/>
        </w:rPr>
        <w:t>m v oblasti dodržiavania pravidiel hospodárskej súťaže</w:t>
      </w:r>
      <w:r>
        <w:rPr>
          <w:rFonts w:eastAsia="Calibri"/>
          <w:color w:val="000000" w:themeColor="text1"/>
        </w:rPr>
        <w:t>.</w:t>
      </w:r>
      <w:r w:rsidR="00BF5D19">
        <w:rPr>
          <w:rFonts w:eastAsia="Calibri"/>
          <w:color w:val="000000" w:themeColor="text1"/>
        </w:rPr>
        <w:t xml:space="preserve"> </w:t>
      </w:r>
      <w:r w:rsidR="008F75C2" w:rsidRPr="00B13BEC">
        <w:t xml:space="preserve">Keďže </w:t>
      </w:r>
      <w:r w:rsidR="008F75C2" w:rsidRPr="000224EC">
        <w:t>počas roka</w:t>
      </w:r>
      <w:r w:rsidR="008F75C2">
        <w:t xml:space="preserve"> 2018</w:t>
      </w:r>
      <w:r w:rsidR="008F75C2" w:rsidRPr="000224EC">
        <w:t xml:space="preserve"> boli uhradené aj pohľadávky z</w:t>
      </w:r>
      <w:r w:rsidR="008F75C2">
        <w:t> </w:t>
      </w:r>
      <w:r w:rsidR="008F75C2" w:rsidRPr="000224EC">
        <w:t>pokút</w:t>
      </w:r>
      <w:r w:rsidR="008F75C2">
        <w:t xml:space="preserve"> uložených v</w:t>
      </w:r>
      <w:r w:rsidR="008F75C2" w:rsidRPr="000224EC">
        <w:t xml:space="preserve"> minulých roko</w:t>
      </w:r>
      <w:r w:rsidR="008F75C2">
        <w:t>ch</w:t>
      </w:r>
      <w:r w:rsidR="008F75C2" w:rsidRPr="000224EC">
        <w:t>, skutočn</w:t>
      </w:r>
      <w:r w:rsidR="008F75C2">
        <w:t xml:space="preserve">e dosiahnuté príjmy </w:t>
      </w:r>
      <w:r w:rsidR="00620255">
        <w:t xml:space="preserve">Protimonopolného úradu </w:t>
      </w:r>
      <w:r w:rsidR="008F75C2">
        <w:t>výrazne</w:t>
      </w:r>
      <w:r w:rsidR="008F75C2" w:rsidRPr="000224EC">
        <w:t xml:space="preserve"> </w:t>
      </w:r>
      <w:r w:rsidR="00620255">
        <w:t>prekročili</w:t>
      </w:r>
      <w:r w:rsidR="008F75C2" w:rsidRPr="000224EC">
        <w:t xml:space="preserve"> </w:t>
      </w:r>
      <w:r w:rsidR="008F75C2">
        <w:t>schválený rozpočet, a</w:t>
      </w:r>
      <w:r w:rsidR="003855B7">
        <w:t xml:space="preserve"> </w:t>
      </w:r>
      <w:r w:rsidR="008F75C2">
        <w:t>to o sumu 5 255 tis. </w:t>
      </w:r>
      <w:r w:rsidR="008F75C2" w:rsidRPr="000961B7">
        <w:t>eur.</w:t>
      </w:r>
    </w:p>
    <w:p w14:paraId="0F1CFDA2" w14:textId="38590B2A" w:rsidR="008F75C2" w:rsidRPr="00B93CA0" w:rsidRDefault="008F75C2" w:rsidP="00F81D8D">
      <w:r w:rsidRPr="00E44574">
        <w:rPr>
          <w:b/>
          <w:i/>
        </w:rPr>
        <w:t>Poplatky a</w:t>
      </w:r>
      <w:r w:rsidR="003855B7">
        <w:rPr>
          <w:b/>
          <w:i/>
        </w:rPr>
        <w:t xml:space="preserve"> </w:t>
      </w:r>
      <w:r w:rsidRPr="00E44574">
        <w:rPr>
          <w:b/>
          <w:i/>
        </w:rPr>
        <w:t>platby z nepriemyselného a náhodného predaja</w:t>
      </w:r>
      <w:r w:rsidRPr="00E44574">
        <w:t xml:space="preserve"> prijali kapitoly v celkovej čiastke 52 62</w:t>
      </w:r>
      <w:r w:rsidR="00D120D9">
        <w:t>4</w:t>
      </w:r>
      <w:r w:rsidRPr="00E44574">
        <w:t xml:space="preserve"> tis. eur, z toho najviac za predaj výrobkov, tovarov a služieb (50 472 tis. eur). </w:t>
      </w:r>
      <w:r w:rsidRPr="00FB6DD3">
        <w:t>Ministerstvo dopravy a výstavby SR získalo sumu 18 248 tis. eur</w:t>
      </w:r>
      <w:r>
        <w:t>. Išlo najmä</w:t>
      </w:r>
      <w:r w:rsidRPr="00FB6DD3">
        <w:t xml:space="preserve"> o príjmy Úradu pre reguláciu elektronických komunikácii a</w:t>
      </w:r>
      <w:r w:rsidR="003855B7">
        <w:t xml:space="preserve"> </w:t>
      </w:r>
      <w:r w:rsidRPr="00FB6DD3">
        <w:t>poštových služieb v sume 15</w:t>
      </w:r>
      <w:r>
        <w:t> 290 tis. </w:t>
      </w:r>
      <w:r w:rsidRPr="00FB6DD3">
        <w:t>eur za pravidelné platby zo správy frekvenčného spektra a</w:t>
      </w:r>
      <w:r w:rsidR="003855B7">
        <w:t xml:space="preserve"> </w:t>
      </w:r>
      <w:r w:rsidR="00D120D9">
        <w:t>ekonomickej regulácie.</w:t>
      </w:r>
      <w:r w:rsidR="008B3F75">
        <w:t xml:space="preserve"> </w:t>
      </w:r>
      <w:r w:rsidRPr="00FB6DD3">
        <w:t xml:space="preserve">Ďalej </w:t>
      </w:r>
      <w:r w:rsidR="00A80AAF">
        <w:t>to boli</w:t>
      </w:r>
      <w:r w:rsidR="003855B7">
        <w:t xml:space="preserve"> </w:t>
      </w:r>
      <w:r w:rsidRPr="00FB6DD3">
        <w:t>príjmy</w:t>
      </w:r>
      <w:r w:rsidR="00A80AAF">
        <w:t xml:space="preserve"> samotného</w:t>
      </w:r>
      <w:r w:rsidRPr="00FB6DD3">
        <w:t xml:space="preserve"> úradu</w:t>
      </w:r>
      <w:r>
        <w:t xml:space="preserve"> Ministerstva dopravy a výstavby SR</w:t>
      </w:r>
      <w:r w:rsidRPr="00FB6DD3">
        <w:t xml:space="preserve"> v sume 2</w:t>
      </w:r>
      <w:r>
        <w:t> 339 tis. </w:t>
      </w:r>
      <w:r w:rsidRPr="00FB6DD3">
        <w:t xml:space="preserve">eur, ktoré pozostávali </w:t>
      </w:r>
      <w:r>
        <w:t>najmä</w:t>
      </w:r>
      <w:r w:rsidRPr="00FB6DD3">
        <w:t xml:space="preserve"> z</w:t>
      </w:r>
      <w:r w:rsidR="00A80AAF">
        <w:t> platby sa</w:t>
      </w:r>
      <w:r w:rsidRPr="00FB6DD3">
        <w:t xml:space="preserve"> mý</w:t>
      </w:r>
      <w:r>
        <w:t>t</w:t>
      </w:r>
      <w:r w:rsidR="00A80AAF">
        <w:t>o</w:t>
      </w:r>
      <w:r>
        <w:t xml:space="preserve"> na koncesných cestách od Národnej diaľničnej spoločnosti. Ministerstvo spravodlivosti SR získalo čiastku 15 585 tis. eur </w:t>
      </w:r>
      <w:r>
        <w:rPr>
          <w:bCs/>
        </w:rPr>
        <w:t>najmä</w:t>
      </w:r>
      <w:r w:rsidRPr="004446B4">
        <w:rPr>
          <w:bCs/>
        </w:rPr>
        <w:t xml:space="preserve"> za právne služby</w:t>
      </w:r>
      <w:r w:rsidR="0035143E">
        <w:rPr>
          <w:bCs/>
        </w:rPr>
        <w:t>, náhrady trov preddavkované zo </w:t>
      </w:r>
      <w:r w:rsidRPr="004446B4">
        <w:rPr>
          <w:bCs/>
        </w:rPr>
        <w:t>štátneho rozpočtu (svedočné, znalecké a</w:t>
      </w:r>
      <w:r w:rsidR="003855B7">
        <w:rPr>
          <w:bCs/>
        </w:rPr>
        <w:t xml:space="preserve"> </w:t>
      </w:r>
      <w:r w:rsidRPr="004446B4">
        <w:rPr>
          <w:bCs/>
        </w:rPr>
        <w:t>tlmočnícke úkony), príjmy z vedľajšieho hospodárstva a</w:t>
      </w:r>
      <w:r w:rsidR="003855B7">
        <w:rPr>
          <w:bCs/>
        </w:rPr>
        <w:t xml:space="preserve"> </w:t>
      </w:r>
      <w:r w:rsidRPr="004446B4">
        <w:rPr>
          <w:bCs/>
        </w:rPr>
        <w:t>za lekárske výkony v Zbore väzenskej a</w:t>
      </w:r>
      <w:r w:rsidR="003855B7">
        <w:rPr>
          <w:bCs/>
        </w:rPr>
        <w:t xml:space="preserve"> </w:t>
      </w:r>
      <w:r w:rsidRPr="004446B4">
        <w:rPr>
          <w:bCs/>
        </w:rPr>
        <w:t>justičnej stráže</w:t>
      </w:r>
      <w:r>
        <w:rPr>
          <w:bCs/>
        </w:rPr>
        <w:t xml:space="preserve"> a iné.</w:t>
      </w:r>
      <w:r w:rsidR="00684916">
        <w:t xml:space="preserve"> </w:t>
      </w:r>
      <w:r w:rsidRPr="008B0C1D">
        <w:t>Ministerstvo vnútra SR prijalo čiastku 4 974 tis. eur</w:t>
      </w:r>
      <w:r w:rsidR="00684916">
        <w:t>, napríklad za</w:t>
      </w:r>
      <w:r w:rsidRPr="00B93CA0">
        <w:t xml:space="preserve"> napojen</w:t>
      </w:r>
      <w:r>
        <w:t xml:space="preserve">ie na pulty centrálnej ochrany, </w:t>
      </w:r>
      <w:r w:rsidRPr="00B93CA0">
        <w:t>za ochra</w:t>
      </w:r>
      <w:r w:rsidR="00BE272D">
        <w:t>nu objektov spoločností Jadrová</w:t>
      </w:r>
      <w:r w:rsidRPr="00B93CA0">
        <w:t xml:space="preserve"> a vyraďovacia</w:t>
      </w:r>
      <w:r w:rsidR="003855B7">
        <w:t xml:space="preserve"> spoločnosť, </w:t>
      </w:r>
      <w:r w:rsidRPr="00B93CA0">
        <w:t>a. s. a</w:t>
      </w:r>
      <w:r w:rsidR="00BE272D">
        <w:t xml:space="preserve"> </w:t>
      </w:r>
      <w:r w:rsidRPr="00B93CA0">
        <w:t xml:space="preserve">Atómovej elektrárne, závod Jaslovské Bohunice, služby spojené s fyzickou ochranou Atómovej elektrárne Mochovce, príjmy za záchrannú </w:t>
      </w:r>
      <w:r>
        <w:t>činnosť v horských oblastiach a iné.</w:t>
      </w:r>
    </w:p>
    <w:p w14:paraId="501B6E9A" w14:textId="61833F50" w:rsidR="00136C54" w:rsidRDefault="008F75C2" w:rsidP="00F81D8D">
      <w:r w:rsidRPr="00F913C5">
        <w:rPr>
          <w:b/>
        </w:rPr>
        <w:t xml:space="preserve">Kapitálové príjmy </w:t>
      </w:r>
      <w:r w:rsidRPr="00F913C5">
        <w:t>sú príjmy z predaja hnuteľného aj nehnuteľného majetku v správe jednotlivých kapitol štátneho rozpočtu</w:t>
      </w:r>
      <w:r w:rsidR="00136C54">
        <w:t>, pričom ide najmä o prebytočný alebo neupotrebiteľný majetok štátu</w:t>
      </w:r>
      <w:r w:rsidRPr="00F913C5">
        <w:t>.</w:t>
      </w:r>
      <w:r w:rsidR="00136C54">
        <w:t xml:space="preserve"> Jednotlivé kapitoly štátneho rozpočtu sú zodpovedné za pravidelné vyhodnocovanie fyzického stavu majetku a rozhodnutie o jeho prebytočnosti alebo neupotrebiteľnosti. V návrhu rozpočtu sa premietajú zámery na odpredaj tohto majetku, pričom z dôvodu splnenia legislatívnych podmienok na predaj majetku štátu môže k plneniu tohto zámeru dôjsť až nasledujúce obdobie. Rozpočet predpokladal ka</w:t>
      </w:r>
      <w:r w:rsidR="0035143E">
        <w:t>pitálové príjmy vo výške 44 488 </w:t>
      </w:r>
      <w:r w:rsidR="00136C54">
        <w:t>tis. eur, z toho príjmy z predaja kapitálových aktív 40</w:t>
      </w:r>
      <w:r w:rsidR="0035143E">
        <w:t> </w:t>
      </w:r>
      <w:r w:rsidR="00136C54">
        <w:t>399</w:t>
      </w:r>
      <w:r w:rsidR="0035143E">
        <w:t> </w:t>
      </w:r>
      <w:r w:rsidR="00136C54">
        <w:t>tis.</w:t>
      </w:r>
      <w:r w:rsidR="0035143E">
        <w:t> </w:t>
      </w:r>
      <w:r w:rsidR="00136C54">
        <w:t>eur a prímy z predaja pozemkov 3 769 tis. eur.</w:t>
      </w:r>
      <w:r w:rsidR="00CF6502">
        <w:t xml:space="preserve"> Hotovostné plnenie dosiahlo 10 630 tis. eur, pričom predaj kapitálových aktív dosiahol 8 075 tis. eur a predaj pozemkov 1 874 tis. eur.</w:t>
      </w:r>
    </w:p>
    <w:p w14:paraId="41736D6E" w14:textId="4D2C8848" w:rsidR="00313284" w:rsidRDefault="00313284" w:rsidP="00F81D8D">
      <w:r>
        <w:t xml:space="preserve">Objemovo najväčší rozpočet príjmov tak ako v predchádzajúcich rokoch predpokladala kapitola Ministerstva vnútra SR (aj z dôvodu </w:t>
      </w:r>
      <w:r w:rsidR="003B307E">
        <w:t xml:space="preserve">veľkého </w:t>
      </w:r>
      <w:r>
        <w:t>počtu rozpočtových organizácií v zriaďovateľskej pôsobnosti), a to na úrovni 35 285 tis. eur, z toho z predaja aktív 31 803 tis. eur a z predaja pozemkov 3 481 tis. eur. V skutočnosti sa podarilo zrealizovať predaj majetku úhr</w:t>
      </w:r>
      <w:r w:rsidR="00BF5D19">
        <w:t>nnom za 2 966 </w:t>
      </w:r>
      <w:r>
        <w:t>tis. eur, a to najmä služobných bytov, nebytových priestorov a osobných automobilov. Neplnenie rozpočtu bolo v priebehu roka upravené rozpočtový</w:t>
      </w:r>
      <w:r w:rsidR="00BF5D19">
        <w:t>mi opatreniami na hodnotu 2 907 </w:t>
      </w:r>
      <w:r>
        <w:t>tis. eur.</w:t>
      </w:r>
    </w:p>
    <w:p w14:paraId="40E53EEE" w14:textId="7011058B" w:rsidR="00F44E65" w:rsidRDefault="00623E6E" w:rsidP="00F81D8D">
      <w:r>
        <w:t xml:space="preserve">Ďalšie významné príjmy zaznamenalo </w:t>
      </w:r>
      <w:r w:rsidR="008F75C2">
        <w:t xml:space="preserve">Ministerstvo obrany SR </w:t>
      </w:r>
      <w:r>
        <w:t>(</w:t>
      </w:r>
      <w:r w:rsidR="008F75C2">
        <w:t>3 094 tis. eur</w:t>
      </w:r>
      <w:r>
        <w:t>)</w:t>
      </w:r>
      <w:r w:rsidR="0075264E">
        <w:t xml:space="preserve"> a </w:t>
      </w:r>
      <w:r w:rsidR="008F75C2">
        <w:t xml:space="preserve">Slovenská akadémia vied </w:t>
      </w:r>
      <w:r>
        <w:t>(</w:t>
      </w:r>
      <w:r w:rsidR="008F75C2">
        <w:t>1 382 tis. eur</w:t>
      </w:r>
      <w:r>
        <w:t>)</w:t>
      </w:r>
      <w:r w:rsidR="008F75C2">
        <w:t xml:space="preserve">. </w:t>
      </w:r>
    </w:p>
    <w:p w14:paraId="72772418" w14:textId="40D824A4" w:rsidR="003E7903" w:rsidRPr="000625A0" w:rsidRDefault="008F75C2" w:rsidP="003E7903">
      <w:pPr>
        <w:tabs>
          <w:tab w:val="left" w:pos="284"/>
        </w:tabs>
        <w:suppressAutoHyphens/>
        <w:rPr>
          <w:rFonts w:eastAsia="Calibri"/>
          <w:color w:val="000000" w:themeColor="text1"/>
        </w:rPr>
      </w:pPr>
      <w:r w:rsidRPr="000625A0">
        <w:rPr>
          <w:rFonts w:eastAsia="Calibri"/>
          <w:b/>
          <w:color w:val="000000" w:themeColor="text1"/>
        </w:rPr>
        <w:t xml:space="preserve">Úroky z tuzemských úverov, pôžičiek a návratných finančných výpomocí </w:t>
      </w:r>
      <w:r w:rsidRPr="000625A0">
        <w:rPr>
          <w:rFonts w:eastAsia="Calibri"/>
          <w:color w:val="000000" w:themeColor="text1"/>
        </w:rPr>
        <w:t xml:space="preserve">dosiahli 8 048 tis. eur, </w:t>
      </w:r>
      <w:r w:rsidR="003E7903">
        <w:rPr>
          <w:rFonts w:eastAsia="Calibri"/>
          <w:color w:val="000000" w:themeColor="text1"/>
        </w:rPr>
        <w:t>pričom</w:t>
      </w:r>
      <w:r w:rsidRPr="000625A0">
        <w:rPr>
          <w:rFonts w:eastAsia="Calibri"/>
          <w:color w:val="000000" w:themeColor="text1"/>
        </w:rPr>
        <w:t xml:space="preserve"> kapitol</w:t>
      </w:r>
      <w:r w:rsidR="003E7903">
        <w:rPr>
          <w:rFonts w:eastAsia="Calibri"/>
          <w:color w:val="000000" w:themeColor="text1"/>
        </w:rPr>
        <w:t>a</w:t>
      </w:r>
      <w:r w:rsidRPr="000625A0">
        <w:rPr>
          <w:rFonts w:eastAsia="Calibri"/>
          <w:color w:val="000000" w:themeColor="text1"/>
        </w:rPr>
        <w:t xml:space="preserve"> Všeobecná pokladničná správa</w:t>
      </w:r>
      <w:r w:rsidR="003E7903">
        <w:rPr>
          <w:rFonts w:eastAsia="Calibri"/>
          <w:color w:val="000000" w:themeColor="text1"/>
        </w:rPr>
        <w:t xml:space="preserve"> tvorí takmer 100 % týchto príjmov z dôvodu poskytnutých návratných finančných výpomocí </w:t>
      </w:r>
      <w:r w:rsidR="00BC71DB">
        <w:rPr>
          <w:rFonts w:eastAsia="Calibri"/>
          <w:color w:val="000000" w:themeColor="text1"/>
        </w:rPr>
        <w:t xml:space="preserve">v predchádzajúcich obdobiach </w:t>
      </w:r>
      <w:r w:rsidR="003E7903">
        <w:rPr>
          <w:rFonts w:eastAsia="Calibri"/>
          <w:color w:val="000000" w:themeColor="text1"/>
        </w:rPr>
        <w:t>a úročenia účtov finančného hospodárenia.</w:t>
      </w:r>
    </w:p>
    <w:p w14:paraId="43621BD0" w14:textId="77777777" w:rsidR="003E7903" w:rsidRPr="000625A0" w:rsidRDefault="003E7903" w:rsidP="003E7903">
      <w:pPr>
        <w:tabs>
          <w:tab w:val="left" w:pos="284"/>
        </w:tabs>
        <w:suppressAutoHyphens/>
        <w:rPr>
          <w:rFonts w:eastAsia="Calibri"/>
          <w:b/>
          <w:color w:val="000000" w:themeColor="text1"/>
        </w:rPr>
      </w:pPr>
      <w:r w:rsidRPr="000625A0">
        <w:rPr>
          <w:rFonts w:eastAsia="Calibri"/>
          <w:color w:val="000000" w:themeColor="text1"/>
        </w:rPr>
        <w:t>Úroky z návratných finančných výpomocí v sume 4 745 tis. eur boli prijaté od obce Ľubotice a</w:t>
      </w:r>
      <w:r>
        <w:rPr>
          <w:rFonts w:eastAsia="Calibri"/>
          <w:color w:val="000000" w:themeColor="text1"/>
        </w:rPr>
        <w:t xml:space="preserve"> </w:t>
      </w:r>
      <w:r w:rsidRPr="000625A0">
        <w:rPr>
          <w:rFonts w:eastAsia="Calibri"/>
          <w:color w:val="000000" w:themeColor="text1"/>
        </w:rPr>
        <w:t>Agentúry pre núdzové zásoby ropy a</w:t>
      </w:r>
      <w:r>
        <w:rPr>
          <w:rFonts w:eastAsia="Calibri"/>
          <w:color w:val="000000" w:themeColor="text1"/>
        </w:rPr>
        <w:t xml:space="preserve"> </w:t>
      </w:r>
      <w:r w:rsidRPr="000625A0">
        <w:rPr>
          <w:rFonts w:eastAsia="Calibri"/>
          <w:color w:val="000000" w:themeColor="text1"/>
        </w:rPr>
        <w:t>ropných výrobkov. V tejto sume sú zahrnuté zároveň aj úroky vo výške 80 tis. eur z návratnej finančnej výpomoci poskytnutej zdravotníckym zariadeniam v roku 2009, ktoré splatili Národný ústav detských chorôb Bratislava a Nemocnica s poliklinikou Liptovský Mikuláš.</w:t>
      </w:r>
    </w:p>
    <w:p w14:paraId="25D1CB56" w14:textId="1A98A39E" w:rsidR="003E7903" w:rsidRDefault="008F75C2" w:rsidP="003E7903">
      <w:pPr>
        <w:tabs>
          <w:tab w:val="left" w:pos="284"/>
        </w:tabs>
        <w:suppressAutoHyphens/>
        <w:rPr>
          <w:rFonts w:eastAsia="Calibri"/>
          <w:color w:val="000000" w:themeColor="text1"/>
        </w:rPr>
      </w:pPr>
      <w:r w:rsidRPr="000625A0">
        <w:rPr>
          <w:rFonts w:eastAsia="Calibri"/>
          <w:color w:val="000000" w:themeColor="text1"/>
        </w:rPr>
        <w:t>Úroky z účtov finančného hospodárenia dosiahli sumu 3 302 tis. eur, čo znamená prekročenie rozpočtovanej úrovne o 782 tis. eur. Uvedené</w:t>
      </w:r>
      <w:r w:rsidR="00BE272D">
        <w:rPr>
          <w:rFonts w:eastAsia="Calibri"/>
          <w:color w:val="000000" w:themeColor="text1"/>
        </w:rPr>
        <w:t xml:space="preserve"> </w:t>
      </w:r>
      <w:r w:rsidRPr="000625A0">
        <w:rPr>
          <w:rFonts w:eastAsia="Calibri"/>
          <w:color w:val="000000" w:themeColor="text1"/>
        </w:rPr>
        <w:t>príjmy sú vyššie oproti rozpočtovaným z dôvodu vyšších priemerných zostatkov na účtoch klientov Štátnej pokladnice</w:t>
      </w:r>
      <w:r w:rsidR="003E7903">
        <w:rPr>
          <w:rFonts w:eastAsia="Calibri"/>
          <w:color w:val="000000" w:themeColor="text1"/>
        </w:rPr>
        <w:t>.</w:t>
      </w:r>
      <w:r w:rsidRPr="000625A0">
        <w:rPr>
          <w:rFonts w:eastAsia="Calibri"/>
          <w:color w:val="000000" w:themeColor="text1"/>
        </w:rPr>
        <w:t xml:space="preserve"> </w:t>
      </w:r>
    </w:p>
    <w:p w14:paraId="3FBAD63B" w14:textId="04F68994" w:rsidR="008F75C2" w:rsidRPr="00B02E23" w:rsidRDefault="008F75C2" w:rsidP="003E7903">
      <w:pPr>
        <w:tabs>
          <w:tab w:val="left" w:pos="284"/>
        </w:tabs>
        <w:suppressAutoHyphens/>
        <w:rPr>
          <w:color w:val="000000" w:themeColor="text1"/>
        </w:rPr>
      </w:pPr>
      <w:r w:rsidRPr="00B02E23">
        <w:rPr>
          <w:rFonts w:eastAsia="Calibri"/>
          <w:b/>
          <w:color w:val="000000" w:themeColor="text1"/>
        </w:rPr>
        <w:t>Iné nedaňové príjmy</w:t>
      </w:r>
      <w:r w:rsidRPr="00B02E23">
        <w:rPr>
          <w:rFonts w:eastAsia="Calibri"/>
          <w:color w:val="000000" w:themeColor="text1"/>
        </w:rPr>
        <w:t xml:space="preserve"> tvoria </w:t>
      </w:r>
      <w:r w:rsidR="001A14AF">
        <w:rPr>
          <w:rFonts w:eastAsia="Calibri"/>
          <w:color w:val="000000" w:themeColor="text1"/>
        </w:rPr>
        <w:t>najmä</w:t>
      </w:r>
      <w:r w:rsidRPr="00B02E23">
        <w:rPr>
          <w:rFonts w:eastAsia="Calibri"/>
          <w:color w:val="000000" w:themeColor="text1"/>
        </w:rPr>
        <w:t xml:space="preserve"> odvod z hazardných hier, </w:t>
      </w:r>
      <w:r w:rsidR="001A14AF">
        <w:rPr>
          <w:rFonts w:eastAsia="Calibri"/>
          <w:color w:val="000000" w:themeColor="text1"/>
        </w:rPr>
        <w:t xml:space="preserve">odvod </w:t>
      </w:r>
      <w:r w:rsidR="001A14AF" w:rsidRPr="00340F58">
        <w:rPr>
          <w:rFonts w:eastAsia="Calibri"/>
          <w:color w:val="000000" w:themeColor="text1"/>
        </w:rPr>
        <w:t>prevádzkovateľov distribučných sústav a prenosovej sústavy</w:t>
      </w:r>
      <w:r w:rsidR="001A14AF">
        <w:rPr>
          <w:rFonts w:eastAsia="Calibri"/>
          <w:color w:val="000000" w:themeColor="text1"/>
        </w:rPr>
        <w:t>, ostatné</w:t>
      </w:r>
      <w:r w:rsidR="001A14AF" w:rsidRPr="00B02E23">
        <w:rPr>
          <w:rFonts w:eastAsia="Calibri"/>
          <w:color w:val="000000" w:themeColor="text1"/>
        </w:rPr>
        <w:t xml:space="preserve"> </w:t>
      </w:r>
      <w:r w:rsidR="001A14AF">
        <w:rPr>
          <w:rFonts w:eastAsia="Calibri"/>
          <w:color w:val="000000" w:themeColor="text1"/>
        </w:rPr>
        <w:t xml:space="preserve">odvody a príjem z nezrovnalostí a iných </w:t>
      </w:r>
      <w:proofErr w:type="spellStart"/>
      <w:r w:rsidR="001A14AF">
        <w:rPr>
          <w:rFonts w:eastAsia="Calibri"/>
          <w:color w:val="000000" w:themeColor="text1"/>
        </w:rPr>
        <w:t>vratiek</w:t>
      </w:r>
      <w:proofErr w:type="spellEnd"/>
      <w:r w:rsidR="001A14AF">
        <w:rPr>
          <w:rFonts w:eastAsia="Calibri"/>
          <w:color w:val="000000" w:themeColor="text1"/>
        </w:rPr>
        <w:t xml:space="preserve"> za prostriedky EÚ. </w:t>
      </w:r>
    </w:p>
    <w:p w14:paraId="7DB9654E" w14:textId="3706FCE0" w:rsidR="008F75C2" w:rsidRDefault="008F75C2" w:rsidP="00295A10">
      <w:pPr>
        <w:spacing w:line="360" w:lineRule="auto"/>
      </w:pPr>
      <w:r w:rsidRPr="00B02E23">
        <w:rPr>
          <w:rFonts w:eastAsia="Calibri"/>
          <w:b/>
          <w:i/>
          <w:color w:val="000000" w:themeColor="text1"/>
        </w:rPr>
        <w:t>Príjem z odvodu z hazardných hier</w:t>
      </w:r>
      <w:r w:rsidRPr="00B02E23">
        <w:rPr>
          <w:rFonts w:eastAsia="Calibri"/>
          <w:color w:val="000000" w:themeColor="text1"/>
        </w:rPr>
        <w:t xml:space="preserve"> </w:t>
      </w:r>
      <w:r w:rsidR="008E6BE7">
        <w:rPr>
          <w:rFonts w:eastAsia="Calibri"/>
          <w:color w:val="000000" w:themeColor="text1"/>
        </w:rPr>
        <w:t>je súčasťou rozpočtu</w:t>
      </w:r>
      <w:r w:rsidRPr="00B02E23">
        <w:rPr>
          <w:rFonts w:eastAsia="Calibri"/>
          <w:color w:val="000000" w:themeColor="text1"/>
        </w:rPr>
        <w:t> kapitol</w:t>
      </w:r>
      <w:r w:rsidR="008E6BE7">
        <w:rPr>
          <w:rFonts w:eastAsia="Calibri"/>
          <w:color w:val="000000" w:themeColor="text1"/>
        </w:rPr>
        <w:t>y</w:t>
      </w:r>
      <w:r w:rsidRPr="00B02E23">
        <w:rPr>
          <w:rFonts w:eastAsia="Calibri"/>
          <w:color w:val="000000" w:themeColor="text1"/>
        </w:rPr>
        <w:t xml:space="preserve"> Všeobecná pokladničná správa</w:t>
      </w:r>
      <w:r w:rsidR="008E6BE7">
        <w:rPr>
          <w:rFonts w:eastAsia="Calibri"/>
          <w:color w:val="000000" w:themeColor="text1"/>
        </w:rPr>
        <w:t xml:space="preserve"> a dosiahol</w:t>
      </w:r>
      <w:r w:rsidRPr="00B02E23">
        <w:rPr>
          <w:rFonts w:eastAsia="Calibri"/>
          <w:color w:val="000000" w:themeColor="text1"/>
        </w:rPr>
        <w:t xml:space="preserve"> 224 374 tis. </w:t>
      </w:r>
      <w:r w:rsidRPr="0089645D">
        <w:rPr>
          <w:rFonts w:eastAsia="Calibri"/>
          <w:color w:val="000000" w:themeColor="text1"/>
        </w:rPr>
        <w:t>eur, čo predstavuje 84,7</w:t>
      </w:r>
      <w:r w:rsidR="00CC444F">
        <w:rPr>
          <w:rFonts w:eastAsia="Calibri"/>
          <w:color w:val="000000" w:themeColor="text1"/>
        </w:rPr>
        <w:t> </w:t>
      </w:r>
      <w:r w:rsidRPr="0089645D">
        <w:rPr>
          <w:color w:val="000000" w:themeColor="text1"/>
        </w:rPr>
        <w:t xml:space="preserve">% schváleného rozpočtu. </w:t>
      </w:r>
      <w:r w:rsidRPr="0089645D">
        <w:t xml:space="preserve">Z dôvodu posunutia účinnosti nového zákona o hazardných hrách (zákon č. 30/2019 Z. z.) z roku 2018 na 1. marec 2019 </w:t>
      </w:r>
      <w:r>
        <w:t>došlo</w:t>
      </w:r>
      <w:r w:rsidRPr="0089645D">
        <w:t xml:space="preserve"> k</w:t>
      </w:r>
      <w:r w:rsidR="001B4083">
        <w:t xml:space="preserve"> nižšiemu plneniu </w:t>
      </w:r>
      <w:r w:rsidRPr="0089645D">
        <w:t>príjmov z odvodov z hazardných hier a iných podobných hier</w:t>
      </w:r>
      <w:r w:rsidR="001B4083">
        <w:t xml:space="preserve"> oproti rozpočtu, a to </w:t>
      </w:r>
      <w:r w:rsidRPr="0089645D">
        <w:t>v</w:t>
      </w:r>
      <w:r w:rsidR="0017407C">
        <w:t> </w:t>
      </w:r>
      <w:r w:rsidRPr="0089645D">
        <w:t xml:space="preserve">sume </w:t>
      </w:r>
      <w:r>
        <w:t>65 000 tis. </w:t>
      </w:r>
      <w:r w:rsidRPr="0089645D">
        <w:t>eur</w:t>
      </w:r>
      <w:r w:rsidR="001B4083">
        <w:t>.</w:t>
      </w:r>
      <w:r w:rsidRPr="0089645D">
        <w:t xml:space="preserve"> </w:t>
      </w:r>
      <w:r w:rsidR="001B4083">
        <w:t>T</w:t>
      </w:r>
      <w:r w:rsidRPr="0089645D">
        <w:t>ento výpadok bol zmiernený vyšším plnením príjmov z odvodov z hazardných hier počas roka</w:t>
      </w:r>
      <w:r w:rsidR="001B4083">
        <w:t xml:space="preserve"> 2018</w:t>
      </w:r>
      <w:r w:rsidRPr="0089645D">
        <w:t>.</w:t>
      </w:r>
    </w:p>
    <w:p w14:paraId="4C70534D" w14:textId="1A7FD978" w:rsidR="008F75C2" w:rsidRPr="00695A41" w:rsidRDefault="008F75C2" w:rsidP="008F75C2">
      <w:pPr>
        <w:tabs>
          <w:tab w:val="left" w:pos="284"/>
        </w:tabs>
        <w:suppressAutoHyphens/>
        <w:rPr>
          <w:rFonts w:eastAsia="Calibri"/>
          <w:color w:val="000000" w:themeColor="text1"/>
        </w:rPr>
      </w:pPr>
      <w:r w:rsidRPr="00695A41">
        <w:rPr>
          <w:rFonts w:eastAsia="Calibri"/>
          <w:b/>
          <w:i/>
          <w:color w:val="000000" w:themeColor="text1"/>
        </w:rPr>
        <w:t>Príjmy z odvodu</w:t>
      </w:r>
      <w:r w:rsidRPr="00695A41">
        <w:rPr>
          <w:rFonts w:eastAsia="Calibri"/>
          <w:color w:val="000000" w:themeColor="text1"/>
        </w:rPr>
        <w:t xml:space="preserve"> tvorili finančné prostriedky zo zúčtovania vzťahov</w:t>
      </w:r>
      <w:r w:rsidR="00C945BC">
        <w:rPr>
          <w:rFonts w:eastAsia="Calibri"/>
          <w:color w:val="000000" w:themeColor="text1"/>
        </w:rPr>
        <w:t xml:space="preserve"> </w:t>
      </w:r>
      <w:r w:rsidR="00C945BC" w:rsidRPr="00695A41">
        <w:rPr>
          <w:rFonts w:eastAsia="Calibri"/>
          <w:color w:val="000000" w:themeColor="text1"/>
        </w:rPr>
        <w:t>so štátnym rozpočtom</w:t>
      </w:r>
      <w:r w:rsidR="00C945BC">
        <w:rPr>
          <w:rFonts w:eastAsia="Calibri"/>
          <w:color w:val="000000" w:themeColor="text1"/>
        </w:rPr>
        <w:t xml:space="preserve"> zo</w:t>
      </w:r>
      <w:r w:rsidR="0035143E">
        <w:rPr>
          <w:rFonts w:eastAsia="Calibri"/>
          <w:color w:val="000000" w:themeColor="text1"/>
        </w:rPr>
        <w:t> </w:t>
      </w:r>
      <w:r w:rsidR="00C945BC">
        <w:rPr>
          <w:rFonts w:eastAsia="Calibri"/>
          <w:color w:val="000000" w:themeColor="text1"/>
        </w:rPr>
        <w:t>strany</w:t>
      </w:r>
      <w:r w:rsidRPr="00695A41">
        <w:rPr>
          <w:rFonts w:eastAsia="Calibri"/>
          <w:color w:val="000000" w:themeColor="text1"/>
        </w:rPr>
        <w:t xml:space="preserve"> podnikateľských subjektov, príspevkových a rozpočtových organizácií, ústredných orgánov, neziskových organizácií, obcí a vyšších územných celkov</w:t>
      </w:r>
      <w:r w:rsidR="00C945BC">
        <w:rPr>
          <w:rFonts w:eastAsia="Calibri"/>
          <w:color w:val="000000" w:themeColor="text1"/>
        </w:rPr>
        <w:t>, ktorý tieto štátne prostriedky boli poskytnuté</w:t>
      </w:r>
      <w:r w:rsidRPr="00695A41">
        <w:rPr>
          <w:rFonts w:eastAsia="Calibri"/>
          <w:color w:val="000000" w:themeColor="text1"/>
        </w:rPr>
        <w:t>. V roku 2018</w:t>
      </w:r>
      <w:r w:rsidR="00CC444F">
        <w:rPr>
          <w:rFonts w:eastAsia="Calibri"/>
          <w:color w:val="000000" w:themeColor="text1"/>
        </w:rPr>
        <w:t xml:space="preserve"> objem </w:t>
      </w:r>
      <w:r w:rsidR="00C945BC">
        <w:rPr>
          <w:rFonts w:eastAsia="Calibri"/>
          <w:color w:val="000000" w:themeColor="text1"/>
        </w:rPr>
        <w:t xml:space="preserve">týchto odvodov </w:t>
      </w:r>
      <w:r w:rsidR="00CC444F">
        <w:rPr>
          <w:rFonts w:eastAsia="Calibri"/>
          <w:color w:val="000000" w:themeColor="text1"/>
        </w:rPr>
        <w:t>dosiahol 40 608 tis. </w:t>
      </w:r>
      <w:r w:rsidRPr="00695A41">
        <w:rPr>
          <w:rFonts w:eastAsia="Calibri"/>
          <w:color w:val="000000" w:themeColor="text1"/>
        </w:rPr>
        <w:t xml:space="preserve">eur, z toho </w:t>
      </w:r>
      <w:r w:rsidR="00C945BC">
        <w:rPr>
          <w:rFonts w:eastAsia="Calibri"/>
          <w:color w:val="000000" w:themeColor="text1"/>
        </w:rPr>
        <w:t xml:space="preserve">takmer 100% plnenie </w:t>
      </w:r>
      <w:r w:rsidRPr="00695A41">
        <w:rPr>
          <w:rFonts w:eastAsia="Calibri"/>
          <w:color w:val="000000" w:themeColor="text1"/>
        </w:rPr>
        <w:t>v kapitole Všeobecná pokladničná správa</w:t>
      </w:r>
      <w:r w:rsidR="00C945BC">
        <w:rPr>
          <w:rFonts w:eastAsia="Calibri"/>
          <w:color w:val="000000" w:themeColor="text1"/>
        </w:rPr>
        <w:t xml:space="preserve"> (</w:t>
      </w:r>
      <w:r w:rsidR="00C945BC" w:rsidRPr="00695A41">
        <w:rPr>
          <w:rFonts w:eastAsia="Calibri"/>
          <w:color w:val="000000" w:themeColor="text1"/>
        </w:rPr>
        <w:t>40 601 tis. eur</w:t>
      </w:r>
      <w:r w:rsidR="00C945BC">
        <w:rPr>
          <w:rFonts w:eastAsia="Calibri"/>
          <w:color w:val="000000" w:themeColor="text1"/>
        </w:rPr>
        <w:t>)</w:t>
      </w:r>
      <w:r w:rsidR="00FB6FE9">
        <w:rPr>
          <w:rFonts w:eastAsia="Calibri"/>
          <w:color w:val="000000" w:themeColor="text1"/>
        </w:rPr>
        <w:t>, ktorá vykonáva záverečné zúčtovanie s prijímateľmi prostriedkov ŠR</w:t>
      </w:r>
      <w:r w:rsidRPr="00695A41">
        <w:rPr>
          <w:rFonts w:eastAsia="Calibri"/>
          <w:color w:val="000000" w:themeColor="text1"/>
        </w:rPr>
        <w:t xml:space="preserve">. </w:t>
      </w:r>
      <w:r w:rsidRPr="00695A41">
        <w:t>Najväčší podiel na tejto sume predstavuje príjem z finančného zúčtovania s</w:t>
      </w:r>
      <w:r>
        <w:t> Ministerstvom práce, sociálnych vecí a rodiny SR</w:t>
      </w:r>
      <w:r w:rsidRPr="00695A41">
        <w:t xml:space="preserve"> v sume </w:t>
      </w:r>
      <w:r>
        <w:t>24 998 tis. </w:t>
      </w:r>
      <w:r w:rsidRPr="00695A41">
        <w:t xml:space="preserve">eur, </w:t>
      </w:r>
      <w:r>
        <w:t>Ministerstvom dopravy a výstavby SR</w:t>
      </w:r>
      <w:r w:rsidRPr="00695A41">
        <w:t xml:space="preserve"> v sume </w:t>
      </w:r>
      <w:r>
        <w:t>3 585 tis. </w:t>
      </w:r>
      <w:r w:rsidRPr="00695A41">
        <w:t xml:space="preserve">eur, </w:t>
      </w:r>
      <w:r>
        <w:t>Ministerstvom zdravotníctva SR</w:t>
      </w:r>
      <w:r w:rsidRPr="00695A41">
        <w:t xml:space="preserve"> v sume 2</w:t>
      </w:r>
      <w:r>
        <w:t> 950 tis. </w:t>
      </w:r>
      <w:r w:rsidRPr="00695A41">
        <w:t xml:space="preserve">eur, </w:t>
      </w:r>
      <w:r>
        <w:t>Ministerstvom kultúry SR</w:t>
      </w:r>
      <w:r w:rsidRPr="00695A41">
        <w:t xml:space="preserve"> v sume 2</w:t>
      </w:r>
      <w:r>
        <w:t> 953 </w:t>
      </w:r>
      <w:r w:rsidRPr="00695A41">
        <w:t>tis. eur, Bratislavským samosprávnym krajom v sume 2</w:t>
      </w:r>
      <w:r>
        <w:t> 116 </w:t>
      </w:r>
      <w:r w:rsidRPr="00695A41">
        <w:t>tis. eur a</w:t>
      </w:r>
      <w:r w:rsidR="00BF5D19">
        <w:t xml:space="preserve"> </w:t>
      </w:r>
      <w:r w:rsidRPr="00695A41">
        <w:t xml:space="preserve">mestom Topoľčany v sume </w:t>
      </w:r>
      <w:r>
        <w:t>1 441 </w:t>
      </w:r>
      <w:r w:rsidRPr="00695A41">
        <w:t>tis. eur.</w:t>
      </w:r>
    </w:p>
    <w:p w14:paraId="0C389574" w14:textId="7301F08B" w:rsidR="008F75C2" w:rsidRDefault="008F75C2" w:rsidP="008F75C2">
      <w:pPr>
        <w:tabs>
          <w:tab w:val="left" w:pos="284"/>
        </w:tabs>
        <w:suppressAutoHyphens/>
        <w:rPr>
          <w:rFonts w:eastAsia="Calibri"/>
          <w:color w:val="000000" w:themeColor="text1"/>
        </w:rPr>
      </w:pPr>
      <w:r w:rsidRPr="007B6F43">
        <w:rPr>
          <w:rFonts w:eastAsia="Calibri"/>
          <w:b/>
          <w:i/>
          <w:color w:val="000000" w:themeColor="text1"/>
        </w:rPr>
        <w:t>Vrátené neoprávnene použité alebo zadržané finančné prostriedky</w:t>
      </w:r>
      <w:r w:rsidR="00BE272D">
        <w:rPr>
          <w:color w:val="000000" w:themeColor="text1"/>
        </w:rPr>
        <w:t xml:space="preserve"> sa rozpočtovali vo výške </w:t>
      </w:r>
      <w:r w:rsidRPr="007B6F43">
        <w:rPr>
          <w:color w:val="000000" w:themeColor="text1"/>
        </w:rPr>
        <w:t xml:space="preserve">6 802 tis. eur a v skutočnosti dosiahli 24 262 tis. eur. </w:t>
      </w:r>
      <w:r w:rsidRPr="006071DD">
        <w:rPr>
          <w:color w:val="000000" w:themeColor="text1"/>
        </w:rPr>
        <w:t xml:space="preserve">Tento rozdiel bol spôsobený najmä nezrovnalosťami a inými </w:t>
      </w:r>
      <w:proofErr w:type="spellStart"/>
      <w:r w:rsidRPr="006071DD">
        <w:rPr>
          <w:color w:val="000000" w:themeColor="text1"/>
        </w:rPr>
        <w:t>vratkami</w:t>
      </w:r>
      <w:proofErr w:type="spellEnd"/>
      <w:r w:rsidRPr="006071DD">
        <w:rPr>
          <w:color w:val="000000" w:themeColor="text1"/>
        </w:rPr>
        <w:t xml:space="preserve"> za prostriedky Európskej únie, ktoré pôvodne rozpočtované neboli a dosiahli skutočnosť 19 403 tis. eur. Vrátenia za nezrovnalosti vznikli väčšinou nedodržaním zmluvy o poskytnutí nenávratného finančného príspevku</w:t>
      </w:r>
      <w:r>
        <w:rPr>
          <w:color w:val="000000" w:themeColor="text1"/>
        </w:rPr>
        <w:t xml:space="preserve"> pri realizácii</w:t>
      </w:r>
      <w:r w:rsidRPr="006071DD">
        <w:rPr>
          <w:color w:val="000000" w:themeColor="text1"/>
        </w:rPr>
        <w:t xml:space="preserve"> </w:t>
      </w:r>
      <w:r>
        <w:rPr>
          <w:color w:val="000000" w:themeColor="text1"/>
        </w:rPr>
        <w:t>projektov financovaných z prostriedkov</w:t>
      </w:r>
      <w:r w:rsidRPr="006071DD">
        <w:rPr>
          <w:color w:val="000000" w:themeColor="text1"/>
        </w:rPr>
        <w:t xml:space="preserve"> EÚ zo strany prijímateľov</w:t>
      </w:r>
      <w:r w:rsidR="00DF58B0">
        <w:rPr>
          <w:color w:val="000000" w:themeColor="text1"/>
        </w:rPr>
        <w:t>.</w:t>
      </w:r>
      <w:r>
        <w:rPr>
          <w:rFonts w:eastAsia="Calibri"/>
          <w:color w:val="000000" w:themeColor="text1"/>
        </w:rPr>
        <w:t xml:space="preserve"> </w:t>
      </w:r>
      <w:r w:rsidR="004B6124">
        <w:rPr>
          <w:rFonts w:eastAsia="Calibri"/>
          <w:color w:val="000000" w:themeColor="text1"/>
        </w:rPr>
        <w:t xml:space="preserve">Okrem nezrovnalostí a </w:t>
      </w:r>
      <w:proofErr w:type="spellStart"/>
      <w:r w:rsidRPr="001D5C50">
        <w:rPr>
          <w:rFonts w:eastAsia="Calibri"/>
          <w:color w:val="000000" w:themeColor="text1"/>
        </w:rPr>
        <w:t>vratiek</w:t>
      </w:r>
      <w:proofErr w:type="spellEnd"/>
      <w:r w:rsidRPr="001D5C50">
        <w:rPr>
          <w:rFonts w:eastAsia="Calibri"/>
          <w:color w:val="000000" w:themeColor="text1"/>
        </w:rPr>
        <w:t xml:space="preserve"> za prostriedky EÚ </w:t>
      </w:r>
      <w:r w:rsidR="00DF58B0">
        <w:rPr>
          <w:rFonts w:eastAsia="Calibri"/>
          <w:color w:val="000000" w:themeColor="text1"/>
        </w:rPr>
        <w:t xml:space="preserve">boli </w:t>
      </w:r>
      <w:r w:rsidRPr="001D5C50">
        <w:rPr>
          <w:rFonts w:eastAsia="Calibri"/>
          <w:color w:val="000000" w:themeColor="text1"/>
        </w:rPr>
        <w:t>významn</w:t>
      </w:r>
      <w:r w:rsidR="00DF58B0">
        <w:rPr>
          <w:rFonts w:eastAsia="Calibri"/>
          <w:color w:val="000000" w:themeColor="text1"/>
        </w:rPr>
        <w:t>ým príjmom</w:t>
      </w:r>
      <w:r w:rsidRPr="001D5C50">
        <w:rPr>
          <w:rFonts w:eastAsia="Calibri"/>
          <w:color w:val="000000" w:themeColor="text1"/>
        </w:rPr>
        <w:t xml:space="preserve"> aj vrátené neoprávnene použité alebo zadržané finančné prostriedky od fyzických osôb (4 047 tis. eur). </w:t>
      </w:r>
    </w:p>
    <w:p w14:paraId="6CC02399" w14:textId="208E7D54" w:rsidR="00ED4D98" w:rsidRPr="00B97374" w:rsidRDefault="005E557B" w:rsidP="00ED4D98">
      <w:pPr>
        <w:tabs>
          <w:tab w:val="left" w:pos="284"/>
        </w:tabs>
        <w:suppressAutoHyphens/>
        <w:rPr>
          <w:rFonts w:eastAsia="Calibri"/>
          <w:color w:val="000000" w:themeColor="text1"/>
        </w:rPr>
      </w:pPr>
      <w:r w:rsidRPr="006C0351">
        <w:rPr>
          <w:rFonts w:eastAsia="Calibri"/>
          <w:b/>
          <w:i/>
          <w:color w:val="000000" w:themeColor="text1"/>
        </w:rPr>
        <w:t xml:space="preserve">Zvyšnú časť iných nedaňových </w:t>
      </w:r>
      <w:r w:rsidRPr="00A265D6">
        <w:rPr>
          <w:rFonts w:eastAsia="Calibri"/>
          <w:b/>
          <w:i/>
          <w:color w:val="000000" w:themeColor="text1"/>
        </w:rPr>
        <w:t xml:space="preserve">príjmov </w:t>
      </w:r>
      <w:r w:rsidRPr="00A265D6">
        <w:rPr>
          <w:rFonts w:eastAsia="Calibri"/>
          <w:color w:val="000000" w:themeColor="text1"/>
        </w:rPr>
        <w:t xml:space="preserve">v hodnote 107 732 tis. eur tvorili </w:t>
      </w:r>
      <w:r w:rsidR="006C0351" w:rsidRPr="00A265D6">
        <w:rPr>
          <w:rFonts w:eastAsia="Calibri"/>
          <w:color w:val="000000" w:themeColor="text1"/>
        </w:rPr>
        <w:t xml:space="preserve">najmä </w:t>
      </w:r>
      <w:r w:rsidRPr="00A265D6">
        <w:rPr>
          <w:rFonts w:eastAsia="Calibri"/>
          <w:color w:val="000000" w:themeColor="text1"/>
        </w:rPr>
        <w:t xml:space="preserve">príjmy </w:t>
      </w:r>
      <w:r w:rsidR="00ED4D98" w:rsidRPr="00A265D6">
        <w:rPr>
          <w:rFonts w:eastAsia="Calibri"/>
          <w:color w:val="000000" w:themeColor="text1"/>
        </w:rPr>
        <w:t>kapitol</w:t>
      </w:r>
      <w:r w:rsidRPr="00A265D6">
        <w:rPr>
          <w:rFonts w:eastAsia="Calibri"/>
          <w:color w:val="000000" w:themeColor="text1"/>
        </w:rPr>
        <w:t>y</w:t>
      </w:r>
      <w:r w:rsidR="00ED4D98" w:rsidRPr="00A265D6">
        <w:rPr>
          <w:rFonts w:eastAsia="Calibri"/>
          <w:color w:val="000000" w:themeColor="text1"/>
        </w:rPr>
        <w:t xml:space="preserve"> Ministerstva hospodárstva SR, a</w:t>
      </w:r>
      <w:r w:rsidR="00223DE6" w:rsidRPr="00A265D6">
        <w:rPr>
          <w:rFonts w:eastAsia="Calibri"/>
          <w:color w:val="000000" w:themeColor="text1"/>
        </w:rPr>
        <w:t xml:space="preserve"> to </w:t>
      </w:r>
      <w:r w:rsidR="00ED4D98" w:rsidRPr="00A265D6">
        <w:rPr>
          <w:rFonts w:eastAsia="Calibri"/>
          <w:color w:val="000000" w:themeColor="text1"/>
        </w:rPr>
        <w:t>od</w:t>
      </w:r>
      <w:r w:rsidR="006C0351" w:rsidRPr="00A265D6">
        <w:rPr>
          <w:rFonts w:eastAsia="Calibri"/>
          <w:color w:val="000000" w:themeColor="text1"/>
        </w:rPr>
        <w:t>vody</w:t>
      </w:r>
      <w:r w:rsidR="00ED4D98" w:rsidRPr="00A265D6">
        <w:rPr>
          <w:rFonts w:eastAsia="Calibri"/>
          <w:color w:val="000000" w:themeColor="text1"/>
        </w:rPr>
        <w:t xml:space="preserve"> prevádzkovateľov distribučných sústav a prenosovej sústavy, ktorí sú povinní odvádzať do štátneho rozpočtu odvod z množstva elektriny dodanej koncovým odberateľom elektriny</w:t>
      </w:r>
      <w:r w:rsidR="00223DE6" w:rsidRPr="00A265D6">
        <w:rPr>
          <w:rFonts w:eastAsia="Calibri"/>
          <w:color w:val="000000" w:themeColor="text1"/>
        </w:rPr>
        <w:t xml:space="preserve"> (7</w:t>
      </w:r>
      <w:r w:rsidR="006C0351" w:rsidRPr="00A265D6">
        <w:rPr>
          <w:rFonts w:eastAsia="Calibri"/>
          <w:color w:val="000000" w:themeColor="text1"/>
        </w:rPr>
        <w:t>4 923</w:t>
      </w:r>
      <w:r w:rsidR="00223DE6" w:rsidRPr="00A265D6">
        <w:rPr>
          <w:rFonts w:eastAsia="Calibri"/>
          <w:color w:val="000000" w:themeColor="text1"/>
        </w:rPr>
        <w:t> tis. eur),</w:t>
      </w:r>
      <w:r w:rsidR="00223DE6">
        <w:rPr>
          <w:rFonts w:eastAsia="Calibri"/>
          <w:color w:val="000000" w:themeColor="text1"/>
        </w:rPr>
        <w:t xml:space="preserve"> príjmy </w:t>
      </w:r>
      <w:r w:rsidR="00ED4D98" w:rsidRPr="00B97374">
        <w:rPr>
          <w:rFonts w:eastAsia="Calibri"/>
          <w:color w:val="000000" w:themeColor="text1"/>
        </w:rPr>
        <w:t>kapitol</w:t>
      </w:r>
      <w:r w:rsidR="00223DE6">
        <w:rPr>
          <w:rFonts w:eastAsia="Calibri"/>
          <w:color w:val="000000" w:themeColor="text1"/>
        </w:rPr>
        <w:t>y</w:t>
      </w:r>
      <w:r w:rsidR="00ED4D98" w:rsidRPr="00B97374">
        <w:rPr>
          <w:rFonts w:eastAsia="Calibri"/>
          <w:color w:val="000000" w:themeColor="text1"/>
        </w:rPr>
        <w:t xml:space="preserve"> Ministerstva spravodlivosti SR najmä z úhrad trov konania a výkonu väzby a</w:t>
      </w:r>
      <w:r w:rsidR="00ED4D98">
        <w:rPr>
          <w:rFonts w:eastAsia="Calibri"/>
          <w:color w:val="000000" w:themeColor="text1"/>
        </w:rPr>
        <w:t xml:space="preserve"> </w:t>
      </w:r>
      <w:r w:rsidR="00ED4D98" w:rsidRPr="00B97374">
        <w:rPr>
          <w:rFonts w:eastAsia="Calibri"/>
          <w:color w:val="000000" w:themeColor="text1"/>
        </w:rPr>
        <w:t>výkonu trestu odňatia slobody, z úhrad pohľadávok obvinených a odsúdených, z prepadnutých kaucií,</w:t>
      </w:r>
      <w:r w:rsidR="00ED4D98">
        <w:rPr>
          <w:rFonts w:eastAsia="Calibri"/>
          <w:color w:val="000000" w:themeColor="text1"/>
        </w:rPr>
        <w:t xml:space="preserve"> zábezpek, z prepísaných mánk a </w:t>
      </w:r>
      <w:r w:rsidR="00ED4D98" w:rsidRPr="00B97374">
        <w:rPr>
          <w:rFonts w:eastAsia="Calibri"/>
          <w:color w:val="000000" w:themeColor="text1"/>
        </w:rPr>
        <w:t>škôd a</w:t>
      </w:r>
      <w:r w:rsidR="00223DE6">
        <w:rPr>
          <w:rFonts w:eastAsia="Calibri"/>
          <w:color w:val="000000" w:themeColor="text1"/>
        </w:rPr>
        <w:t> </w:t>
      </w:r>
      <w:r w:rsidR="00ED4D98" w:rsidRPr="00B97374">
        <w:rPr>
          <w:rFonts w:eastAsia="Calibri"/>
          <w:color w:val="000000" w:themeColor="text1"/>
        </w:rPr>
        <w:t>iných</w:t>
      </w:r>
      <w:r w:rsidR="00223DE6">
        <w:rPr>
          <w:rFonts w:eastAsia="Calibri"/>
          <w:color w:val="000000" w:themeColor="text1"/>
        </w:rPr>
        <w:t xml:space="preserve"> (</w:t>
      </w:r>
      <w:r w:rsidR="00223DE6" w:rsidRPr="00B97374">
        <w:rPr>
          <w:rFonts w:eastAsia="Calibri"/>
          <w:color w:val="000000" w:themeColor="text1"/>
        </w:rPr>
        <w:t>8 920 tis. eur</w:t>
      </w:r>
      <w:r w:rsidR="00223DE6">
        <w:rPr>
          <w:rFonts w:eastAsia="Calibri"/>
          <w:color w:val="000000" w:themeColor="text1"/>
        </w:rPr>
        <w:t>)</w:t>
      </w:r>
      <w:r w:rsidR="00223DE6" w:rsidRPr="00B97374">
        <w:rPr>
          <w:rFonts w:eastAsia="Calibri"/>
          <w:color w:val="000000" w:themeColor="text1"/>
        </w:rPr>
        <w:t>.</w:t>
      </w:r>
      <w:r w:rsidR="00223DE6">
        <w:rPr>
          <w:rFonts w:eastAsia="Calibri"/>
          <w:color w:val="000000" w:themeColor="text1"/>
        </w:rPr>
        <w:t xml:space="preserve"> príjmy kapitoly </w:t>
      </w:r>
      <w:r w:rsidR="00ED4D98" w:rsidRPr="00B4463F">
        <w:rPr>
          <w:rFonts w:eastAsia="Calibri"/>
          <w:color w:val="000000" w:themeColor="text1"/>
        </w:rPr>
        <w:t>Ministerstv</w:t>
      </w:r>
      <w:r w:rsidR="00223DE6">
        <w:rPr>
          <w:rFonts w:eastAsia="Calibri"/>
          <w:color w:val="000000" w:themeColor="text1"/>
        </w:rPr>
        <w:t>a</w:t>
      </w:r>
      <w:r w:rsidR="00ED4D98" w:rsidRPr="00B4463F">
        <w:rPr>
          <w:rFonts w:eastAsia="Calibri"/>
          <w:color w:val="000000" w:themeColor="text1"/>
        </w:rPr>
        <w:t xml:space="preserve"> vnútra SR </w:t>
      </w:r>
      <w:r w:rsidR="00223DE6">
        <w:rPr>
          <w:rFonts w:eastAsia="Calibri"/>
          <w:color w:val="000000" w:themeColor="text1"/>
        </w:rPr>
        <w:t>za</w:t>
      </w:r>
      <w:r w:rsidR="00ED4D98" w:rsidRPr="00FD5446">
        <w:rPr>
          <w:rFonts w:eastAsia="Calibri"/>
          <w:color w:val="000000" w:themeColor="text1"/>
        </w:rPr>
        <w:t xml:space="preserve"> odvody za odňatie poľnohospodárskej pôdy a</w:t>
      </w:r>
      <w:r w:rsidR="00ED4D98">
        <w:rPr>
          <w:rFonts w:eastAsia="Calibri"/>
          <w:color w:val="000000" w:themeColor="text1"/>
        </w:rPr>
        <w:t xml:space="preserve"> </w:t>
      </w:r>
      <w:r w:rsidR="00ED4D98" w:rsidRPr="00FD5446">
        <w:rPr>
          <w:rFonts w:eastAsia="Calibri"/>
          <w:color w:val="000000" w:themeColor="text1"/>
        </w:rPr>
        <w:t>lesnej pôdy, príjmy z predpísaných mánk a škôd, príjmy z trov konania, príjmy z dedičského konania, príjmy z poplatkov za obnovu evidencie pozemkov a</w:t>
      </w:r>
      <w:r w:rsidR="00223DE6">
        <w:rPr>
          <w:rFonts w:eastAsia="Calibri"/>
          <w:color w:val="000000" w:themeColor="text1"/>
        </w:rPr>
        <w:t> </w:t>
      </w:r>
      <w:r w:rsidR="00ED4D98" w:rsidRPr="00FD5446">
        <w:rPr>
          <w:rFonts w:eastAsia="Calibri"/>
          <w:color w:val="000000" w:themeColor="text1"/>
        </w:rPr>
        <w:t>iné</w:t>
      </w:r>
      <w:r w:rsidR="00223DE6">
        <w:rPr>
          <w:rFonts w:eastAsia="Calibri"/>
          <w:color w:val="000000" w:themeColor="text1"/>
        </w:rPr>
        <w:t xml:space="preserve"> (</w:t>
      </w:r>
      <w:r w:rsidR="00223DE6" w:rsidRPr="00B4463F">
        <w:rPr>
          <w:rFonts w:eastAsia="Calibri"/>
          <w:color w:val="000000" w:themeColor="text1"/>
        </w:rPr>
        <w:t>6 716 tis. eur.</w:t>
      </w:r>
      <w:r w:rsidR="00223DE6">
        <w:rPr>
          <w:rFonts w:eastAsia="Calibri"/>
          <w:color w:val="000000" w:themeColor="text1"/>
        </w:rPr>
        <w:t>)</w:t>
      </w:r>
      <w:r w:rsidR="00ED4D98" w:rsidRPr="00FD5446">
        <w:rPr>
          <w:rFonts w:eastAsia="Calibri"/>
          <w:color w:val="000000" w:themeColor="text1"/>
        </w:rPr>
        <w:t xml:space="preserve">. </w:t>
      </w:r>
    </w:p>
    <w:p w14:paraId="4991A8DA" w14:textId="224CF993" w:rsidR="008F75C2" w:rsidRPr="004B6124" w:rsidRDefault="008F75C2" w:rsidP="008F75C2">
      <w:pPr>
        <w:tabs>
          <w:tab w:val="left" w:pos="284"/>
        </w:tabs>
        <w:suppressAutoHyphens/>
        <w:rPr>
          <w:b/>
          <w:color w:val="000000" w:themeColor="text1"/>
        </w:rPr>
      </w:pPr>
      <w:r w:rsidRPr="004B6124">
        <w:rPr>
          <w:b/>
          <w:i/>
          <w:color w:val="000000" w:themeColor="text1"/>
        </w:rPr>
        <w:t>Podrobné údaje o plnení nedaňových príjmov štátneho rozpočtu v</w:t>
      </w:r>
      <w:r w:rsidR="004B6124">
        <w:rPr>
          <w:b/>
          <w:i/>
          <w:color w:val="000000" w:themeColor="text1"/>
        </w:rPr>
        <w:t> roku 2018 sú uvedené v tab. </w:t>
      </w:r>
      <w:r w:rsidR="00BE272D" w:rsidRPr="004B6124">
        <w:rPr>
          <w:b/>
          <w:i/>
          <w:color w:val="000000" w:themeColor="text1"/>
        </w:rPr>
        <w:t>č. </w:t>
      </w:r>
      <w:r w:rsidRPr="004B6124">
        <w:rPr>
          <w:b/>
          <w:i/>
          <w:color w:val="000000" w:themeColor="text1"/>
        </w:rPr>
        <w:t>3 tabuľkovej prílohy štátneho záverečného účtu.</w:t>
      </w:r>
    </w:p>
    <w:p w14:paraId="722FFD5E" w14:textId="104444A9" w:rsidR="008254BE" w:rsidRDefault="008254BE" w:rsidP="00C34E95">
      <w:pPr>
        <w:pStyle w:val="Nadpis3"/>
      </w:pPr>
      <w:bookmarkStart w:id="43" w:name="_Toc6415644"/>
      <w:bookmarkStart w:id="44" w:name="_Toc7502836"/>
      <w:r>
        <w:t>Granty a</w:t>
      </w:r>
      <w:r w:rsidR="00B36DAC">
        <w:t> </w:t>
      </w:r>
      <w:r>
        <w:t>transfery</w:t>
      </w:r>
      <w:bookmarkEnd w:id="43"/>
      <w:bookmarkEnd w:id="44"/>
    </w:p>
    <w:p w14:paraId="260AC344" w14:textId="5116204E" w:rsidR="00B36DAC" w:rsidRPr="0078707C" w:rsidRDefault="00B36DAC" w:rsidP="00B36DAC">
      <w:pPr>
        <w:rPr>
          <w:color w:val="000000" w:themeColor="text1"/>
        </w:rPr>
      </w:pPr>
      <w:r w:rsidRPr="00B921FF">
        <w:rPr>
          <w:color w:val="000000" w:themeColor="text1"/>
        </w:rPr>
        <w:t>Granty a transfery boli na rok 2018 rozpočtované v celkovej výške 1 412 473 tis. eur (z toho tuzemské v čiastke 34</w:t>
      </w:r>
      <w:r w:rsidR="00B36E22">
        <w:rPr>
          <w:color w:val="000000" w:themeColor="text1"/>
        </w:rPr>
        <w:t> </w:t>
      </w:r>
      <w:r w:rsidRPr="00B921FF">
        <w:rPr>
          <w:color w:val="000000" w:themeColor="text1"/>
        </w:rPr>
        <w:t>054</w:t>
      </w:r>
      <w:r w:rsidR="00B36E22">
        <w:rPr>
          <w:color w:val="000000" w:themeColor="text1"/>
        </w:rPr>
        <w:t> </w:t>
      </w:r>
      <w:r w:rsidRPr="00B921FF">
        <w:rPr>
          <w:color w:val="000000" w:themeColor="text1"/>
        </w:rPr>
        <w:t>tis.</w:t>
      </w:r>
      <w:r w:rsidR="00B36E22">
        <w:rPr>
          <w:color w:val="000000" w:themeColor="text1"/>
        </w:rPr>
        <w:t> </w:t>
      </w:r>
      <w:r w:rsidRPr="00B921FF">
        <w:rPr>
          <w:color w:val="000000" w:themeColor="text1"/>
        </w:rPr>
        <w:t>eur), čo je oproti roku 201</w:t>
      </w:r>
      <w:r w:rsidRPr="00F74A60">
        <w:rPr>
          <w:color w:val="000000" w:themeColor="text1"/>
        </w:rPr>
        <w:t>7 menej o 1 286 105 tis. eur. Skutočné príjm</w:t>
      </w:r>
      <w:r w:rsidR="00B36E22">
        <w:rPr>
          <w:color w:val="000000" w:themeColor="text1"/>
        </w:rPr>
        <w:t xml:space="preserve">y štátneho rozpočtu z grantov a </w:t>
      </w:r>
      <w:r w:rsidRPr="00F74A60">
        <w:rPr>
          <w:color w:val="000000" w:themeColor="text1"/>
        </w:rPr>
        <w:t>transferov dos</w:t>
      </w:r>
      <w:r w:rsidR="00B36E22">
        <w:rPr>
          <w:color w:val="000000" w:themeColor="text1"/>
        </w:rPr>
        <w:t xml:space="preserve">iahli sumu 2 203 634 tis. eur a </w:t>
      </w:r>
      <w:r w:rsidR="00BF5D19">
        <w:rPr>
          <w:color w:val="000000" w:themeColor="text1"/>
        </w:rPr>
        <w:t>v porovnaní s </w:t>
      </w:r>
      <w:r w:rsidRPr="00F74A60">
        <w:rPr>
          <w:color w:val="000000" w:themeColor="text1"/>
        </w:rPr>
        <w:t xml:space="preserve">rokom 2017 je to viac </w:t>
      </w:r>
      <w:r w:rsidRPr="0078707C">
        <w:rPr>
          <w:color w:val="000000" w:themeColor="text1"/>
        </w:rPr>
        <w:t>o 727 272 tis. eur.</w:t>
      </w:r>
      <w:r w:rsidR="000C0B4D">
        <w:rPr>
          <w:color w:val="000000" w:themeColor="text1"/>
        </w:rPr>
        <w:t xml:space="preserve"> Rozhodujúcu časť týchto prostriedkov tvoria zdroje z rozpočtu EÚ alokované a čerpané v rámci </w:t>
      </w:r>
      <w:r w:rsidR="000C0B4D" w:rsidRPr="00A265D6">
        <w:rPr>
          <w:color w:val="000000" w:themeColor="text1"/>
        </w:rPr>
        <w:t>príslušného programov</w:t>
      </w:r>
      <w:r w:rsidR="00880F52" w:rsidRPr="00A265D6">
        <w:rPr>
          <w:color w:val="000000" w:themeColor="text1"/>
        </w:rPr>
        <w:t>ého</w:t>
      </w:r>
      <w:r w:rsidR="000C0B4D">
        <w:rPr>
          <w:color w:val="000000" w:themeColor="text1"/>
        </w:rPr>
        <w:t xml:space="preserve"> obdobia.</w:t>
      </w:r>
    </w:p>
    <w:p w14:paraId="69D51A24" w14:textId="7B8BEB12" w:rsidR="003E19FA" w:rsidRPr="003E19FA" w:rsidRDefault="00B36DAC" w:rsidP="003E19FA">
      <w:pPr>
        <w:rPr>
          <w:rFonts w:ascii="Arial Narrow" w:hAnsi="Arial Narrow"/>
          <w:szCs w:val="36"/>
          <w:highlight w:val="yellow"/>
        </w:rPr>
      </w:pPr>
      <w:r w:rsidRPr="0078707C">
        <w:rPr>
          <w:color w:val="000000" w:themeColor="text1"/>
        </w:rPr>
        <w:t>Súhrnný prehľad o plnení grantov a transferov poskytuje nasledovná tabuľka:</w:t>
      </w:r>
      <w:r w:rsidRPr="00EE2EAE">
        <w:rPr>
          <w:sz w:val="24"/>
          <w:szCs w:val="24"/>
          <w:highlight w:val="yellow"/>
        </w:rPr>
        <w:fldChar w:fldCharType="begin"/>
      </w:r>
      <w:r w:rsidRPr="00EE2EAE">
        <w:rPr>
          <w:highlight w:val="yellow"/>
        </w:rPr>
        <w:instrText xml:space="preserve"> LINK </w:instrText>
      </w:r>
      <w:r w:rsidR="003E19FA">
        <w:rPr>
          <w:highlight w:val="yellow"/>
        </w:rPr>
        <w:instrText xml:space="preserve">Excel.Sheet.12 "C:\\Users\\ikovacova\\Documents\\ŠZÚ\\ŠZÚ 2018\\Tabuľky do textu 2018.xlsx" "Granty a transfery!R5C2:R12C8" </w:instrText>
      </w:r>
      <w:r w:rsidRPr="00EE2EAE">
        <w:rPr>
          <w:highlight w:val="yellow"/>
        </w:rPr>
        <w:instrText xml:space="preserve">\a \f 4 \h </w:instrText>
      </w:r>
      <w:r>
        <w:rPr>
          <w:highlight w:val="yellow"/>
        </w:rPr>
        <w:instrText xml:space="preserve"> \* MERGEFORMAT </w:instrText>
      </w:r>
      <w:r w:rsidRPr="00EE2EAE">
        <w:rPr>
          <w:sz w:val="24"/>
          <w:szCs w:val="24"/>
          <w:highlight w:val="yellow"/>
        </w:rPr>
        <w:fldChar w:fldCharType="separate"/>
      </w:r>
    </w:p>
    <w:tbl>
      <w:tblPr>
        <w:tblW w:w="8527" w:type="dxa"/>
        <w:tblCellMar>
          <w:left w:w="70" w:type="dxa"/>
          <w:right w:w="70" w:type="dxa"/>
        </w:tblCellMar>
        <w:tblLook w:val="04A0" w:firstRow="1" w:lastRow="0" w:firstColumn="1" w:lastColumn="0" w:noHBand="0" w:noVBand="1"/>
      </w:tblPr>
      <w:tblGrid>
        <w:gridCol w:w="2967"/>
        <w:gridCol w:w="992"/>
        <w:gridCol w:w="1019"/>
        <w:gridCol w:w="966"/>
        <w:gridCol w:w="1117"/>
        <w:gridCol w:w="850"/>
        <w:gridCol w:w="714"/>
      </w:tblGrid>
      <w:tr w:rsidR="00D82E5B" w:rsidRPr="00D82E5B" w14:paraId="399319A6" w14:textId="77777777" w:rsidTr="00DD0108">
        <w:trPr>
          <w:divId w:val="672996393"/>
          <w:trHeight w:val="330"/>
        </w:trPr>
        <w:tc>
          <w:tcPr>
            <w:tcW w:w="8527" w:type="dxa"/>
            <w:gridSpan w:val="7"/>
            <w:tcBorders>
              <w:top w:val="nil"/>
              <w:left w:val="single" w:sz="8" w:space="0" w:color="auto"/>
              <w:bottom w:val="nil"/>
              <w:right w:val="nil"/>
            </w:tcBorders>
            <w:shd w:val="clear" w:color="000000" w:fill="000000"/>
            <w:vAlign w:val="center"/>
            <w:hideMark/>
          </w:tcPr>
          <w:p w14:paraId="55FF2DF6" w14:textId="684AAC52" w:rsidR="00D82E5B" w:rsidRPr="00D82E5B" w:rsidRDefault="00D82E5B" w:rsidP="00D82E5B">
            <w:pPr>
              <w:spacing w:after="0" w:line="240" w:lineRule="auto"/>
              <w:jc w:val="left"/>
              <w:rPr>
                <w:rFonts w:eastAsia="Times New Roman" w:cs="Times New Roman"/>
                <w:b/>
                <w:bCs/>
                <w:color w:val="FFFFFF"/>
                <w:sz w:val="20"/>
                <w:szCs w:val="20"/>
                <w:lang w:eastAsia="sk-SK"/>
              </w:rPr>
            </w:pPr>
            <w:r w:rsidRPr="00D82E5B">
              <w:rPr>
                <w:rFonts w:eastAsia="Times New Roman" w:cs="Times New Roman"/>
                <w:b/>
                <w:bCs/>
                <w:color w:val="FFFFFF"/>
                <w:sz w:val="20"/>
                <w:szCs w:val="20"/>
                <w:lang w:eastAsia="sk-SK"/>
              </w:rPr>
              <w:t>Granty a transfery                                                                                                                         v tis. eur</w:t>
            </w:r>
          </w:p>
        </w:tc>
      </w:tr>
      <w:tr w:rsidR="003E19FA" w:rsidRPr="00D82E5B" w14:paraId="041A40E3" w14:textId="77777777" w:rsidTr="00D82E5B">
        <w:tblPrEx>
          <w:tblCellMar>
            <w:left w:w="67" w:type="dxa"/>
            <w:right w:w="67" w:type="dxa"/>
          </w:tblCellMar>
        </w:tblPrEx>
        <w:trPr>
          <w:divId w:val="672996393"/>
          <w:trHeight w:val="316"/>
        </w:trPr>
        <w:tc>
          <w:tcPr>
            <w:tcW w:w="2967" w:type="dxa"/>
            <w:tcBorders>
              <w:top w:val="nil"/>
              <w:left w:val="nil"/>
              <w:bottom w:val="nil"/>
              <w:right w:val="nil"/>
            </w:tcBorders>
            <w:shd w:val="clear" w:color="000000" w:fill="BFBFBF"/>
            <w:vAlign w:val="center"/>
            <w:hideMark/>
          </w:tcPr>
          <w:p w14:paraId="5B4BC2A1" w14:textId="77777777" w:rsidR="003E19FA" w:rsidRPr="00D82E5B" w:rsidRDefault="003E19FA" w:rsidP="003E19FA">
            <w:pPr>
              <w:spacing w:after="0" w:line="240" w:lineRule="auto"/>
              <w:jc w:val="left"/>
              <w:rPr>
                <w:b/>
                <w:bCs/>
                <w:sz w:val="20"/>
                <w:szCs w:val="20"/>
                <w:lang w:eastAsia="sk-SK"/>
              </w:rPr>
            </w:pPr>
            <w:r w:rsidRPr="00D82E5B">
              <w:rPr>
                <w:b/>
                <w:bCs/>
                <w:sz w:val="20"/>
                <w:szCs w:val="20"/>
                <w:lang w:eastAsia="sk-SK"/>
              </w:rPr>
              <w:t> </w:t>
            </w:r>
          </w:p>
        </w:tc>
        <w:tc>
          <w:tcPr>
            <w:tcW w:w="2011" w:type="dxa"/>
            <w:gridSpan w:val="2"/>
            <w:tcBorders>
              <w:top w:val="nil"/>
              <w:left w:val="nil"/>
              <w:bottom w:val="nil"/>
              <w:right w:val="nil"/>
            </w:tcBorders>
            <w:shd w:val="clear" w:color="000000" w:fill="BFBFBF"/>
            <w:vAlign w:val="center"/>
            <w:hideMark/>
          </w:tcPr>
          <w:p w14:paraId="047685B7" w14:textId="77777777" w:rsidR="003E19FA" w:rsidRPr="00D82E5B" w:rsidRDefault="003E19FA" w:rsidP="003E19FA">
            <w:pPr>
              <w:spacing w:after="0" w:line="240" w:lineRule="auto"/>
              <w:jc w:val="center"/>
              <w:rPr>
                <w:b/>
                <w:bCs/>
                <w:sz w:val="20"/>
                <w:szCs w:val="20"/>
                <w:lang w:eastAsia="sk-SK"/>
              </w:rPr>
            </w:pPr>
            <w:r w:rsidRPr="00D82E5B">
              <w:rPr>
                <w:b/>
                <w:bCs/>
                <w:sz w:val="20"/>
                <w:szCs w:val="20"/>
                <w:lang w:eastAsia="sk-SK"/>
              </w:rPr>
              <w:t>Skutočnosť</w:t>
            </w:r>
          </w:p>
        </w:tc>
        <w:tc>
          <w:tcPr>
            <w:tcW w:w="966" w:type="dxa"/>
            <w:tcBorders>
              <w:top w:val="nil"/>
              <w:left w:val="nil"/>
              <w:bottom w:val="nil"/>
              <w:right w:val="nil"/>
            </w:tcBorders>
            <w:shd w:val="clear" w:color="000000" w:fill="BFBFBF"/>
            <w:vAlign w:val="center"/>
            <w:hideMark/>
          </w:tcPr>
          <w:p w14:paraId="51F46E2F" w14:textId="77777777" w:rsidR="003E19FA" w:rsidRPr="00D82E5B" w:rsidRDefault="003E19FA" w:rsidP="003E19FA">
            <w:pPr>
              <w:spacing w:after="0" w:line="240" w:lineRule="auto"/>
              <w:jc w:val="center"/>
              <w:rPr>
                <w:b/>
                <w:bCs/>
                <w:sz w:val="20"/>
                <w:szCs w:val="20"/>
                <w:lang w:eastAsia="sk-SK"/>
              </w:rPr>
            </w:pPr>
            <w:r w:rsidRPr="00D82E5B">
              <w:rPr>
                <w:b/>
                <w:bCs/>
                <w:sz w:val="20"/>
                <w:szCs w:val="20"/>
                <w:lang w:eastAsia="sk-SK"/>
              </w:rPr>
              <w:t>Rozpočet</w:t>
            </w:r>
          </w:p>
        </w:tc>
        <w:tc>
          <w:tcPr>
            <w:tcW w:w="1019" w:type="dxa"/>
            <w:tcBorders>
              <w:top w:val="nil"/>
              <w:left w:val="nil"/>
              <w:bottom w:val="nil"/>
              <w:right w:val="nil"/>
            </w:tcBorders>
            <w:shd w:val="clear" w:color="000000" w:fill="BFBFBF"/>
            <w:vAlign w:val="center"/>
            <w:hideMark/>
          </w:tcPr>
          <w:p w14:paraId="2933DD76" w14:textId="77777777" w:rsidR="003E19FA" w:rsidRPr="00D82E5B" w:rsidRDefault="003E19FA" w:rsidP="003E19FA">
            <w:pPr>
              <w:spacing w:after="0" w:line="240" w:lineRule="auto"/>
              <w:jc w:val="center"/>
              <w:rPr>
                <w:b/>
                <w:bCs/>
                <w:sz w:val="20"/>
                <w:szCs w:val="20"/>
                <w:lang w:eastAsia="sk-SK"/>
              </w:rPr>
            </w:pPr>
            <w:r w:rsidRPr="00D82E5B">
              <w:rPr>
                <w:b/>
                <w:bCs/>
                <w:sz w:val="20"/>
                <w:szCs w:val="20"/>
                <w:lang w:eastAsia="sk-SK"/>
              </w:rPr>
              <w:t>Skutočnosť</w:t>
            </w:r>
          </w:p>
        </w:tc>
        <w:tc>
          <w:tcPr>
            <w:tcW w:w="1564" w:type="dxa"/>
            <w:gridSpan w:val="2"/>
            <w:tcBorders>
              <w:top w:val="nil"/>
              <w:left w:val="nil"/>
              <w:bottom w:val="nil"/>
              <w:right w:val="nil"/>
            </w:tcBorders>
            <w:shd w:val="clear" w:color="000000" w:fill="BFBFBF"/>
            <w:vAlign w:val="center"/>
            <w:hideMark/>
          </w:tcPr>
          <w:p w14:paraId="45C3D048" w14:textId="77777777" w:rsidR="003E19FA" w:rsidRPr="00D82E5B" w:rsidRDefault="003E19FA" w:rsidP="003E19FA">
            <w:pPr>
              <w:spacing w:after="0" w:line="240" w:lineRule="auto"/>
              <w:jc w:val="center"/>
              <w:rPr>
                <w:b/>
                <w:bCs/>
                <w:sz w:val="20"/>
                <w:szCs w:val="20"/>
                <w:lang w:eastAsia="sk-SK"/>
              </w:rPr>
            </w:pPr>
            <w:r w:rsidRPr="00D82E5B">
              <w:rPr>
                <w:b/>
                <w:bCs/>
                <w:sz w:val="20"/>
                <w:szCs w:val="20"/>
                <w:lang w:eastAsia="sk-SK"/>
              </w:rPr>
              <w:t>Rozdiel</w:t>
            </w:r>
          </w:p>
        </w:tc>
      </w:tr>
      <w:tr w:rsidR="003E19FA" w:rsidRPr="00D82E5B" w14:paraId="39DC47EE" w14:textId="77777777" w:rsidTr="00D82E5B">
        <w:trPr>
          <w:divId w:val="672996393"/>
          <w:trHeight w:val="330"/>
        </w:trPr>
        <w:tc>
          <w:tcPr>
            <w:tcW w:w="2967" w:type="dxa"/>
            <w:tcBorders>
              <w:top w:val="nil"/>
              <w:left w:val="nil"/>
              <w:bottom w:val="nil"/>
              <w:right w:val="nil"/>
            </w:tcBorders>
            <w:shd w:val="clear" w:color="000000" w:fill="BFBFBF"/>
            <w:vAlign w:val="center"/>
            <w:hideMark/>
          </w:tcPr>
          <w:p w14:paraId="7E37F910" w14:textId="77777777" w:rsidR="003E19FA" w:rsidRPr="00D82E5B" w:rsidRDefault="003E19FA" w:rsidP="003E19FA">
            <w:pPr>
              <w:spacing w:after="0" w:line="240" w:lineRule="auto"/>
              <w:jc w:val="left"/>
              <w:rPr>
                <w:b/>
                <w:bCs/>
                <w:sz w:val="20"/>
                <w:szCs w:val="20"/>
                <w:lang w:eastAsia="sk-SK"/>
              </w:rPr>
            </w:pPr>
            <w:r w:rsidRPr="00D82E5B">
              <w:rPr>
                <w:b/>
                <w:bCs/>
                <w:sz w:val="20"/>
                <w:szCs w:val="20"/>
                <w:lang w:eastAsia="sk-SK"/>
              </w:rPr>
              <w:t> </w:t>
            </w:r>
          </w:p>
        </w:tc>
        <w:tc>
          <w:tcPr>
            <w:tcW w:w="992" w:type="dxa"/>
            <w:tcBorders>
              <w:top w:val="nil"/>
              <w:left w:val="nil"/>
              <w:bottom w:val="nil"/>
              <w:right w:val="nil"/>
            </w:tcBorders>
            <w:shd w:val="clear" w:color="000000" w:fill="BFBFBF"/>
            <w:vAlign w:val="center"/>
            <w:hideMark/>
          </w:tcPr>
          <w:p w14:paraId="445AC848" w14:textId="77777777" w:rsidR="003E19FA" w:rsidRPr="00D82E5B" w:rsidRDefault="003E19FA" w:rsidP="003E19FA">
            <w:pPr>
              <w:spacing w:after="0" w:line="240" w:lineRule="auto"/>
              <w:jc w:val="center"/>
              <w:rPr>
                <w:b/>
                <w:bCs/>
                <w:sz w:val="20"/>
                <w:szCs w:val="20"/>
                <w:lang w:eastAsia="sk-SK"/>
              </w:rPr>
            </w:pPr>
            <w:r w:rsidRPr="00D82E5B">
              <w:rPr>
                <w:b/>
                <w:bCs/>
                <w:sz w:val="20"/>
                <w:szCs w:val="20"/>
                <w:lang w:eastAsia="sk-SK"/>
              </w:rPr>
              <w:t>2016</w:t>
            </w:r>
          </w:p>
        </w:tc>
        <w:tc>
          <w:tcPr>
            <w:tcW w:w="1019" w:type="dxa"/>
            <w:tcBorders>
              <w:top w:val="nil"/>
              <w:left w:val="nil"/>
              <w:bottom w:val="nil"/>
              <w:right w:val="nil"/>
            </w:tcBorders>
            <w:shd w:val="clear" w:color="000000" w:fill="BFBFBF"/>
            <w:vAlign w:val="center"/>
            <w:hideMark/>
          </w:tcPr>
          <w:p w14:paraId="69C25A87" w14:textId="77777777" w:rsidR="003E19FA" w:rsidRPr="00D82E5B" w:rsidRDefault="003E19FA" w:rsidP="003E19FA">
            <w:pPr>
              <w:spacing w:after="0" w:line="240" w:lineRule="auto"/>
              <w:jc w:val="center"/>
              <w:rPr>
                <w:b/>
                <w:bCs/>
                <w:sz w:val="20"/>
                <w:szCs w:val="20"/>
                <w:lang w:eastAsia="sk-SK"/>
              </w:rPr>
            </w:pPr>
            <w:r w:rsidRPr="00D82E5B">
              <w:rPr>
                <w:b/>
                <w:bCs/>
                <w:sz w:val="20"/>
                <w:szCs w:val="20"/>
                <w:lang w:eastAsia="sk-SK"/>
              </w:rPr>
              <w:t>2017</w:t>
            </w:r>
          </w:p>
        </w:tc>
        <w:tc>
          <w:tcPr>
            <w:tcW w:w="966" w:type="dxa"/>
            <w:tcBorders>
              <w:top w:val="nil"/>
              <w:left w:val="nil"/>
              <w:bottom w:val="nil"/>
              <w:right w:val="nil"/>
            </w:tcBorders>
            <w:shd w:val="clear" w:color="000000" w:fill="BFBFBF"/>
            <w:vAlign w:val="center"/>
            <w:hideMark/>
          </w:tcPr>
          <w:p w14:paraId="6017EE38" w14:textId="77777777" w:rsidR="003E19FA" w:rsidRPr="00D82E5B" w:rsidRDefault="003E19FA" w:rsidP="003E19FA">
            <w:pPr>
              <w:spacing w:after="0" w:line="240" w:lineRule="auto"/>
              <w:jc w:val="center"/>
              <w:rPr>
                <w:b/>
                <w:bCs/>
                <w:sz w:val="20"/>
                <w:szCs w:val="20"/>
                <w:lang w:eastAsia="sk-SK"/>
              </w:rPr>
            </w:pPr>
            <w:r w:rsidRPr="00D82E5B">
              <w:rPr>
                <w:b/>
                <w:bCs/>
                <w:sz w:val="20"/>
                <w:szCs w:val="20"/>
                <w:lang w:eastAsia="sk-SK"/>
              </w:rPr>
              <w:t>2018</w:t>
            </w:r>
          </w:p>
        </w:tc>
        <w:tc>
          <w:tcPr>
            <w:tcW w:w="1019" w:type="dxa"/>
            <w:tcBorders>
              <w:top w:val="nil"/>
              <w:left w:val="nil"/>
              <w:bottom w:val="nil"/>
              <w:right w:val="nil"/>
            </w:tcBorders>
            <w:shd w:val="clear" w:color="000000" w:fill="BFBFBF"/>
            <w:vAlign w:val="center"/>
            <w:hideMark/>
          </w:tcPr>
          <w:p w14:paraId="111AB9E1" w14:textId="77777777" w:rsidR="003E19FA" w:rsidRPr="00D82E5B" w:rsidRDefault="003E19FA" w:rsidP="003E19FA">
            <w:pPr>
              <w:spacing w:after="0" w:line="240" w:lineRule="auto"/>
              <w:jc w:val="center"/>
              <w:rPr>
                <w:b/>
                <w:bCs/>
                <w:sz w:val="20"/>
                <w:szCs w:val="20"/>
                <w:lang w:eastAsia="sk-SK"/>
              </w:rPr>
            </w:pPr>
            <w:r w:rsidRPr="00D82E5B">
              <w:rPr>
                <w:b/>
                <w:bCs/>
                <w:sz w:val="20"/>
                <w:szCs w:val="20"/>
                <w:lang w:eastAsia="sk-SK"/>
              </w:rPr>
              <w:t>2018</w:t>
            </w:r>
          </w:p>
        </w:tc>
        <w:tc>
          <w:tcPr>
            <w:tcW w:w="850" w:type="dxa"/>
            <w:tcBorders>
              <w:top w:val="nil"/>
              <w:left w:val="nil"/>
              <w:bottom w:val="nil"/>
              <w:right w:val="nil"/>
            </w:tcBorders>
            <w:shd w:val="clear" w:color="000000" w:fill="BFBFBF"/>
            <w:vAlign w:val="center"/>
            <w:hideMark/>
          </w:tcPr>
          <w:p w14:paraId="4959B6EB" w14:textId="77777777" w:rsidR="003E19FA" w:rsidRPr="00D82E5B" w:rsidRDefault="003E19FA" w:rsidP="003E19FA">
            <w:pPr>
              <w:spacing w:after="0" w:line="240" w:lineRule="auto"/>
              <w:jc w:val="center"/>
              <w:rPr>
                <w:rFonts w:eastAsia="Times New Roman" w:cs="Times New Roman"/>
                <w:b/>
                <w:bCs/>
                <w:color w:val="000000"/>
                <w:sz w:val="20"/>
                <w:szCs w:val="20"/>
                <w:lang w:eastAsia="sk-SK"/>
              </w:rPr>
            </w:pPr>
            <w:r w:rsidRPr="00D82E5B">
              <w:rPr>
                <w:b/>
                <w:bCs/>
                <w:sz w:val="20"/>
                <w:szCs w:val="20"/>
                <w:lang w:eastAsia="sk-SK"/>
              </w:rPr>
              <w:t xml:space="preserve"> v tis. eur</w:t>
            </w:r>
          </w:p>
        </w:tc>
        <w:tc>
          <w:tcPr>
            <w:tcW w:w="714" w:type="dxa"/>
            <w:tcBorders>
              <w:top w:val="nil"/>
              <w:left w:val="nil"/>
              <w:bottom w:val="nil"/>
              <w:right w:val="nil"/>
            </w:tcBorders>
            <w:shd w:val="clear" w:color="000000" w:fill="BFBFBF"/>
            <w:vAlign w:val="center"/>
            <w:hideMark/>
          </w:tcPr>
          <w:p w14:paraId="11CB2878" w14:textId="77777777" w:rsidR="003E19FA" w:rsidRPr="00D82E5B" w:rsidRDefault="003E19FA" w:rsidP="003E19FA">
            <w:pPr>
              <w:spacing w:after="0" w:line="240" w:lineRule="auto"/>
              <w:jc w:val="center"/>
              <w:rPr>
                <w:b/>
                <w:bCs/>
                <w:sz w:val="20"/>
                <w:szCs w:val="20"/>
                <w:lang w:eastAsia="sk-SK"/>
              </w:rPr>
            </w:pPr>
            <w:r w:rsidRPr="00D82E5B">
              <w:rPr>
                <w:b/>
                <w:bCs/>
                <w:sz w:val="20"/>
                <w:szCs w:val="20"/>
                <w:lang w:eastAsia="sk-SK"/>
              </w:rPr>
              <w:t>v %</w:t>
            </w:r>
          </w:p>
        </w:tc>
      </w:tr>
      <w:tr w:rsidR="003E19FA" w:rsidRPr="00D82E5B" w14:paraId="5CE88F41" w14:textId="77777777" w:rsidTr="00D82E5B">
        <w:trPr>
          <w:divId w:val="672996393"/>
          <w:trHeight w:val="345"/>
        </w:trPr>
        <w:tc>
          <w:tcPr>
            <w:tcW w:w="2967" w:type="dxa"/>
            <w:tcBorders>
              <w:top w:val="nil"/>
              <w:left w:val="nil"/>
              <w:bottom w:val="single" w:sz="8" w:space="0" w:color="auto"/>
              <w:right w:val="nil"/>
            </w:tcBorders>
            <w:shd w:val="clear" w:color="000000" w:fill="BFBFBF"/>
            <w:vAlign w:val="center"/>
            <w:hideMark/>
          </w:tcPr>
          <w:p w14:paraId="52C0421D" w14:textId="77777777" w:rsidR="003E19FA" w:rsidRPr="00D82E5B" w:rsidRDefault="003E19FA" w:rsidP="003E19FA">
            <w:pPr>
              <w:spacing w:after="0" w:line="240" w:lineRule="auto"/>
              <w:jc w:val="left"/>
              <w:rPr>
                <w:b/>
                <w:bCs/>
                <w:sz w:val="20"/>
                <w:szCs w:val="20"/>
                <w:lang w:eastAsia="sk-SK"/>
              </w:rPr>
            </w:pPr>
            <w:r w:rsidRPr="00D82E5B">
              <w:rPr>
                <w:b/>
                <w:bCs/>
                <w:sz w:val="20"/>
                <w:szCs w:val="20"/>
                <w:lang w:eastAsia="sk-SK"/>
              </w:rPr>
              <w:t> </w:t>
            </w:r>
          </w:p>
        </w:tc>
        <w:tc>
          <w:tcPr>
            <w:tcW w:w="992" w:type="dxa"/>
            <w:tcBorders>
              <w:top w:val="nil"/>
              <w:left w:val="nil"/>
              <w:bottom w:val="single" w:sz="8" w:space="0" w:color="auto"/>
              <w:right w:val="nil"/>
            </w:tcBorders>
            <w:shd w:val="clear" w:color="000000" w:fill="BFBFBF"/>
            <w:vAlign w:val="center"/>
            <w:hideMark/>
          </w:tcPr>
          <w:p w14:paraId="34B52568" w14:textId="77777777" w:rsidR="003E19FA" w:rsidRPr="00D82E5B" w:rsidRDefault="003E19FA" w:rsidP="003E19FA">
            <w:pPr>
              <w:spacing w:after="0" w:line="240" w:lineRule="auto"/>
              <w:jc w:val="center"/>
              <w:rPr>
                <w:b/>
                <w:bCs/>
                <w:sz w:val="20"/>
                <w:szCs w:val="20"/>
                <w:lang w:eastAsia="sk-SK"/>
              </w:rPr>
            </w:pPr>
            <w:r w:rsidRPr="00D82E5B">
              <w:rPr>
                <w:b/>
                <w:bCs/>
                <w:sz w:val="20"/>
                <w:szCs w:val="20"/>
                <w:lang w:eastAsia="sk-SK"/>
              </w:rPr>
              <w:t>1</w:t>
            </w:r>
          </w:p>
        </w:tc>
        <w:tc>
          <w:tcPr>
            <w:tcW w:w="1019" w:type="dxa"/>
            <w:tcBorders>
              <w:top w:val="nil"/>
              <w:left w:val="nil"/>
              <w:bottom w:val="single" w:sz="8" w:space="0" w:color="auto"/>
              <w:right w:val="nil"/>
            </w:tcBorders>
            <w:shd w:val="clear" w:color="000000" w:fill="BFBFBF"/>
            <w:vAlign w:val="center"/>
            <w:hideMark/>
          </w:tcPr>
          <w:p w14:paraId="2468DC93" w14:textId="77777777" w:rsidR="003E19FA" w:rsidRPr="00D82E5B" w:rsidRDefault="003E19FA" w:rsidP="003E19FA">
            <w:pPr>
              <w:spacing w:after="0" w:line="240" w:lineRule="auto"/>
              <w:jc w:val="center"/>
              <w:rPr>
                <w:b/>
                <w:bCs/>
                <w:sz w:val="20"/>
                <w:szCs w:val="20"/>
                <w:lang w:eastAsia="sk-SK"/>
              </w:rPr>
            </w:pPr>
            <w:r w:rsidRPr="00D82E5B">
              <w:rPr>
                <w:b/>
                <w:bCs/>
                <w:sz w:val="20"/>
                <w:szCs w:val="20"/>
                <w:lang w:eastAsia="sk-SK"/>
              </w:rPr>
              <w:t>2</w:t>
            </w:r>
          </w:p>
        </w:tc>
        <w:tc>
          <w:tcPr>
            <w:tcW w:w="966" w:type="dxa"/>
            <w:tcBorders>
              <w:top w:val="nil"/>
              <w:left w:val="nil"/>
              <w:bottom w:val="single" w:sz="8" w:space="0" w:color="auto"/>
              <w:right w:val="nil"/>
            </w:tcBorders>
            <w:shd w:val="clear" w:color="000000" w:fill="BFBFBF"/>
            <w:vAlign w:val="center"/>
            <w:hideMark/>
          </w:tcPr>
          <w:p w14:paraId="65E2CC6A" w14:textId="77777777" w:rsidR="003E19FA" w:rsidRPr="00D82E5B" w:rsidRDefault="003E19FA" w:rsidP="003E19FA">
            <w:pPr>
              <w:spacing w:after="0" w:line="240" w:lineRule="auto"/>
              <w:jc w:val="center"/>
              <w:rPr>
                <w:b/>
                <w:bCs/>
                <w:sz w:val="20"/>
                <w:szCs w:val="20"/>
                <w:lang w:eastAsia="sk-SK"/>
              </w:rPr>
            </w:pPr>
            <w:r w:rsidRPr="00D82E5B">
              <w:rPr>
                <w:b/>
                <w:bCs/>
                <w:sz w:val="20"/>
                <w:szCs w:val="20"/>
                <w:lang w:eastAsia="sk-SK"/>
              </w:rPr>
              <w:t>3</w:t>
            </w:r>
          </w:p>
        </w:tc>
        <w:tc>
          <w:tcPr>
            <w:tcW w:w="1019" w:type="dxa"/>
            <w:tcBorders>
              <w:top w:val="nil"/>
              <w:left w:val="nil"/>
              <w:bottom w:val="single" w:sz="8" w:space="0" w:color="auto"/>
              <w:right w:val="nil"/>
            </w:tcBorders>
            <w:shd w:val="clear" w:color="000000" w:fill="BFBFBF"/>
            <w:vAlign w:val="center"/>
            <w:hideMark/>
          </w:tcPr>
          <w:p w14:paraId="48C8F69E" w14:textId="77777777" w:rsidR="003E19FA" w:rsidRPr="00D82E5B" w:rsidRDefault="003E19FA" w:rsidP="003E19FA">
            <w:pPr>
              <w:spacing w:after="0" w:line="240" w:lineRule="auto"/>
              <w:jc w:val="center"/>
              <w:rPr>
                <w:b/>
                <w:bCs/>
                <w:sz w:val="20"/>
                <w:szCs w:val="20"/>
                <w:lang w:eastAsia="sk-SK"/>
              </w:rPr>
            </w:pPr>
            <w:r w:rsidRPr="00D82E5B">
              <w:rPr>
                <w:b/>
                <w:bCs/>
                <w:sz w:val="20"/>
                <w:szCs w:val="20"/>
                <w:lang w:eastAsia="sk-SK"/>
              </w:rPr>
              <w:t>4</w:t>
            </w:r>
          </w:p>
        </w:tc>
        <w:tc>
          <w:tcPr>
            <w:tcW w:w="850" w:type="dxa"/>
            <w:tcBorders>
              <w:top w:val="nil"/>
              <w:left w:val="nil"/>
              <w:bottom w:val="single" w:sz="8" w:space="0" w:color="auto"/>
              <w:right w:val="nil"/>
            </w:tcBorders>
            <w:shd w:val="clear" w:color="000000" w:fill="BFBFBF"/>
            <w:vAlign w:val="center"/>
            <w:hideMark/>
          </w:tcPr>
          <w:p w14:paraId="60A9EBC1" w14:textId="77777777" w:rsidR="003E19FA" w:rsidRPr="00D82E5B" w:rsidRDefault="003E19FA" w:rsidP="003E19FA">
            <w:pPr>
              <w:spacing w:after="0" w:line="240" w:lineRule="auto"/>
              <w:jc w:val="center"/>
              <w:rPr>
                <w:b/>
                <w:bCs/>
                <w:sz w:val="20"/>
                <w:szCs w:val="20"/>
                <w:lang w:eastAsia="sk-SK"/>
              </w:rPr>
            </w:pPr>
            <w:r w:rsidRPr="00D82E5B">
              <w:rPr>
                <w:b/>
                <w:bCs/>
                <w:sz w:val="20"/>
                <w:szCs w:val="20"/>
                <w:lang w:eastAsia="sk-SK"/>
              </w:rPr>
              <w:t>5=4-3</w:t>
            </w:r>
          </w:p>
        </w:tc>
        <w:tc>
          <w:tcPr>
            <w:tcW w:w="714" w:type="dxa"/>
            <w:tcBorders>
              <w:top w:val="nil"/>
              <w:left w:val="nil"/>
              <w:bottom w:val="single" w:sz="8" w:space="0" w:color="auto"/>
              <w:right w:val="nil"/>
            </w:tcBorders>
            <w:shd w:val="clear" w:color="000000" w:fill="BFBFBF"/>
            <w:vAlign w:val="center"/>
            <w:hideMark/>
          </w:tcPr>
          <w:p w14:paraId="71C63B94" w14:textId="77777777" w:rsidR="003E19FA" w:rsidRPr="00D82E5B" w:rsidRDefault="003E19FA" w:rsidP="003E19FA">
            <w:pPr>
              <w:spacing w:after="0" w:line="240" w:lineRule="auto"/>
              <w:jc w:val="center"/>
              <w:rPr>
                <w:b/>
                <w:bCs/>
                <w:sz w:val="20"/>
                <w:szCs w:val="20"/>
                <w:lang w:eastAsia="sk-SK"/>
              </w:rPr>
            </w:pPr>
            <w:r w:rsidRPr="00D82E5B">
              <w:rPr>
                <w:b/>
                <w:bCs/>
                <w:sz w:val="20"/>
                <w:szCs w:val="20"/>
                <w:lang w:eastAsia="sk-SK"/>
              </w:rPr>
              <w:t>6=4-3</w:t>
            </w:r>
          </w:p>
        </w:tc>
      </w:tr>
      <w:tr w:rsidR="003E19FA" w:rsidRPr="00D82E5B" w14:paraId="50967777" w14:textId="77777777" w:rsidTr="00D82E5B">
        <w:trPr>
          <w:divId w:val="672996393"/>
          <w:trHeight w:val="330"/>
        </w:trPr>
        <w:tc>
          <w:tcPr>
            <w:tcW w:w="2967" w:type="dxa"/>
            <w:tcBorders>
              <w:top w:val="nil"/>
              <w:left w:val="nil"/>
              <w:bottom w:val="nil"/>
              <w:right w:val="nil"/>
            </w:tcBorders>
            <w:shd w:val="clear" w:color="000000" w:fill="FFFFFF"/>
            <w:noWrap/>
            <w:vAlign w:val="center"/>
            <w:hideMark/>
          </w:tcPr>
          <w:p w14:paraId="60CC9F6E" w14:textId="77777777" w:rsidR="003E19FA" w:rsidRPr="00D82E5B" w:rsidRDefault="003E19FA" w:rsidP="003E19FA">
            <w:pPr>
              <w:spacing w:after="0" w:line="240" w:lineRule="auto"/>
              <w:rPr>
                <w:rFonts w:eastAsia="Times New Roman" w:cs="Times New Roman"/>
                <w:color w:val="000000"/>
                <w:sz w:val="20"/>
                <w:szCs w:val="20"/>
                <w:lang w:eastAsia="sk-SK"/>
              </w:rPr>
            </w:pPr>
            <w:r w:rsidRPr="00D82E5B">
              <w:rPr>
                <w:rFonts w:eastAsia="Times New Roman" w:cs="Times New Roman"/>
                <w:color w:val="000000"/>
                <w:sz w:val="20"/>
                <w:szCs w:val="20"/>
                <w:lang w:eastAsia="sk-SK"/>
              </w:rPr>
              <w:t>Tuzemské granty a transfery</w:t>
            </w:r>
          </w:p>
        </w:tc>
        <w:tc>
          <w:tcPr>
            <w:tcW w:w="992" w:type="dxa"/>
            <w:tcBorders>
              <w:top w:val="nil"/>
              <w:left w:val="nil"/>
              <w:bottom w:val="nil"/>
              <w:right w:val="nil"/>
            </w:tcBorders>
            <w:shd w:val="clear" w:color="000000" w:fill="FFFFFF"/>
            <w:noWrap/>
            <w:vAlign w:val="bottom"/>
            <w:hideMark/>
          </w:tcPr>
          <w:p w14:paraId="250D319A" w14:textId="77777777" w:rsidR="003E19FA" w:rsidRPr="00D82E5B" w:rsidRDefault="003E19FA" w:rsidP="003E19FA">
            <w:pPr>
              <w:spacing w:after="0" w:line="240" w:lineRule="auto"/>
              <w:jc w:val="right"/>
              <w:rPr>
                <w:rFonts w:eastAsia="Times New Roman" w:cs="Times New Roman"/>
                <w:color w:val="000000"/>
                <w:sz w:val="20"/>
                <w:szCs w:val="20"/>
                <w:lang w:eastAsia="sk-SK"/>
              </w:rPr>
            </w:pPr>
            <w:r w:rsidRPr="00D82E5B">
              <w:rPr>
                <w:rFonts w:eastAsia="Times New Roman" w:cs="Times New Roman"/>
                <w:color w:val="000000"/>
                <w:sz w:val="20"/>
                <w:szCs w:val="20"/>
                <w:lang w:eastAsia="sk-SK"/>
              </w:rPr>
              <w:t>35 242</w:t>
            </w:r>
          </w:p>
        </w:tc>
        <w:tc>
          <w:tcPr>
            <w:tcW w:w="1019" w:type="dxa"/>
            <w:tcBorders>
              <w:top w:val="nil"/>
              <w:left w:val="nil"/>
              <w:bottom w:val="nil"/>
              <w:right w:val="nil"/>
            </w:tcBorders>
            <w:shd w:val="clear" w:color="000000" w:fill="FFFFFF"/>
            <w:noWrap/>
            <w:vAlign w:val="bottom"/>
            <w:hideMark/>
          </w:tcPr>
          <w:p w14:paraId="0634B757" w14:textId="77777777" w:rsidR="003E19FA" w:rsidRPr="00D82E5B" w:rsidRDefault="003E19FA" w:rsidP="003E19FA">
            <w:pPr>
              <w:spacing w:after="0" w:line="240" w:lineRule="auto"/>
              <w:jc w:val="right"/>
              <w:rPr>
                <w:rFonts w:eastAsia="Times New Roman" w:cs="Times New Roman"/>
                <w:color w:val="000000"/>
                <w:sz w:val="20"/>
                <w:szCs w:val="20"/>
                <w:lang w:eastAsia="sk-SK"/>
              </w:rPr>
            </w:pPr>
            <w:r w:rsidRPr="00D82E5B">
              <w:rPr>
                <w:rFonts w:eastAsia="Times New Roman" w:cs="Times New Roman"/>
                <w:color w:val="000000"/>
                <w:sz w:val="20"/>
                <w:szCs w:val="20"/>
                <w:lang w:eastAsia="sk-SK"/>
              </w:rPr>
              <w:t>43 128</w:t>
            </w:r>
          </w:p>
        </w:tc>
        <w:tc>
          <w:tcPr>
            <w:tcW w:w="966" w:type="dxa"/>
            <w:tcBorders>
              <w:top w:val="nil"/>
              <w:left w:val="nil"/>
              <w:bottom w:val="nil"/>
              <w:right w:val="nil"/>
            </w:tcBorders>
            <w:shd w:val="clear" w:color="000000" w:fill="FFFFFF"/>
            <w:noWrap/>
            <w:vAlign w:val="center"/>
            <w:hideMark/>
          </w:tcPr>
          <w:p w14:paraId="2F6A48A4" w14:textId="77777777" w:rsidR="003E19FA" w:rsidRPr="00D82E5B" w:rsidRDefault="003E19FA" w:rsidP="003E19FA">
            <w:pPr>
              <w:spacing w:after="0" w:line="240" w:lineRule="auto"/>
              <w:jc w:val="right"/>
              <w:rPr>
                <w:rFonts w:eastAsia="Times New Roman" w:cs="Times New Roman"/>
                <w:color w:val="000000"/>
                <w:sz w:val="20"/>
                <w:szCs w:val="20"/>
                <w:lang w:eastAsia="sk-SK"/>
              </w:rPr>
            </w:pPr>
            <w:r w:rsidRPr="00D82E5B">
              <w:rPr>
                <w:rFonts w:eastAsia="Times New Roman" w:cs="Times New Roman"/>
                <w:color w:val="000000"/>
                <w:sz w:val="20"/>
                <w:szCs w:val="20"/>
                <w:lang w:eastAsia="sk-SK"/>
              </w:rPr>
              <w:t>34 054</w:t>
            </w:r>
          </w:p>
        </w:tc>
        <w:tc>
          <w:tcPr>
            <w:tcW w:w="1019" w:type="dxa"/>
            <w:tcBorders>
              <w:top w:val="nil"/>
              <w:left w:val="nil"/>
              <w:bottom w:val="nil"/>
              <w:right w:val="nil"/>
            </w:tcBorders>
            <w:shd w:val="clear" w:color="000000" w:fill="BFBFBF"/>
            <w:noWrap/>
            <w:vAlign w:val="bottom"/>
            <w:hideMark/>
          </w:tcPr>
          <w:p w14:paraId="1B7192B9" w14:textId="77777777" w:rsidR="003E19FA" w:rsidRPr="00D82E5B" w:rsidRDefault="003E19FA" w:rsidP="003E19FA">
            <w:pPr>
              <w:spacing w:after="0" w:line="240" w:lineRule="auto"/>
              <w:jc w:val="right"/>
              <w:rPr>
                <w:rFonts w:eastAsia="Times New Roman" w:cs="Times New Roman"/>
                <w:color w:val="000000"/>
                <w:sz w:val="20"/>
                <w:szCs w:val="20"/>
                <w:lang w:eastAsia="sk-SK"/>
              </w:rPr>
            </w:pPr>
            <w:r w:rsidRPr="00D82E5B">
              <w:rPr>
                <w:rFonts w:eastAsia="Times New Roman" w:cs="Times New Roman"/>
                <w:color w:val="000000"/>
                <w:sz w:val="20"/>
                <w:szCs w:val="20"/>
                <w:lang w:eastAsia="sk-SK"/>
              </w:rPr>
              <w:t>33 861</w:t>
            </w:r>
          </w:p>
        </w:tc>
        <w:tc>
          <w:tcPr>
            <w:tcW w:w="850" w:type="dxa"/>
            <w:tcBorders>
              <w:top w:val="nil"/>
              <w:left w:val="nil"/>
              <w:bottom w:val="nil"/>
              <w:right w:val="nil"/>
            </w:tcBorders>
            <w:shd w:val="clear" w:color="000000" w:fill="FFFFFF"/>
            <w:vAlign w:val="center"/>
            <w:hideMark/>
          </w:tcPr>
          <w:p w14:paraId="6F168032" w14:textId="77777777" w:rsidR="003E19FA" w:rsidRPr="00D82E5B" w:rsidRDefault="003E19FA" w:rsidP="003E19FA">
            <w:pPr>
              <w:spacing w:after="0" w:line="240" w:lineRule="auto"/>
              <w:jc w:val="right"/>
              <w:rPr>
                <w:rFonts w:eastAsia="Times New Roman" w:cs="Times New Roman"/>
                <w:color w:val="000000"/>
                <w:sz w:val="20"/>
                <w:szCs w:val="20"/>
                <w:lang w:eastAsia="sk-SK"/>
              </w:rPr>
            </w:pPr>
            <w:r w:rsidRPr="00D82E5B">
              <w:rPr>
                <w:rFonts w:eastAsia="Times New Roman" w:cs="Times New Roman"/>
                <w:color w:val="000000"/>
                <w:sz w:val="20"/>
                <w:szCs w:val="20"/>
                <w:lang w:eastAsia="sk-SK"/>
              </w:rPr>
              <w:t>-193</w:t>
            </w:r>
          </w:p>
        </w:tc>
        <w:tc>
          <w:tcPr>
            <w:tcW w:w="714" w:type="dxa"/>
            <w:tcBorders>
              <w:top w:val="nil"/>
              <w:left w:val="nil"/>
              <w:bottom w:val="nil"/>
              <w:right w:val="nil"/>
            </w:tcBorders>
            <w:shd w:val="clear" w:color="000000" w:fill="FFFFFF"/>
            <w:vAlign w:val="center"/>
            <w:hideMark/>
          </w:tcPr>
          <w:p w14:paraId="4D40F8D2" w14:textId="77777777" w:rsidR="003E19FA" w:rsidRPr="00D82E5B" w:rsidRDefault="003E19FA" w:rsidP="003E19FA">
            <w:pPr>
              <w:spacing w:after="0" w:line="240" w:lineRule="auto"/>
              <w:jc w:val="right"/>
              <w:rPr>
                <w:rFonts w:eastAsia="Times New Roman" w:cs="Times New Roman"/>
                <w:color w:val="000000"/>
                <w:sz w:val="20"/>
                <w:szCs w:val="20"/>
                <w:lang w:eastAsia="sk-SK"/>
              </w:rPr>
            </w:pPr>
            <w:r w:rsidRPr="00D82E5B">
              <w:rPr>
                <w:rFonts w:eastAsia="Times New Roman" w:cs="Times New Roman"/>
                <w:color w:val="000000"/>
                <w:sz w:val="20"/>
                <w:szCs w:val="20"/>
                <w:lang w:eastAsia="sk-SK"/>
              </w:rPr>
              <w:t>-0,6</w:t>
            </w:r>
          </w:p>
        </w:tc>
      </w:tr>
      <w:tr w:rsidR="003E19FA" w:rsidRPr="00D82E5B" w14:paraId="5B402331" w14:textId="77777777" w:rsidTr="00D82E5B">
        <w:trPr>
          <w:divId w:val="672996393"/>
          <w:trHeight w:val="330"/>
        </w:trPr>
        <w:tc>
          <w:tcPr>
            <w:tcW w:w="2967" w:type="dxa"/>
            <w:tcBorders>
              <w:top w:val="nil"/>
              <w:left w:val="nil"/>
              <w:bottom w:val="nil"/>
              <w:right w:val="nil"/>
            </w:tcBorders>
            <w:shd w:val="clear" w:color="000000" w:fill="FFFFFF"/>
            <w:noWrap/>
            <w:vAlign w:val="center"/>
            <w:hideMark/>
          </w:tcPr>
          <w:p w14:paraId="3771EEA4" w14:textId="77777777" w:rsidR="003E19FA" w:rsidRPr="00D82E5B" w:rsidRDefault="003E19FA" w:rsidP="003E19FA">
            <w:pPr>
              <w:spacing w:after="0" w:line="240" w:lineRule="auto"/>
              <w:rPr>
                <w:rFonts w:eastAsia="Times New Roman" w:cs="Times New Roman"/>
                <w:color w:val="000000"/>
                <w:sz w:val="20"/>
                <w:szCs w:val="20"/>
                <w:lang w:eastAsia="sk-SK"/>
              </w:rPr>
            </w:pPr>
            <w:r w:rsidRPr="00D82E5B">
              <w:rPr>
                <w:rFonts w:eastAsia="Times New Roman" w:cs="Times New Roman"/>
                <w:color w:val="000000"/>
                <w:sz w:val="20"/>
                <w:szCs w:val="20"/>
                <w:lang w:eastAsia="sk-SK"/>
              </w:rPr>
              <w:t>Zahraničné granty a transfery</w:t>
            </w:r>
          </w:p>
        </w:tc>
        <w:tc>
          <w:tcPr>
            <w:tcW w:w="992" w:type="dxa"/>
            <w:tcBorders>
              <w:top w:val="nil"/>
              <w:left w:val="nil"/>
              <w:bottom w:val="nil"/>
              <w:right w:val="nil"/>
            </w:tcBorders>
            <w:shd w:val="clear" w:color="000000" w:fill="FFFFFF"/>
            <w:noWrap/>
            <w:vAlign w:val="center"/>
            <w:hideMark/>
          </w:tcPr>
          <w:p w14:paraId="28DCDE53" w14:textId="77777777" w:rsidR="003E19FA" w:rsidRPr="00D82E5B" w:rsidRDefault="003E19FA" w:rsidP="003E19FA">
            <w:pPr>
              <w:spacing w:after="0" w:line="240" w:lineRule="auto"/>
              <w:jc w:val="right"/>
              <w:rPr>
                <w:rFonts w:eastAsia="Times New Roman" w:cs="Times New Roman"/>
                <w:color w:val="000000"/>
                <w:sz w:val="20"/>
                <w:szCs w:val="20"/>
                <w:lang w:eastAsia="sk-SK"/>
              </w:rPr>
            </w:pPr>
            <w:r w:rsidRPr="00D82E5B">
              <w:rPr>
                <w:rFonts w:eastAsia="Times New Roman" w:cs="Times New Roman"/>
                <w:color w:val="000000"/>
                <w:sz w:val="20"/>
                <w:szCs w:val="20"/>
                <w:lang w:eastAsia="sk-SK"/>
              </w:rPr>
              <w:t>1 949 546</w:t>
            </w:r>
          </w:p>
        </w:tc>
        <w:tc>
          <w:tcPr>
            <w:tcW w:w="1019" w:type="dxa"/>
            <w:tcBorders>
              <w:top w:val="nil"/>
              <w:left w:val="nil"/>
              <w:bottom w:val="nil"/>
              <w:right w:val="nil"/>
            </w:tcBorders>
            <w:shd w:val="clear" w:color="000000" w:fill="FFFFFF"/>
            <w:noWrap/>
            <w:vAlign w:val="center"/>
            <w:hideMark/>
          </w:tcPr>
          <w:p w14:paraId="3C49DA56" w14:textId="77777777" w:rsidR="003E19FA" w:rsidRPr="00D82E5B" w:rsidRDefault="003E19FA" w:rsidP="003E19FA">
            <w:pPr>
              <w:spacing w:after="0" w:line="240" w:lineRule="auto"/>
              <w:jc w:val="right"/>
              <w:rPr>
                <w:rFonts w:eastAsia="Times New Roman" w:cs="Times New Roman"/>
                <w:color w:val="000000"/>
                <w:sz w:val="20"/>
                <w:szCs w:val="20"/>
                <w:lang w:eastAsia="sk-SK"/>
              </w:rPr>
            </w:pPr>
            <w:r w:rsidRPr="00D82E5B">
              <w:rPr>
                <w:rFonts w:eastAsia="Times New Roman" w:cs="Times New Roman"/>
                <w:color w:val="000000"/>
                <w:sz w:val="20"/>
                <w:szCs w:val="20"/>
                <w:lang w:eastAsia="sk-SK"/>
              </w:rPr>
              <w:t>1 433 234</w:t>
            </w:r>
          </w:p>
        </w:tc>
        <w:tc>
          <w:tcPr>
            <w:tcW w:w="966" w:type="dxa"/>
            <w:tcBorders>
              <w:top w:val="nil"/>
              <w:left w:val="nil"/>
              <w:bottom w:val="nil"/>
              <w:right w:val="nil"/>
            </w:tcBorders>
            <w:shd w:val="clear" w:color="000000" w:fill="FFFFFF"/>
            <w:noWrap/>
            <w:vAlign w:val="center"/>
            <w:hideMark/>
          </w:tcPr>
          <w:p w14:paraId="7849FA51" w14:textId="77777777" w:rsidR="003E19FA" w:rsidRPr="00D82E5B" w:rsidRDefault="003E19FA" w:rsidP="003E19FA">
            <w:pPr>
              <w:spacing w:after="0" w:line="240" w:lineRule="auto"/>
              <w:jc w:val="right"/>
              <w:rPr>
                <w:rFonts w:eastAsia="Times New Roman" w:cs="Times New Roman"/>
                <w:color w:val="000000"/>
                <w:sz w:val="20"/>
                <w:szCs w:val="20"/>
                <w:lang w:eastAsia="sk-SK"/>
              </w:rPr>
            </w:pPr>
            <w:r w:rsidRPr="00D82E5B">
              <w:rPr>
                <w:rFonts w:eastAsia="Times New Roman" w:cs="Times New Roman"/>
                <w:color w:val="000000"/>
                <w:sz w:val="20"/>
                <w:szCs w:val="20"/>
                <w:lang w:eastAsia="sk-SK"/>
              </w:rPr>
              <w:t>1 378 419</w:t>
            </w:r>
          </w:p>
        </w:tc>
        <w:tc>
          <w:tcPr>
            <w:tcW w:w="1019" w:type="dxa"/>
            <w:tcBorders>
              <w:top w:val="nil"/>
              <w:left w:val="nil"/>
              <w:bottom w:val="nil"/>
              <w:right w:val="nil"/>
            </w:tcBorders>
            <w:shd w:val="clear" w:color="000000" w:fill="BFBFBF"/>
            <w:noWrap/>
            <w:vAlign w:val="center"/>
            <w:hideMark/>
          </w:tcPr>
          <w:p w14:paraId="4914F6E7" w14:textId="77777777" w:rsidR="003E19FA" w:rsidRPr="00D82E5B" w:rsidRDefault="003E19FA" w:rsidP="003E19FA">
            <w:pPr>
              <w:spacing w:after="0" w:line="240" w:lineRule="auto"/>
              <w:jc w:val="right"/>
              <w:rPr>
                <w:rFonts w:eastAsia="Times New Roman" w:cs="Times New Roman"/>
                <w:color w:val="000000"/>
                <w:sz w:val="20"/>
                <w:szCs w:val="20"/>
                <w:lang w:eastAsia="sk-SK"/>
              </w:rPr>
            </w:pPr>
            <w:r w:rsidRPr="00D82E5B">
              <w:rPr>
                <w:rFonts w:eastAsia="Times New Roman" w:cs="Times New Roman"/>
                <w:color w:val="000000"/>
                <w:sz w:val="20"/>
                <w:szCs w:val="20"/>
                <w:lang w:eastAsia="sk-SK"/>
              </w:rPr>
              <w:t>2 169 773</w:t>
            </w:r>
          </w:p>
        </w:tc>
        <w:tc>
          <w:tcPr>
            <w:tcW w:w="850" w:type="dxa"/>
            <w:tcBorders>
              <w:top w:val="nil"/>
              <w:left w:val="nil"/>
              <w:bottom w:val="nil"/>
              <w:right w:val="nil"/>
            </w:tcBorders>
            <w:shd w:val="clear" w:color="000000" w:fill="FFFFFF"/>
            <w:vAlign w:val="center"/>
            <w:hideMark/>
          </w:tcPr>
          <w:p w14:paraId="4450D0F6" w14:textId="77777777" w:rsidR="003E19FA" w:rsidRPr="00D82E5B" w:rsidRDefault="003E19FA" w:rsidP="003E19FA">
            <w:pPr>
              <w:spacing w:after="0" w:line="240" w:lineRule="auto"/>
              <w:jc w:val="right"/>
              <w:rPr>
                <w:rFonts w:eastAsia="Times New Roman" w:cs="Times New Roman"/>
                <w:color w:val="000000"/>
                <w:sz w:val="20"/>
                <w:szCs w:val="20"/>
                <w:lang w:eastAsia="sk-SK"/>
              </w:rPr>
            </w:pPr>
            <w:r w:rsidRPr="00D82E5B">
              <w:rPr>
                <w:rFonts w:eastAsia="Times New Roman" w:cs="Times New Roman"/>
                <w:color w:val="000000"/>
                <w:sz w:val="20"/>
                <w:szCs w:val="20"/>
                <w:lang w:eastAsia="sk-SK"/>
              </w:rPr>
              <w:t>791 354</w:t>
            </w:r>
          </w:p>
        </w:tc>
        <w:tc>
          <w:tcPr>
            <w:tcW w:w="714" w:type="dxa"/>
            <w:tcBorders>
              <w:top w:val="nil"/>
              <w:left w:val="nil"/>
              <w:bottom w:val="nil"/>
              <w:right w:val="nil"/>
            </w:tcBorders>
            <w:shd w:val="clear" w:color="000000" w:fill="FFFFFF"/>
            <w:vAlign w:val="center"/>
            <w:hideMark/>
          </w:tcPr>
          <w:p w14:paraId="6B6D4D6C" w14:textId="77777777" w:rsidR="003E19FA" w:rsidRPr="00D82E5B" w:rsidRDefault="003E19FA" w:rsidP="003E19FA">
            <w:pPr>
              <w:spacing w:after="0" w:line="240" w:lineRule="auto"/>
              <w:jc w:val="right"/>
              <w:rPr>
                <w:rFonts w:eastAsia="Times New Roman" w:cs="Times New Roman"/>
                <w:color w:val="000000"/>
                <w:sz w:val="20"/>
                <w:szCs w:val="20"/>
                <w:lang w:eastAsia="sk-SK"/>
              </w:rPr>
            </w:pPr>
            <w:r w:rsidRPr="00D82E5B">
              <w:rPr>
                <w:rFonts w:eastAsia="Times New Roman" w:cs="Times New Roman"/>
                <w:color w:val="000000"/>
                <w:sz w:val="20"/>
                <w:szCs w:val="20"/>
                <w:lang w:eastAsia="sk-SK"/>
              </w:rPr>
              <w:t>57,4</w:t>
            </w:r>
          </w:p>
        </w:tc>
      </w:tr>
      <w:tr w:rsidR="003E19FA" w:rsidRPr="00D82E5B" w14:paraId="341B89F0" w14:textId="77777777" w:rsidTr="00D82E5B">
        <w:trPr>
          <w:divId w:val="672996393"/>
          <w:trHeight w:val="330"/>
        </w:trPr>
        <w:tc>
          <w:tcPr>
            <w:tcW w:w="2967" w:type="dxa"/>
            <w:tcBorders>
              <w:top w:val="nil"/>
              <w:left w:val="nil"/>
              <w:bottom w:val="nil"/>
              <w:right w:val="nil"/>
            </w:tcBorders>
            <w:shd w:val="clear" w:color="000000" w:fill="FFFFFF"/>
            <w:noWrap/>
            <w:vAlign w:val="center"/>
            <w:hideMark/>
          </w:tcPr>
          <w:p w14:paraId="30F69C04" w14:textId="77777777" w:rsidR="009D48BA" w:rsidRDefault="009D48BA" w:rsidP="009D48BA">
            <w:pPr>
              <w:spacing w:after="0" w:line="240" w:lineRule="auto"/>
              <w:ind w:left="1054" w:hanging="1054"/>
              <w:rPr>
                <w:rFonts w:eastAsia="Times New Roman" w:cs="Times New Roman"/>
                <w:color w:val="000000"/>
                <w:sz w:val="20"/>
                <w:szCs w:val="20"/>
                <w:lang w:eastAsia="sk-SK"/>
              </w:rPr>
            </w:pPr>
            <w:r>
              <w:rPr>
                <w:rFonts w:eastAsia="Times New Roman" w:cs="Times New Roman"/>
                <w:color w:val="000000"/>
                <w:sz w:val="20"/>
                <w:szCs w:val="20"/>
                <w:lang w:eastAsia="sk-SK"/>
              </w:rPr>
              <w:t xml:space="preserve">   </w:t>
            </w:r>
            <w:r w:rsidR="003E19FA" w:rsidRPr="00D82E5B">
              <w:rPr>
                <w:rFonts w:eastAsia="Times New Roman" w:cs="Times New Roman"/>
                <w:color w:val="000000"/>
                <w:sz w:val="20"/>
                <w:szCs w:val="20"/>
                <w:lang w:eastAsia="sk-SK"/>
              </w:rPr>
              <w:t>z toho:</w:t>
            </w:r>
          </w:p>
          <w:p w14:paraId="4692EB7D" w14:textId="21C79040" w:rsidR="003E19FA" w:rsidRPr="00D82E5B" w:rsidRDefault="009D48BA" w:rsidP="009D48BA">
            <w:pPr>
              <w:spacing w:after="0" w:line="240" w:lineRule="auto"/>
              <w:ind w:left="1054" w:hanging="1054"/>
              <w:rPr>
                <w:rFonts w:eastAsia="Times New Roman" w:cs="Times New Roman"/>
                <w:color w:val="000000"/>
                <w:sz w:val="20"/>
                <w:szCs w:val="20"/>
                <w:lang w:eastAsia="sk-SK"/>
              </w:rPr>
            </w:pPr>
            <w:r>
              <w:rPr>
                <w:rFonts w:eastAsia="Times New Roman" w:cs="Times New Roman"/>
                <w:color w:val="000000"/>
                <w:sz w:val="20"/>
                <w:szCs w:val="20"/>
                <w:lang w:eastAsia="sk-SK"/>
              </w:rPr>
              <w:t xml:space="preserve">       </w:t>
            </w:r>
            <w:r w:rsidRPr="00D82E5B">
              <w:rPr>
                <w:rFonts w:eastAsia="Times New Roman" w:cs="Times New Roman"/>
                <w:color w:val="000000"/>
                <w:sz w:val="20"/>
                <w:szCs w:val="20"/>
                <w:lang w:eastAsia="sk-SK"/>
              </w:rPr>
              <w:t>prostriedky z rozpočtu</w:t>
            </w:r>
            <w:r>
              <w:rPr>
                <w:rFonts w:eastAsia="Times New Roman" w:cs="Times New Roman"/>
                <w:color w:val="000000"/>
                <w:sz w:val="20"/>
                <w:szCs w:val="20"/>
                <w:lang w:eastAsia="sk-SK"/>
              </w:rPr>
              <w:t xml:space="preserve"> </w:t>
            </w:r>
            <w:r w:rsidR="003E19FA" w:rsidRPr="00D82E5B">
              <w:rPr>
                <w:rFonts w:eastAsia="Times New Roman" w:cs="Times New Roman"/>
                <w:color w:val="000000"/>
                <w:sz w:val="20"/>
                <w:szCs w:val="20"/>
                <w:lang w:eastAsia="sk-SK"/>
              </w:rPr>
              <w:t>EÚ</w:t>
            </w:r>
          </w:p>
        </w:tc>
        <w:tc>
          <w:tcPr>
            <w:tcW w:w="992" w:type="dxa"/>
            <w:tcBorders>
              <w:top w:val="nil"/>
              <w:left w:val="nil"/>
              <w:bottom w:val="nil"/>
              <w:right w:val="nil"/>
            </w:tcBorders>
            <w:shd w:val="clear" w:color="000000" w:fill="FFFFFF"/>
            <w:noWrap/>
            <w:vAlign w:val="bottom"/>
            <w:hideMark/>
          </w:tcPr>
          <w:p w14:paraId="0D60E857" w14:textId="77777777" w:rsidR="003E19FA" w:rsidRPr="00D82E5B" w:rsidRDefault="003E19FA" w:rsidP="003E19FA">
            <w:pPr>
              <w:spacing w:after="0" w:line="240" w:lineRule="auto"/>
              <w:jc w:val="right"/>
              <w:rPr>
                <w:rFonts w:eastAsia="Times New Roman" w:cs="Times New Roman"/>
                <w:color w:val="000000"/>
                <w:sz w:val="20"/>
                <w:szCs w:val="20"/>
                <w:lang w:eastAsia="sk-SK"/>
              </w:rPr>
            </w:pPr>
            <w:r w:rsidRPr="00D82E5B">
              <w:rPr>
                <w:rFonts w:eastAsia="Times New Roman" w:cs="Times New Roman"/>
                <w:color w:val="000000"/>
                <w:sz w:val="20"/>
                <w:szCs w:val="20"/>
                <w:lang w:eastAsia="sk-SK"/>
              </w:rPr>
              <w:t>1 939 787</w:t>
            </w:r>
          </w:p>
        </w:tc>
        <w:tc>
          <w:tcPr>
            <w:tcW w:w="1019" w:type="dxa"/>
            <w:tcBorders>
              <w:top w:val="nil"/>
              <w:left w:val="nil"/>
              <w:bottom w:val="nil"/>
              <w:right w:val="nil"/>
            </w:tcBorders>
            <w:shd w:val="clear" w:color="000000" w:fill="FFFFFF"/>
            <w:noWrap/>
            <w:vAlign w:val="bottom"/>
            <w:hideMark/>
          </w:tcPr>
          <w:p w14:paraId="59BE017C" w14:textId="77777777" w:rsidR="003E19FA" w:rsidRPr="00D82E5B" w:rsidRDefault="003E19FA" w:rsidP="003E19FA">
            <w:pPr>
              <w:spacing w:after="0" w:line="240" w:lineRule="auto"/>
              <w:jc w:val="right"/>
              <w:rPr>
                <w:rFonts w:eastAsia="Times New Roman" w:cs="Times New Roman"/>
                <w:color w:val="000000"/>
                <w:sz w:val="20"/>
                <w:szCs w:val="20"/>
                <w:lang w:eastAsia="sk-SK"/>
              </w:rPr>
            </w:pPr>
            <w:r w:rsidRPr="00D82E5B">
              <w:rPr>
                <w:rFonts w:eastAsia="Times New Roman" w:cs="Times New Roman"/>
                <w:color w:val="000000"/>
                <w:sz w:val="20"/>
                <w:szCs w:val="20"/>
                <w:lang w:eastAsia="sk-SK"/>
              </w:rPr>
              <w:t>1 422 488</w:t>
            </w:r>
          </w:p>
        </w:tc>
        <w:tc>
          <w:tcPr>
            <w:tcW w:w="966" w:type="dxa"/>
            <w:tcBorders>
              <w:top w:val="nil"/>
              <w:left w:val="nil"/>
              <w:bottom w:val="nil"/>
              <w:right w:val="nil"/>
            </w:tcBorders>
            <w:shd w:val="clear" w:color="000000" w:fill="FFFFFF"/>
            <w:noWrap/>
            <w:vAlign w:val="center"/>
            <w:hideMark/>
          </w:tcPr>
          <w:p w14:paraId="7FF5B95E" w14:textId="77777777" w:rsidR="009D48BA" w:rsidRDefault="009D48BA" w:rsidP="003E19FA">
            <w:pPr>
              <w:spacing w:after="0" w:line="240" w:lineRule="auto"/>
              <w:jc w:val="right"/>
              <w:rPr>
                <w:rFonts w:eastAsia="Times New Roman" w:cs="Times New Roman"/>
                <w:color w:val="000000"/>
                <w:sz w:val="20"/>
                <w:szCs w:val="20"/>
                <w:lang w:eastAsia="sk-SK"/>
              </w:rPr>
            </w:pPr>
          </w:p>
          <w:p w14:paraId="694BCE82" w14:textId="77777777" w:rsidR="003E19FA" w:rsidRPr="00D82E5B" w:rsidRDefault="003E19FA" w:rsidP="003E19FA">
            <w:pPr>
              <w:spacing w:after="0" w:line="240" w:lineRule="auto"/>
              <w:jc w:val="right"/>
              <w:rPr>
                <w:rFonts w:eastAsia="Times New Roman" w:cs="Times New Roman"/>
                <w:color w:val="000000"/>
                <w:sz w:val="20"/>
                <w:szCs w:val="20"/>
                <w:lang w:eastAsia="sk-SK"/>
              </w:rPr>
            </w:pPr>
            <w:r w:rsidRPr="00D82E5B">
              <w:rPr>
                <w:rFonts w:eastAsia="Times New Roman" w:cs="Times New Roman"/>
                <w:color w:val="000000"/>
                <w:sz w:val="20"/>
                <w:szCs w:val="20"/>
                <w:lang w:eastAsia="sk-SK"/>
              </w:rPr>
              <w:t>1 378 419</w:t>
            </w:r>
          </w:p>
        </w:tc>
        <w:tc>
          <w:tcPr>
            <w:tcW w:w="1019" w:type="dxa"/>
            <w:tcBorders>
              <w:top w:val="nil"/>
              <w:left w:val="nil"/>
              <w:bottom w:val="nil"/>
              <w:right w:val="nil"/>
            </w:tcBorders>
            <w:shd w:val="clear" w:color="000000" w:fill="BFBFBF"/>
            <w:noWrap/>
            <w:vAlign w:val="bottom"/>
            <w:hideMark/>
          </w:tcPr>
          <w:p w14:paraId="1C3E309D" w14:textId="77777777" w:rsidR="003E19FA" w:rsidRPr="00D82E5B" w:rsidRDefault="003E19FA" w:rsidP="003E19FA">
            <w:pPr>
              <w:spacing w:after="0" w:line="240" w:lineRule="auto"/>
              <w:jc w:val="right"/>
              <w:rPr>
                <w:rFonts w:eastAsia="Times New Roman" w:cs="Times New Roman"/>
                <w:color w:val="000000"/>
                <w:sz w:val="20"/>
                <w:szCs w:val="20"/>
                <w:lang w:eastAsia="sk-SK"/>
              </w:rPr>
            </w:pPr>
            <w:r w:rsidRPr="00D82E5B">
              <w:rPr>
                <w:rFonts w:eastAsia="Times New Roman" w:cs="Times New Roman"/>
                <w:color w:val="000000"/>
                <w:sz w:val="20"/>
                <w:szCs w:val="20"/>
                <w:lang w:eastAsia="sk-SK"/>
              </w:rPr>
              <w:t>2 169 725</w:t>
            </w:r>
          </w:p>
        </w:tc>
        <w:tc>
          <w:tcPr>
            <w:tcW w:w="850" w:type="dxa"/>
            <w:tcBorders>
              <w:top w:val="nil"/>
              <w:left w:val="nil"/>
              <w:bottom w:val="nil"/>
              <w:right w:val="nil"/>
            </w:tcBorders>
            <w:shd w:val="clear" w:color="000000" w:fill="FFFFFF"/>
            <w:vAlign w:val="center"/>
            <w:hideMark/>
          </w:tcPr>
          <w:p w14:paraId="10D54E5A" w14:textId="77777777" w:rsidR="009D48BA" w:rsidRDefault="009D48BA" w:rsidP="003E19FA">
            <w:pPr>
              <w:spacing w:after="0" w:line="240" w:lineRule="auto"/>
              <w:jc w:val="right"/>
              <w:rPr>
                <w:rFonts w:eastAsia="Times New Roman" w:cs="Times New Roman"/>
                <w:color w:val="000000"/>
                <w:sz w:val="20"/>
                <w:szCs w:val="20"/>
                <w:lang w:eastAsia="sk-SK"/>
              </w:rPr>
            </w:pPr>
          </w:p>
          <w:p w14:paraId="18DBB348" w14:textId="77777777" w:rsidR="003E19FA" w:rsidRPr="00D82E5B" w:rsidRDefault="003E19FA" w:rsidP="003E19FA">
            <w:pPr>
              <w:spacing w:after="0" w:line="240" w:lineRule="auto"/>
              <w:jc w:val="right"/>
              <w:rPr>
                <w:rFonts w:eastAsia="Times New Roman" w:cs="Times New Roman"/>
                <w:color w:val="000000"/>
                <w:sz w:val="20"/>
                <w:szCs w:val="20"/>
                <w:lang w:eastAsia="sk-SK"/>
              </w:rPr>
            </w:pPr>
            <w:r w:rsidRPr="00D82E5B">
              <w:rPr>
                <w:rFonts w:eastAsia="Times New Roman" w:cs="Times New Roman"/>
                <w:color w:val="000000"/>
                <w:sz w:val="20"/>
                <w:szCs w:val="20"/>
                <w:lang w:eastAsia="sk-SK"/>
              </w:rPr>
              <w:t>791 306</w:t>
            </w:r>
          </w:p>
        </w:tc>
        <w:tc>
          <w:tcPr>
            <w:tcW w:w="714" w:type="dxa"/>
            <w:tcBorders>
              <w:top w:val="nil"/>
              <w:left w:val="nil"/>
              <w:bottom w:val="nil"/>
              <w:right w:val="nil"/>
            </w:tcBorders>
            <w:shd w:val="clear" w:color="000000" w:fill="FFFFFF"/>
            <w:vAlign w:val="center"/>
            <w:hideMark/>
          </w:tcPr>
          <w:p w14:paraId="622B8844" w14:textId="77777777" w:rsidR="009D48BA" w:rsidRDefault="009D48BA" w:rsidP="003E19FA">
            <w:pPr>
              <w:spacing w:after="0" w:line="240" w:lineRule="auto"/>
              <w:jc w:val="right"/>
              <w:rPr>
                <w:rFonts w:eastAsia="Times New Roman" w:cs="Times New Roman"/>
                <w:color w:val="000000"/>
                <w:sz w:val="20"/>
                <w:szCs w:val="20"/>
                <w:lang w:eastAsia="sk-SK"/>
              </w:rPr>
            </w:pPr>
          </w:p>
          <w:p w14:paraId="3F798622" w14:textId="77777777" w:rsidR="003E19FA" w:rsidRPr="00D82E5B" w:rsidRDefault="003E19FA" w:rsidP="003E19FA">
            <w:pPr>
              <w:spacing w:after="0" w:line="240" w:lineRule="auto"/>
              <w:jc w:val="right"/>
              <w:rPr>
                <w:rFonts w:eastAsia="Times New Roman" w:cs="Times New Roman"/>
                <w:color w:val="000000"/>
                <w:sz w:val="20"/>
                <w:szCs w:val="20"/>
                <w:lang w:eastAsia="sk-SK"/>
              </w:rPr>
            </w:pPr>
            <w:r w:rsidRPr="00D82E5B">
              <w:rPr>
                <w:rFonts w:eastAsia="Times New Roman" w:cs="Times New Roman"/>
                <w:color w:val="000000"/>
                <w:sz w:val="20"/>
                <w:szCs w:val="20"/>
                <w:lang w:eastAsia="sk-SK"/>
              </w:rPr>
              <w:t>57,4</w:t>
            </w:r>
          </w:p>
        </w:tc>
      </w:tr>
      <w:tr w:rsidR="003E19FA" w:rsidRPr="00D82E5B" w14:paraId="656EE1B0" w14:textId="77777777" w:rsidTr="00D82E5B">
        <w:trPr>
          <w:divId w:val="672996393"/>
          <w:trHeight w:val="345"/>
        </w:trPr>
        <w:tc>
          <w:tcPr>
            <w:tcW w:w="2967" w:type="dxa"/>
            <w:tcBorders>
              <w:top w:val="single" w:sz="4" w:space="0" w:color="auto"/>
              <w:left w:val="nil"/>
              <w:bottom w:val="single" w:sz="8" w:space="0" w:color="auto"/>
              <w:right w:val="nil"/>
            </w:tcBorders>
            <w:shd w:val="clear" w:color="000000" w:fill="FFFFFF"/>
            <w:noWrap/>
            <w:vAlign w:val="center"/>
            <w:hideMark/>
          </w:tcPr>
          <w:p w14:paraId="1F878FE2" w14:textId="77777777" w:rsidR="003E19FA" w:rsidRPr="00D82E5B" w:rsidRDefault="003E19FA" w:rsidP="003E19FA">
            <w:pPr>
              <w:spacing w:after="0" w:line="240" w:lineRule="auto"/>
              <w:rPr>
                <w:rFonts w:eastAsia="Times New Roman" w:cs="Times New Roman"/>
                <w:b/>
                <w:bCs/>
                <w:color w:val="000000"/>
                <w:sz w:val="20"/>
                <w:szCs w:val="20"/>
                <w:lang w:eastAsia="sk-SK"/>
              </w:rPr>
            </w:pPr>
            <w:r w:rsidRPr="00D82E5B">
              <w:rPr>
                <w:rFonts w:eastAsia="Times New Roman" w:cs="Times New Roman"/>
                <w:b/>
                <w:bCs/>
                <w:color w:val="000000"/>
                <w:sz w:val="20"/>
                <w:szCs w:val="20"/>
                <w:lang w:eastAsia="sk-SK"/>
              </w:rPr>
              <w:t>Spolu</w:t>
            </w:r>
          </w:p>
        </w:tc>
        <w:tc>
          <w:tcPr>
            <w:tcW w:w="992" w:type="dxa"/>
            <w:tcBorders>
              <w:top w:val="single" w:sz="4" w:space="0" w:color="auto"/>
              <w:left w:val="nil"/>
              <w:bottom w:val="single" w:sz="8" w:space="0" w:color="auto"/>
              <w:right w:val="nil"/>
            </w:tcBorders>
            <w:shd w:val="clear" w:color="000000" w:fill="FFFFFF"/>
            <w:noWrap/>
            <w:vAlign w:val="center"/>
            <w:hideMark/>
          </w:tcPr>
          <w:p w14:paraId="2EA7A6D2" w14:textId="77777777" w:rsidR="003E19FA" w:rsidRPr="00D82E5B" w:rsidRDefault="003E19FA" w:rsidP="003E19FA">
            <w:pPr>
              <w:spacing w:after="0" w:line="240" w:lineRule="auto"/>
              <w:jc w:val="right"/>
              <w:rPr>
                <w:rFonts w:eastAsia="Times New Roman" w:cs="Times New Roman"/>
                <w:b/>
                <w:bCs/>
                <w:color w:val="000000"/>
                <w:sz w:val="20"/>
                <w:szCs w:val="20"/>
                <w:lang w:eastAsia="sk-SK"/>
              </w:rPr>
            </w:pPr>
            <w:r w:rsidRPr="00D82E5B">
              <w:rPr>
                <w:rFonts w:eastAsia="Times New Roman" w:cs="Times New Roman"/>
                <w:b/>
                <w:bCs/>
                <w:color w:val="000000"/>
                <w:sz w:val="20"/>
                <w:szCs w:val="20"/>
                <w:lang w:eastAsia="sk-SK"/>
              </w:rPr>
              <w:t>1 984 788</w:t>
            </w:r>
          </w:p>
        </w:tc>
        <w:tc>
          <w:tcPr>
            <w:tcW w:w="1019" w:type="dxa"/>
            <w:tcBorders>
              <w:top w:val="single" w:sz="4" w:space="0" w:color="auto"/>
              <w:left w:val="nil"/>
              <w:bottom w:val="single" w:sz="8" w:space="0" w:color="auto"/>
              <w:right w:val="nil"/>
            </w:tcBorders>
            <w:shd w:val="clear" w:color="000000" w:fill="FFFFFF"/>
            <w:noWrap/>
            <w:vAlign w:val="center"/>
            <w:hideMark/>
          </w:tcPr>
          <w:p w14:paraId="70B79855" w14:textId="77777777" w:rsidR="003E19FA" w:rsidRPr="00D82E5B" w:rsidRDefault="003E19FA" w:rsidP="003E19FA">
            <w:pPr>
              <w:spacing w:after="0" w:line="240" w:lineRule="auto"/>
              <w:jc w:val="right"/>
              <w:rPr>
                <w:rFonts w:eastAsia="Times New Roman" w:cs="Times New Roman"/>
                <w:b/>
                <w:bCs/>
                <w:color w:val="000000"/>
                <w:sz w:val="20"/>
                <w:szCs w:val="20"/>
                <w:lang w:eastAsia="sk-SK"/>
              </w:rPr>
            </w:pPr>
            <w:r w:rsidRPr="00D82E5B">
              <w:rPr>
                <w:rFonts w:eastAsia="Times New Roman" w:cs="Times New Roman"/>
                <w:b/>
                <w:bCs/>
                <w:color w:val="000000"/>
                <w:sz w:val="20"/>
                <w:szCs w:val="20"/>
                <w:lang w:eastAsia="sk-SK"/>
              </w:rPr>
              <w:t>1 476 362</w:t>
            </w:r>
          </w:p>
        </w:tc>
        <w:tc>
          <w:tcPr>
            <w:tcW w:w="966" w:type="dxa"/>
            <w:tcBorders>
              <w:top w:val="single" w:sz="4" w:space="0" w:color="auto"/>
              <w:left w:val="nil"/>
              <w:bottom w:val="single" w:sz="8" w:space="0" w:color="auto"/>
              <w:right w:val="nil"/>
            </w:tcBorders>
            <w:shd w:val="clear" w:color="000000" w:fill="FFFFFF"/>
            <w:noWrap/>
            <w:vAlign w:val="center"/>
            <w:hideMark/>
          </w:tcPr>
          <w:p w14:paraId="4E5BF11C" w14:textId="77777777" w:rsidR="003E19FA" w:rsidRPr="00D82E5B" w:rsidRDefault="003E19FA" w:rsidP="003E19FA">
            <w:pPr>
              <w:spacing w:after="0" w:line="240" w:lineRule="auto"/>
              <w:jc w:val="right"/>
              <w:rPr>
                <w:rFonts w:eastAsia="Times New Roman" w:cs="Times New Roman"/>
                <w:b/>
                <w:bCs/>
                <w:color w:val="000000"/>
                <w:sz w:val="20"/>
                <w:szCs w:val="20"/>
                <w:lang w:eastAsia="sk-SK"/>
              </w:rPr>
            </w:pPr>
            <w:r w:rsidRPr="00D82E5B">
              <w:rPr>
                <w:rFonts w:eastAsia="Times New Roman" w:cs="Times New Roman"/>
                <w:b/>
                <w:bCs/>
                <w:color w:val="000000"/>
                <w:sz w:val="20"/>
                <w:szCs w:val="20"/>
                <w:lang w:eastAsia="sk-SK"/>
              </w:rPr>
              <w:t>1 412 473</w:t>
            </w:r>
          </w:p>
        </w:tc>
        <w:tc>
          <w:tcPr>
            <w:tcW w:w="1019" w:type="dxa"/>
            <w:tcBorders>
              <w:top w:val="single" w:sz="4" w:space="0" w:color="auto"/>
              <w:left w:val="nil"/>
              <w:bottom w:val="single" w:sz="8" w:space="0" w:color="auto"/>
              <w:right w:val="nil"/>
            </w:tcBorders>
            <w:shd w:val="clear" w:color="000000" w:fill="BFBFBF"/>
            <w:noWrap/>
            <w:vAlign w:val="center"/>
            <w:hideMark/>
          </w:tcPr>
          <w:p w14:paraId="383D9F4E" w14:textId="77777777" w:rsidR="003E19FA" w:rsidRPr="00D82E5B" w:rsidRDefault="003E19FA" w:rsidP="003E19FA">
            <w:pPr>
              <w:spacing w:after="0" w:line="240" w:lineRule="auto"/>
              <w:jc w:val="right"/>
              <w:rPr>
                <w:rFonts w:eastAsia="Times New Roman" w:cs="Times New Roman"/>
                <w:b/>
                <w:bCs/>
                <w:color w:val="000000"/>
                <w:sz w:val="20"/>
                <w:szCs w:val="20"/>
                <w:lang w:eastAsia="sk-SK"/>
              </w:rPr>
            </w:pPr>
            <w:r w:rsidRPr="00D82E5B">
              <w:rPr>
                <w:rFonts w:eastAsia="Times New Roman" w:cs="Times New Roman"/>
                <w:b/>
                <w:bCs/>
                <w:color w:val="000000"/>
                <w:sz w:val="20"/>
                <w:szCs w:val="20"/>
                <w:lang w:eastAsia="sk-SK"/>
              </w:rPr>
              <w:t>2 203 634</w:t>
            </w:r>
          </w:p>
        </w:tc>
        <w:tc>
          <w:tcPr>
            <w:tcW w:w="850" w:type="dxa"/>
            <w:tcBorders>
              <w:top w:val="single" w:sz="4" w:space="0" w:color="auto"/>
              <w:left w:val="nil"/>
              <w:bottom w:val="single" w:sz="8" w:space="0" w:color="auto"/>
              <w:right w:val="nil"/>
            </w:tcBorders>
            <w:shd w:val="clear" w:color="000000" w:fill="FFFFFF"/>
            <w:noWrap/>
            <w:vAlign w:val="center"/>
            <w:hideMark/>
          </w:tcPr>
          <w:p w14:paraId="2F154EE6" w14:textId="77777777" w:rsidR="003E19FA" w:rsidRPr="00D82E5B" w:rsidRDefault="003E19FA" w:rsidP="003E19FA">
            <w:pPr>
              <w:spacing w:after="0" w:line="240" w:lineRule="auto"/>
              <w:jc w:val="right"/>
              <w:rPr>
                <w:rFonts w:eastAsia="Times New Roman" w:cs="Times New Roman"/>
                <w:b/>
                <w:bCs/>
                <w:color w:val="000000"/>
                <w:sz w:val="20"/>
                <w:szCs w:val="20"/>
                <w:lang w:eastAsia="sk-SK"/>
              </w:rPr>
            </w:pPr>
            <w:r w:rsidRPr="00D82E5B">
              <w:rPr>
                <w:rFonts w:eastAsia="Times New Roman" w:cs="Times New Roman"/>
                <w:b/>
                <w:bCs/>
                <w:color w:val="000000"/>
                <w:sz w:val="20"/>
                <w:szCs w:val="20"/>
                <w:lang w:eastAsia="sk-SK"/>
              </w:rPr>
              <w:t>791 161</w:t>
            </w:r>
          </w:p>
        </w:tc>
        <w:tc>
          <w:tcPr>
            <w:tcW w:w="714" w:type="dxa"/>
            <w:tcBorders>
              <w:top w:val="single" w:sz="4" w:space="0" w:color="auto"/>
              <w:left w:val="nil"/>
              <w:bottom w:val="single" w:sz="8" w:space="0" w:color="auto"/>
              <w:right w:val="nil"/>
            </w:tcBorders>
            <w:shd w:val="clear" w:color="000000" w:fill="FFFFFF"/>
            <w:noWrap/>
            <w:vAlign w:val="center"/>
            <w:hideMark/>
          </w:tcPr>
          <w:p w14:paraId="5F80A60B" w14:textId="77777777" w:rsidR="003E19FA" w:rsidRPr="00D82E5B" w:rsidRDefault="003E19FA" w:rsidP="003E19FA">
            <w:pPr>
              <w:spacing w:after="0" w:line="240" w:lineRule="auto"/>
              <w:jc w:val="right"/>
              <w:rPr>
                <w:rFonts w:eastAsia="Times New Roman" w:cs="Times New Roman"/>
                <w:b/>
                <w:bCs/>
                <w:color w:val="000000"/>
                <w:sz w:val="20"/>
                <w:szCs w:val="20"/>
                <w:lang w:eastAsia="sk-SK"/>
              </w:rPr>
            </w:pPr>
            <w:r w:rsidRPr="00D82E5B">
              <w:rPr>
                <w:rFonts w:eastAsia="Times New Roman" w:cs="Times New Roman"/>
                <w:b/>
                <w:bCs/>
                <w:color w:val="000000"/>
                <w:sz w:val="20"/>
                <w:szCs w:val="20"/>
                <w:lang w:eastAsia="sk-SK"/>
              </w:rPr>
              <w:t>56,0</w:t>
            </w:r>
          </w:p>
        </w:tc>
      </w:tr>
    </w:tbl>
    <w:p w14:paraId="3C29EEE4" w14:textId="77777777" w:rsidR="00B36DAC" w:rsidRPr="00882156" w:rsidRDefault="00B36DAC" w:rsidP="00FE5D1D">
      <w:pPr>
        <w:jc w:val="right"/>
        <w:rPr>
          <w:color w:val="000000" w:themeColor="text1"/>
        </w:rPr>
      </w:pPr>
      <w:r w:rsidRPr="00EE2EAE">
        <w:rPr>
          <w:color w:val="000000" w:themeColor="text1"/>
          <w:highlight w:val="yellow"/>
        </w:rPr>
        <w:fldChar w:fldCharType="end"/>
      </w:r>
      <w:r w:rsidRPr="003F2157">
        <w:rPr>
          <w:color w:val="000000" w:themeColor="text1"/>
          <w:sz w:val="18"/>
          <w:szCs w:val="18"/>
        </w:rPr>
        <w:t>Zdroj: MF SR</w:t>
      </w:r>
    </w:p>
    <w:p w14:paraId="2FBE792B" w14:textId="306A61B6" w:rsidR="00B36DAC" w:rsidRPr="0072730D" w:rsidRDefault="00B36DAC" w:rsidP="00FE5D1D">
      <w:r w:rsidRPr="003F2157">
        <w:rPr>
          <w:b/>
        </w:rPr>
        <w:t>Tuzemské granty a transfery</w:t>
      </w:r>
      <w:r w:rsidRPr="003F2157">
        <w:t xml:space="preserve"> svojim skutočným plnením v sume 33 861 tis. eur tvorili </w:t>
      </w:r>
      <w:r w:rsidR="00154AB2">
        <w:t>len</w:t>
      </w:r>
      <w:r w:rsidR="00BF5D19">
        <w:t xml:space="preserve"> 1,5 </w:t>
      </w:r>
      <w:r w:rsidR="00154AB2">
        <w:t>%</w:t>
      </w:r>
      <w:r w:rsidRPr="003F2157">
        <w:t xml:space="preserve"> z celkovo dosiahnutých grantov a transferov. Celú sumu tvorili len bežné transfery</w:t>
      </w:r>
      <w:r w:rsidR="00154AB2">
        <w:t xml:space="preserve"> v rámci verejnej správy</w:t>
      </w:r>
      <w:r w:rsidRPr="003F2157">
        <w:t>.</w:t>
      </w:r>
      <w:r w:rsidRPr="003F2157">
        <w:rPr>
          <w:color w:val="FF0000"/>
        </w:rPr>
        <w:t xml:space="preserve"> </w:t>
      </w:r>
      <w:r w:rsidRPr="00882156">
        <w:t xml:space="preserve">Objemovo </w:t>
      </w:r>
      <w:r w:rsidRPr="00EE2EAE">
        <w:t>najvýznamnejšou</w:t>
      </w:r>
      <w:r w:rsidRPr="006E5D49">
        <w:t xml:space="preserve"> časťou </w:t>
      </w:r>
      <w:r w:rsidR="00BE272D">
        <w:t>boli príjmy z </w:t>
      </w:r>
      <w:r w:rsidRPr="00535AE3">
        <w:t xml:space="preserve">príspevkov zdravotných poisťovní na činnosť operačných stredísk záchrannej zdravotnej služby a na </w:t>
      </w:r>
      <w:r w:rsidRPr="00882156">
        <w:t xml:space="preserve">správu a rozvoj </w:t>
      </w:r>
      <w:r w:rsidRPr="00102BBA">
        <w:t>národného zdravotníckeho informačného sys</w:t>
      </w:r>
      <w:r w:rsidR="00BE272D" w:rsidRPr="00102BBA">
        <w:t>tému vo výške 33 713 tis. eur v </w:t>
      </w:r>
      <w:r w:rsidRPr="00102BBA">
        <w:t>kapitole Ministerstva zdravotníctva SR v zmysle</w:t>
      </w:r>
      <w:r w:rsidRPr="00882156">
        <w:t xml:space="preserve"> zákona č. 581/2004 Z. z. o zdravotných poisťovniach, dohľade nad zdravotnou starostlivosťou a o zmene a doplnení niektorých zákonov v znení neskorších predpisov.</w:t>
      </w:r>
    </w:p>
    <w:p w14:paraId="393B4661" w14:textId="378CA55A" w:rsidR="00B36DAC" w:rsidRPr="006E5D49" w:rsidRDefault="00B36DAC" w:rsidP="00FE5D1D">
      <w:r w:rsidRPr="006E5D49">
        <w:rPr>
          <w:b/>
        </w:rPr>
        <w:t>Zahraničné</w:t>
      </w:r>
      <w:r w:rsidRPr="00535AE3">
        <w:rPr>
          <w:b/>
        </w:rPr>
        <w:t xml:space="preserve"> granty a transfery</w:t>
      </w:r>
      <w:r w:rsidRPr="00535AE3">
        <w:rPr>
          <w:color w:val="FF0000"/>
        </w:rPr>
        <w:t xml:space="preserve"> </w:t>
      </w:r>
      <w:r w:rsidRPr="00535AE3">
        <w:t xml:space="preserve">boli rozpočtované vo výške 1 378 419 tis. eur. Skutočné plnenie týchto príjmov bolo vo výške </w:t>
      </w:r>
      <w:r w:rsidRPr="006E5D49">
        <w:t>2 169 773 tis. eur,</w:t>
      </w:r>
      <w:r w:rsidR="00CC444F">
        <w:t xml:space="preserve"> </w:t>
      </w:r>
      <w:r w:rsidRPr="006E5D49">
        <w:t xml:space="preserve">z toho granty v sume 48 tis. eur. </w:t>
      </w:r>
    </w:p>
    <w:p w14:paraId="3207D653" w14:textId="7CA0457A" w:rsidR="00B36DAC" w:rsidRPr="00535AE3" w:rsidRDefault="00B36DAC" w:rsidP="00FE5D1D">
      <w:r w:rsidRPr="00932C82">
        <w:rPr>
          <w:b/>
          <w:i/>
        </w:rPr>
        <w:t>Zahraničné transfery</w:t>
      </w:r>
      <w:r w:rsidRPr="00535AE3">
        <w:t xml:space="preserve"> dosiahli 2 169 725 tis. eur, čo predstavuje o</w:t>
      </w:r>
      <w:r w:rsidR="00C922BD">
        <w:t xml:space="preserve">proti schválenému rozpočtu vyššie plnenie </w:t>
      </w:r>
      <w:r w:rsidRPr="00535AE3">
        <w:t>až o 791 3</w:t>
      </w:r>
      <w:r>
        <w:t>06</w:t>
      </w:r>
      <w:r w:rsidRPr="00535AE3">
        <w:t> tis. eur</w:t>
      </w:r>
      <w:r w:rsidRPr="00695940">
        <w:t>.</w:t>
      </w:r>
      <w:r w:rsidRPr="00535AE3">
        <w:t xml:space="preserve"> Išlo o prostriedky z rozpočtu Európskej únie pre programy, ktoré sa v Slovenskej republike poskytujú prostredníctvom certifikačného orgánu (Ministerstva financií SR a</w:t>
      </w:r>
      <w:r w:rsidR="003855B7">
        <w:t xml:space="preserve"> </w:t>
      </w:r>
      <w:r w:rsidRPr="00535AE3">
        <w:t>Ministerstva práce, sociálnych vecí a rodiny SR) alebo Ministerstva pôdohospodárstva a rozvoja vidieka S</w:t>
      </w:r>
      <w:r w:rsidR="00CC444F">
        <w:t>R</w:t>
      </w:r>
      <w:r w:rsidRPr="00535AE3">
        <w:t xml:space="preserve">. </w:t>
      </w:r>
    </w:p>
    <w:p w14:paraId="71B5F4E2" w14:textId="77777777" w:rsidR="00B36DAC" w:rsidRPr="00AF6172" w:rsidRDefault="00B36DAC" w:rsidP="00FE5D1D">
      <w:pPr>
        <w:rPr>
          <w:b/>
        </w:rPr>
      </w:pPr>
      <w:r w:rsidRPr="00AF6172">
        <w:t>Prostriedky za štrukturálne operácie</w:t>
      </w:r>
      <w:r w:rsidRPr="00AF6172">
        <w:rPr>
          <w:b/>
        </w:rPr>
        <w:t xml:space="preserve"> </w:t>
      </w:r>
      <w:r w:rsidRPr="001827ED">
        <w:t>boli v roku 2018 rozpočtované za programy 3. programového</w:t>
      </w:r>
      <w:r w:rsidRPr="00B27DA8">
        <w:t xml:space="preserve"> obdobia 2014-2020, a to za fondy - Európsky fond regionálneho rozvoja (vrátane programov európskej územnej spolupráce pre ktoré je Ministerstvo financií SR certifikačným orgánom - </w:t>
      </w:r>
      <w:proofErr w:type="spellStart"/>
      <w:r w:rsidRPr="00B27DA8">
        <w:t>Interreg</w:t>
      </w:r>
      <w:proofErr w:type="spellEnd"/>
      <w:r w:rsidRPr="00B27DA8">
        <w:t xml:space="preserve"> V-A SK-AT 2014-2020, </w:t>
      </w:r>
      <w:proofErr w:type="spellStart"/>
      <w:r w:rsidRPr="00B27DA8">
        <w:t>Interreg</w:t>
      </w:r>
      <w:proofErr w:type="spellEnd"/>
      <w:r w:rsidRPr="00B27DA8">
        <w:t xml:space="preserve"> V-A SK-CZ 2014-2020), Európsky sociá</w:t>
      </w:r>
      <w:r w:rsidRPr="00AF6172">
        <w:t>lny fond, Iniciatíva na podporu zamestnanosti mladých ľudí, Kohézny fond, Európsky námorný a rybársky fond a Fond európskej pomoci pre najodkázanejšie osoby.</w:t>
      </w:r>
    </w:p>
    <w:p w14:paraId="6C806DEC" w14:textId="474DF775" w:rsidR="00B36DAC" w:rsidRPr="00AF6172" w:rsidRDefault="00B36DAC" w:rsidP="00FE5D1D">
      <w:r w:rsidRPr="00AF6172">
        <w:t>Prostriedky za poľnohospodárske fondy boli v roku 2018 rozpočtované za Európsky poľnohospodársk</w:t>
      </w:r>
      <w:r w:rsidR="003855B7">
        <w:t xml:space="preserve">y záručný fond (Priame platby a </w:t>
      </w:r>
      <w:r w:rsidRPr="00AF6172">
        <w:t>Trhovo orientované výdavky) a</w:t>
      </w:r>
      <w:r w:rsidR="00CC444F">
        <w:t xml:space="preserve"> </w:t>
      </w:r>
      <w:r w:rsidRPr="00AF6172">
        <w:t>za Európsky poľnohospodársky fond pre rozvoj vidieka (Program rozvoja vidieka).</w:t>
      </w:r>
    </w:p>
    <w:p w14:paraId="1605DF43" w14:textId="5A628CA7" w:rsidR="00B36DAC" w:rsidRPr="001827ED" w:rsidRDefault="00B36DAC" w:rsidP="00FE5D1D">
      <w:r w:rsidRPr="001827ED">
        <w:t>Rozpočet príjmov za prostriedky EÚ bol v roku 2018 upravený na úroveň 2</w:t>
      </w:r>
      <w:r w:rsidR="003855B7">
        <w:t> </w:t>
      </w:r>
      <w:r w:rsidRPr="001827ED">
        <w:t>169</w:t>
      </w:r>
      <w:r w:rsidR="003855B7">
        <w:t> </w:t>
      </w:r>
      <w:r w:rsidRPr="001827ED">
        <w:t>725</w:t>
      </w:r>
      <w:r w:rsidR="003855B7">
        <w:t> </w:t>
      </w:r>
      <w:r w:rsidRPr="001827ED">
        <w:t>tis.</w:t>
      </w:r>
      <w:r w:rsidR="003855B7">
        <w:t> </w:t>
      </w:r>
      <w:r w:rsidRPr="001827ED">
        <w:t>eur. K úpravám došlo v nadväznosti na vysporiadanie finančných prostriedkov za finančné opravy</w:t>
      </w:r>
      <w:r>
        <w:t xml:space="preserve"> v </w:t>
      </w:r>
      <w:r w:rsidRPr="001827ED">
        <w:t xml:space="preserve">zmysle § 15 zákona o rozpočtových pravidlách, v nadväznosti na prijaté oznámenia o výške prostriedkov, ktoré budú použité v nasledujúcich rokoch v zmysle § 8 zákona o rozpočtových pravidlách </w:t>
      </w:r>
      <w:r w:rsidR="003855B7">
        <w:t xml:space="preserve">a v nadväznosti </w:t>
      </w:r>
      <w:r w:rsidRPr="001827ED">
        <w:t xml:space="preserve">na ostatné viazania prostriedkov v zmysle § 18 zákona </w:t>
      </w:r>
      <w:r w:rsidR="002D0CEA">
        <w:t>o r</w:t>
      </w:r>
      <w:r w:rsidRPr="001827ED">
        <w:t>ozpočtových pravidlách verejnej správy.</w:t>
      </w:r>
    </w:p>
    <w:p w14:paraId="7A52CFCC" w14:textId="581D84B6" w:rsidR="00B36DAC" w:rsidRPr="00B27DA8" w:rsidRDefault="00B36DAC" w:rsidP="00FE5D1D">
      <w:pPr>
        <w:rPr>
          <w:rFonts w:eastAsia="Calibri"/>
          <w:color w:val="000000" w:themeColor="text1"/>
        </w:rPr>
      </w:pPr>
      <w:r w:rsidRPr="00B27DA8">
        <w:rPr>
          <w:rFonts w:eastAsia="Calibri"/>
          <w:color w:val="000000" w:themeColor="text1"/>
        </w:rPr>
        <w:t xml:space="preserve">Najvyšší príjem zo zahraničných transferov bol v kapitole </w:t>
      </w:r>
      <w:r w:rsidRPr="000A6683">
        <w:rPr>
          <w:rFonts w:eastAsia="Calibri"/>
          <w:color w:val="000000" w:themeColor="text1"/>
        </w:rPr>
        <w:t>Ministerstva pôdohospodárstva a rozvoja vidieka SR</w:t>
      </w:r>
      <w:r w:rsidRPr="00B27DA8">
        <w:rPr>
          <w:rFonts w:eastAsia="Calibri"/>
          <w:color w:val="000000" w:themeColor="text1"/>
        </w:rPr>
        <w:t xml:space="preserve"> v celkovej čiastke 790 358 tis. eur, ktorý bol rozdelený do oblasti pôdohospodárstva a do oblasti rozvoja vidieka. Za oblasť pôdohospodárstva išlo o </w:t>
      </w:r>
      <w:r w:rsidR="00BF5D19">
        <w:t>príjmy z </w:t>
      </w:r>
      <w:r w:rsidRPr="00B27DA8">
        <w:t xml:space="preserve">Európskeho poľnohospodárskeho záručného fondu v objeme 449 511 tis. eur, príjmy z Európskeho poľnohospodárskeho fondu pre rozvoj vidieka </w:t>
      </w:r>
      <w:r w:rsidRPr="00B27DA8">
        <w:rPr>
          <w:rFonts w:eastAsia="Calibri"/>
          <w:color w:val="000000" w:themeColor="text1"/>
        </w:rPr>
        <w:t xml:space="preserve">vo výške 201 421 tis. eur </w:t>
      </w:r>
      <w:r w:rsidRPr="00B27DA8">
        <w:t>určené</w:t>
      </w:r>
      <w:r w:rsidRPr="00B27DA8">
        <w:rPr>
          <w:rFonts w:eastAsia="Calibri"/>
          <w:color w:val="000000" w:themeColor="text1"/>
        </w:rPr>
        <w:t xml:space="preserve"> </w:t>
      </w:r>
      <w:r w:rsidRPr="00B27DA8">
        <w:t>na financovanie opatrení Programu rozvoja vidieka SR 2014 - 2020 a príjmy z Európskeho námorného a rybárskeho fondu vo výške 669 tis. eur určené na financovanie opatrení Operačného programu Rybné hospodárstvo 2014 – 2020. Za oblasť rozvoja vidieka išlo o príjmy v rámci Európskeho fondu regionálneho rozvoja</w:t>
      </w:r>
      <w:r w:rsidRPr="00B27DA8">
        <w:rPr>
          <w:rFonts w:eastAsia="Calibri"/>
          <w:color w:val="000000" w:themeColor="text1"/>
        </w:rPr>
        <w:t xml:space="preserve"> </w:t>
      </w:r>
      <w:r w:rsidRPr="00B27DA8">
        <w:t xml:space="preserve">v celkovom objeme 138 757 tis. eur určené na Integrovaný regionálny operačný program 2014-2020 a Programy cezhraničnej spolupráce </w:t>
      </w:r>
      <w:proofErr w:type="spellStart"/>
      <w:r w:rsidRPr="00B27DA8">
        <w:t>Interreg</w:t>
      </w:r>
      <w:proofErr w:type="spellEnd"/>
      <w:r w:rsidRPr="00B27DA8">
        <w:t xml:space="preserve"> V-A 2014-2020.</w:t>
      </w:r>
    </w:p>
    <w:p w14:paraId="55FAC9BB" w14:textId="136A8160" w:rsidR="00B36DAC" w:rsidRPr="000A6683" w:rsidRDefault="00B36DAC" w:rsidP="00FE5D1D">
      <w:pPr>
        <w:rPr>
          <w:rFonts w:eastAsia="Calibri"/>
          <w:color w:val="000000" w:themeColor="text1"/>
        </w:rPr>
      </w:pPr>
      <w:r w:rsidRPr="000A6683">
        <w:rPr>
          <w:rFonts w:eastAsia="Calibri"/>
          <w:color w:val="000000" w:themeColor="text1"/>
        </w:rPr>
        <w:t>Ministerstvo dopravy a výstavby SR prijalo sumu 525 517 tis. eur z </w:t>
      </w:r>
      <w:r w:rsidR="003C5315" w:rsidRPr="000A6683">
        <w:rPr>
          <w:rFonts w:eastAsia="Calibri"/>
          <w:color w:val="000000" w:themeColor="text1"/>
        </w:rPr>
        <w:t>e</w:t>
      </w:r>
      <w:r w:rsidRPr="000A6683">
        <w:rPr>
          <w:rFonts w:eastAsia="Calibri"/>
          <w:color w:val="000000" w:themeColor="text1"/>
        </w:rPr>
        <w:t>urópskych fondov v rámci </w:t>
      </w:r>
      <w:r w:rsidR="003C5315" w:rsidRPr="000A6683">
        <w:rPr>
          <w:rFonts w:eastAsia="Calibri"/>
          <w:color w:val="000000" w:themeColor="text1"/>
        </w:rPr>
        <w:t>O</w:t>
      </w:r>
      <w:r w:rsidRPr="000A6683">
        <w:rPr>
          <w:rFonts w:eastAsia="Calibri"/>
          <w:color w:val="000000" w:themeColor="text1"/>
        </w:rPr>
        <w:t>peračného progr</w:t>
      </w:r>
      <w:r w:rsidR="003C5315" w:rsidRPr="000A6683">
        <w:rPr>
          <w:rFonts w:eastAsia="Calibri"/>
          <w:color w:val="000000" w:themeColor="text1"/>
        </w:rPr>
        <w:t xml:space="preserve">amu Integrovaná infraštruktúra a to z Kohézneho fondu sumu 490 233 tis. eur a z Európskeho fondu regionálneho rozvoja sumu 35 284 tis. eur. Tieto finančné prostriedky boli určené na financovanie projektov v rámci OPII. </w:t>
      </w:r>
    </w:p>
    <w:p w14:paraId="1119F842" w14:textId="1C914D80" w:rsidR="00B36DAC" w:rsidRPr="000A6683" w:rsidRDefault="00B36DAC" w:rsidP="00B36DAC">
      <w:pPr>
        <w:tabs>
          <w:tab w:val="left" w:pos="284"/>
        </w:tabs>
        <w:suppressAutoHyphens/>
        <w:rPr>
          <w:rFonts w:eastAsia="Calibri"/>
          <w:color w:val="000000" w:themeColor="text1"/>
        </w:rPr>
      </w:pPr>
      <w:r w:rsidRPr="000A6683">
        <w:rPr>
          <w:rFonts w:eastAsia="Calibri"/>
          <w:color w:val="000000" w:themeColor="text1"/>
        </w:rPr>
        <w:t xml:space="preserve">Ministerstvo životného </w:t>
      </w:r>
      <w:r w:rsidRPr="00A265D6">
        <w:rPr>
          <w:rFonts w:eastAsia="Calibri"/>
          <w:color w:val="000000" w:themeColor="text1"/>
        </w:rPr>
        <w:t>prostredia SR</w:t>
      </w:r>
      <w:r w:rsidRPr="00A265D6">
        <w:rPr>
          <w:rFonts w:eastAsia="Calibri"/>
          <w:color w:val="FF0000"/>
        </w:rPr>
        <w:t xml:space="preserve"> </w:t>
      </w:r>
      <w:r w:rsidR="00880F52" w:rsidRPr="00A265D6">
        <w:rPr>
          <w:rFonts w:eastAsia="Calibri"/>
          <w:color w:val="000000" w:themeColor="text1"/>
        </w:rPr>
        <w:t>prijalo</w:t>
      </w:r>
      <w:r w:rsidRPr="00A265D6">
        <w:rPr>
          <w:rFonts w:eastAsia="Calibri"/>
          <w:color w:val="000000" w:themeColor="text1"/>
        </w:rPr>
        <w:t xml:space="preserve"> sumu 324 465 tis. eur. </w:t>
      </w:r>
      <w:r w:rsidRPr="00A265D6">
        <w:rPr>
          <w:color w:val="000000" w:themeColor="text1"/>
        </w:rPr>
        <w:t xml:space="preserve">Išlo o príjmy z rozpočtu Európskej únie, ktoré boli určené na financovanie opatrení Operačného programu Kvalita životného prostredia v členení na prostriedky z Európskeho fondu regionálneho rozvoja kapitola </w:t>
      </w:r>
      <w:r w:rsidR="00880F52" w:rsidRPr="00A265D6">
        <w:rPr>
          <w:color w:val="000000" w:themeColor="text1"/>
        </w:rPr>
        <w:t xml:space="preserve">v sume </w:t>
      </w:r>
      <w:r w:rsidRPr="00A265D6">
        <w:rPr>
          <w:color w:val="000000" w:themeColor="text1"/>
        </w:rPr>
        <w:t>102 264 tis. eur a</w:t>
      </w:r>
      <w:r w:rsidR="004B6124" w:rsidRPr="00A265D6">
        <w:rPr>
          <w:color w:val="000000" w:themeColor="text1"/>
        </w:rPr>
        <w:t xml:space="preserve"> </w:t>
      </w:r>
      <w:r w:rsidRPr="00A265D6">
        <w:rPr>
          <w:color w:val="000000" w:themeColor="text1"/>
        </w:rPr>
        <w:t xml:space="preserve">z Kohézneho fondu </w:t>
      </w:r>
      <w:r w:rsidR="00880F52" w:rsidRPr="00A265D6">
        <w:rPr>
          <w:color w:val="000000" w:themeColor="text1"/>
        </w:rPr>
        <w:t xml:space="preserve">v sume </w:t>
      </w:r>
      <w:r w:rsidRPr="00A265D6">
        <w:rPr>
          <w:color w:val="000000" w:themeColor="text1"/>
        </w:rPr>
        <w:t>222 201</w:t>
      </w:r>
      <w:r w:rsidRPr="000A6683">
        <w:rPr>
          <w:color w:val="000000" w:themeColor="text1"/>
        </w:rPr>
        <w:t xml:space="preserve"> tis. eur. </w:t>
      </w:r>
    </w:p>
    <w:p w14:paraId="2C55AFFA" w14:textId="3BD8AB8D" w:rsidR="00B36DAC" w:rsidRPr="00A265D6" w:rsidRDefault="00B36DAC" w:rsidP="00B36DAC">
      <w:pPr>
        <w:tabs>
          <w:tab w:val="left" w:pos="284"/>
        </w:tabs>
        <w:suppressAutoHyphens/>
        <w:rPr>
          <w:rFonts w:eastAsia="Calibri"/>
          <w:color w:val="000000" w:themeColor="text1"/>
        </w:rPr>
      </w:pPr>
      <w:r w:rsidRPr="000A6683">
        <w:rPr>
          <w:rFonts w:eastAsia="Calibri"/>
          <w:color w:val="000000" w:themeColor="text1"/>
        </w:rPr>
        <w:t xml:space="preserve">Ministerstvo </w:t>
      </w:r>
      <w:r w:rsidRPr="00A265D6">
        <w:rPr>
          <w:rFonts w:eastAsia="Calibri"/>
          <w:color w:val="000000" w:themeColor="text1"/>
        </w:rPr>
        <w:t>práce, sociálnych vecí a rodiny SR</w:t>
      </w:r>
      <w:r w:rsidRPr="00A265D6">
        <w:rPr>
          <w:rFonts w:eastAsia="Calibri"/>
          <w:color w:val="FF0000"/>
        </w:rPr>
        <w:t xml:space="preserve"> </w:t>
      </w:r>
      <w:r w:rsidR="00F648FB" w:rsidRPr="00A265D6">
        <w:rPr>
          <w:rFonts w:eastAsia="Calibri"/>
          <w:color w:val="000000" w:themeColor="text1"/>
        </w:rPr>
        <w:t>prijalo</w:t>
      </w:r>
      <w:r w:rsidRPr="00A265D6">
        <w:rPr>
          <w:rFonts w:eastAsia="Calibri"/>
          <w:color w:val="000000" w:themeColor="text1"/>
        </w:rPr>
        <w:t xml:space="preserve"> sumu 213 183 tis. eur, z toho</w:t>
      </w:r>
      <w:r w:rsidRPr="00A265D6">
        <w:rPr>
          <w:rFonts w:eastAsia="Calibri"/>
          <w:color w:val="FF0000"/>
        </w:rPr>
        <w:t xml:space="preserve"> </w:t>
      </w:r>
      <w:r w:rsidRPr="00A265D6">
        <w:rPr>
          <w:rFonts w:eastAsia="Calibri"/>
          <w:color w:val="000000" w:themeColor="text1"/>
        </w:rPr>
        <w:t>v rámci Operačného programu Ľudské zdroje čiastku 197 886 tis. eur, Operačného programu potravinovej a základnej materiálnej pomoci čiastku 8 942 </w:t>
      </w:r>
      <w:r w:rsidR="00F648FB" w:rsidRPr="00A265D6">
        <w:rPr>
          <w:rFonts w:eastAsia="Calibri"/>
          <w:color w:val="000000" w:themeColor="text1"/>
        </w:rPr>
        <w:t>tis. eur a Operačného programu Z</w:t>
      </w:r>
      <w:r w:rsidRPr="00A265D6">
        <w:rPr>
          <w:rFonts w:eastAsia="Calibri"/>
          <w:color w:val="000000" w:themeColor="text1"/>
        </w:rPr>
        <w:t>amestnanosť a sociálna inklúzia sumu 6 355 tis. eur.</w:t>
      </w:r>
      <w:r w:rsidRPr="00A265D6" w:rsidDel="00EE2EAE">
        <w:rPr>
          <w:rFonts w:eastAsia="Calibri"/>
          <w:color w:val="000000" w:themeColor="text1"/>
        </w:rPr>
        <w:t xml:space="preserve"> </w:t>
      </w:r>
    </w:p>
    <w:p w14:paraId="6E4CE5E8" w14:textId="77777777" w:rsidR="00B36DAC" w:rsidRPr="00A265D6" w:rsidRDefault="00B36DAC" w:rsidP="00B36DAC">
      <w:pPr>
        <w:tabs>
          <w:tab w:val="left" w:pos="284"/>
        </w:tabs>
        <w:suppressAutoHyphens/>
        <w:rPr>
          <w:rFonts w:eastAsia="Calibri"/>
          <w:color w:val="000000" w:themeColor="text1"/>
        </w:rPr>
      </w:pPr>
      <w:r w:rsidRPr="00A265D6">
        <w:rPr>
          <w:rFonts w:eastAsia="Calibri"/>
          <w:color w:val="000000" w:themeColor="text1"/>
        </w:rPr>
        <w:t>V kapitole Ministerstva hospodárstva SR bolo prijatých 106 415 tis. eur ako podiel z Európskeho fondu regionálneho rozvoja pri refundácii oprávnených výdavkov zo všetkých prioritných osí Operačného programu Výskum a inovácie.</w:t>
      </w:r>
    </w:p>
    <w:p w14:paraId="171CD830" w14:textId="06348580" w:rsidR="00B36DAC" w:rsidRPr="00A265D6" w:rsidRDefault="00B36DAC" w:rsidP="00FE5D1D">
      <w:r w:rsidRPr="00A265D6">
        <w:t xml:space="preserve">Ministerstvo financií SR </w:t>
      </w:r>
      <w:r w:rsidR="00F648FB" w:rsidRPr="00A265D6">
        <w:t>prijalo</w:t>
      </w:r>
      <w:r w:rsidRPr="00A265D6">
        <w:t xml:space="preserve"> sumu 93 274 tis. eur. Išlo o príjmy súvisiace s realizáciou Operačného programu </w:t>
      </w:r>
      <w:r w:rsidR="00F648FB" w:rsidRPr="00A265D6">
        <w:t>I</w:t>
      </w:r>
      <w:r w:rsidRPr="00A265D6">
        <w:t>nformatizácia spoločn</w:t>
      </w:r>
      <w:r w:rsidR="004B6124" w:rsidRPr="00A265D6">
        <w:t xml:space="preserve">osti vo výške 86 663 tis. eur a </w:t>
      </w:r>
      <w:r w:rsidRPr="00A265D6">
        <w:t xml:space="preserve">o príjmy z Operačného programu Integrovaná infraštruktúra vo výške 6 611 tis. eur. </w:t>
      </w:r>
    </w:p>
    <w:p w14:paraId="489E7A49" w14:textId="052DC906" w:rsidR="00B36DAC" w:rsidRPr="002A1CEE" w:rsidRDefault="00B36DAC" w:rsidP="00FE5D1D">
      <w:r w:rsidRPr="00A265D6">
        <w:t xml:space="preserve">Ministerstvo vnútra SR </w:t>
      </w:r>
      <w:r w:rsidR="00F648FB" w:rsidRPr="00A265D6">
        <w:t>prijalo</w:t>
      </w:r>
      <w:r w:rsidRPr="00A265D6">
        <w:t xml:space="preserve"> zo zahraničných transferov sumu 54 335 tis. eur, v tom v rámci Operačného programu Ľudské zdroje </w:t>
      </w:r>
      <w:r w:rsidR="00F648FB" w:rsidRPr="00A265D6">
        <w:t>sumu 26 849</w:t>
      </w:r>
      <w:r w:rsidRPr="00A265D6">
        <w:t xml:space="preserve"> tis. eur</w:t>
      </w:r>
      <w:r w:rsidR="00F648FB" w:rsidRPr="00A265D6">
        <w:t>, v členení na prostriedky z Európskeho fondu regionálneho rozvoja v sume 10 883 tis. eur a prostriedky z Európskeho sociálneho fondu v sume 15 966 tis. eur</w:t>
      </w:r>
      <w:r w:rsidRPr="00A265D6">
        <w:t xml:space="preserve"> a</w:t>
      </w:r>
      <w:r w:rsidR="004B6124" w:rsidRPr="00A265D6">
        <w:t xml:space="preserve"> </w:t>
      </w:r>
      <w:r w:rsidRPr="00A265D6">
        <w:t xml:space="preserve">v rámci Operačného programu Efektívna verejná správa </w:t>
      </w:r>
      <w:r w:rsidR="00F648FB" w:rsidRPr="00A265D6">
        <w:t>sumu 27 486 tis. eur</w:t>
      </w:r>
      <w:r w:rsidRPr="00A265D6">
        <w:t>.</w:t>
      </w:r>
    </w:p>
    <w:p w14:paraId="1394ABA9" w14:textId="77777777" w:rsidR="00B36DAC" w:rsidRPr="00695940" w:rsidRDefault="00B36DAC" w:rsidP="00B36DAC">
      <w:pPr>
        <w:tabs>
          <w:tab w:val="left" w:pos="284"/>
        </w:tabs>
        <w:suppressAutoHyphens/>
        <w:rPr>
          <w:rFonts w:eastAsia="Calibri"/>
          <w:color w:val="000000" w:themeColor="text1"/>
        </w:rPr>
      </w:pPr>
      <w:r w:rsidRPr="00695940">
        <w:rPr>
          <w:rFonts w:eastAsia="Calibri"/>
          <w:color w:val="000000" w:themeColor="text1"/>
        </w:rPr>
        <w:t>Bližšie informácie o príjmoch z rozpočtu EÚ sú uvedené v samostatnej kapitole 3.4. Vzťahy štátneho rozpočtu k Európskej únii.</w:t>
      </w:r>
    </w:p>
    <w:p w14:paraId="498A2F60" w14:textId="77777777" w:rsidR="00B36DAC" w:rsidRPr="004B6124" w:rsidRDefault="00B36DAC" w:rsidP="00B36DAC">
      <w:pPr>
        <w:tabs>
          <w:tab w:val="left" w:pos="284"/>
        </w:tabs>
        <w:suppressAutoHyphens/>
        <w:rPr>
          <w:b/>
          <w:color w:val="000000" w:themeColor="text1"/>
        </w:rPr>
      </w:pPr>
      <w:r w:rsidRPr="004B6124">
        <w:rPr>
          <w:rFonts w:eastAsia="Calibri"/>
          <w:b/>
          <w:i/>
          <w:color w:val="000000" w:themeColor="text1"/>
        </w:rPr>
        <w:t>Podrobné údaje</w:t>
      </w:r>
      <w:r w:rsidRPr="004B6124">
        <w:rPr>
          <w:b/>
          <w:i/>
          <w:color w:val="000000" w:themeColor="text1"/>
        </w:rPr>
        <w:t xml:space="preserve"> o príjmoch štátneho rozpočtu podľa kapitol, kategórií rozpočtovej klasifikácie a podľa zdrojov za rok 2018 sú uvedené v tab. č. 4 až 6 tabuľkovej prílohy štátneho záverečného účtu.</w:t>
      </w:r>
    </w:p>
    <w:p w14:paraId="3617EFC4" w14:textId="77777777" w:rsidR="008254BE" w:rsidRDefault="008254BE" w:rsidP="0042635A">
      <w:pPr>
        <w:pStyle w:val="Nadpis2"/>
      </w:pPr>
      <w:bookmarkStart w:id="45" w:name="_Toc6415645"/>
      <w:bookmarkStart w:id="46" w:name="_Toc7502837"/>
      <w:r>
        <w:t>Výdavky štátneho rozpočtu</w:t>
      </w:r>
      <w:bookmarkEnd w:id="45"/>
      <w:bookmarkEnd w:id="46"/>
    </w:p>
    <w:p w14:paraId="27AA1126" w14:textId="06F1099A" w:rsidR="00BB6208" w:rsidRPr="00E86CF0" w:rsidRDefault="00BB6208" w:rsidP="00BB6208">
      <w:pPr>
        <w:spacing w:line="360" w:lineRule="auto"/>
      </w:pPr>
      <w:r w:rsidRPr="00E86CF0">
        <w:t>Pri r</w:t>
      </w:r>
      <w:r w:rsidR="00E86CF0" w:rsidRPr="00E86CF0">
        <w:t>ozpočtovaní výdavkov na rok 2018</w:t>
      </w:r>
      <w:r w:rsidRPr="00E86CF0">
        <w:t xml:space="preserve"> sa </w:t>
      </w:r>
      <w:r w:rsidR="00E86CF0" w:rsidRPr="00E86CF0">
        <w:t>zohľadňovali zámery a ciele rozpočtovej politiky vlády SR (uvedené v časti 3.)</w:t>
      </w:r>
      <w:r w:rsidRPr="00E86CF0">
        <w:t xml:space="preserve"> </w:t>
      </w:r>
      <w:r w:rsidR="00E86CF0" w:rsidRPr="00E86CF0">
        <w:t xml:space="preserve">ako aj </w:t>
      </w:r>
      <w:r w:rsidRPr="00E86CF0">
        <w:t xml:space="preserve">legislatívne zmeny </w:t>
      </w:r>
      <w:r w:rsidR="00E86CF0" w:rsidRPr="00E86CF0">
        <w:t>tak, aby sa</w:t>
      </w:r>
      <w:r w:rsidRPr="00E86CF0">
        <w:t> dodržali pravidlá rozpočtového hospodárenia</w:t>
      </w:r>
      <w:r w:rsidR="00E86CF0" w:rsidRPr="00E86CF0">
        <w:t xml:space="preserve"> najmä </w:t>
      </w:r>
      <w:r w:rsidRPr="00E86CF0">
        <w:t>:</w:t>
      </w:r>
    </w:p>
    <w:p w14:paraId="4260A2EA" w14:textId="77777777" w:rsidR="00BB6208" w:rsidRPr="00E86CF0" w:rsidRDefault="00BB6208" w:rsidP="00BB6208">
      <w:pPr>
        <w:numPr>
          <w:ilvl w:val="1"/>
          <w:numId w:val="15"/>
        </w:numPr>
        <w:spacing w:line="360" w:lineRule="auto"/>
        <w:ind w:left="426" w:hanging="426"/>
      </w:pPr>
      <w:r w:rsidRPr="00E86CF0">
        <w:t>možnosť použitia kapitálových výdavkov na určený účel aj v nasledujúcich dvoch rozpočtových rokoch po rozpočtovom roku, na ktorý boli rozpočtované,</w:t>
      </w:r>
    </w:p>
    <w:p w14:paraId="1056C91F" w14:textId="77777777" w:rsidR="00BB6208" w:rsidRPr="00E86CF0" w:rsidRDefault="00BB6208" w:rsidP="00BB6208">
      <w:pPr>
        <w:numPr>
          <w:ilvl w:val="1"/>
          <w:numId w:val="15"/>
        </w:numPr>
        <w:spacing w:line="360" w:lineRule="auto"/>
        <w:ind w:left="426" w:hanging="426"/>
      </w:pPr>
      <w:r w:rsidRPr="00E86CF0">
        <w:t>možnosť použitia prostriedkov Európskej únie vrátane spolufinancovania zo štátneho rozpočtu aj v nasledujúcich rozpočtových rokoch až do ich vyčerpania na určený účel,</w:t>
      </w:r>
    </w:p>
    <w:p w14:paraId="6C6E6321" w14:textId="77777777" w:rsidR="00BB6208" w:rsidRPr="00E86CF0" w:rsidRDefault="00BB6208" w:rsidP="00BB6208">
      <w:pPr>
        <w:numPr>
          <w:ilvl w:val="1"/>
          <w:numId w:val="15"/>
        </w:numPr>
        <w:spacing w:line="360" w:lineRule="auto"/>
        <w:ind w:left="426" w:hanging="426"/>
      </w:pPr>
      <w:r w:rsidRPr="00E86CF0">
        <w:t>pri bežných transferoch s výnimkou miezd, poskytnutých príjemcom po 1. auguste rozpočtového roka, možnosť ich použitia do konca prvého štvrťroka nasledujúceho roka,</w:t>
      </w:r>
    </w:p>
    <w:p w14:paraId="61DDE405" w14:textId="77777777" w:rsidR="00BB6208" w:rsidRPr="00E86CF0" w:rsidRDefault="00BB6208" w:rsidP="00BB6208">
      <w:pPr>
        <w:numPr>
          <w:ilvl w:val="0"/>
          <w:numId w:val="14"/>
        </w:numPr>
        <w:tabs>
          <w:tab w:val="left" w:pos="426"/>
        </w:tabs>
        <w:spacing w:line="360" w:lineRule="auto"/>
        <w:ind w:left="0" w:firstLine="0"/>
      </w:pPr>
      <w:r w:rsidRPr="00E86CF0">
        <w:t>viacročné rozpočtovanie na tri rozpočtové roky,</w:t>
      </w:r>
    </w:p>
    <w:p w14:paraId="1881778C" w14:textId="77777777" w:rsidR="00BB6208" w:rsidRPr="00E86CF0" w:rsidRDefault="00BB6208" w:rsidP="00BB6208">
      <w:pPr>
        <w:numPr>
          <w:ilvl w:val="0"/>
          <w:numId w:val="14"/>
        </w:numPr>
        <w:tabs>
          <w:tab w:val="left" w:pos="426"/>
        </w:tabs>
        <w:spacing w:line="360" w:lineRule="auto"/>
        <w:ind w:left="426" w:hanging="426"/>
      </w:pPr>
      <w:r w:rsidRPr="00E86CF0">
        <w:t>rozpočtovanie formou bežných a kapitálových výdavkov pri uplatňovaní rozpočtovej klasifikácie,</w:t>
      </w:r>
    </w:p>
    <w:p w14:paraId="39D406A2" w14:textId="77777777" w:rsidR="00BB6208" w:rsidRPr="00E86CF0" w:rsidRDefault="00BB6208" w:rsidP="00BB6208">
      <w:pPr>
        <w:numPr>
          <w:ilvl w:val="1"/>
          <w:numId w:val="15"/>
        </w:numPr>
        <w:spacing w:line="360" w:lineRule="auto"/>
        <w:ind w:left="426" w:hanging="426"/>
      </w:pPr>
      <w:r w:rsidRPr="00E86CF0">
        <w:t>využívanie programového rozpočtovania, aby bolo možné transparentné hodnotenie formulovaných zámerov,</w:t>
      </w:r>
    </w:p>
    <w:p w14:paraId="160F475A" w14:textId="77777777" w:rsidR="00BB6208" w:rsidRPr="00E86CF0" w:rsidRDefault="00BB6208" w:rsidP="00BB6208">
      <w:pPr>
        <w:numPr>
          <w:ilvl w:val="1"/>
          <w:numId w:val="15"/>
        </w:numPr>
        <w:spacing w:line="360" w:lineRule="auto"/>
        <w:ind w:left="426" w:hanging="426"/>
      </w:pPr>
      <w:r w:rsidRPr="00E86CF0">
        <w:t>poskytovanie dotácií v súlade so zákonom o štátnom rozpočte na príslušný rozpočtový rok.</w:t>
      </w:r>
    </w:p>
    <w:p w14:paraId="6330FAA5" w14:textId="77777777" w:rsidR="00BB6208" w:rsidRDefault="00BB6208" w:rsidP="00BB6208">
      <w:pPr>
        <w:rPr>
          <w:b/>
          <w:i/>
          <w:color w:val="000000" w:themeColor="text1"/>
        </w:rPr>
      </w:pPr>
      <w:r w:rsidRPr="00B3729C">
        <w:rPr>
          <w:b/>
          <w:i/>
          <w:color w:val="000000" w:themeColor="text1"/>
        </w:rPr>
        <w:t>Podrobný prehľad o výdavkoch štátneho rozpočtu v roku 2018 podľa kategórií rozpočtovej klasifikácie a kapitol štátneho rozpočtu, o bežných transferoch a kapitálových výdavkoch je uvedený v tab. 7 až 9 tabuľkovej prílohy štátneho záverečného účtu.</w:t>
      </w:r>
    </w:p>
    <w:p w14:paraId="6EFEB557" w14:textId="77777777" w:rsidR="006B23F4" w:rsidRDefault="006B23F4" w:rsidP="00BB6208">
      <w:pPr>
        <w:rPr>
          <w:b/>
          <w:i/>
          <w:color w:val="000000" w:themeColor="text1"/>
        </w:rPr>
      </w:pPr>
    </w:p>
    <w:p w14:paraId="4F560C57" w14:textId="77777777" w:rsidR="008254BE" w:rsidRDefault="008254BE" w:rsidP="00C34E95">
      <w:pPr>
        <w:pStyle w:val="Nadpis3"/>
      </w:pPr>
      <w:bookmarkStart w:id="47" w:name="_Toc6415646"/>
      <w:bookmarkStart w:id="48" w:name="_Toc7502838"/>
      <w:r>
        <w:t>Výdavky štátneho rozpočtu podľa ekonomickej klasifikácie</w:t>
      </w:r>
      <w:bookmarkEnd w:id="47"/>
      <w:bookmarkEnd w:id="48"/>
    </w:p>
    <w:p w14:paraId="1EA05930" w14:textId="72E088E8" w:rsidR="00BB6208" w:rsidRPr="00BB6208" w:rsidRDefault="00BB6208" w:rsidP="00BB6208">
      <w:r w:rsidRPr="00AD4767">
        <w:t xml:space="preserve">Pre rok 2018 boli celkové výdavky štátneho rozpočtu plánované vo výške 15 955 715 tis. eur, čo v porovnaní so schváleným rozpočtom pre rok 2017 predstavovalo </w:t>
      </w:r>
      <w:r>
        <w:t>pokles</w:t>
      </w:r>
      <w:r w:rsidRPr="00AD4767">
        <w:t xml:space="preserve"> </w:t>
      </w:r>
      <w:r w:rsidR="00AD7B6E">
        <w:t xml:space="preserve">o </w:t>
      </w:r>
      <w:r w:rsidRPr="00C215E6">
        <w:t xml:space="preserve">8,2 %. </w:t>
      </w:r>
      <w:r w:rsidRPr="00AD4767">
        <w:t>Skutočne bolo vynaložených 1</w:t>
      </w:r>
      <w:r>
        <w:t>6</w:t>
      </w:r>
      <w:r w:rsidRPr="00AD4767">
        <w:t> </w:t>
      </w:r>
      <w:r>
        <w:t>563</w:t>
      </w:r>
      <w:r w:rsidRPr="00AD4767">
        <w:t> </w:t>
      </w:r>
      <w:r>
        <w:t>255</w:t>
      </w:r>
      <w:r w:rsidRPr="00AD4767">
        <w:t xml:space="preserve"> tis. eur, na čom sa bežné výdavky podieľali objemom 14 160 931 tis. eur </w:t>
      </w:r>
      <w:r w:rsidRPr="00F82DEE">
        <w:t>a kapitálové výdavky objemom 2 402 324 tis. </w:t>
      </w:r>
      <w:r w:rsidRPr="00861AB8">
        <w:t xml:space="preserve">eur. </w:t>
      </w:r>
      <w:r w:rsidRPr="00C215E6">
        <w:t>Celkové výdavky boli oproti schválenému rozpočtu vyššie o 607 540 tis. eur a</w:t>
      </w:r>
      <w:r w:rsidR="00861AB8">
        <w:t xml:space="preserve"> </w:t>
      </w:r>
      <w:r w:rsidRPr="00C215E6">
        <w:t>v medziročnom porovnaní vzrástli o 1 328 994 tis. </w:t>
      </w:r>
      <w:r>
        <w:t>e</w:t>
      </w:r>
      <w:r w:rsidRPr="00C215E6">
        <w:t>ur</w:t>
      </w:r>
      <w:r w:rsidR="00285018">
        <w:t>, a to najmä z dôvodu vyšších príjmov zo zahraničných transferov, ktoré umožnili kryť tieto výdavky.</w:t>
      </w:r>
    </w:p>
    <w:p w14:paraId="33245327" w14:textId="77777777" w:rsidR="0051484D" w:rsidRDefault="0051484D" w:rsidP="00F61D9C">
      <w:pPr>
        <w:pStyle w:val="Nadpis4"/>
      </w:pPr>
      <w:r>
        <w:t xml:space="preserve">Bežné </w:t>
      </w:r>
      <w:r w:rsidRPr="00F61D9C">
        <w:t>výdavky</w:t>
      </w:r>
    </w:p>
    <w:p w14:paraId="1C6B16D4" w14:textId="29BA301A" w:rsidR="00872F0C" w:rsidRPr="00C67E2E" w:rsidRDefault="00872F0C" w:rsidP="00F138A0">
      <w:r w:rsidRPr="00E8475C">
        <w:t xml:space="preserve">Bežné výdavky boli </w:t>
      </w:r>
      <w:r>
        <w:t>rozpočtované v sume 14 624 299 tis. eur a</w:t>
      </w:r>
      <w:r w:rsidRPr="000E18CF">
        <w:rPr>
          <w:color w:val="FF0000"/>
        </w:rPr>
        <w:t xml:space="preserve"> </w:t>
      </w:r>
      <w:r w:rsidRPr="00E8475C">
        <w:t xml:space="preserve">ich skutočné čerpanie </w:t>
      </w:r>
      <w:r w:rsidR="00B13BEC">
        <w:t>predstavovalo sumu</w:t>
      </w:r>
      <w:r>
        <w:t xml:space="preserve"> </w:t>
      </w:r>
      <w:r w:rsidRPr="00E8475C">
        <w:t>14 160 931 tis. </w:t>
      </w:r>
      <w:r>
        <w:t>e</w:t>
      </w:r>
      <w:r w:rsidRPr="00E8475C">
        <w:t>ur.</w:t>
      </w:r>
      <w:r w:rsidRPr="000E18CF">
        <w:rPr>
          <w:color w:val="FF0000"/>
        </w:rPr>
        <w:t xml:space="preserve"> </w:t>
      </w:r>
      <w:r w:rsidRPr="000911FD">
        <w:t xml:space="preserve">Rozdiel skutočnosti oproti rozpočtu </w:t>
      </w:r>
      <w:r w:rsidR="00C840B4">
        <w:t xml:space="preserve">znamenalo </w:t>
      </w:r>
      <w:r w:rsidRPr="000911FD">
        <w:t>ni</w:t>
      </w:r>
      <w:r w:rsidRPr="00C67E2E">
        <w:t>žšie čerpanie v</w:t>
      </w:r>
      <w:r w:rsidR="00861AB8">
        <w:t>ýdavkov o 463 368 tis. eur</w:t>
      </w:r>
      <w:r w:rsidR="00C840B4">
        <w:t>, a to najmä</w:t>
      </w:r>
      <w:r w:rsidRPr="00C67E2E">
        <w:t xml:space="preserve"> v kategórii tovarov a služieb a v kategórii bežných transferov.</w:t>
      </w:r>
      <w:r w:rsidR="00F138A0">
        <w:t xml:space="preserve"> </w:t>
      </w:r>
      <w:r w:rsidRPr="00C67E2E">
        <w:t>Prehľad bežných výdavkov v štruktúre ekonomickej klasifikácie je uvedený v nasledovnej tabuľke:</w:t>
      </w:r>
    </w:p>
    <w:tbl>
      <w:tblPr>
        <w:tblW w:w="8960" w:type="dxa"/>
        <w:tblCellMar>
          <w:left w:w="70" w:type="dxa"/>
          <w:right w:w="70" w:type="dxa"/>
        </w:tblCellMar>
        <w:tblLook w:val="04A0" w:firstRow="1" w:lastRow="0" w:firstColumn="1" w:lastColumn="0" w:noHBand="0" w:noVBand="1"/>
      </w:tblPr>
      <w:tblGrid>
        <w:gridCol w:w="3492"/>
        <w:gridCol w:w="983"/>
        <w:gridCol w:w="983"/>
        <w:gridCol w:w="983"/>
        <w:gridCol w:w="1071"/>
        <w:gridCol w:w="813"/>
        <w:gridCol w:w="635"/>
      </w:tblGrid>
      <w:tr w:rsidR="00872F0C" w:rsidRPr="0050486B" w14:paraId="5EDC60C3" w14:textId="77777777" w:rsidTr="00872F0C">
        <w:trPr>
          <w:trHeight w:val="458"/>
        </w:trPr>
        <w:tc>
          <w:tcPr>
            <w:tcW w:w="8960" w:type="dxa"/>
            <w:gridSpan w:val="7"/>
            <w:tcBorders>
              <w:top w:val="nil"/>
              <w:left w:val="nil"/>
              <w:bottom w:val="nil"/>
              <w:right w:val="nil"/>
            </w:tcBorders>
            <w:shd w:val="clear" w:color="000000" w:fill="000000"/>
            <w:vAlign w:val="center"/>
            <w:hideMark/>
          </w:tcPr>
          <w:p w14:paraId="53578028" w14:textId="738A6D1B" w:rsidR="00872F0C" w:rsidRPr="0050486B" w:rsidRDefault="00872F0C" w:rsidP="00872F0C">
            <w:pPr>
              <w:spacing w:after="0" w:line="240" w:lineRule="auto"/>
              <w:jc w:val="left"/>
              <w:rPr>
                <w:b/>
                <w:bCs/>
                <w:color w:val="FFFFFF"/>
                <w:sz w:val="18"/>
                <w:szCs w:val="18"/>
                <w:lang w:eastAsia="sk-SK"/>
              </w:rPr>
            </w:pPr>
            <w:r w:rsidRPr="0050486B">
              <w:rPr>
                <w:b/>
                <w:bCs/>
                <w:color w:val="FFFFFF"/>
                <w:sz w:val="18"/>
                <w:szCs w:val="18"/>
                <w:lang w:eastAsia="sk-SK"/>
              </w:rPr>
              <w:t>Bežné výdavky podľa ekonomickej klasifikácie                                                                                                   v tis. eur</w:t>
            </w:r>
          </w:p>
        </w:tc>
      </w:tr>
      <w:tr w:rsidR="00872F0C" w:rsidRPr="0050486B" w14:paraId="6D93EAD2" w14:textId="77777777" w:rsidTr="006B23F4">
        <w:trPr>
          <w:trHeight w:val="330"/>
        </w:trPr>
        <w:tc>
          <w:tcPr>
            <w:tcW w:w="3492" w:type="dxa"/>
            <w:vMerge w:val="restart"/>
            <w:tcBorders>
              <w:top w:val="nil"/>
              <w:left w:val="nil"/>
              <w:bottom w:val="nil"/>
              <w:right w:val="nil"/>
            </w:tcBorders>
            <w:shd w:val="clear" w:color="000000" w:fill="BFBFBF"/>
            <w:vAlign w:val="center"/>
            <w:hideMark/>
          </w:tcPr>
          <w:p w14:paraId="4778F7B3" w14:textId="77777777" w:rsidR="00872F0C" w:rsidRPr="0050486B" w:rsidRDefault="00872F0C" w:rsidP="00872F0C">
            <w:pPr>
              <w:spacing w:after="0" w:line="240" w:lineRule="auto"/>
              <w:jc w:val="center"/>
              <w:rPr>
                <w:b/>
                <w:bCs/>
                <w:color w:val="000000"/>
                <w:sz w:val="18"/>
                <w:szCs w:val="18"/>
                <w:lang w:eastAsia="sk-SK"/>
              </w:rPr>
            </w:pPr>
            <w:r w:rsidRPr="0050486B">
              <w:rPr>
                <w:b/>
                <w:bCs/>
                <w:color w:val="000000"/>
                <w:sz w:val="18"/>
                <w:szCs w:val="18"/>
                <w:lang w:eastAsia="sk-SK"/>
              </w:rPr>
              <w:t xml:space="preserve"> </w:t>
            </w:r>
          </w:p>
        </w:tc>
        <w:tc>
          <w:tcPr>
            <w:tcW w:w="1966" w:type="dxa"/>
            <w:gridSpan w:val="2"/>
            <w:tcBorders>
              <w:top w:val="nil"/>
              <w:left w:val="nil"/>
              <w:bottom w:val="nil"/>
              <w:right w:val="nil"/>
            </w:tcBorders>
            <w:shd w:val="clear" w:color="000000" w:fill="BFBFBF"/>
            <w:noWrap/>
            <w:vAlign w:val="center"/>
            <w:hideMark/>
          </w:tcPr>
          <w:p w14:paraId="06C36639" w14:textId="77777777" w:rsidR="00872F0C" w:rsidRPr="0050486B" w:rsidRDefault="00872F0C" w:rsidP="00872F0C">
            <w:pPr>
              <w:spacing w:after="0" w:line="240" w:lineRule="auto"/>
              <w:jc w:val="center"/>
              <w:rPr>
                <w:b/>
                <w:bCs/>
                <w:color w:val="000000"/>
                <w:sz w:val="18"/>
                <w:szCs w:val="18"/>
                <w:lang w:eastAsia="sk-SK"/>
              </w:rPr>
            </w:pPr>
            <w:r w:rsidRPr="0050486B">
              <w:rPr>
                <w:b/>
                <w:bCs/>
                <w:color w:val="000000"/>
                <w:sz w:val="18"/>
                <w:szCs w:val="18"/>
                <w:lang w:eastAsia="sk-SK"/>
              </w:rPr>
              <w:t>Skutočnosť</w:t>
            </w:r>
          </w:p>
        </w:tc>
        <w:tc>
          <w:tcPr>
            <w:tcW w:w="983" w:type="dxa"/>
            <w:tcBorders>
              <w:top w:val="nil"/>
              <w:left w:val="nil"/>
              <w:bottom w:val="nil"/>
              <w:right w:val="nil"/>
            </w:tcBorders>
            <w:shd w:val="clear" w:color="000000" w:fill="BFBFBF"/>
            <w:noWrap/>
            <w:vAlign w:val="center"/>
            <w:hideMark/>
          </w:tcPr>
          <w:p w14:paraId="1135442B" w14:textId="77777777" w:rsidR="00872F0C" w:rsidRPr="0050486B" w:rsidRDefault="00872F0C" w:rsidP="00872F0C">
            <w:pPr>
              <w:spacing w:after="0" w:line="240" w:lineRule="auto"/>
              <w:jc w:val="center"/>
              <w:rPr>
                <w:b/>
                <w:bCs/>
                <w:color w:val="000000"/>
                <w:sz w:val="18"/>
                <w:szCs w:val="18"/>
                <w:lang w:eastAsia="sk-SK"/>
              </w:rPr>
            </w:pPr>
            <w:r w:rsidRPr="0050486B">
              <w:rPr>
                <w:b/>
                <w:bCs/>
                <w:color w:val="000000"/>
                <w:sz w:val="18"/>
                <w:szCs w:val="18"/>
                <w:lang w:eastAsia="sk-SK"/>
              </w:rPr>
              <w:t>Rozpočet</w:t>
            </w:r>
          </w:p>
        </w:tc>
        <w:tc>
          <w:tcPr>
            <w:tcW w:w="1071" w:type="dxa"/>
            <w:tcBorders>
              <w:top w:val="nil"/>
              <w:left w:val="nil"/>
              <w:bottom w:val="nil"/>
              <w:right w:val="nil"/>
            </w:tcBorders>
            <w:shd w:val="clear" w:color="000000" w:fill="BFBFBF"/>
            <w:noWrap/>
            <w:vAlign w:val="center"/>
            <w:hideMark/>
          </w:tcPr>
          <w:p w14:paraId="4384E696" w14:textId="77777777" w:rsidR="00872F0C" w:rsidRPr="0050486B" w:rsidRDefault="00872F0C" w:rsidP="00872F0C">
            <w:pPr>
              <w:spacing w:after="0" w:line="240" w:lineRule="auto"/>
              <w:jc w:val="center"/>
              <w:rPr>
                <w:b/>
                <w:bCs/>
                <w:color w:val="000000"/>
                <w:sz w:val="18"/>
                <w:szCs w:val="18"/>
                <w:lang w:eastAsia="sk-SK"/>
              </w:rPr>
            </w:pPr>
            <w:r w:rsidRPr="0050486B">
              <w:rPr>
                <w:b/>
                <w:bCs/>
                <w:color w:val="000000"/>
                <w:sz w:val="18"/>
                <w:szCs w:val="18"/>
                <w:lang w:eastAsia="sk-SK"/>
              </w:rPr>
              <w:t>Skutočnosť</w:t>
            </w:r>
          </w:p>
        </w:tc>
        <w:tc>
          <w:tcPr>
            <w:tcW w:w="1448" w:type="dxa"/>
            <w:gridSpan w:val="2"/>
            <w:tcBorders>
              <w:top w:val="nil"/>
              <w:left w:val="nil"/>
              <w:bottom w:val="nil"/>
              <w:right w:val="nil"/>
            </w:tcBorders>
            <w:shd w:val="clear" w:color="000000" w:fill="BFBFBF"/>
            <w:noWrap/>
            <w:vAlign w:val="center"/>
            <w:hideMark/>
          </w:tcPr>
          <w:p w14:paraId="5C8ECE79" w14:textId="77777777" w:rsidR="00872F0C" w:rsidRPr="0050486B" w:rsidRDefault="00872F0C" w:rsidP="00872F0C">
            <w:pPr>
              <w:spacing w:after="0" w:line="240" w:lineRule="auto"/>
              <w:jc w:val="center"/>
              <w:rPr>
                <w:b/>
                <w:bCs/>
                <w:color w:val="000000"/>
                <w:sz w:val="18"/>
                <w:szCs w:val="18"/>
                <w:lang w:eastAsia="sk-SK"/>
              </w:rPr>
            </w:pPr>
            <w:r w:rsidRPr="0050486B">
              <w:rPr>
                <w:b/>
                <w:bCs/>
                <w:color w:val="000000"/>
                <w:sz w:val="18"/>
                <w:szCs w:val="18"/>
                <w:lang w:eastAsia="sk-SK"/>
              </w:rPr>
              <w:t>Rozdiel</w:t>
            </w:r>
          </w:p>
        </w:tc>
      </w:tr>
      <w:tr w:rsidR="00872F0C" w:rsidRPr="0050486B" w14:paraId="7E25A631" w14:textId="77777777" w:rsidTr="006B23F4">
        <w:trPr>
          <w:trHeight w:val="330"/>
        </w:trPr>
        <w:tc>
          <w:tcPr>
            <w:tcW w:w="3492" w:type="dxa"/>
            <w:vMerge/>
            <w:tcBorders>
              <w:top w:val="nil"/>
              <w:left w:val="nil"/>
              <w:bottom w:val="nil"/>
              <w:right w:val="nil"/>
            </w:tcBorders>
            <w:vAlign w:val="center"/>
            <w:hideMark/>
          </w:tcPr>
          <w:p w14:paraId="5EA46596" w14:textId="77777777" w:rsidR="00872F0C" w:rsidRPr="0050486B" w:rsidRDefault="00872F0C" w:rsidP="00872F0C">
            <w:pPr>
              <w:spacing w:after="0" w:line="240" w:lineRule="auto"/>
              <w:jc w:val="left"/>
              <w:rPr>
                <w:b/>
                <w:bCs/>
                <w:color w:val="000000"/>
                <w:sz w:val="18"/>
                <w:szCs w:val="18"/>
                <w:lang w:eastAsia="sk-SK"/>
              </w:rPr>
            </w:pPr>
          </w:p>
        </w:tc>
        <w:tc>
          <w:tcPr>
            <w:tcW w:w="983" w:type="dxa"/>
            <w:tcBorders>
              <w:top w:val="nil"/>
              <w:left w:val="nil"/>
              <w:bottom w:val="nil"/>
              <w:right w:val="nil"/>
            </w:tcBorders>
            <w:shd w:val="clear" w:color="000000" w:fill="BFBFBF"/>
            <w:noWrap/>
            <w:vAlign w:val="center"/>
            <w:hideMark/>
          </w:tcPr>
          <w:p w14:paraId="63DA0986" w14:textId="77777777" w:rsidR="00872F0C" w:rsidRPr="0050486B" w:rsidRDefault="00872F0C" w:rsidP="00872F0C">
            <w:pPr>
              <w:spacing w:after="0" w:line="240" w:lineRule="auto"/>
              <w:jc w:val="center"/>
              <w:rPr>
                <w:b/>
                <w:bCs/>
                <w:color w:val="000000"/>
                <w:sz w:val="18"/>
                <w:szCs w:val="18"/>
                <w:lang w:eastAsia="sk-SK"/>
              </w:rPr>
            </w:pPr>
            <w:r w:rsidRPr="0050486B">
              <w:rPr>
                <w:b/>
                <w:bCs/>
                <w:color w:val="000000"/>
                <w:sz w:val="18"/>
                <w:szCs w:val="18"/>
                <w:lang w:eastAsia="sk-SK"/>
              </w:rPr>
              <w:t>2016</w:t>
            </w:r>
          </w:p>
        </w:tc>
        <w:tc>
          <w:tcPr>
            <w:tcW w:w="983" w:type="dxa"/>
            <w:tcBorders>
              <w:top w:val="nil"/>
              <w:left w:val="nil"/>
              <w:bottom w:val="nil"/>
              <w:right w:val="nil"/>
            </w:tcBorders>
            <w:shd w:val="clear" w:color="000000" w:fill="BFBFBF"/>
            <w:noWrap/>
            <w:vAlign w:val="center"/>
            <w:hideMark/>
          </w:tcPr>
          <w:p w14:paraId="3EAC584F" w14:textId="77777777" w:rsidR="00872F0C" w:rsidRPr="0050486B" w:rsidRDefault="00872F0C" w:rsidP="00872F0C">
            <w:pPr>
              <w:spacing w:after="0" w:line="240" w:lineRule="auto"/>
              <w:jc w:val="center"/>
              <w:rPr>
                <w:b/>
                <w:bCs/>
                <w:color w:val="000000"/>
                <w:sz w:val="18"/>
                <w:szCs w:val="18"/>
                <w:lang w:eastAsia="sk-SK"/>
              </w:rPr>
            </w:pPr>
            <w:r w:rsidRPr="0050486B">
              <w:rPr>
                <w:b/>
                <w:bCs/>
                <w:color w:val="000000"/>
                <w:sz w:val="18"/>
                <w:szCs w:val="18"/>
                <w:lang w:eastAsia="sk-SK"/>
              </w:rPr>
              <w:t>2017</w:t>
            </w:r>
          </w:p>
        </w:tc>
        <w:tc>
          <w:tcPr>
            <w:tcW w:w="983" w:type="dxa"/>
            <w:tcBorders>
              <w:top w:val="nil"/>
              <w:left w:val="nil"/>
              <w:bottom w:val="nil"/>
              <w:right w:val="nil"/>
            </w:tcBorders>
            <w:shd w:val="clear" w:color="000000" w:fill="BFBFBF"/>
            <w:noWrap/>
            <w:vAlign w:val="center"/>
            <w:hideMark/>
          </w:tcPr>
          <w:p w14:paraId="74C4A77D" w14:textId="77777777" w:rsidR="00872F0C" w:rsidRPr="0050486B" w:rsidRDefault="00872F0C" w:rsidP="00872F0C">
            <w:pPr>
              <w:spacing w:after="0" w:line="240" w:lineRule="auto"/>
              <w:jc w:val="center"/>
              <w:rPr>
                <w:b/>
                <w:bCs/>
                <w:color w:val="000000"/>
                <w:sz w:val="18"/>
                <w:szCs w:val="18"/>
                <w:lang w:eastAsia="sk-SK"/>
              </w:rPr>
            </w:pPr>
            <w:r w:rsidRPr="0050486B">
              <w:rPr>
                <w:b/>
                <w:bCs/>
                <w:color w:val="000000"/>
                <w:sz w:val="18"/>
                <w:szCs w:val="18"/>
                <w:lang w:eastAsia="sk-SK"/>
              </w:rPr>
              <w:t>2018</w:t>
            </w:r>
          </w:p>
        </w:tc>
        <w:tc>
          <w:tcPr>
            <w:tcW w:w="1071" w:type="dxa"/>
            <w:tcBorders>
              <w:top w:val="nil"/>
              <w:left w:val="nil"/>
              <w:bottom w:val="nil"/>
              <w:right w:val="nil"/>
            </w:tcBorders>
            <w:shd w:val="clear" w:color="000000" w:fill="BFBFBF"/>
            <w:noWrap/>
            <w:vAlign w:val="center"/>
            <w:hideMark/>
          </w:tcPr>
          <w:p w14:paraId="375A499E" w14:textId="77777777" w:rsidR="00872F0C" w:rsidRPr="0050486B" w:rsidRDefault="00872F0C" w:rsidP="00872F0C">
            <w:pPr>
              <w:spacing w:after="0" w:line="240" w:lineRule="auto"/>
              <w:jc w:val="center"/>
              <w:rPr>
                <w:b/>
                <w:bCs/>
                <w:color w:val="000000"/>
                <w:sz w:val="18"/>
                <w:szCs w:val="18"/>
                <w:lang w:eastAsia="sk-SK"/>
              </w:rPr>
            </w:pPr>
            <w:r w:rsidRPr="0050486B">
              <w:rPr>
                <w:b/>
                <w:bCs/>
                <w:color w:val="000000"/>
                <w:sz w:val="18"/>
                <w:szCs w:val="18"/>
                <w:lang w:eastAsia="sk-SK"/>
              </w:rPr>
              <w:t>2018</w:t>
            </w:r>
          </w:p>
        </w:tc>
        <w:tc>
          <w:tcPr>
            <w:tcW w:w="813" w:type="dxa"/>
            <w:tcBorders>
              <w:top w:val="nil"/>
              <w:left w:val="nil"/>
              <w:bottom w:val="nil"/>
              <w:right w:val="nil"/>
            </w:tcBorders>
            <w:shd w:val="clear" w:color="000000" w:fill="BFBFBF"/>
            <w:noWrap/>
            <w:vAlign w:val="center"/>
            <w:hideMark/>
          </w:tcPr>
          <w:p w14:paraId="1DC6F8C2" w14:textId="77777777" w:rsidR="00872F0C" w:rsidRPr="0050486B" w:rsidRDefault="00872F0C" w:rsidP="00872F0C">
            <w:pPr>
              <w:spacing w:after="0" w:line="240" w:lineRule="auto"/>
              <w:jc w:val="center"/>
              <w:rPr>
                <w:b/>
                <w:bCs/>
                <w:color w:val="000000"/>
                <w:sz w:val="18"/>
                <w:szCs w:val="18"/>
                <w:lang w:eastAsia="sk-SK"/>
              </w:rPr>
            </w:pPr>
            <w:r w:rsidRPr="0050486B">
              <w:rPr>
                <w:b/>
                <w:bCs/>
                <w:color w:val="000000"/>
                <w:sz w:val="18"/>
                <w:szCs w:val="18"/>
                <w:lang w:eastAsia="sk-SK"/>
              </w:rPr>
              <w:t>v tis. eur</w:t>
            </w:r>
          </w:p>
        </w:tc>
        <w:tc>
          <w:tcPr>
            <w:tcW w:w="635" w:type="dxa"/>
            <w:tcBorders>
              <w:top w:val="nil"/>
              <w:left w:val="nil"/>
              <w:bottom w:val="nil"/>
              <w:right w:val="nil"/>
            </w:tcBorders>
            <w:shd w:val="clear" w:color="000000" w:fill="BFBFBF"/>
            <w:noWrap/>
            <w:vAlign w:val="center"/>
            <w:hideMark/>
          </w:tcPr>
          <w:p w14:paraId="7541F374" w14:textId="77777777" w:rsidR="00872F0C" w:rsidRPr="0050486B" w:rsidRDefault="00872F0C" w:rsidP="00872F0C">
            <w:pPr>
              <w:spacing w:after="0" w:line="240" w:lineRule="auto"/>
              <w:jc w:val="center"/>
              <w:rPr>
                <w:b/>
                <w:bCs/>
                <w:color w:val="000000"/>
                <w:sz w:val="18"/>
                <w:szCs w:val="18"/>
                <w:lang w:eastAsia="sk-SK"/>
              </w:rPr>
            </w:pPr>
            <w:r w:rsidRPr="0050486B">
              <w:rPr>
                <w:b/>
                <w:bCs/>
                <w:color w:val="000000"/>
                <w:sz w:val="18"/>
                <w:szCs w:val="18"/>
                <w:lang w:eastAsia="sk-SK"/>
              </w:rPr>
              <w:t>v %</w:t>
            </w:r>
          </w:p>
        </w:tc>
      </w:tr>
      <w:tr w:rsidR="00872F0C" w:rsidRPr="0050486B" w14:paraId="591B3E56" w14:textId="77777777" w:rsidTr="006B23F4">
        <w:trPr>
          <w:trHeight w:val="345"/>
        </w:trPr>
        <w:tc>
          <w:tcPr>
            <w:tcW w:w="3492" w:type="dxa"/>
            <w:tcBorders>
              <w:top w:val="nil"/>
              <w:left w:val="nil"/>
              <w:bottom w:val="single" w:sz="8" w:space="0" w:color="auto"/>
              <w:right w:val="nil"/>
            </w:tcBorders>
            <w:shd w:val="clear" w:color="000000" w:fill="BFBFBF"/>
            <w:vAlign w:val="center"/>
            <w:hideMark/>
          </w:tcPr>
          <w:p w14:paraId="0565AC27" w14:textId="77777777" w:rsidR="00872F0C" w:rsidRPr="0050486B" w:rsidRDefault="00872F0C" w:rsidP="00872F0C">
            <w:pPr>
              <w:spacing w:after="0" w:line="240" w:lineRule="auto"/>
              <w:jc w:val="center"/>
              <w:rPr>
                <w:b/>
                <w:bCs/>
                <w:color w:val="000000"/>
                <w:sz w:val="18"/>
                <w:szCs w:val="18"/>
                <w:lang w:eastAsia="sk-SK"/>
              </w:rPr>
            </w:pPr>
            <w:r w:rsidRPr="0050486B">
              <w:rPr>
                <w:b/>
                <w:bCs/>
                <w:color w:val="000000"/>
                <w:sz w:val="18"/>
                <w:szCs w:val="18"/>
                <w:lang w:eastAsia="sk-SK"/>
              </w:rPr>
              <w:t> </w:t>
            </w:r>
          </w:p>
        </w:tc>
        <w:tc>
          <w:tcPr>
            <w:tcW w:w="983" w:type="dxa"/>
            <w:tcBorders>
              <w:top w:val="nil"/>
              <w:left w:val="nil"/>
              <w:bottom w:val="single" w:sz="8" w:space="0" w:color="auto"/>
              <w:right w:val="nil"/>
            </w:tcBorders>
            <w:shd w:val="clear" w:color="000000" w:fill="BFBFBF"/>
            <w:noWrap/>
            <w:vAlign w:val="center"/>
            <w:hideMark/>
          </w:tcPr>
          <w:p w14:paraId="2889FB82" w14:textId="77777777" w:rsidR="00872F0C" w:rsidRPr="0050486B" w:rsidRDefault="00872F0C" w:rsidP="00872F0C">
            <w:pPr>
              <w:spacing w:after="0" w:line="240" w:lineRule="auto"/>
              <w:jc w:val="center"/>
              <w:rPr>
                <w:b/>
                <w:bCs/>
                <w:color w:val="000000"/>
                <w:sz w:val="18"/>
                <w:szCs w:val="18"/>
                <w:lang w:eastAsia="sk-SK"/>
              </w:rPr>
            </w:pPr>
            <w:r w:rsidRPr="0050486B">
              <w:rPr>
                <w:b/>
                <w:bCs/>
                <w:color w:val="000000"/>
                <w:sz w:val="18"/>
                <w:szCs w:val="18"/>
                <w:lang w:eastAsia="sk-SK"/>
              </w:rPr>
              <w:t>1</w:t>
            </w:r>
          </w:p>
        </w:tc>
        <w:tc>
          <w:tcPr>
            <w:tcW w:w="983" w:type="dxa"/>
            <w:tcBorders>
              <w:top w:val="nil"/>
              <w:left w:val="nil"/>
              <w:bottom w:val="single" w:sz="8" w:space="0" w:color="auto"/>
              <w:right w:val="nil"/>
            </w:tcBorders>
            <w:shd w:val="clear" w:color="000000" w:fill="BFBFBF"/>
            <w:noWrap/>
            <w:vAlign w:val="center"/>
            <w:hideMark/>
          </w:tcPr>
          <w:p w14:paraId="50826B90" w14:textId="77777777" w:rsidR="00872F0C" w:rsidRPr="0050486B" w:rsidRDefault="00872F0C" w:rsidP="00872F0C">
            <w:pPr>
              <w:spacing w:after="0" w:line="240" w:lineRule="auto"/>
              <w:jc w:val="center"/>
              <w:rPr>
                <w:b/>
                <w:bCs/>
                <w:color w:val="000000"/>
                <w:sz w:val="18"/>
                <w:szCs w:val="18"/>
                <w:lang w:eastAsia="sk-SK"/>
              </w:rPr>
            </w:pPr>
            <w:r w:rsidRPr="0050486B">
              <w:rPr>
                <w:b/>
                <w:bCs/>
                <w:color w:val="000000"/>
                <w:sz w:val="18"/>
                <w:szCs w:val="18"/>
                <w:lang w:eastAsia="sk-SK"/>
              </w:rPr>
              <w:t>2</w:t>
            </w:r>
          </w:p>
        </w:tc>
        <w:tc>
          <w:tcPr>
            <w:tcW w:w="983" w:type="dxa"/>
            <w:tcBorders>
              <w:top w:val="nil"/>
              <w:left w:val="nil"/>
              <w:bottom w:val="single" w:sz="8" w:space="0" w:color="auto"/>
              <w:right w:val="nil"/>
            </w:tcBorders>
            <w:shd w:val="clear" w:color="000000" w:fill="BFBFBF"/>
            <w:noWrap/>
            <w:vAlign w:val="center"/>
            <w:hideMark/>
          </w:tcPr>
          <w:p w14:paraId="36655C23" w14:textId="77777777" w:rsidR="00872F0C" w:rsidRPr="0050486B" w:rsidRDefault="00872F0C" w:rsidP="00872F0C">
            <w:pPr>
              <w:spacing w:after="0" w:line="240" w:lineRule="auto"/>
              <w:jc w:val="center"/>
              <w:rPr>
                <w:b/>
                <w:bCs/>
                <w:color w:val="000000"/>
                <w:sz w:val="18"/>
                <w:szCs w:val="18"/>
                <w:lang w:eastAsia="sk-SK"/>
              </w:rPr>
            </w:pPr>
            <w:r w:rsidRPr="0050486B">
              <w:rPr>
                <w:b/>
                <w:bCs/>
                <w:color w:val="000000"/>
                <w:sz w:val="18"/>
                <w:szCs w:val="18"/>
                <w:lang w:eastAsia="sk-SK"/>
              </w:rPr>
              <w:t>3</w:t>
            </w:r>
          </w:p>
        </w:tc>
        <w:tc>
          <w:tcPr>
            <w:tcW w:w="1071" w:type="dxa"/>
            <w:tcBorders>
              <w:top w:val="nil"/>
              <w:left w:val="nil"/>
              <w:bottom w:val="single" w:sz="8" w:space="0" w:color="auto"/>
              <w:right w:val="nil"/>
            </w:tcBorders>
            <w:shd w:val="clear" w:color="000000" w:fill="BFBFBF"/>
            <w:noWrap/>
            <w:vAlign w:val="center"/>
            <w:hideMark/>
          </w:tcPr>
          <w:p w14:paraId="698C88F9" w14:textId="77777777" w:rsidR="00872F0C" w:rsidRPr="0050486B" w:rsidRDefault="00872F0C" w:rsidP="00872F0C">
            <w:pPr>
              <w:spacing w:after="0" w:line="240" w:lineRule="auto"/>
              <w:jc w:val="center"/>
              <w:rPr>
                <w:b/>
                <w:bCs/>
                <w:color w:val="000000"/>
                <w:sz w:val="18"/>
                <w:szCs w:val="18"/>
                <w:lang w:eastAsia="sk-SK"/>
              </w:rPr>
            </w:pPr>
            <w:r w:rsidRPr="0050486B">
              <w:rPr>
                <w:b/>
                <w:bCs/>
                <w:color w:val="000000"/>
                <w:sz w:val="18"/>
                <w:szCs w:val="18"/>
                <w:lang w:eastAsia="sk-SK"/>
              </w:rPr>
              <w:t>4</w:t>
            </w:r>
          </w:p>
        </w:tc>
        <w:tc>
          <w:tcPr>
            <w:tcW w:w="813" w:type="dxa"/>
            <w:tcBorders>
              <w:top w:val="nil"/>
              <w:left w:val="nil"/>
              <w:bottom w:val="single" w:sz="8" w:space="0" w:color="auto"/>
              <w:right w:val="nil"/>
            </w:tcBorders>
            <w:shd w:val="clear" w:color="000000" w:fill="BFBFBF"/>
            <w:noWrap/>
            <w:vAlign w:val="center"/>
            <w:hideMark/>
          </w:tcPr>
          <w:p w14:paraId="4F6FA5A0" w14:textId="77777777" w:rsidR="00872F0C" w:rsidRPr="0050486B" w:rsidRDefault="00872F0C" w:rsidP="00872F0C">
            <w:pPr>
              <w:spacing w:after="0" w:line="240" w:lineRule="auto"/>
              <w:jc w:val="center"/>
              <w:rPr>
                <w:b/>
                <w:bCs/>
                <w:color w:val="000000"/>
                <w:sz w:val="18"/>
                <w:szCs w:val="18"/>
                <w:lang w:eastAsia="sk-SK"/>
              </w:rPr>
            </w:pPr>
            <w:r w:rsidRPr="0050486B">
              <w:rPr>
                <w:b/>
                <w:bCs/>
                <w:color w:val="000000"/>
                <w:sz w:val="18"/>
                <w:szCs w:val="18"/>
                <w:lang w:eastAsia="sk-SK"/>
              </w:rPr>
              <w:t>5=4-3</w:t>
            </w:r>
          </w:p>
        </w:tc>
        <w:tc>
          <w:tcPr>
            <w:tcW w:w="635" w:type="dxa"/>
            <w:tcBorders>
              <w:top w:val="nil"/>
              <w:left w:val="nil"/>
              <w:bottom w:val="single" w:sz="8" w:space="0" w:color="auto"/>
              <w:right w:val="nil"/>
            </w:tcBorders>
            <w:shd w:val="clear" w:color="000000" w:fill="BFBFBF"/>
            <w:noWrap/>
            <w:vAlign w:val="center"/>
            <w:hideMark/>
          </w:tcPr>
          <w:p w14:paraId="0931DDEB" w14:textId="77777777" w:rsidR="00872F0C" w:rsidRPr="0050486B" w:rsidRDefault="00872F0C" w:rsidP="00872F0C">
            <w:pPr>
              <w:spacing w:after="0" w:line="240" w:lineRule="auto"/>
              <w:jc w:val="center"/>
              <w:rPr>
                <w:b/>
                <w:bCs/>
                <w:color w:val="000000"/>
                <w:sz w:val="18"/>
                <w:szCs w:val="18"/>
                <w:lang w:eastAsia="sk-SK"/>
              </w:rPr>
            </w:pPr>
            <w:r w:rsidRPr="0050486B">
              <w:rPr>
                <w:b/>
                <w:bCs/>
                <w:color w:val="000000"/>
                <w:sz w:val="18"/>
                <w:szCs w:val="18"/>
                <w:lang w:eastAsia="sk-SK"/>
              </w:rPr>
              <w:t>6=4-3</w:t>
            </w:r>
          </w:p>
        </w:tc>
      </w:tr>
      <w:tr w:rsidR="00872F0C" w:rsidRPr="0050486B" w14:paraId="0C242399" w14:textId="77777777" w:rsidTr="006B23F4">
        <w:trPr>
          <w:trHeight w:val="244"/>
        </w:trPr>
        <w:tc>
          <w:tcPr>
            <w:tcW w:w="3492" w:type="dxa"/>
            <w:tcBorders>
              <w:top w:val="nil"/>
              <w:left w:val="nil"/>
              <w:bottom w:val="nil"/>
              <w:right w:val="nil"/>
            </w:tcBorders>
            <w:shd w:val="clear" w:color="auto" w:fill="auto"/>
            <w:vAlign w:val="center"/>
            <w:hideMark/>
          </w:tcPr>
          <w:p w14:paraId="05334B67" w14:textId="1E19FB22" w:rsidR="00872F0C" w:rsidRPr="0050486B" w:rsidRDefault="00872F0C" w:rsidP="00872F0C">
            <w:pPr>
              <w:spacing w:after="0" w:line="240" w:lineRule="auto"/>
              <w:jc w:val="left"/>
              <w:rPr>
                <w:color w:val="000000"/>
                <w:sz w:val="18"/>
                <w:szCs w:val="18"/>
                <w:lang w:eastAsia="sk-SK"/>
              </w:rPr>
            </w:pPr>
            <w:r w:rsidRPr="0050486B">
              <w:rPr>
                <w:color w:val="000000"/>
                <w:sz w:val="18"/>
                <w:szCs w:val="18"/>
                <w:lang w:eastAsia="sk-SK"/>
              </w:rPr>
              <w:t xml:space="preserve">Mzdy, platy, služobné príjmy a </w:t>
            </w:r>
            <w:r w:rsidR="00444209">
              <w:rPr>
                <w:lang w:eastAsia="sk-SK"/>
              </w:rPr>
              <w:t>OOV</w:t>
            </w:r>
          </w:p>
        </w:tc>
        <w:tc>
          <w:tcPr>
            <w:tcW w:w="983" w:type="dxa"/>
            <w:tcBorders>
              <w:top w:val="nil"/>
              <w:left w:val="nil"/>
              <w:bottom w:val="nil"/>
              <w:right w:val="nil"/>
            </w:tcBorders>
            <w:shd w:val="clear" w:color="auto" w:fill="auto"/>
            <w:noWrap/>
            <w:vAlign w:val="center"/>
            <w:hideMark/>
          </w:tcPr>
          <w:p w14:paraId="1BE05FF3"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1 776 555</w:t>
            </w:r>
          </w:p>
        </w:tc>
        <w:tc>
          <w:tcPr>
            <w:tcW w:w="983" w:type="dxa"/>
            <w:tcBorders>
              <w:top w:val="nil"/>
              <w:left w:val="nil"/>
              <w:bottom w:val="nil"/>
              <w:right w:val="nil"/>
            </w:tcBorders>
            <w:shd w:val="clear" w:color="auto" w:fill="auto"/>
            <w:noWrap/>
            <w:vAlign w:val="center"/>
            <w:hideMark/>
          </w:tcPr>
          <w:p w14:paraId="09CDA33B"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1 869 049</w:t>
            </w:r>
          </w:p>
        </w:tc>
        <w:tc>
          <w:tcPr>
            <w:tcW w:w="983" w:type="dxa"/>
            <w:tcBorders>
              <w:top w:val="nil"/>
              <w:left w:val="nil"/>
              <w:bottom w:val="nil"/>
              <w:right w:val="nil"/>
            </w:tcBorders>
            <w:shd w:val="clear" w:color="auto" w:fill="auto"/>
            <w:noWrap/>
            <w:vAlign w:val="center"/>
            <w:hideMark/>
          </w:tcPr>
          <w:p w14:paraId="30FBB985"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1 953 532</w:t>
            </w:r>
          </w:p>
        </w:tc>
        <w:tc>
          <w:tcPr>
            <w:tcW w:w="1071" w:type="dxa"/>
            <w:tcBorders>
              <w:top w:val="nil"/>
              <w:left w:val="nil"/>
              <w:bottom w:val="nil"/>
              <w:right w:val="nil"/>
            </w:tcBorders>
            <w:shd w:val="clear" w:color="000000" w:fill="BFBFBF"/>
            <w:noWrap/>
            <w:vAlign w:val="center"/>
            <w:hideMark/>
          </w:tcPr>
          <w:p w14:paraId="4408E7CD"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2 026 060</w:t>
            </w:r>
          </w:p>
        </w:tc>
        <w:tc>
          <w:tcPr>
            <w:tcW w:w="813" w:type="dxa"/>
            <w:tcBorders>
              <w:top w:val="nil"/>
              <w:left w:val="nil"/>
              <w:bottom w:val="nil"/>
              <w:right w:val="nil"/>
            </w:tcBorders>
            <w:shd w:val="clear" w:color="auto" w:fill="auto"/>
            <w:noWrap/>
            <w:vAlign w:val="center"/>
            <w:hideMark/>
          </w:tcPr>
          <w:p w14:paraId="24B17E10"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72 528</w:t>
            </w:r>
          </w:p>
        </w:tc>
        <w:tc>
          <w:tcPr>
            <w:tcW w:w="635" w:type="dxa"/>
            <w:tcBorders>
              <w:top w:val="nil"/>
              <w:left w:val="nil"/>
              <w:bottom w:val="nil"/>
              <w:right w:val="nil"/>
            </w:tcBorders>
            <w:shd w:val="clear" w:color="auto" w:fill="auto"/>
            <w:noWrap/>
            <w:vAlign w:val="center"/>
            <w:hideMark/>
          </w:tcPr>
          <w:p w14:paraId="483DF671"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3,7</w:t>
            </w:r>
          </w:p>
        </w:tc>
      </w:tr>
      <w:tr w:rsidR="00872F0C" w:rsidRPr="0050486B" w14:paraId="06306AFE" w14:textId="77777777" w:rsidTr="006B23F4">
        <w:trPr>
          <w:trHeight w:val="312"/>
        </w:trPr>
        <w:tc>
          <w:tcPr>
            <w:tcW w:w="3492" w:type="dxa"/>
            <w:tcBorders>
              <w:top w:val="nil"/>
              <w:left w:val="nil"/>
              <w:bottom w:val="nil"/>
              <w:right w:val="nil"/>
            </w:tcBorders>
            <w:shd w:val="clear" w:color="auto" w:fill="auto"/>
            <w:vAlign w:val="center"/>
            <w:hideMark/>
          </w:tcPr>
          <w:p w14:paraId="61765030" w14:textId="77777777" w:rsidR="00872F0C" w:rsidRPr="0050486B" w:rsidRDefault="00872F0C" w:rsidP="00872F0C">
            <w:pPr>
              <w:spacing w:after="0" w:line="240" w:lineRule="auto"/>
              <w:jc w:val="left"/>
              <w:rPr>
                <w:color w:val="000000"/>
                <w:sz w:val="18"/>
                <w:szCs w:val="18"/>
                <w:lang w:eastAsia="sk-SK"/>
              </w:rPr>
            </w:pPr>
            <w:r w:rsidRPr="0050486B">
              <w:rPr>
                <w:color w:val="000000"/>
                <w:sz w:val="18"/>
                <w:szCs w:val="18"/>
                <w:lang w:eastAsia="sk-SK"/>
              </w:rPr>
              <w:t>Poistné a príspevok do poisťovní</w:t>
            </w:r>
          </w:p>
        </w:tc>
        <w:tc>
          <w:tcPr>
            <w:tcW w:w="983" w:type="dxa"/>
            <w:tcBorders>
              <w:top w:val="nil"/>
              <w:left w:val="nil"/>
              <w:bottom w:val="nil"/>
              <w:right w:val="nil"/>
            </w:tcBorders>
            <w:shd w:val="clear" w:color="auto" w:fill="auto"/>
            <w:noWrap/>
            <w:vAlign w:val="center"/>
            <w:hideMark/>
          </w:tcPr>
          <w:p w14:paraId="12EF36B4"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632 010</w:t>
            </w:r>
          </w:p>
        </w:tc>
        <w:tc>
          <w:tcPr>
            <w:tcW w:w="983" w:type="dxa"/>
            <w:tcBorders>
              <w:top w:val="nil"/>
              <w:left w:val="nil"/>
              <w:bottom w:val="nil"/>
              <w:right w:val="nil"/>
            </w:tcBorders>
            <w:shd w:val="clear" w:color="auto" w:fill="auto"/>
            <w:noWrap/>
            <w:vAlign w:val="center"/>
            <w:hideMark/>
          </w:tcPr>
          <w:p w14:paraId="7E125521"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675 515</w:t>
            </w:r>
          </w:p>
        </w:tc>
        <w:tc>
          <w:tcPr>
            <w:tcW w:w="983" w:type="dxa"/>
            <w:tcBorders>
              <w:top w:val="nil"/>
              <w:left w:val="nil"/>
              <w:bottom w:val="nil"/>
              <w:right w:val="nil"/>
            </w:tcBorders>
            <w:shd w:val="clear" w:color="auto" w:fill="auto"/>
            <w:noWrap/>
            <w:vAlign w:val="center"/>
            <w:hideMark/>
          </w:tcPr>
          <w:p w14:paraId="2058C69B"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688 415</w:t>
            </w:r>
          </w:p>
        </w:tc>
        <w:tc>
          <w:tcPr>
            <w:tcW w:w="1071" w:type="dxa"/>
            <w:tcBorders>
              <w:top w:val="nil"/>
              <w:left w:val="nil"/>
              <w:bottom w:val="nil"/>
              <w:right w:val="nil"/>
            </w:tcBorders>
            <w:shd w:val="clear" w:color="000000" w:fill="BFBFBF"/>
            <w:noWrap/>
            <w:vAlign w:val="center"/>
            <w:hideMark/>
          </w:tcPr>
          <w:p w14:paraId="08C7E647"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728 292</w:t>
            </w:r>
          </w:p>
        </w:tc>
        <w:tc>
          <w:tcPr>
            <w:tcW w:w="813" w:type="dxa"/>
            <w:tcBorders>
              <w:top w:val="nil"/>
              <w:left w:val="nil"/>
              <w:bottom w:val="nil"/>
              <w:right w:val="nil"/>
            </w:tcBorders>
            <w:shd w:val="clear" w:color="auto" w:fill="auto"/>
            <w:noWrap/>
            <w:vAlign w:val="center"/>
            <w:hideMark/>
          </w:tcPr>
          <w:p w14:paraId="77D9ED95"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39 877</w:t>
            </w:r>
          </w:p>
        </w:tc>
        <w:tc>
          <w:tcPr>
            <w:tcW w:w="635" w:type="dxa"/>
            <w:tcBorders>
              <w:top w:val="nil"/>
              <w:left w:val="nil"/>
              <w:bottom w:val="nil"/>
              <w:right w:val="nil"/>
            </w:tcBorders>
            <w:shd w:val="clear" w:color="auto" w:fill="auto"/>
            <w:noWrap/>
            <w:vAlign w:val="center"/>
            <w:hideMark/>
          </w:tcPr>
          <w:p w14:paraId="7E7C6B61"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5,8</w:t>
            </w:r>
          </w:p>
        </w:tc>
      </w:tr>
      <w:tr w:rsidR="00872F0C" w:rsidRPr="0050486B" w14:paraId="1E94474E" w14:textId="77777777" w:rsidTr="006B23F4">
        <w:trPr>
          <w:trHeight w:val="312"/>
        </w:trPr>
        <w:tc>
          <w:tcPr>
            <w:tcW w:w="3492" w:type="dxa"/>
            <w:tcBorders>
              <w:top w:val="nil"/>
              <w:left w:val="nil"/>
              <w:bottom w:val="nil"/>
              <w:right w:val="nil"/>
            </w:tcBorders>
            <w:shd w:val="clear" w:color="auto" w:fill="auto"/>
            <w:vAlign w:val="center"/>
            <w:hideMark/>
          </w:tcPr>
          <w:p w14:paraId="0A854467" w14:textId="77777777" w:rsidR="00872F0C" w:rsidRPr="0050486B" w:rsidRDefault="00872F0C" w:rsidP="00872F0C">
            <w:pPr>
              <w:spacing w:after="0" w:line="240" w:lineRule="auto"/>
              <w:jc w:val="left"/>
              <w:rPr>
                <w:color w:val="000000"/>
                <w:sz w:val="18"/>
                <w:szCs w:val="18"/>
                <w:lang w:eastAsia="sk-SK"/>
              </w:rPr>
            </w:pPr>
            <w:r w:rsidRPr="0050486B">
              <w:rPr>
                <w:color w:val="000000"/>
                <w:sz w:val="18"/>
                <w:szCs w:val="18"/>
                <w:lang w:eastAsia="sk-SK"/>
              </w:rPr>
              <w:t>Tovary a služby</w:t>
            </w:r>
          </w:p>
        </w:tc>
        <w:tc>
          <w:tcPr>
            <w:tcW w:w="983" w:type="dxa"/>
            <w:tcBorders>
              <w:top w:val="nil"/>
              <w:left w:val="nil"/>
              <w:bottom w:val="nil"/>
              <w:right w:val="nil"/>
            </w:tcBorders>
            <w:shd w:val="clear" w:color="auto" w:fill="auto"/>
            <w:noWrap/>
            <w:vAlign w:val="center"/>
            <w:hideMark/>
          </w:tcPr>
          <w:p w14:paraId="359DEAC0"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1 459 354</w:t>
            </w:r>
          </w:p>
        </w:tc>
        <w:tc>
          <w:tcPr>
            <w:tcW w:w="983" w:type="dxa"/>
            <w:tcBorders>
              <w:top w:val="nil"/>
              <w:left w:val="nil"/>
              <w:bottom w:val="nil"/>
              <w:right w:val="nil"/>
            </w:tcBorders>
            <w:shd w:val="clear" w:color="auto" w:fill="auto"/>
            <w:noWrap/>
            <w:vAlign w:val="center"/>
            <w:hideMark/>
          </w:tcPr>
          <w:p w14:paraId="06439E99"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1 483 704</w:t>
            </w:r>
          </w:p>
        </w:tc>
        <w:tc>
          <w:tcPr>
            <w:tcW w:w="983" w:type="dxa"/>
            <w:tcBorders>
              <w:top w:val="nil"/>
              <w:left w:val="nil"/>
              <w:bottom w:val="nil"/>
              <w:right w:val="nil"/>
            </w:tcBorders>
            <w:shd w:val="clear" w:color="auto" w:fill="auto"/>
            <w:noWrap/>
            <w:vAlign w:val="center"/>
            <w:hideMark/>
          </w:tcPr>
          <w:p w14:paraId="6B27F4B3"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1 998 722</w:t>
            </w:r>
          </w:p>
        </w:tc>
        <w:tc>
          <w:tcPr>
            <w:tcW w:w="1071" w:type="dxa"/>
            <w:tcBorders>
              <w:top w:val="nil"/>
              <w:left w:val="nil"/>
              <w:bottom w:val="nil"/>
              <w:right w:val="nil"/>
            </w:tcBorders>
            <w:shd w:val="clear" w:color="000000" w:fill="BFBFBF"/>
            <w:noWrap/>
            <w:vAlign w:val="center"/>
            <w:hideMark/>
          </w:tcPr>
          <w:p w14:paraId="76E35BCE"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1 634 652</w:t>
            </w:r>
          </w:p>
        </w:tc>
        <w:tc>
          <w:tcPr>
            <w:tcW w:w="813" w:type="dxa"/>
            <w:tcBorders>
              <w:top w:val="nil"/>
              <w:left w:val="nil"/>
              <w:bottom w:val="nil"/>
              <w:right w:val="nil"/>
            </w:tcBorders>
            <w:shd w:val="clear" w:color="auto" w:fill="auto"/>
            <w:noWrap/>
            <w:vAlign w:val="center"/>
            <w:hideMark/>
          </w:tcPr>
          <w:p w14:paraId="0B45D384"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-364 070</w:t>
            </w:r>
          </w:p>
        </w:tc>
        <w:tc>
          <w:tcPr>
            <w:tcW w:w="635" w:type="dxa"/>
            <w:tcBorders>
              <w:top w:val="nil"/>
              <w:left w:val="nil"/>
              <w:bottom w:val="nil"/>
              <w:right w:val="nil"/>
            </w:tcBorders>
            <w:shd w:val="clear" w:color="auto" w:fill="auto"/>
            <w:noWrap/>
            <w:vAlign w:val="center"/>
            <w:hideMark/>
          </w:tcPr>
          <w:p w14:paraId="10D0352A"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-18,2</w:t>
            </w:r>
          </w:p>
        </w:tc>
      </w:tr>
      <w:tr w:rsidR="00872F0C" w:rsidRPr="0050486B" w14:paraId="4810233D" w14:textId="77777777" w:rsidTr="006B23F4">
        <w:trPr>
          <w:trHeight w:val="312"/>
        </w:trPr>
        <w:tc>
          <w:tcPr>
            <w:tcW w:w="3492" w:type="dxa"/>
            <w:tcBorders>
              <w:top w:val="nil"/>
              <w:left w:val="nil"/>
              <w:bottom w:val="nil"/>
              <w:right w:val="nil"/>
            </w:tcBorders>
            <w:shd w:val="clear" w:color="auto" w:fill="auto"/>
            <w:vAlign w:val="center"/>
            <w:hideMark/>
          </w:tcPr>
          <w:p w14:paraId="398033E8" w14:textId="77777777" w:rsidR="00872F0C" w:rsidRPr="0050486B" w:rsidRDefault="00872F0C" w:rsidP="00872F0C">
            <w:pPr>
              <w:spacing w:after="0" w:line="240" w:lineRule="auto"/>
              <w:jc w:val="left"/>
              <w:rPr>
                <w:color w:val="000000"/>
                <w:sz w:val="18"/>
                <w:szCs w:val="18"/>
                <w:lang w:eastAsia="sk-SK"/>
              </w:rPr>
            </w:pPr>
            <w:r w:rsidRPr="0050486B">
              <w:rPr>
                <w:color w:val="000000"/>
                <w:sz w:val="18"/>
                <w:szCs w:val="18"/>
                <w:lang w:eastAsia="sk-SK"/>
              </w:rPr>
              <w:t>Bežné transfery</w:t>
            </w:r>
          </w:p>
        </w:tc>
        <w:tc>
          <w:tcPr>
            <w:tcW w:w="983" w:type="dxa"/>
            <w:tcBorders>
              <w:top w:val="nil"/>
              <w:left w:val="nil"/>
              <w:bottom w:val="nil"/>
              <w:right w:val="nil"/>
            </w:tcBorders>
            <w:shd w:val="clear" w:color="auto" w:fill="auto"/>
            <w:noWrap/>
            <w:vAlign w:val="center"/>
            <w:hideMark/>
          </w:tcPr>
          <w:p w14:paraId="06542A72"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9 485 727</w:t>
            </w:r>
          </w:p>
        </w:tc>
        <w:tc>
          <w:tcPr>
            <w:tcW w:w="983" w:type="dxa"/>
            <w:tcBorders>
              <w:top w:val="nil"/>
              <w:left w:val="nil"/>
              <w:bottom w:val="nil"/>
              <w:right w:val="nil"/>
            </w:tcBorders>
            <w:shd w:val="clear" w:color="auto" w:fill="auto"/>
            <w:noWrap/>
            <w:vAlign w:val="center"/>
            <w:hideMark/>
          </w:tcPr>
          <w:p w14:paraId="65ECFEC0"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9 652 930</w:t>
            </w:r>
          </w:p>
        </w:tc>
        <w:tc>
          <w:tcPr>
            <w:tcW w:w="983" w:type="dxa"/>
            <w:tcBorders>
              <w:top w:val="nil"/>
              <w:left w:val="nil"/>
              <w:bottom w:val="nil"/>
              <w:right w:val="nil"/>
            </w:tcBorders>
            <w:shd w:val="clear" w:color="auto" w:fill="auto"/>
            <w:noWrap/>
            <w:vAlign w:val="center"/>
            <w:hideMark/>
          </w:tcPr>
          <w:p w14:paraId="4FF5F373"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9 983 360</w:t>
            </w:r>
          </w:p>
        </w:tc>
        <w:tc>
          <w:tcPr>
            <w:tcW w:w="1071" w:type="dxa"/>
            <w:tcBorders>
              <w:top w:val="nil"/>
              <w:left w:val="nil"/>
              <w:bottom w:val="nil"/>
              <w:right w:val="nil"/>
            </w:tcBorders>
            <w:shd w:val="clear" w:color="000000" w:fill="BFBFBF"/>
            <w:noWrap/>
            <w:vAlign w:val="center"/>
            <w:hideMark/>
          </w:tcPr>
          <w:p w14:paraId="29896B9B"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9 771 657</w:t>
            </w:r>
          </w:p>
        </w:tc>
        <w:tc>
          <w:tcPr>
            <w:tcW w:w="813" w:type="dxa"/>
            <w:tcBorders>
              <w:top w:val="nil"/>
              <w:left w:val="nil"/>
              <w:bottom w:val="nil"/>
              <w:right w:val="nil"/>
            </w:tcBorders>
            <w:shd w:val="clear" w:color="auto" w:fill="auto"/>
            <w:noWrap/>
            <w:vAlign w:val="center"/>
            <w:hideMark/>
          </w:tcPr>
          <w:p w14:paraId="17F1D135"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-211 703</w:t>
            </w:r>
          </w:p>
        </w:tc>
        <w:tc>
          <w:tcPr>
            <w:tcW w:w="635" w:type="dxa"/>
            <w:tcBorders>
              <w:top w:val="nil"/>
              <w:left w:val="nil"/>
              <w:bottom w:val="nil"/>
              <w:right w:val="nil"/>
            </w:tcBorders>
            <w:shd w:val="clear" w:color="auto" w:fill="auto"/>
            <w:noWrap/>
            <w:vAlign w:val="center"/>
            <w:hideMark/>
          </w:tcPr>
          <w:p w14:paraId="32F3A510"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-2,1</w:t>
            </w:r>
          </w:p>
        </w:tc>
      </w:tr>
      <w:tr w:rsidR="00872F0C" w:rsidRPr="0050486B" w14:paraId="036097A5" w14:textId="77777777" w:rsidTr="006B23F4">
        <w:trPr>
          <w:trHeight w:val="64"/>
        </w:trPr>
        <w:tc>
          <w:tcPr>
            <w:tcW w:w="3492" w:type="dxa"/>
            <w:tcBorders>
              <w:top w:val="nil"/>
              <w:left w:val="nil"/>
              <w:bottom w:val="nil"/>
              <w:right w:val="nil"/>
            </w:tcBorders>
            <w:shd w:val="clear" w:color="auto" w:fill="auto"/>
            <w:vAlign w:val="center"/>
            <w:hideMark/>
          </w:tcPr>
          <w:p w14:paraId="2E24BF7E" w14:textId="0087A881" w:rsidR="00872F0C" w:rsidRPr="0050486B" w:rsidRDefault="00D74A23" w:rsidP="00D74A23">
            <w:pPr>
              <w:spacing w:after="0" w:line="240" w:lineRule="auto"/>
              <w:jc w:val="left"/>
              <w:rPr>
                <w:i/>
                <w:iCs/>
                <w:color w:val="000000"/>
                <w:sz w:val="18"/>
                <w:szCs w:val="18"/>
                <w:lang w:eastAsia="sk-SK"/>
              </w:rPr>
            </w:pPr>
            <w:r>
              <w:rPr>
                <w:i/>
                <w:iCs/>
                <w:color w:val="000000"/>
                <w:sz w:val="18"/>
                <w:szCs w:val="18"/>
                <w:lang w:eastAsia="sk-SK"/>
              </w:rPr>
              <w:t>z toho</w:t>
            </w:r>
            <w:r w:rsidR="00872F0C" w:rsidRPr="0050486B">
              <w:rPr>
                <w:i/>
                <w:iCs/>
                <w:color w:val="000000"/>
                <w:sz w:val="18"/>
                <w:szCs w:val="18"/>
                <w:lang w:eastAsia="sk-SK"/>
              </w:rPr>
              <w:t xml:space="preserve">: </w:t>
            </w:r>
          </w:p>
        </w:tc>
        <w:tc>
          <w:tcPr>
            <w:tcW w:w="983" w:type="dxa"/>
            <w:tcBorders>
              <w:top w:val="nil"/>
              <w:left w:val="nil"/>
              <w:bottom w:val="nil"/>
              <w:right w:val="nil"/>
            </w:tcBorders>
            <w:shd w:val="clear" w:color="auto" w:fill="auto"/>
            <w:noWrap/>
            <w:vAlign w:val="center"/>
            <w:hideMark/>
          </w:tcPr>
          <w:p w14:paraId="52D30091"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 xml:space="preserve"> </w:t>
            </w:r>
          </w:p>
        </w:tc>
        <w:tc>
          <w:tcPr>
            <w:tcW w:w="983" w:type="dxa"/>
            <w:tcBorders>
              <w:top w:val="nil"/>
              <w:left w:val="nil"/>
              <w:bottom w:val="nil"/>
              <w:right w:val="nil"/>
            </w:tcBorders>
            <w:shd w:val="clear" w:color="auto" w:fill="auto"/>
            <w:noWrap/>
            <w:vAlign w:val="center"/>
            <w:hideMark/>
          </w:tcPr>
          <w:p w14:paraId="03C99292" w14:textId="77777777" w:rsidR="00872F0C" w:rsidRPr="0050486B" w:rsidRDefault="00872F0C" w:rsidP="00872F0C">
            <w:pPr>
              <w:spacing w:after="0" w:line="240" w:lineRule="auto"/>
              <w:jc w:val="right"/>
              <w:rPr>
                <w:i/>
                <w:iCs/>
                <w:color w:val="000000"/>
                <w:sz w:val="18"/>
                <w:szCs w:val="18"/>
                <w:lang w:eastAsia="sk-SK"/>
              </w:rPr>
            </w:pPr>
            <w:r w:rsidRPr="0050486B">
              <w:rPr>
                <w:i/>
                <w:iCs/>
                <w:color w:val="000000"/>
                <w:sz w:val="18"/>
                <w:szCs w:val="18"/>
                <w:lang w:eastAsia="sk-SK"/>
              </w:rPr>
              <w:t xml:space="preserve"> </w:t>
            </w:r>
          </w:p>
        </w:tc>
        <w:tc>
          <w:tcPr>
            <w:tcW w:w="983" w:type="dxa"/>
            <w:tcBorders>
              <w:top w:val="nil"/>
              <w:left w:val="nil"/>
              <w:bottom w:val="nil"/>
              <w:right w:val="nil"/>
            </w:tcBorders>
            <w:shd w:val="clear" w:color="auto" w:fill="auto"/>
            <w:noWrap/>
            <w:vAlign w:val="center"/>
            <w:hideMark/>
          </w:tcPr>
          <w:p w14:paraId="6708A0FC" w14:textId="77777777" w:rsidR="00872F0C" w:rsidRPr="0050486B" w:rsidRDefault="00872F0C" w:rsidP="00872F0C">
            <w:pPr>
              <w:spacing w:after="0" w:line="240" w:lineRule="auto"/>
              <w:jc w:val="left"/>
              <w:rPr>
                <w:color w:val="000000"/>
                <w:sz w:val="20"/>
                <w:szCs w:val="20"/>
                <w:lang w:eastAsia="sk-SK"/>
              </w:rPr>
            </w:pPr>
            <w:r w:rsidRPr="0050486B">
              <w:rPr>
                <w:color w:val="000000"/>
                <w:sz w:val="20"/>
                <w:szCs w:val="20"/>
                <w:lang w:eastAsia="sk-SK"/>
              </w:rPr>
              <w:t xml:space="preserve"> </w:t>
            </w:r>
          </w:p>
        </w:tc>
        <w:tc>
          <w:tcPr>
            <w:tcW w:w="1071" w:type="dxa"/>
            <w:tcBorders>
              <w:top w:val="nil"/>
              <w:left w:val="nil"/>
              <w:bottom w:val="nil"/>
              <w:right w:val="nil"/>
            </w:tcBorders>
            <w:shd w:val="clear" w:color="000000" w:fill="BFBFBF"/>
            <w:noWrap/>
            <w:vAlign w:val="center"/>
            <w:hideMark/>
          </w:tcPr>
          <w:p w14:paraId="5114DB5B" w14:textId="77777777" w:rsidR="00872F0C" w:rsidRPr="0050486B" w:rsidRDefault="00872F0C" w:rsidP="00872F0C">
            <w:pPr>
              <w:spacing w:after="0" w:line="240" w:lineRule="auto"/>
              <w:jc w:val="right"/>
              <w:rPr>
                <w:i/>
                <w:iCs/>
                <w:color w:val="000000"/>
                <w:sz w:val="18"/>
                <w:szCs w:val="18"/>
                <w:lang w:eastAsia="sk-SK"/>
              </w:rPr>
            </w:pPr>
            <w:r w:rsidRPr="0050486B">
              <w:rPr>
                <w:i/>
                <w:iCs/>
                <w:color w:val="000000"/>
                <w:sz w:val="18"/>
                <w:szCs w:val="18"/>
                <w:lang w:eastAsia="sk-SK"/>
              </w:rPr>
              <w:t xml:space="preserve"> </w:t>
            </w:r>
          </w:p>
        </w:tc>
        <w:tc>
          <w:tcPr>
            <w:tcW w:w="813" w:type="dxa"/>
            <w:tcBorders>
              <w:top w:val="nil"/>
              <w:left w:val="nil"/>
              <w:bottom w:val="nil"/>
              <w:right w:val="nil"/>
            </w:tcBorders>
            <w:shd w:val="clear" w:color="auto" w:fill="auto"/>
            <w:noWrap/>
            <w:vAlign w:val="center"/>
            <w:hideMark/>
          </w:tcPr>
          <w:p w14:paraId="28301CE8" w14:textId="77777777" w:rsidR="00872F0C" w:rsidRPr="0050486B" w:rsidRDefault="00872F0C" w:rsidP="00872F0C">
            <w:pPr>
              <w:spacing w:after="0" w:line="240" w:lineRule="auto"/>
              <w:jc w:val="right"/>
              <w:rPr>
                <w:i/>
                <w:iCs/>
                <w:color w:val="000000"/>
                <w:sz w:val="18"/>
                <w:szCs w:val="18"/>
                <w:lang w:eastAsia="sk-SK"/>
              </w:rPr>
            </w:pPr>
          </w:p>
        </w:tc>
        <w:tc>
          <w:tcPr>
            <w:tcW w:w="635" w:type="dxa"/>
            <w:tcBorders>
              <w:top w:val="nil"/>
              <w:left w:val="nil"/>
              <w:bottom w:val="nil"/>
              <w:right w:val="nil"/>
            </w:tcBorders>
            <w:shd w:val="clear" w:color="auto" w:fill="auto"/>
            <w:noWrap/>
            <w:vAlign w:val="center"/>
            <w:hideMark/>
          </w:tcPr>
          <w:p w14:paraId="58D1CADE" w14:textId="77777777" w:rsidR="00872F0C" w:rsidRPr="0050486B" w:rsidRDefault="00872F0C" w:rsidP="00872F0C">
            <w:pPr>
              <w:spacing w:after="0" w:line="240" w:lineRule="auto"/>
              <w:jc w:val="right"/>
              <w:rPr>
                <w:sz w:val="20"/>
                <w:szCs w:val="20"/>
                <w:lang w:eastAsia="sk-SK"/>
              </w:rPr>
            </w:pPr>
          </w:p>
        </w:tc>
      </w:tr>
      <w:tr w:rsidR="00872F0C" w:rsidRPr="0050486B" w14:paraId="30BB6A91" w14:textId="77777777" w:rsidTr="006B23F4">
        <w:trPr>
          <w:trHeight w:val="312"/>
        </w:trPr>
        <w:tc>
          <w:tcPr>
            <w:tcW w:w="3492" w:type="dxa"/>
            <w:tcBorders>
              <w:top w:val="nil"/>
              <w:left w:val="nil"/>
              <w:bottom w:val="nil"/>
              <w:right w:val="nil"/>
            </w:tcBorders>
            <w:shd w:val="clear" w:color="auto" w:fill="auto"/>
            <w:vAlign w:val="center"/>
            <w:hideMark/>
          </w:tcPr>
          <w:p w14:paraId="2BA6451F" w14:textId="77777777" w:rsidR="00872F0C" w:rsidRPr="0050486B" w:rsidRDefault="00872F0C" w:rsidP="00872F0C">
            <w:pPr>
              <w:spacing w:after="0" w:line="240" w:lineRule="auto"/>
              <w:jc w:val="left"/>
              <w:rPr>
                <w:i/>
                <w:iCs/>
                <w:color w:val="000000"/>
                <w:sz w:val="18"/>
                <w:szCs w:val="18"/>
                <w:lang w:eastAsia="sk-SK"/>
              </w:rPr>
            </w:pPr>
            <w:r w:rsidRPr="0050486B">
              <w:rPr>
                <w:i/>
                <w:iCs/>
                <w:color w:val="000000"/>
                <w:sz w:val="18"/>
                <w:szCs w:val="18"/>
                <w:lang w:eastAsia="sk-SK"/>
              </w:rPr>
              <w:t>v rámci verejnej správy</w:t>
            </w:r>
          </w:p>
        </w:tc>
        <w:tc>
          <w:tcPr>
            <w:tcW w:w="983" w:type="dxa"/>
            <w:tcBorders>
              <w:top w:val="nil"/>
              <w:left w:val="nil"/>
              <w:bottom w:val="nil"/>
              <w:right w:val="nil"/>
            </w:tcBorders>
            <w:shd w:val="clear" w:color="auto" w:fill="auto"/>
            <w:noWrap/>
            <w:vAlign w:val="center"/>
            <w:hideMark/>
          </w:tcPr>
          <w:p w14:paraId="24B6883C" w14:textId="77777777" w:rsidR="00872F0C" w:rsidRPr="0050486B" w:rsidRDefault="00872F0C" w:rsidP="00872F0C">
            <w:pPr>
              <w:spacing w:after="0" w:line="240" w:lineRule="auto"/>
              <w:jc w:val="right"/>
              <w:rPr>
                <w:i/>
                <w:iCs/>
                <w:color w:val="000000"/>
                <w:sz w:val="18"/>
                <w:szCs w:val="18"/>
                <w:lang w:eastAsia="sk-SK"/>
              </w:rPr>
            </w:pPr>
            <w:r w:rsidRPr="0050486B">
              <w:rPr>
                <w:i/>
                <w:iCs/>
                <w:color w:val="000000"/>
                <w:sz w:val="18"/>
                <w:szCs w:val="18"/>
                <w:lang w:eastAsia="sk-SK"/>
              </w:rPr>
              <w:t>4 344 119</w:t>
            </w:r>
          </w:p>
        </w:tc>
        <w:tc>
          <w:tcPr>
            <w:tcW w:w="983" w:type="dxa"/>
            <w:tcBorders>
              <w:top w:val="nil"/>
              <w:left w:val="nil"/>
              <w:bottom w:val="nil"/>
              <w:right w:val="nil"/>
            </w:tcBorders>
            <w:shd w:val="clear" w:color="auto" w:fill="auto"/>
            <w:noWrap/>
            <w:vAlign w:val="center"/>
            <w:hideMark/>
          </w:tcPr>
          <w:p w14:paraId="099534B3" w14:textId="77777777" w:rsidR="00872F0C" w:rsidRPr="0050486B" w:rsidRDefault="00872F0C" w:rsidP="00872F0C">
            <w:pPr>
              <w:spacing w:after="0" w:line="240" w:lineRule="auto"/>
              <w:jc w:val="right"/>
              <w:rPr>
                <w:i/>
                <w:iCs/>
                <w:color w:val="000000"/>
                <w:sz w:val="18"/>
                <w:szCs w:val="18"/>
                <w:lang w:eastAsia="sk-SK"/>
              </w:rPr>
            </w:pPr>
            <w:r w:rsidRPr="0050486B">
              <w:rPr>
                <w:i/>
                <w:iCs/>
                <w:color w:val="000000"/>
                <w:sz w:val="18"/>
                <w:szCs w:val="18"/>
                <w:lang w:eastAsia="sk-SK"/>
              </w:rPr>
              <w:t>4 600 132</w:t>
            </w:r>
          </w:p>
        </w:tc>
        <w:tc>
          <w:tcPr>
            <w:tcW w:w="983" w:type="dxa"/>
            <w:tcBorders>
              <w:top w:val="nil"/>
              <w:left w:val="nil"/>
              <w:bottom w:val="nil"/>
              <w:right w:val="nil"/>
            </w:tcBorders>
            <w:shd w:val="clear" w:color="auto" w:fill="auto"/>
            <w:noWrap/>
            <w:vAlign w:val="center"/>
            <w:hideMark/>
          </w:tcPr>
          <w:p w14:paraId="3C1374C5" w14:textId="77777777" w:rsidR="00872F0C" w:rsidRPr="0050486B" w:rsidRDefault="00872F0C" w:rsidP="00872F0C">
            <w:pPr>
              <w:spacing w:after="0" w:line="240" w:lineRule="auto"/>
              <w:jc w:val="right"/>
              <w:rPr>
                <w:i/>
                <w:iCs/>
                <w:color w:val="000000"/>
                <w:sz w:val="18"/>
                <w:szCs w:val="18"/>
                <w:lang w:eastAsia="sk-SK"/>
              </w:rPr>
            </w:pPr>
            <w:r w:rsidRPr="0050486B">
              <w:rPr>
                <w:i/>
                <w:iCs/>
                <w:color w:val="000000"/>
                <w:sz w:val="18"/>
                <w:szCs w:val="18"/>
                <w:lang w:eastAsia="sk-SK"/>
              </w:rPr>
              <w:t>4 392 473</w:t>
            </w:r>
          </w:p>
        </w:tc>
        <w:tc>
          <w:tcPr>
            <w:tcW w:w="1071" w:type="dxa"/>
            <w:tcBorders>
              <w:top w:val="nil"/>
              <w:left w:val="nil"/>
              <w:bottom w:val="nil"/>
              <w:right w:val="nil"/>
            </w:tcBorders>
            <w:shd w:val="clear" w:color="000000" w:fill="BFBFBF"/>
            <w:noWrap/>
            <w:vAlign w:val="center"/>
            <w:hideMark/>
          </w:tcPr>
          <w:p w14:paraId="517376D1" w14:textId="77777777" w:rsidR="00872F0C" w:rsidRPr="0050486B" w:rsidRDefault="00872F0C" w:rsidP="00872F0C">
            <w:pPr>
              <w:spacing w:after="0" w:line="240" w:lineRule="auto"/>
              <w:jc w:val="right"/>
              <w:rPr>
                <w:i/>
                <w:iCs/>
                <w:color w:val="000000"/>
                <w:sz w:val="18"/>
                <w:szCs w:val="18"/>
                <w:lang w:eastAsia="sk-SK"/>
              </w:rPr>
            </w:pPr>
            <w:r w:rsidRPr="0050486B">
              <w:rPr>
                <w:i/>
                <w:iCs/>
                <w:color w:val="000000"/>
                <w:sz w:val="18"/>
                <w:szCs w:val="18"/>
                <w:lang w:eastAsia="sk-SK"/>
              </w:rPr>
              <w:t>4 411 134</w:t>
            </w:r>
          </w:p>
        </w:tc>
        <w:tc>
          <w:tcPr>
            <w:tcW w:w="813" w:type="dxa"/>
            <w:tcBorders>
              <w:top w:val="nil"/>
              <w:left w:val="nil"/>
              <w:bottom w:val="nil"/>
              <w:right w:val="nil"/>
            </w:tcBorders>
            <w:shd w:val="clear" w:color="auto" w:fill="auto"/>
            <w:noWrap/>
            <w:vAlign w:val="center"/>
            <w:hideMark/>
          </w:tcPr>
          <w:p w14:paraId="55A2142E"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18 661</w:t>
            </w:r>
          </w:p>
        </w:tc>
        <w:tc>
          <w:tcPr>
            <w:tcW w:w="635" w:type="dxa"/>
            <w:tcBorders>
              <w:top w:val="nil"/>
              <w:left w:val="nil"/>
              <w:bottom w:val="nil"/>
              <w:right w:val="nil"/>
            </w:tcBorders>
            <w:shd w:val="clear" w:color="auto" w:fill="auto"/>
            <w:noWrap/>
            <w:vAlign w:val="center"/>
            <w:hideMark/>
          </w:tcPr>
          <w:p w14:paraId="45ED03E6"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0,4</w:t>
            </w:r>
          </w:p>
        </w:tc>
      </w:tr>
      <w:tr w:rsidR="00872F0C" w:rsidRPr="0050486B" w14:paraId="7C9FAC14" w14:textId="77777777" w:rsidTr="006B23F4">
        <w:trPr>
          <w:trHeight w:val="291"/>
        </w:trPr>
        <w:tc>
          <w:tcPr>
            <w:tcW w:w="3492" w:type="dxa"/>
            <w:tcBorders>
              <w:top w:val="nil"/>
              <w:left w:val="nil"/>
              <w:bottom w:val="nil"/>
              <w:right w:val="nil"/>
            </w:tcBorders>
            <w:shd w:val="clear" w:color="auto" w:fill="auto"/>
            <w:vAlign w:val="center"/>
            <w:hideMark/>
          </w:tcPr>
          <w:p w14:paraId="20F4189D" w14:textId="77777777" w:rsidR="00872F0C" w:rsidRPr="0050486B" w:rsidRDefault="00872F0C" w:rsidP="00872F0C">
            <w:pPr>
              <w:spacing w:after="0" w:line="240" w:lineRule="auto"/>
              <w:jc w:val="left"/>
              <w:rPr>
                <w:i/>
                <w:iCs/>
                <w:color w:val="000000"/>
                <w:sz w:val="18"/>
                <w:szCs w:val="18"/>
                <w:lang w:eastAsia="sk-SK"/>
              </w:rPr>
            </w:pPr>
            <w:r w:rsidRPr="0050486B">
              <w:rPr>
                <w:i/>
                <w:iCs/>
                <w:color w:val="000000"/>
                <w:sz w:val="18"/>
                <w:szCs w:val="18"/>
                <w:lang w:eastAsia="sk-SK"/>
              </w:rPr>
              <w:t>jednotlivcom a neziskovým právnickým osobám</w:t>
            </w:r>
          </w:p>
        </w:tc>
        <w:tc>
          <w:tcPr>
            <w:tcW w:w="983" w:type="dxa"/>
            <w:tcBorders>
              <w:top w:val="nil"/>
              <w:left w:val="nil"/>
              <w:bottom w:val="nil"/>
              <w:right w:val="nil"/>
            </w:tcBorders>
            <w:shd w:val="clear" w:color="auto" w:fill="auto"/>
            <w:noWrap/>
            <w:vAlign w:val="center"/>
            <w:hideMark/>
          </w:tcPr>
          <w:p w14:paraId="4F611401" w14:textId="77777777" w:rsidR="00872F0C" w:rsidRPr="0050486B" w:rsidRDefault="00872F0C" w:rsidP="00872F0C">
            <w:pPr>
              <w:spacing w:after="0" w:line="240" w:lineRule="auto"/>
              <w:jc w:val="right"/>
              <w:rPr>
                <w:i/>
                <w:iCs/>
                <w:color w:val="000000"/>
                <w:sz w:val="18"/>
                <w:szCs w:val="18"/>
                <w:lang w:eastAsia="sk-SK"/>
              </w:rPr>
            </w:pPr>
            <w:r w:rsidRPr="0050486B">
              <w:rPr>
                <w:i/>
                <w:iCs/>
                <w:color w:val="000000"/>
                <w:sz w:val="18"/>
                <w:szCs w:val="18"/>
                <w:lang w:eastAsia="sk-SK"/>
              </w:rPr>
              <w:t>3 809 874</w:t>
            </w:r>
          </w:p>
        </w:tc>
        <w:tc>
          <w:tcPr>
            <w:tcW w:w="983" w:type="dxa"/>
            <w:tcBorders>
              <w:top w:val="nil"/>
              <w:left w:val="nil"/>
              <w:bottom w:val="nil"/>
              <w:right w:val="nil"/>
            </w:tcBorders>
            <w:shd w:val="clear" w:color="auto" w:fill="auto"/>
            <w:noWrap/>
            <w:vAlign w:val="center"/>
            <w:hideMark/>
          </w:tcPr>
          <w:p w14:paraId="5A494374" w14:textId="77777777" w:rsidR="00872F0C" w:rsidRPr="0050486B" w:rsidRDefault="00872F0C" w:rsidP="00872F0C">
            <w:pPr>
              <w:spacing w:after="0" w:line="240" w:lineRule="auto"/>
              <w:jc w:val="right"/>
              <w:rPr>
                <w:i/>
                <w:iCs/>
                <w:color w:val="000000"/>
                <w:sz w:val="18"/>
                <w:szCs w:val="18"/>
                <w:lang w:eastAsia="sk-SK"/>
              </w:rPr>
            </w:pPr>
            <w:r w:rsidRPr="0050486B">
              <w:rPr>
                <w:i/>
                <w:iCs/>
                <w:color w:val="000000"/>
                <w:sz w:val="18"/>
                <w:szCs w:val="18"/>
                <w:lang w:eastAsia="sk-SK"/>
              </w:rPr>
              <w:t>3 696 261</w:t>
            </w:r>
          </w:p>
        </w:tc>
        <w:tc>
          <w:tcPr>
            <w:tcW w:w="983" w:type="dxa"/>
            <w:tcBorders>
              <w:top w:val="nil"/>
              <w:left w:val="nil"/>
              <w:bottom w:val="nil"/>
              <w:right w:val="nil"/>
            </w:tcBorders>
            <w:shd w:val="clear" w:color="auto" w:fill="auto"/>
            <w:noWrap/>
            <w:vAlign w:val="center"/>
            <w:hideMark/>
          </w:tcPr>
          <w:p w14:paraId="47AD91DB" w14:textId="77777777" w:rsidR="00872F0C" w:rsidRPr="0050486B" w:rsidRDefault="00872F0C" w:rsidP="00872F0C">
            <w:pPr>
              <w:spacing w:after="0" w:line="240" w:lineRule="auto"/>
              <w:jc w:val="right"/>
              <w:rPr>
                <w:i/>
                <w:iCs/>
                <w:color w:val="000000"/>
                <w:sz w:val="18"/>
                <w:szCs w:val="18"/>
                <w:lang w:eastAsia="sk-SK"/>
              </w:rPr>
            </w:pPr>
            <w:r w:rsidRPr="0050486B">
              <w:rPr>
                <w:i/>
                <w:iCs/>
                <w:color w:val="000000"/>
                <w:sz w:val="18"/>
                <w:szCs w:val="18"/>
                <w:lang w:eastAsia="sk-SK"/>
              </w:rPr>
              <w:t>3 836 459</w:t>
            </w:r>
          </w:p>
        </w:tc>
        <w:tc>
          <w:tcPr>
            <w:tcW w:w="1071" w:type="dxa"/>
            <w:tcBorders>
              <w:top w:val="nil"/>
              <w:left w:val="nil"/>
              <w:bottom w:val="nil"/>
              <w:right w:val="nil"/>
            </w:tcBorders>
            <w:shd w:val="clear" w:color="000000" w:fill="BFBFBF"/>
            <w:noWrap/>
            <w:vAlign w:val="center"/>
            <w:hideMark/>
          </w:tcPr>
          <w:p w14:paraId="68C15ACB" w14:textId="77777777" w:rsidR="00872F0C" w:rsidRPr="0050486B" w:rsidRDefault="00872F0C" w:rsidP="00872F0C">
            <w:pPr>
              <w:spacing w:after="0" w:line="240" w:lineRule="auto"/>
              <w:jc w:val="right"/>
              <w:rPr>
                <w:i/>
                <w:iCs/>
                <w:color w:val="000000"/>
                <w:sz w:val="18"/>
                <w:szCs w:val="18"/>
                <w:lang w:eastAsia="sk-SK"/>
              </w:rPr>
            </w:pPr>
            <w:r w:rsidRPr="0050486B">
              <w:rPr>
                <w:i/>
                <w:iCs/>
                <w:color w:val="000000"/>
                <w:sz w:val="18"/>
                <w:szCs w:val="18"/>
                <w:lang w:eastAsia="sk-SK"/>
              </w:rPr>
              <w:t>3 757 414</w:t>
            </w:r>
          </w:p>
        </w:tc>
        <w:tc>
          <w:tcPr>
            <w:tcW w:w="813" w:type="dxa"/>
            <w:tcBorders>
              <w:top w:val="nil"/>
              <w:left w:val="nil"/>
              <w:bottom w:val="nil"/>
              <w:right w:val="nil"/>
            </w:tcBorders>
            <w:shd w:val="clear" w:color="auto" w:fill="auto"/>
            <w:noWrap/>
            <w:vAlign w:val="center"/>
            <w:hideMark/>
          </w:tcPr>
          <w:p w14:paraId="5CC50E96"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-79 045</w:t>
            </w:r>
          </w:p>
        </w:tc>
        <w:tc>
          <w:tcPr>
            <w:tcW w:w="635" w:type="dxa"/>
            <w:tcBorders>
              <w:top w:val="nil"/>
              <w:left w:val="nil"/>
              <w:bottom w:val="nil"/>
              <w:right w:val="nil"/>
            </w:tcBorders>
            <w:shd w:val="clear" w:color="auto" w:fill="auto"/>
            <w:noWrap/>
            <w:vAlign w:val="center"/>
            <w:hideMark/>
          </w:tcPr>
          <w:p w14:paraId="0ECD7F77"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-2,1</w:t>
            </w:r>
          </w:p>
        </w:tc>
      </w:tr>
      <w:tr w:rsidR="00872F0C" w:rsidRPr="0050486B" w14:paraId="1928B68D" w14:textId="77777777" w:rsidTr="006B23F4">
        <w:trPr>
          <w:trHeight w:val="709"/>
        </w:trPr>
        <w:tc>
          <w:tcPr>
            <w:tcW w:w="3492" w:type="dxa"/>
            <w:tcBorders>
              <w:top w:val="nil"/>
              <w:left w:val="nil"/>
              <w:bottom w:val="nil"/>
              <w:right w:val="nil"/>
            </w:tcBorders>
            <w:shd w:val="clear" w:color="auto" w:fill="auto"/>
            <w:vAlign w:val="center"/>
            <w:hideMark/>
          </w:tcPr>
          <w:p w14:paraId="14996FC8" w14:textId="77777777" w:rsidR="00872F0C" w:rsidRPr="0050486B" w:rsidRDefault="00872F0C" w:rsidP="00872F0C">
            <w:pPr>
              <w:spacing w:after="0" w:line="240" w:lineRule="auto"/>
              <w:jc w:val="left"/>
              <w:rPr>
                <w:i/>
                <w:iCs/>
                <w:color w:val="000000"/>
                <w:sz w:val="18"/>
                <w:szCs w:val="18"/>
                <w:lang w:eastAsia="sk-SK"/>
              </w:rPr>
            </w:pPr>
            <w:proofErr w:type="spellStart"/>
            <w:r w:rsidRPr="0050486B">
              <w:rPr>
                <w:i/>
                <w:iCs/>
                <w:color w:val="000000"/>
                <w:sz w:val="18"/>
                <w:szCs w:val="18"/>
                <w:lang w:eastAsia="sk-SK"/>
              </w:rPr>
              <w:t>nefin</w:t>
            </w:r>
            <w:proofErr w:type="spellEnd"/>
            <w:r w:rsidRPr="0050486B">
              <w:rPr>
                <w:i/>
                <w:iCs/>
                <w:color w:val="000000"/>
                <w:sz w:val="18"/>
                <w:szCs w:val="18"/>
                <w:lang w:eastAsia="sk-SK"/>
              </w:rPr>
              <w:t>. subjektom a transfery PO nezaradeným vo verejnej správe</w:t>
            </w:r>
          </w:p>
        </w:tc>
        <w:tc>
          <w:tcPr>
            <w:tcW w:w="983" w:type="dxa"/>
            <w:tcBorders>
              <w:top w:val="nil"/>
              <w:left w:val="nil"/>
              <w:bottom w:val="nil"/>
              <w:right w:val="nil"/>
            </w:tcBorders>
            <w:shd w:val="clear" w:color="auto" w:fill="auto"/>
            <w:noWrap/>
            <w:vAlign w:val="center"/>
            <w:hideMark/>
          </w:tcPr>
          <w:p w14:paraId="5D621084" w14:textId="77777777" w:rsidR="00872F0C" w:rsidRPr="0050486B" w:rsidRDefault="00872F0C" w:rsidP="00872F0C">
            <w:pPr>
              <w:spacing w:after="0" w:line="240" w:lineRule="auto"/>
              <w:jc w:val="right"/>
              <w:rPr>
                <w:i/>
                <w:iCs/>
                <w:color w:val="000000"/>
                <w:sz w:val="18"/>
                <w:szCs w:val="18"/>
                <w:lang w:eastAsia="sk-SK"/>
              </w:rPr>
            </w:pPr>
            <w:r w:rsidRPr="0050486B">
              <w:rPr>
                <w:i/>
                <w:iCs/>
                <w:color w:val="000000"/>
                <w:sz w:val="18"/>
                <w:szCs w:val="18"/>
                <w:lang w:eastAsia="sk-SK"/>
              </w:rPr>
              <w:t>618 022</w:t>
            </w:r>
          </w:p>
        </w:tc>
        <w:tc>
          <w:tcPr>
            <w:tcW w:w="983" w:type="dxa"/>
            <w:tcBorders>
              <w:top w:val="nil"/>
              <w:left w:val="nil"/>
              <w:bottom w:val="nil"/>
              <w:right w:val="nil"/>
            </w:tcBorders>
            <w:shd w:val="clear" w:color="auto" w:fill="auto"/>
            <w:noWrap/>
            <w:vAlign w:val="center"/>
            <w:hideMark/>
          </w:tcPr>
          <w:p w14:paraId="16206F06" w14:textId="77777777" w:rsidR="00872F0C" w:rsidRPr="0050486B" w:rsidRDefault="00872F0C" w:rsidP="00872F0C">
            <w:pPr>
              <w:spacing w:after="0" w:line="240" w:lineRule="auto"/>
              <w:jc w:val="right"/>
              <w:rPr>
                <w:i/>
                <w:iCs/>
                <w:color w:val="000000"/>
                <w:sz w:val="18"/>
                <w:szCs w:val="18"/>
                <w:lang w:eastAsia="sk-SK"/>
              </w:rPr>
            </w:pPr>
            <w:r w:rsidRPr="0050486B">
              <w:rPr>
                <w:i/>
                <w:iCs/>
                <w:color w:val="000000"/>
                <w:sz w:val="18"/>
                <w:szCs w:val="18"/>
                <w:lang w:eastAsia="sk-SK"/>
              </w:rPr>
              <w:t>643 405</w:t>
            </w:r>
          </w:p>
        </w:tc>
        <w:tc>
          <w:tcPr>
            <w:tcW w:w="983" w:type="dxa"/>
            <w:tcBorders>
              <w:top w:val="nil"/>
              <w:left w:val="nil"/>
              <w:bottom w:val="nil"/>
              <w:right w:val="nil"/>
            </w:tcBorders>
            <w:shd w:val="clear" w:color="auto" w:fill="auto"/>
            <w:noWrap/>
            <w:vAlign w:val="center"/>
            <w:hideMark/>
          </w:tcPr>
          <w:p w14:paraId="754FEF33" w14:textId="77777777" w:rsidR="00872F0C" w:rsidRPr="0050486B" w:rsidRDefault="00872F0C" w:rsidP="00872F0C">
            <w:pPr>
              <w:spacing w:after="0" w:line="240" w:lineRule="auto"/>
              <w:jc w:val="right"/>
              <w:rPr>
                <w:i/>
                <w:iCs/>
                <w:color w:val="000000"/>
                <w:sz w:val="18"/>
                <w:szCs w:val="18"/>
                <w:lang w:eastAsia="sk-SK"/>
              </w:rPr>
            </w:pPr>
            <w:r w:rsidRPr="0050486B">
              <w:rPr>
                <w:i/>
                <w:iCs/>
                <w:color w:val="000000"/>
                <w:sz w:val="18"/>
                <w:szCs w:val="18"/>
                <w:lang w:eastAsia="sk-SK"/>
              </w:rPr>
              <w:t>901 850</w:t>
            </w:r>
          </w:p>
        </w:tc>
        <w:tc>
          <w:tcPr>
            <w:tcW w:w="1071" w:type="dxa"/>
            <w:tcBorders>
              <w:top w:val="nil"/>
              <w:left w:val="nil"/>
              <w:bottom w:val="nil"/>
              <w:right w:val="nil"/>
            </w:tcBorders>
            <w:shd w:val="clear" w:color="000000" w:fill="BFBFBF"/>
            <w:noWrap/>
            <w:vAlign w:val="center"/>
            <w:hideMark/>
          </w:tcPr>
          <w:p w14:paraId="1698764F" w14:textId="77777777" w:rsidR="00872F0C" w:rsidRPr="0050486B" w:rsidRDefault="00872F0C" w:rsidP="00872F0C">
            <w:pPr>
              <w:spacing w:after="0" w:line="240" w:lineRule="auto"/>
              <w:jc w:val="right"/>
              <w:rPr>
                <w:i/>
                <w:iCs/>
                <w:color w:val="000000"/>
                <w:sz w:val="18"/>
                <w:szCs w:val="18"/>
                <w:lang w:eastAsia="sk-SK"/>
              </w:rPr>
            </w:pPr>
            <w:r w:rsidRPr="0050486B">
              <w:rPr>
                <w:i/>
                <w:iCs/>
                <w:color w:val="000000"/>
                <w:sz w:val="18"/>
                <w:szCs w:val="18"/>
                <w:lang w:eastAsia="sk-SK"/>
              </w:rPr>
              <w:t>713 871</w:t>
            </w:r>
          </w:p>
        </w:tc>
        <w:tc>
          <w:tcPr>
            <w:tcW w:w="813" w:type="dxa"/>
            <w:tcBorders>
              <w:top w:val="nil"/>
              <w:left w:val="nil"/>
              <w:bottom w:val="nil"/>
              <w:right w:val="nil"/>
            </w:tcBorders>
            <w:shd w:val="clear" w:color="auto" w:fill="auto"/>
            <w:noWrap/>
            <w:vAlign w:val="center"/>
            <w:hideMark/>
          </w:tcPr>
          <w:p w14:paraId="71FF750F"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-187 979</w:t>
            </w:r>
          </w:p>
        </w:tc>
        <w:tc>
          <w:tcPr>
            <w:tcW w:w="635" w:type="dxa"/>
            <w:tcBorders>
              <w:top w:val="nil"/>
              <w:left w:val="nil"/>
              <w:bottom w:val="nil"/>
              <w:right w:val="nil"/>
            </w:tcBorders>
            <w:shd w:val="clear" w:color="auto" w:fill="auto"/>
            <w:noWrap/>
            <w:vAlign w:val="center"/>
            <w:hideMark/>
          </w:tcPr>
          <w:p w14:paraId="703AC1C6"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-20,8</w:t>
            </w:r>
          </w:p>
        </w:tc>
      </w:tr>
      <w:tr w:rsidR="00872F0C" w:rsidRPr="0050486B" w14:paraId="51634696" w14:textId="77777777" w:rsidTr="006B23F4">
        <w:trPr>
          <w:trHeight w:val="64"/>
        </w:trPr>
        <w:tc>
          <w:tcPr>
            <w:tcW w:w="3492" w:type="dxa"/>
            <w:tcBorders>
              <w:top w:val="nil"/>
              <w:left w:val="nil"/>
              <w:bottom w:val="nil"/>
              <w:right w:val="nil"/>
            </w:tcBorders>
            <w:shd w:val="clear" w:color="auto" w:fill="auto"/>
            <w:vAlign w:val="center"/>
            <w:hideMark/>
          </w:tcPr>
          <w:p w14:paraId="19D98A2D" w14:textId="77777777" w:rsidR="00872F0C" w:rsidRPr="0050486B" w:rsidRDefault="00872F0C" w:rsidP="00872F0C">
            <w:pPr>
              <w:spacing w:after="0" w:line="240" w:lineRule="auto"/>
              <w:jc w:val="left"/>
              <w:rPr>
                <w:i/>
                <w:iCs/>
                <w:color w:val="000000"/>
                <w:sz w:val="18"/>
                <w:szCs w:val="18"/>
                <w:lang w:eastAsia="sk-SK"/>
              </w:rPr>
            </w:pPr>
            <w:r w:rsidRPr="0050486B">
              <w:rPr>
                <w:i/>
                <w:iCs/>
                <w:color w:val="000000"/>
                <w:sz w:val="18"/>
                <w:szCs w:val="18"/>
                <w:lang w:eastAsia="sk-SK"/>
              </w:rPr>
              <w:t>do zahraničia</w:t>
            </w:r>
          </w:p>
        </w:tc>
        <w:tc>
          <w:tcPr>
            <w:tcW w:w="983" w:type="dxa"/>
            <w:tcBorders>
              <w:top w:val="nil"/>
              <w:left w:val="nil"/>
              <w:bottom w:val="nil"/>
              <w:right w:val="nil"/>
            </w:tcBorders>
            <w:shd w:val="clear" w:color="auto" w:fill="auto"/>
            <w:noWrap/>
            <w:vAlign w:val="center"/>
            <w:hideMark/>
          </w:tcPr>
          <w:p w14:paraId="4996A2BC" w14:textId="77777777" w:rsidR="00872F0C" w:rsidRPr="0050486B" w:rsidRDefault="00872F0C" w:rsidP="00872F0C">
            <w:pPr>
              <w:spacing w:after="0" w:line="240" w:lineRule="auto"/>
              <w:jc w:val="right"/>
              <w:rPr>
                <w:i/>
                <w:iCs/>
                <w:color w:val="000000"/>
                <w:sz w:val="18"/>
                <w:szCs w:val="18"/>
                <w:lang w:eastAsia="sk-SK"/>
              </w:rPr>
            </w:pPr>
            <w:r w:rsidRPr="0050486B">
              <w:rPr>
                <w:i/>
                <w:iCs/>
                <w:color w:val="000000"/>
                <w:sz w:val="18"/>
                <w:szCs w:val="18"/>
                <w:lang w:eastAsia="sk-SK"/>
              </w:rPr>
              <w:t>711 585</w:t>
            </w:r>
          </w:p>
        </w:tc>
        <w:tc>
          <w:tcPr>
            <w:tcW w:w="983" w:type="dxa"/>
            <w:tcBorders>
              <w:top w:val="nil"/>
              <w:left w:val="nil"/>
              <w:bottom w:val="nil"/>
              <w:right w:val="nil"/>
            </w:tcBorders>
            <w:shd w:val="clear" w:color="auto" w:fill="auto"/>
            <w:noWrap/>
            <w:vAlign w:val="center"/>
            <w:hideMark/>
          </w:tcPr>
          <w:p w14:paraId="32EDDD97" w14:textId="77777777" w:rsidR="00872F0C" w:rsidRPr="0050486B" w:rsidRDefault="00872F0C" w:rsidP="00872F0C">
            <w:pPr>
              <w:spacing w:after="0" w:line="240" w:lineRule="auto"/>
              <w:jc w:val="right"/>
              <w:rPr>
                <w:i/>
                <w:iCs/>
                <w:color w:val="000000"/>
                <w:sz w:val="18"/>
                <w:szCs w:val="18"/>
                <w:lang w:eastAsia="sk-SK"/>
              </w:rPr>
            </w:pPr>
            <w:r w:rsidRPr="0050486B">
              <w:rPr>
                <w:i/>
                <w:iCs/>
                <w:color w:val="000000"/>
                <w:sz w:val="18"/>
                <w:szCs w:val="18"/>
                <w:lang w:eastAsia="sk-SK"/>
              </w:rPr>
              <w:t>711 358</w:t>
            </w:r>
          </w:p>
        </w:tc>
        <w:tc>
          <w:tcPr>
            <w:tcW w:w="983" w:type="dxa"/>
            <w:tcBorders>
              <w:top w:val="nil"/>
              <w:left w:val="nil"/>
              <w:bottom w:val="nil"/>
              <w:right w:val="nil"/>
            </w:tcBorders>
            <w:shd w:val="clear" w:color="auto" w:fill="auto"/>
            <w:noWrap/>
            <w:vAlign w:val="center"/>
            <w:hideMark/>
          </w:tcPr>
          <w:p w14:paraId="6A5AB4C8" w14:textId="77777777" w:rsidR="00872F0C" w:rsidRPr="0050486B" w:rsidRDefault="00872F0C" w:rsidP="00872F0C">
            <w:pPr>
              <w:spacing w:after="0" w:line="240" w:lineRule="auto"/>
              <w:jc w:val="right"/>
              <w:rPr>
                <w:i/>
                <w:iCs/>
                <w:color w:val="000000"/>
                <w:sz w:val="18"/>
                <w:szCs w:val="18"/>
                <w:lang w:eastAsia="sk-SK"/>
              </w:rPr>
            </w:pPr>
            <w:r w:rsidRPr="0050486B">
              <w:rPr>
                <w:i/>
                <w:iCs/>
                <w:color w:val="000000"/>
                <w:sz w:val="18"/>
                <w:szCs w:val="18"/>
                <w:lang w:eastAsia="sk-SK"/>
              </w:rPr>
              <w:t>850 103</w:t>
            </w:r>
          </w:p>
        </w:tc>
        <w:tc>
          <w:tcPr>
            <w:tcW w:w="1071" w:type="dxa"/>
            <w:tcBorders>
              <w:top w:val="nil"/>
              <w:left w:val="nil"/>
              <w:bottom w:val="nil"/>
              <w:right w:val="nil"/>
            </w:tcBorders>
            <w:shd w:val="clear" w:color="000000" w:fill="BFBFBF"/>
            <w:noWrap/>
            <w:vAlign w:val="center"/>
            <w:hideMark/>
          </w:tcPr>
          <w:p w14:paraId="34D64F13" w14:textId="77777777" w:rsidR="00872F0C" w:rsidRPr="0050486B" w:rsidRDefault="00872F0C" w:rsidP="00872F0C">
            <w:pPr>
              <w:spacing w:after="0" w:line="240" w:lineRule="auto"/>
              <w:jc w:val="right"/>
              <w:rPr>
                <w:i/>
                <w:iCs/>
                <w:color w:val="000000"/>
                <w:sz w:val="18"/>
                <w:szCs w:val="18"/>
                <w:lang w:eastAsia="sk-SK"/>
              </w:rPr>
            </w:pPr>
            <w:r w:rsidRPr="0050486B">
              <w:rPr>
                <w:i/>
                <w:iCs/>
                <w:color w:val="000000"/>
                <w:sz w:val="18"/>
                <w:szCs w:val="18"/>
                <w:lang w:eastAsia="sk-SK"/>
              </w:rPr>
              <w:t>824 498</w:t>
            </w:r>
          </w:p>
        </w:tc>
        <w:tc>
          <w:tcPr>
            <w:tcW w:w="813" w:type="dxa"/>
            <w:tcBorders>
              <w:top w:val="nil"/>
              <w:left w:val="nil"/>
              <w:bottom w:val="nil"/>
              <w:right w:val="nil"/>
            </w:tcBorders>
            <w:shd w:val="clear" w:color="auto" w:fill="auto"/>
            <w:noWrap/>
            <w:vAlign w:val="center"/>
            <w:hideMark/>
          </w:tcPr>
          <w:p w14:paraId="1CA44D64"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-25 605</w:t>
            </w:r>
          </w:p>
        </w:tc>
        <w:tc>
          <w:tcPr>
            <w:tcW w:w="635" w:type="dxa"/>
            <w:tcBorders>
              <w:top w:val="nil"/>
              <w:left w:val="nil"/>
              <w:bottom w:val="nil"/>
              <w:right w:val="nil"/>
            </w:tcBorders>
            <w:shd w:val="clear" w:color="auto" w:fill="auto"/>
            <w:noWrap/>
            <w:vAlign w:val="center"/>
            <w:hideMark/>
          </w:tcPr>
          <w:p w14:paraId="6639C5B9"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-3,0</w:t>
            </w:r>
          </w:p>
        </w:tc>
      </w:tr>
      <w:tr w:rsidR="00872F0C" w:rsidRPr="0050486B" w14:paraId="1F4A2084" w14:textId="77777777" w:rsidTr="006B23F4">
        <w:trPr>
          <w:trHeight w:val="300"/>
        </w:trPr>
        <w:tc>
          <w:tcPr>
            <w:tcW w:w="3492" w:type="dxa"/>
            <w:tcBorders>
              <w:top w:val="nil"/>
              <w:left w:val="nil"/>
              <w:bottom w:val="single" w:sz="8" w:space="0" w:color="auto"/>
              <w:right w:val="nil"/>
            </w:tcBorders>
            <w:shd w:val="clear" w:color="auto" w:fill="auto"/>
            <w:vAlign w:val="center"/>
            <w:hideMark/>
          </w:tcPr>
          <w:p w14:paraId="6897D669" w14:textId="77777777" w:rsidR="00872F0C" w:rsidRPr="0050486B" w:rsidRDefault="00872F0C" w:rsidP="00872F0C">
            <w:pPr>
              <w:spacing w:after="0" w:line="240" w:lineRule="auto"/>
              <w:jc w:val="left"/>
              <w:rPr>
                <w:color w:val="000000"/>
                <w:sz w:val="18"/>
                <w:szCs w:val="18"/>
                <w:lang w:eastAsia="sk-SK"/>
              </w:rPr>
            </w:pPr>
            <w:r w:rsidRPr="0050486B">
              <w:rPr>
                <w:color w:val="000000"/>
                <w:sz w:val="18"/>
                <w:szCs w:val="18"/>
                <w:lang w:eastAsia="sk-SK"/>
              </w:rPr>
              <w:t>Splácanie úrokov a platby súvisiace s úverom</w:t>
            </w:r>
          </w:p>
        </w:tc>
        <w:tc>
          <w:tcPr>
            <w:tcW w:w="983" w:type="dxa"/>
            <w:tcBorders>
              <w:top w:val="nil"/>
              <w:left w:val="nil"/>
              <w:bottom w:val="single" w:sz="8" w:space="0" w:color="auto"/>
              <w:right w:val="nil"/>
            </w:tcBorders>
            <w:shd w:val="clear" w:color="auto" w:fill="auto"/>
            <w:noWrap/>
            <w:vAlign w:val="center"/>
            <w:hideMark/>
          </w:tcPr>
          <w:p w14:paraId="240965E5"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270</w:t>
            </w:r>
          </w:p>
        </w:tc>
        <w:tc>
          <w:tcPr>
            <w:tcW w:w="983" w:type="dxa"/>
            <w:tcBorders>
              <w:top w:val="nil"/>
              <w:left w:val="nil"/>
              <w:bottom w:val="single" w:sz="8" w:space="0" w:color="auto"/>
              <w:right w:val="nil"/>
            </w:tcBorders>
            <w:shd w:val="clear" w:color="auto" w:fill="auto"/>
            <w:noWrap/>
            <w:vAlign w:val="center"/>
            <w:hideMark/>
          </w:tcPr>
          <w:p w14:paraId="1796BD50"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270</w:t>
            </w:r>
          </w:p>
        </w:tc>
        <w:tc>
          <w:tcPr>
            <w:tcW w:w="983" w:type="dxa"/>
            <w:tcBorders>
              <w:top w:val="nil"/>
              <w:left w:val="nil"/>
              <w:bottom w:val="single" w:sz="8" w:space="0" w:color="auto"/>
              <w:right w:val="nil"/>
            </w:tcBorders>
            <w:shd w:val="clear" w:color="auto" w:fill="auto"/>
            <w:noWrap/>
            <w:vAlign w:val="center"/>
            <w:hideMark/>
          </w:tcPr>
          <w:p w14:paraId="0CE9659B"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270</w:t>
            </w:r>
          </w:p>
        </w:tc>
        <w:tc>
          <w:tcPr>
            <w:tcW w:w="1071" w:type="dxa"/>
            <w:tcBorders>
              <w:top w:val="nil"/>
              <w:left w:val="nil"/>
              <w:bottom w:val="single" w:sz="8" w:space="0" w:color="auto"/>
              <w:right w:val="nil"/>
            </w:tcBorders>
            <w:shd w:val="clear" w:color="000000" w:fill="BFBFBF"/>
            <w:noWrap/>
            <w:vAlign w:val="center"/>
            <w:hideMark/>
          </w:tcPr>
          <w:p w14:paraId="70EB9FFB"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270</w:t>
            </w:r>
          </w:p>
        </w:tc>
        <w:tc>
          <w:tcPr>
            <w:tcW w:w="813" w:type="dxa"/>
            <w:tcBorders>
              <w:top w:val="nil"/>
              <w:left w:val="nil"/>
              <w:bottom w:val="single" w:sz="8" w:space="0" w:color="auto"/>
              <w:right w:val="nil"/>
            </w:tcBorders>
            <w:shd w:val="clear" w:color="auto" w:fill="auto"/>
            <w:noWrap/>
            <w:vAlign w:val="center"/>
            <w:hideMark/>
          </w:tcPr>
          <w:p w14:paraId="1A6554A0"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0</w:t>
            </w:r>
          </w:p>
        </w:tc>
        <w:tc>
          <w:tcPr>
            <w:tcW w:w="635" w:type="dxa"/>
            <w:tcBorders>
              <w:top w:val="nil"/>
              <w:left w:val="nil"/>
              <w:bottom w:val="single" w:sz="8" w:space="0" w:color="auto"/>
              <w:right w:val="nil"/>
            </w:tcBorders>
            <w:shd w:val="clear" w:color="auto" w:fill="auto"/>
            <w:noWrap/>
            <w:vAlign w:val="center"/>
            <w:hideMark/>
          </w:tcPr>
          <w:p w14:paraId="3C6C3C17"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0,0</w:t>
            </w:r>
          </w:p>
        </w:tc>
      </w:tr>
      <w:tr w:rsidR="00872F0C" w:rsidRPr="0050486B" w14:paraId="2E58A6CD" w14:textId="77777777" w:rsidTr="006B23F4">
        <w:trPr>
          <w:trHeight w:val="345"/>
        </w:trPr>
        <w:tc>
          <w:tcPr>
            <w:tcW w:w="3492" w:type="dxa"/>
            <w:tcBorders>
              <w:top w:val="nil"/>
              <w:left w:val="nil"/>
              <w:bottom w:val="single" w:sz="8" w:space="0" w:color="auto"/>
              <w:right w:val="nil"/>
            </w:tcBorders>
            <w:shd w:val="clear" w:color="auto" w:fill="auto"/>
            <w:vAlign w:val="center"/>
            <w:hideMark/>
          </w:tcPr>
          <w:p w14:paraId="79CE197A" w14:textId="77777777" w:rsidR="00872F0C" w:rsidRPr="0050486B" w:rsidRDefault="00872F0C" w:rsidP="00872F0C">
            <w:pPr>
              <w:spacing w:after="0" w:line="240" w:lineRule="auto"/>
              <w:jc w:val="left"/>
              <w:rPr>
                <w:b/>
                <w:bCs/>
                <w:color w:val="000000"/>
                <w:sz w:val="18"/>
                <w:szCs w:val="18"/>
                <w:lang w:eastAsia="sk-SK"/>
              </w:rPr>
            </w:pPr>
            <w:r w:rsidRPr="0050486B">
              <w:rPr>
                <w:b/>
                <w:bCs/>
                <w:color w:val="000000"/>
                <w:sz w:val="18"/>
                <w:szCs w:val="18"/>
                <w:lang w:eastAsia="sk-SK"/>
              </w:rPr>
              <w:t>Spolu</w:t>
            </w:r>
          </w:p>
        </w:tc>
        <w:tc>
          <w:tcPr>
            <w:tcW w:w="983" w:type="dxa"/>
            <w:tcBorders>
              <w:top w:val="nil"/>
              <w:left w:val="nil"/>
              <w:bottom w:val="single" w:sz="8" w:space="0" w:color="auto"/>
              <w:right w:val="nil"/>
            </w:tcBorders>
            <w:shd w:val="clear" w:color="auto" w:fill="auto"/>
            <w:noWrap/>
            <w:vAlign w:val="center"/>
            <w:hideMark/>
          </w:tcPr>
          <w:p w14:paraId="72B45FFE" w14:textId="77777777" w:rsidR="00872F0C" w:rsidRPr="0050486B" w:rsidRDefault="00872F0C" w:rsidP="00872F0C">
            <w:pPr>
              <w:spacing w:after="0" w:line="240" w:lineRule="auto"/>
              <w:jc w:val="right"/>
              <w:rPr>
                <w:b/>
                <w:bCs/>
                <w:color w:val="000000"/>
                <w:sz w:val="18"/>
                <w:szCs w:val="18"/>
                <w:lang w:eastAsia="sk-SK"/>
              </w:rPr>
            </w:pPr>
            <w:r w:rsidRPr="0050486B">
              <w:rPr>
                <w:b/>
                <w:bCs/>
                <w:color w:val="000000"/>
                <w:sz w:val="18"/>
                <w:szCs w:val="18"/>
                <w:lang w:eastAsia="sk-SK"/>
              </w:rPr>
              <w:t>13 353 916</w:t>
            </w:r>
          </w:p>
        </w:tc>
        <w:tc>
          <w:tcPr>
            <w:tcW w:w="983" w:type="dxa"/>
            <w:tcBorders>
              <w:top w:val="nil"/>
              <w:left w:val="nil"/>
              <w:bottom w:val="single" w:sz="8" w:space="0" w:color="auto"/>
              <w:right w:val="nil"/>
            </w:tcBorders>
            <w:shd w:val="clear" w:color="auto" w:fill="auto"/>
            <w:noWrap/>
            <w:vAlign w:val="center"/>
            <w:hideMark/>
          </w:tcPr>
          <w:p w14:paraId="0CD38B16" w14:textId="77777777" w:rsidR="00872F0C" w:rsidRPr="0050486B" w:rsidRDefault="00872F0C" w:rsidP="00872F0C">
            <w:pPr>
              <w:spacing w:after="0" w:line="240" w:lineRule="auto"/>
              <w:jc w:val="right"/>
              <w:rPr>
                <w:b/>
                <w:bCs/>
                <w:color w:val="000000"/>
                <w:sz w:val="18"/>
                <w:szCs w:val="18"/>
                <w:lang w:eastAsia="sk-SK"/>
              </w:rPr>
            </w:pPr>
            <w:r w:rsidRPr="0050486B">
              <w:rPr>
                <w:b/>
                <w:bCs/>
                <w:color w:val="000000"/>
                <w:sz w:val="18"/>
                <w:szCs w:val="18"/>
                <w:lang w:eastAsia="sk-SK"/>
              </w:rPr>
              <w:t>13 681 468</w:t>
            </w:r>
          </w:p>
        </w:tc>
        <w:tc>
          <w:tcPr>
            <w:tcW w:w="983" w:type="dxa"/>
            <w:tcBorders>
              <w:top w:val="nil"/>
              <w:left w:val="nil"/>
              <w:bottom w:val="single" w:sz="8" w:space="0" w:color="auto"/>
              <w:right w:val="nil"/>
            </w:tcBorders>
            <w:shd w:val="clear" w:color="auto" w:fill="auto"/>
            <w:noWrap/>
            <w:vAlign w:val="center"/>
            <w:hideMark/>
          </w:tcPr>
          <w:p w14:paraId="2A8B8F8E" w14:textId="77777777" w:rsidR="00872F0C" w:rsidRPr="0050486B" w:rsidRDefault="00872F0C" w:rsidP="00872F0C">
            <w:pPr>
              <w:spacing w:after="0" w:line="240" w:lineRule="auto"/>
              <w:jc w:val="right"/>
              <w:rPr>
                <w:b/>
                <w:bCs/>
                <w:color w:val="000000"/>
                <w:sz w:val="18"/>
                <w:szCs w:val="18"/>
                <w:lang w:eastAsia="sk-SK"/>
              </w:rPr>
            </w:pPr>
            <w:r w:rsidRPr="0050486B">
              <w:rPr>
                <w:b/>
                <w:bCs/>
                <w:color w:val="000000"/>
                <w:sz w:val="18"/>
                <w:szCs w:val="18"/>
                <w:lang w:eastAsia="sk-SK"/>
              </w:rPr>
              <w:t>14 624 299</w:t>
            </w:r>
          </w:p>
        </w:tc>
        <w:tc>
          <w:tcPr>
            <w:tcW w:w="1071" w:type="dxa"/>
            <w:tcBorders>
              <w:top w:val="nil"/>
              <w:left w:val="nil"/>
              <w:bottom w:val="single" w:sz="8" w:space="0" w:color="auto"/>
              <w:right w:val="nil"/>
            </w:tcBorders>
            <w:shd w:val="clear" w:color="000000" w:fill="BFBFBF"/>
            <w:noWrap/>
            <w:vAlign w:val="center"/>
            <w:hideMark/>
          </w:tcPr>
          <w:p w14:paraId="470EF5C7" w14:textId="77777777" w:rsidR="00872F0C" w:rsidRPr="0050486B" w:rsidRDefault="00872F0C" w:rsidP="00872F0C">
            <w:pPr>
              <w:spacing w:after="0" w:line="240" w:lineRule="auto"/>
              <w:jc w:val="right"/>
              <w:rPr>
                <w:b/>
                <w:bCs/>
                <w:color w:val="000000"/>
                <w:sz w:val="18"/>
                <w:szCs w:val="18"/>
                <w:lang w:eastAsia="sk-SK"/>
              </w:rPr>
            </w:pPr>
            <w:r w:rsidRPr="0050486B">
              <w:rPr>
                <w:b/>
                <w:bCs/>
                <w:color w:val="000000"/>
                <w:sz w:val="18"/>
                <w:szCs w:val="18"/>
                <w:lang w:eastAsia="sk-SK"/>
              </w:rPr>
              <w:t>14 160 931</w:t>
            </w:r>
          </w:p>
        </w:tc>
        <w:tc>
          <w:tcPr>
            <w:tcW w:w="813" w:type="dxa"/>
            <w:tcBorders>
              <w:top w:val="nil"/>
              <w:left w:val="nil"/>
              <w:bottom w:val="single" w:sz="8" w:space="0" w:color="auto"/>
              <w:right w:val="nil"/>
            </w:tcBorders>
            <w:shd w:val="clear" w:color="auto" w:fill="auto"/>
            <w:noWrap/>
            <w:vAlign w:val="center"/>
            <w:hideMark/>
          </w:tcPr>
          <w:p w14:paraId="23F7C02A" w14:textId="77777777" w:rsidR="00872F0C" w:rsidRPr="0050486B" w:rsidRDefault="00872F0C" w:rsidP="00872F0C">
            <w:pPr>
              <w:spacing w:after="0" w:line="240" w:lineRule="auto"/>
              <w:jc w:val="right"/>
              <w:rPr>
                <w:b/>
                <w:bCs/>
                <w:color w:val="000000"/>
                <w:sz w:val="18"/>
                <w:szCs w:val="18"/>
                <w:lang w:eastAsia="sk-SK"/>
              </w:rPr>
            </w:pPr>
            <w:r w:rsidRPr="0050486B">
              <w:rPr>
                <w:b/>
                <w:bCs/>
                <w:color w:val="000000"/>
                <w:sz w:val="18"/>
                <w:szCs w:val="18"/>
                <w:lang w:eastAsia="sk-SK"/>
              </w:rPr>
              <w:t>-463 368</w:t>
            </w:r>
          </w:p>
        </w:tc>
        <w:tc>
          <w:tcPr>
            <w:tcW w:w="635" w:type="dxa"/>
            <w:tcBorders>
              <w:top w:val="nil"/>
              <w:left w:val="nil"/>
              <w:bottom w:val="single" w:sz="8" w:space="0" w:color="auto"/>
              <w:right w:val="nil"/>
            </w:tcBorders>
            <w:shd w:val="clear" w:color="auto" w:fill="auto"/>
            <w:noWrap/>
            <w:vAlign w:val="center"/>
            <w:hideMark/>
          </w:tcPr>
          <w:p w14:paraId="7293E22C" w14:textId="77777777" w:rsidR="00872F0C" w:rsidRPr="0050486B" w:rsidRDefault="00872F0C" w:rsidP="00872F0C">
            <w:pPr>
              <w:spacing w:after="0" w:line="240" w:lineRule="auto"/>
              <w:jc w:val="right"/>
              <w:rPr>
                <w:b/>
                <w:bCs/>
                <w:color w:val="000000"/>
                <w:sz w:val="18"/>
                <w:szCs w:val="18"/>
                <w:lang w:eastAsia="sk-SK"/>
              </w:rPr>
            </w:pPr>
            <w:r w:rsidRPr="0050486B">
              <w:rPr>
                <w:b/>
                <w:bCs/>
                <w:color w:val="000000"/>
                <w:sz w:val="18"/>
                <w:szCs w:val="18"/>
                <w:lang w:eastAsia="sk-SK"/>
              </w:rPr>
              <w:t>-3,2</w:t>
            </w:r>
          </w:p>
        </w:tc>
      </w:tr>
    </w:tbl>
    <w:p w14:paraId="1A03C0D8" w14:textId="77777777" w:rsidR="00872F0C" w:rsidRPr="000200A6" w:rsidRDefault="00872F0C" w:rsidP="00872F0C">
      <w:pPr>
        <w:spacing w:after="200" w:line="276" w:lineRule="auto"/>
        <w:jc w:val="right"/>
      </w:pPr>
      <w:r w:rsidRPr="000200A6">
        <w:rPr>
          <w:sz w:val="18"/>
          <w:szCs w:val="18"/>
        </w:rPr>
        <w:t>Zdroj: MF SR</w:t>
      </w:r>
    </w:p>
    <w:p w14:paraId="1D09E50E" w14:textId="77777777" w:rsidR="00872F0C" w:rsidRPr="000200A6" w:rsidRDefault="00872F0C" w:rsidP="00872F0C">
      <w:r w:rsidRPr="000200A6">
        <w:rPr>
          <w:b/>
        </w:rPr>
        <w:t>Výdavky na mzdy, platy, služobné príjmy a ostatné osobné vyrovnania</w:t>
      </w:r>
    </w:p>
    <w:p w14:paraId="1FA5019C" w14:textId="65A73ACA" w:rsidR="00872F0C" w:rsidRPr="00A265D6" w:rsidRDefault="00872F0C" w:rsidP="00872F0C">
      <w:r w:rsidRPr="008A6AD1">
        <w:t>Zákon o štátnom rozpočte na rok 201</w:t>
      </w:r>
      <w:r>
        <w:t>8</w:t>
      </w:r>
      <w:r w:rsidRPr="008A6AD1">
        <w:t xml:space="preserve"> stanovil pre zamestnancov rozpočtových organizácií kapitol štátneho rozpočtu </w:t>
      </w:r>
      <w:r w:rsidRPr="008A6AD1">
        <w:rPr>
          <w:b/>
        </w:rPr>
        <w:t xml:space="preserve">limit výdavkov na mzdy, platy, služobné príjmy a ostatné osobné </w:t>
      </w:r>
      <w:r w:rsidRPr="00A265D6">
        <w:rPr>
          <w:b/>
        </w:rPr>
        <w:t>vyrovnania</w:t>
      </w:r>
      <w:r w:rsidR="00834371" w:rsidRPr="00A265D6">
        <w:rPr>
          <w:b/>
        </w:rPr>
        <w:t xml:space="preserve"> (O</w:t>
      </w:r>
      <w:r w:rsidR="008E3B15" w:rsidRPr="00A265D6">
        <w:rPr>
          <w:b/>
        </w:rPr>
        <w:t>O</w:t>
      </w:r>
      <w:r w:rsidR="00834371" w:rsidRPr="00A265D6">
        <w:rPr>
          <w:b/>
        </w:rPr>
        <w:t>V)</w:t>
      </w:r>
      <w:r w:rsidRPr="00A265D6">
        <w:t xml:space="preserve"> ako záväzný ukazovateľ </w:t>
      </w:r>
      <w:r w:rsidRPr="00A265D6">
        <w:rPr>
          <w:b/>
        </w:rPr>
        <w:t xml:space="preserve">z kódu 111 </w:t>
      </w:r>
      <w:r w:rsidRPr="00A265D6">
        <w:t>(zdroj štátneho rozpočtu)</w:t>
      </w:r>
      <w:r w:rsidR="00621823" w:rsidRPr="00A265D6">
        <w:t xml:space="preserve"> a 11H (transfery od ostatných subjektov verejnej správy) v úhrnnej</w:t>
      </w:r>
      <w:r w:rsidRPr="00A265D6">
        <w:t xml:space="preserve"> sume </w:t>
      </w:r>
      <w:r w:rsidR="00BF5D19" w:rsidRPr="00A265D6">
        <w:t>1 953 </w:t>
      </w:r>
      <w:r w:rsidRPr="00A265D6">
        <w:t>532 tis. eur. V priebehu roka bol rozpočet výdavkov na</w:t>
      </w:r>
      <w:r w:rsidR="00D351AB" w:rsidRPr="00A265D6">
        <w:t xml:space="preserve"> mzdy, platy, služobné príjmy a </w:t>
      </w:r>
      <w:r w:rsidRPr="00A265D6">
        <w:t xml:space="preserve">OOV na zdroji 111 zvýšený </w:t>
      </w:r>
      <w:r w:rsidR="00834371" w:rsidRPr="00A265D6">
        <w:t>o 11 903 tis. eur a celkovo sa</w:t>
      </w:r>
      <w:r w:rsidR="00D351AB" w:rsidRPr="00A265D6">
        <w:t xml:space="preserve"> </w:t>
      </w:r>
      <w:r w:rsidRPr="00A265D6">
        <w:t>vyčerpal</w:t>
      </w:r>
      <w:r w:rsidR="00D351AB" w:rsidRPr="00A265D6">
        <w:t>o 1 965 143 tis. </w:t>
      </w:r>
      <w:r w:rsidRPr="00A265D6">
        <w:t xml:space="preserve">eur. Okrem zdroja 111 boli výdavky na mzdy, platy, služobné príjmy a OOV upravené </w:t>
      </w:r>
      <w:r w:rsidR="00850506" w:rsidRPr="00A265D6">
        <w:t xml:space="preserve">z iných </w:t>
      </w:r>
      <w:r w:rsidR="00D351AB" w:rsidRPr="00A265D6">
        <w:t>zdroj</w:t>
      </w:r>
      <w:r w:rsidR="00331568" w:rsidRPr="00A265D6">
        <w:t>ov úhrnom o 129 </w:t>
      </w:r>
      <w:r w:rsidR="00850506" w:rsidRPr="00A265D6">
        <w:t>t</w:t>
      </w:r>
      <w:r w:rsidR="00331568" w:rsidRPr="00A265D6">
        <w:t>is. </w:t>
      </w:r>
      <w:r w:rsidR="00850506" w:rsidRPr="00A265D6">
        <w:t>eur</w:t>
      </w:r>
      <w:r w:rsidR="00331568" w:rsidRPr="00A265D6">
        <w:t>.</w:t>
      </w:r>
      <w:r w:rsidR="00D351AB" w:rsidRPr="00A265D6">
        <w:t xml:space="preserve"> </w:t>
      </w:r>
      <w:r w:rsidRPr="00A265D6">
        <w:t xml:space="preserve">Z upraveného limitu výdavkov na mzdy a platy na </w:t>
      </w:r>
      <w:r w:rsidR="00850506" w:rsidRPr="00A265D6">
        <w:t xml:space="preserve">všetkých </w:t>
      </w:r>
      <w:r w:rsidRPr="00A265D6">
        <w:t xml:space="preserve">zdrojoch </w:t>
      </w:r>
      <w:r w:rsidR="00D351AB" w:rsidRPr="00A265D6">
        <w:t>na úrovni 1 965 564 </w:t>
      </w:r>
      <w:r w:rsidRPr="00A265D6">
        <w:t xml:space="preserve">tis. eur sa skutočne použilo 1 965 272 tis. eur. </w:t>
      </w:r>
    </w:p>
    <w:p w14:paraId="316076E3" w14:textId="2EE6F5BC" w:rsidR="00400A6C" w:rsidRPr="00A265D6" w:rsidRDefault="00872F0C" w:rsidP="00872F0C">
      <w:pPr>
        <w:rPr>
          <w:lang w:eastAsia="sk-SK"/>
        </w:rPr>
      </w:pPr>
      <w:r w:rsidRPr="00A265D6">
        <w:rPr>
          <w:b/>
          <w:lang w:eastAsia="sk-SK"/>
        </w:rPr>
        <w:t>V skutočnosti bolo na</w:t>
      </w:r>
      <w:r w:rsidRPr="00A265D6">
        <w:rPr>
          <w:lang w:eastAsia="sk-SK"/>
        </w:rPr>
        <w:t xml:space="preserve"> </w:t>
      </w:r>
      <w:r w:rsidRPr="00A265D6">
        <w:rPr>
          <w:b/>
          <w:lang w:eastAsia="sk-SK"/>
        </w:rPr>
        <w:t>mzdy, platy, služobné príjmy a </w:t>
      </w:r>
      <w:r w:rsidR="00444209" w:rsidRPr="00A265D6">
        <w:rPr>
          <w:b/>
          <w:lang w:eastAsia="sk-SK"/>
        </w:rPr>
        <w:t xml:space="preserve">OOV </w:t>
      </w:r>
      <w:r w:rsidRPr="00A265D6">
        <w:rPr>
          <w:b/>
          <w:lang w:eastAsia="sk-SK"/>
        </w:rPr>
        <w:t>zamestnancov rozpočtových organizácií kapitol štátneho rozpočtu za všetky zdroje vynaložených 2 026 060 tis. eur, čo je o 157 011 tis. eur viac než v roku 2017.</w:t>
      </w:r>
    </w:p>
    <w:p w14:paraId="3EDD4908" w14:textId="100B6686" w:rsidR="00872F0C" w:rsidRDefault="00872F0C" w:rsidP="00872F0C">
      <w:pPr>
        <w:rPr>
          <w:lang w:eastAsia="sk-SK"/>
        </w:rPr>
      </w:pPr>
      <w:r w:rsidRPr="00A265D6">
        <w:rPr>
          <w:lang w:eastAsia="sk-SK"/>
        </w:rPr>
        <w:t>Z prostriedkov štátneho rozpočtu zo zdroja 111 boli na mzdy, platy, služobné príjmy a </w:t>
      </w:r>
      <w:r w:rsidR="008E3B15" w:rsidRPr="00A265D6">
        <w:rPr>
          <w:lang w:eastAsia="sk-SK"/>
        </w:rPr>
        <w:t>OOV</w:t>
      </w:r>
      <w:r w:rsidRPr="00A265D6">
        <w:rPr>
          <w:lang w:eastAsia="sk-SK"/>
        </w:rPr>
        <w:t xml:space="preserve"> zamestnancov vyčerpané finančné prostriedky v sume 1 965 143 tis. eur. Na</w:t>
      </w:r>
      <w:r w:rsidR="00066627" w:rsidRPr="00A265D6">
        <w:rPr>
          <w:lang w:eastAsia="sk-SK"/>
        </w:rPr>
        <w:t> </w:t>
      </w:r>
      <w:r w:rsidRPr="00A265D6">
        <w:rPr>
          <w:lang w:eastAsia="sk-SK"/>
        </w:rPr>
        <w:t>zdrojoch 111,</w:t>
      </w:r>
      <w:r w:rsidR="0068494F">
        <w:rPr>
          <w:lang w:eastAsia="sk-SK"/>
        </w:rPr>
        <w:t xml:space="preserve"> 11H,</w:t>
      </w:r>
      <w:r w:rsidRPr="00A265D6">
        <w:rPr>
          <w:lang w:eastAsia="sk-SK"/>
        </w:rPr>
        <w:t xml:space="preserve"> 72g a 72h boli v súhrne vyplatené mzdy na úrovni 1 965 272 tis. eur. Z iných zdrojov ako vyššie uvedených boli vyčerpané finančné prostriedky v sume 60 788 tis</w:t>
      </w:r>
      <w:r w:rsidR="00861AB8" w:rsidRPr="00A265D6">
        <w:rPr>
          <w:lang w:eastAsia="sk-SK"/>
        </w:rPr>
        <w:t>.</w:t>
      </w:r>
      <w:r w:rsidRPr="00A265D6">
        <w:rPr>
          <w:lang w:eastAsia="sk-SK"/>
        </w:rPr>
        <w:t xml:space="preserve"> eur. V kapitolách štátneho rozpočtu bola pre 21 640 zamestnancov (17,6 % zo skutočného počtu zamestnancov za rok 2018) vyplatená odmena pri príležitosti</w:t>
      </w:r>
      <w:r w:rsidR="00BF5D19" w:rsidRPr="00A265D6">
        <w:rPr>
          <w:lang w:eastAsia="sk-SK"/>
        </w:rPr>
        <w:t xml:space="preserve"> </w:t>
      </w:r>
      <w:r w:rsidR="00DF7798" w:rsidRPr="00A265D6">
        <w:rPr>
          <w:lang w:eastAsia="sk-SK"/>
        </w:rPr>
        <w:t xml:space="preserve">obdobia </w:t>
      </w:r>
      <w:r w:rsidR="00BF5D19" w:rsidRPr="00A265D6">
        <w:rPr>
          <w:lang w:eastAsia="sk-SK"/>
        </w:rPr>
        <w:t>letn</w:t>
      </w:r>
      <w:r w:rsidR="00DF7798" w:rsidRPr="00A265D6">
        <w:rPr>
          <w:lang w:eastAsia="sk-SK"/>
        </w:rPr>
        <w:t>ých</w:t>
      </w:r>
      <w:r w:rsidR="00BF5D19" w:rsidRPr="00A265D6">
        <w:rPr>
          <w:lang w:eastAsia="sk-SK"/>
        </w:rPr>
        <w:t xml:space="preserve"> dovolen</w:t>
      </w:r>
      <w:r w:rsidR="00DF7798" w:rsidRPr="00A265D6">
        <w:rPr>
          <w:lang w:eastAsia="sk-SK"/>
        </w:rPr>
        <w:t>iek</w:t>
      </w:r>
      <w:r w:rsidR="00BF5D19" w:rsidRPr="00A265D6">
        <w:rPr>
          <w:lang w:eastAsia="sk-SK"/>
        </w:rPr>
        <w:t xml:space="preserve"> v sume 12 930 </w:t>
      </w:r>
      <w:r w:rsidRPr="00A265D6">
        <w:rPr>
          <w:lang w:eastAsia="sk-SK"/>
        </w:rPr>
        <w:t>t</w:t>
      </w:r>
      <w:r w:rsidR="00D351AB" w:rsidRPr="00A265D6">
        <w:rPr>
          <w:lang w:eastAsia="sk-SK"/>
        </w:rPr>
        <w:t>is.</w:t>
      </w:r>
      <w:r w:rsidR="00BF5D19" w:rsidRPr="00A265D6">
        <w:rPr>
          <w:lang w:eastAsia="sk-SK"/>
        </w:rPr>
        <w:t> </w:t>
      </w:r>
      <w:r w:rsidR="00D351AB" w:rsidRPr="00A265D6">
        <w:rPr>
          <w:lang w:eastAsia="sk-SK"/>
        </w:rPr>
        <w:t>eur</w:t>
      </w:r>
      <w:r w:rsidR="00755E65" w:rsidRPr="00A265D6">
        <w:rPr>
          <w:lang w:eastAsia="sk-SK"/>
        </w:rPr>
        <w:t xml:space="preserve"> (</w:t>
      </w:r>
      <w:r w:rsidR="00146229" w:rsidRPr="00A265D6">
        <w:rPr>
          <w:lang w:eastAsia="sk-SK"/>
        </w:rPr>
        <w:t xml:space="preserve">ako </w:t>
      </w:r>
      <w:r w:rsidR="00755E65" w:rsidRPr="00A265D6">
        <w:rPr>
          <w:lang w:eastAsia="sk-SK"/>
        </w:rPr>
        <w:t>13. plat v zmysle Zákonníka práce)</w:t>
      </w:r>
      <w:r w:rsidR="00D351AB" w:rsidRPr="00A265D6">
        <w:rPr>
          <w:lang w:eastAsia="sk-SK"/>
        </w:rPr>
        <w:t xml:space="preserve"> a pre 21 624 osôb (17,8 </w:t>
      </w:r>
      <w:r w:rsidRPr="00A265D6">
        <w:rPr>
          <w:lang w:eastAsia="sk-SK"/>
        </w:rPr>
        <w:t>% zo skutočného počtu zamestnancov za rok 2018) odmena pri príležitosti vianočn</w:t>
      </w:r>
      <w:r w:rsidR="00BF5D19" w:rsidRPr="00A265D6">
        <w:rPr>
          <w:lang w:eastAsia="sk-SK"/>
        </w:rPr>
        <w:t>ých sviatkov v sume 14 214 tis. </w:t>
      </w:r>
      <w:r w:rsidRPr="00A265D6">
        <w:rPr>
          <w:lang w:eastAsia="sk-SK"/>
        </w:rPr>
        <w:t>eur.</w:t>
      </w:r>
      <w:r w:rsidR="00146229" w:rsidRPr="00A265D6">
        <w:rPr>
          <w:lang w:eastAsia="sk-SK"/>
        </w:rPr>
        <w:t xml:space="preserve"> Ide o nový inštitút schválený novelou Zákonníka práce od 1.5.2018, ktorý bolo možné použiť prvý krát v júni 2018 a následne v decembri 2018 pri splnení</w:t>
      </w:r>
      <w:r w:rsidRPr="00A265D6">
        <w:rPr>
          <w:lang w:eastAsia="sk-SK"/>
        </w:rPr>
        <w:t xml:space="preserve"> </w:t>
      </w:r>
      <w:r w:rsidR="00146229" w:rsidRPr="00A265D6">
        <w:rPr>
          <w:lang w:eastAsia="sk-SK"/>
        </w:rPr>
        <w:t xml:space="preserve"> určitých podmienok s využitím niektorých daňových a odvodových zvýhodnení. </w:t>
      </w:r>
      <w:r w:rsidRPr="00A265D6">
        <w:rPr>
          <w:lang w:eastAsia="sk-SK"/>
        </w:rPr>
        <w:t>Limit výdavkov</w:t>
      </w:r>
      <w:r w:rsidRPr="00A44ED0">
        <w:rPr>
          <w:lang w:eastAsia="sk-SK"/>
        </w:rPr>
        <w:t xml:space="preserve"> na mzdy, platy, služobné príjmy a </w:t>
      </w:r>
      <w:r w:rsidR="00444209">
        <w:rPr>
          <w:lang w:eastAsia="sk-SK"/>
        </w:rPr>
        <w:t>OOV</w:t>
      </w:r>
      <w:r w:rsidR="00444209" w:rsidRPr="00A44ED0">
        <w:rPr>
          <w:lang w:eastAsia="sk-SK"/>
        </w:rPr>
        <w:t xml:space="preserve"> </w:t>
      </w:r>
      <w:r w:rsidRPr="00A44ED0">
        <w:rPr>
          <w:lang w:eastAsia="sk-SK"/>
        </w:rPr>
        <w:t xml:space="preserve">bol ako záväzný ukazovateľ na zdroji 111 a 11H dodržaný vo všetkých kapitolách štátneho rozpočtu. </w:t>
      </w:r>
    </w:p>
    <w:p w14:paraId="146A7365" w14:textId="13ECA23B" w:rsidR="00400A6C" w:rsidRPr="00A44ED0" w:rsidRDefault="00400A6C" w:rsidP="00872F0C">
      <w:pPr>
        <w:rPr>
          <w:lang w:eastAsia="sk-SK"/>
        </w:rPr>
      </w:pPr>
      <w:r w:rsidRPr="00A44ED0">
        <w:rPr>
          <w:lang w:eastAsia="sk-SK"/>
        </w:rPr>
        <w:t>Medziročný nárast výdavkov na mzdy, platy, služobné príjmy a </w:t>
      </w:r>
      <w:r w:rsidR="00444209">
        <w:rPr>
          <w:lang w:eastAsia="sk-SK"/>
        </w:rPr>
        <w:t>OOV</w:t>
      </w:r>
      <w:r w:rsidRPr="00A44ED0">
        <w:rPr>
          <w:lang w:eastAsia="sk-SK"/>
        </w:rPr>
        <w:t xml:space="preserve"> ovplyvnilo predovšetkým zvýšenie platov štátnych zamestnancov (v štátnozamestnaneckom aj služobnom pomere) a zamestnancov pri výkone práce vo verejnom záujme s výnimkou učiteľov vysokých škôl a pedagogických zamestnancov a odborných zamestnancov o 4,8 % s účinnosťou od 1. januára 2018 (70 409 tis. eur). V nadväznosti na zverejnenie priemernej mzdy v hospodárstve Slovenskej republiky </w:t>
      </w:r>
      <w:r w:rsidRPr="00A44ED0">
        <w:rPr>
          <w:color w:val="000000" w:themeColor="text1"/>
          <w:lang w:eastAsia="sk-SK"/>
        </w:rPr>
        <w:t>za rok 2017 Štatistickým úradom S</w:t>
      </w:r>
      <w:r>
        <w:rPr>
          <w:color w:val="000000" w:themeColor="text1"/>
          <w:lang w:eastAsia="sk-SK"/>
        </w:rPr>
        <w:t>R</w:t>
      </w:r>
      <w:r w:rsidRPr="00A44ED0">
        <w:rPr>
          <w:color w:val="000000" w:themeColor="text1"/>
          <w:lang w:eastAsia="sk-SK"/>
        </w:rPr>
        <w:t xml:space="preserve"> boli od 1. januára 2018 zvýšené aj platy sudcov (o 3 148 tis. eur), prokurátorov (o 1 8</w:t>
      </w:r>
      <w:r w:rsidR="00727D27">
        <w:rPr>
          <w:color w:val="000000" w:themeColor="text1"/>
          <w:lang w:eastAsia="sk-SK"/>
        </w:rPr>
        <w:t>48 tis. eur) a ústavných sudcov</w:t>
      </w:r>
      <w:r w:rsidR="00BF5D19">
        <w:rPr>
          <w:color w:val="000000" w:themeColor="text1"/>
          <w:lang w:eastAsia="sk-SK"/>
        </w:rPr>
        <w:t xml:space="preserve"> (o 60 </w:t>
      </w:r>
      <w:r w:rsidRPr="00A44ED0">
        <w:rPr>
          <w:color w:val="000000" w:themeColor="text1"/>
          <w:lang w:eastAsia="sk-SK"/>
        </w:rPr>
        <w:t xml:space="preserve">tis. eur). Úroveň </w:t>
      </w:r>
      <w:r w:rsidRPr="00A44ED0">
        <w:rPr>
          <w:lang w:eastAsia="sk-SK"/>
        </w:rPr>
        <w:t>čerpania výdavkov na mzdy a platy zamestnancov v roku 2018 ovplyvnila aj realizácia rozpočtových op</w:t>
      </w:r>
      <w:r>
        <w:rPr>
          <w:lang w:eastAsia="sk-SK"/>
        </w:rPr>
        <w:t>atrení súvisiacich napríklad so </w:t>
      </w:r>
      <w:r w:rsidRPr="00A44ED0">
        <w:rPr>
          <w:lang w:eastAsia="sk-SK"/>
        </w:rPr>
        <w:t>zabezpečením vyplatenia odmien pri</w:t>
      </w:r>
      <w:r w:rsidR="00066627">
        <w:rPr>
          <w:lang w:eastAsia="sk-SK"/>
        </w:rPr>
        <w:t> </w:t>
      </w:r>
      <w:r w:rsidRPr="00A44ED0">
        <w:rPr>
          <w:lang w:eastAsia="sk-SK"/>
        </w:rPr>
        <w:t>príležitosti letnej dovolenky a vianočných sviatkov nad rámec rozpočtovaných mzdových výdavkov v sume 11 731 tis. eur (v ka</w:t>
      </w:r>
      <w:r>
        <w:rPr>
          <w:lang w:eastAsia="sk-SK"/>
        </w:rPr>
        <w:t xml:space="preserve">pitole Ministerstva obrany SR a </w:t>
      </w:r>
      <w:r w:rsidRPr="00A44ED0">
        <w:rPr>
          <w:lang w:eastAsia="sk-SK"/>
        </w:rPr>
        <w:t>Ministerstva školstva, vedy, výskumu a športu SR), s</w:t>
      </w:r>
      <w:r>
        <w:rPr>
          <w:lang w:eastAsia="sk-SK"/>
        </w:rPr>
        <w:t>o </w:t>
      </w:r>
      <w:r w:rsidRPr="00A44ED0">
        <w:rPr>
          <w:lang w:eastAsia="sk-SK"/>
        </w:rPr>
        <w:t>zatraktívnením vojenského povolania v kapitole Ministerstva obrany SR (12 747 tis. eur), so zvýšením finančných prostriedkov na zlepšenie odmeňovania zamestnancov (13 821 tis. eur), so zabezpečením novej legislatívy (3 137 tis. eur) a tiež na</w:t>
      </w:r>
      <w:r w:rsidR="00066627">
        <w:rPr>
          <w:lang w:eastAsia="sk-SK"/>
        </w:rPr>
        <w:t> </w:t>
      </w:r>
      <w:r w:rsidRPr="00A44ED0">
        <w:rPr>
          <w:lang w:eastAsia="sk-SK"/>
        </w:rPr>
        <w:t>zabezpečenie platových náležitostí zamestnancov realizujúcich projekty, resp. zabezpečujúcich udržateľnosť projektov, ako aj platových náležitostí administratívnych kapacít, a to najmä z dôvodu časového nesúladu medzi prijatými refundáciami miezd a vyplatenými platmi zamestnancov (v sume 1 506 tis. eur). Čerpania výdavkov na mzdy, platy, služobné príjmy a OOV zamestnancov bolo okrem vyššie uvedeného zvýšenia ovplyvnené aj znížením, predovšetkým z dôvodu presunu mzdových výdavkov na zabezpečenie príspevku na bývanie v kapitole Ministerstva vnútra SR (10 723 tis. eur), zmeny formy hospodárenia rozpočtových organizácií v</w:t>
      </w:r>
      <w:r w:rsidR="00066627">
        <w:rPr>
          <w:lang w:eastAsia="sk-SK"/>
        </w:rPr>
        <w:t> </w:t>
      </w:r>
      <w:r w:rsidRPr="00A44ED0">
        <w:rPr>
          <w:lang w:eastAsia="sk-SK"/>
        </w:rPr>
        <w:t>Slovenskej akadémii vied a v Ministerstve školstva, vedy, výskum</w:t>
      </w:r>
      <w:r>
        <w:rPr>
          <w:lang w:eastAsia="sk-SK"/>
        </w:rPr>
        <w:t>u a športu SR (3 945 tis. eur).</w:t>
      </w:r>
    </w:p>
    <w:p w14:paraId="4A479A5D" w14:textId="1B957DD4" w:rsidR="00872F0C" w:rsidRPr="00A44ED0" w:rsidRDefault="00872F0C" w:rsidP="00872F0C">
      <w:pPr>
        <w:rPr>
          <w:lang w:eastAsia="sk-SK"/>
        </w:rPr>
      </w:pPr>
      <w:r w:rsidRPr="00A44ED0">
        <w:rPr>
          <w:b/>
          <w:lang w:eastAsia="sk-SK"/>
        </w:rPr>
        <w:t>Limit počtu zamestnancov pre rozpočtové organizácie kapitol štátneho rozpočtu</w:t>
      </w:r>
      <w:r w:rsidRPr="00A44ED0">
        <w:rPr>
          <w:lang w:eastAsia="sk-SK"/>
        </w:rPr>
        <w:t xml:space="preserve"> bol schválený uznesením vlády SR č. 471/2017 k návrhu rozpočtu verejnej správy na roky 2018 až 2020 v počte 128 980 osôb (2017: 128 523). Schválený limit počtu zamestnancov rozpočtových organizácií medziročne vzrástol o 457 osôb. Najväčší podiel na tomto salde v absolútnom vyjadrení malo zvýšenie počtu zamestnancov o 95 osôb v kapitole Ministerstva práce, sociálnych vecí a rodiny SR (zvýšenie o</w:t>
      </w:r>
      <w:r>
        <w:rPr>
          <w:lang w:eastAsia="sk-SK"/>
        </w:rPr>
        <w:t> </w:t>
      </w:r>
      <w:r w:rsidRPr="00A44ED0">
        <w:rPr>
          <w:lang w:eastAsia="sk-SK"/>
        </w:rPr>
        <w:t>68 administratívnych kapacít osobitne</w:t>
      </w:r>
      <w:r>
        <w:rPr>
          <w:lang w:eastAsia="sk-SK"/>
        </w:rPr>
        <w:t xml:space="preserve"> sledovaných v nadväznosti na uznesenie vlády</w:t>
      </w:r>
      <w:r w:rsidRPr="00A44ED0">
        <w:rPr>
          <w:lang w:eastAsia="sk-SK"/>
        </w:rPr>
        <w:t xml:space="preserve"> SR č. 181/2017 a zvýšenie o 27 osôb na realizáciu zákona o sociálnych službách), o 82 osôb v kapitole Ministerstva životného prostredia SR (zvýšenie o 60 administratívnych kapacít osobitne sledovaných, o 12 osôb na</w:t>
      </w:r>
      <w:r>
        <w:rPr>
          <w:lang w:eastAsia="sk-SK"/>
        </w:rPr>
        <w:t> </w:t>
      </w:r>
      <w:r w:rsidRPr="00A44ED0">
        <w:rPr>
          <w:lang w:eastAsia="sk-SK"/>
        </w:rPr>
        <w:t>zabezpečenie úloh vyplývajúcich z novej legislatívy a presun 10 osôb na základe delimitačného protokolu, ktorým sa presúvali kompetencie z príspevkovej organizácie Slovenská agentúra životného prostredia do aparátu), o</w:t>
      </w:r>
      <w:r w:rsidR="00066627">
        <w:rPr>
          <w:lang w:eastAsia="sk-SK"/>
        </w:rPr>
        <w:t> </w:t>
      </w:r>
      <w:r w:rsidRPr="00A44ED0">
        <w:rPr>
          <w:lang w:eastAsia="sk-SK"/>
        </w:rPr>
        <w:t xml:space="preserve">81 osôb v kapitole Ministerstva financií SR (najmä zvýšenie o 39 administratívnych kapacít osobitne sledovaných, 29 osôb na zabezpečenie novej legislatívy), o 68 osôb v Úrade vlády SR (najmä zvýšenie o 15 administratívnych kapacít osobitne sledovaných a 39 osôb na zabezpečenie novej legislatívy), o 57 osôb v kapitole Ministerstva vnútra SR (najmä aktualizácia počtu zamestnancov v regionálnom školstve o 50 osôb), o 49 osôb v kapitole Ministerstva hospodárstva </w:t>
      </w:r>
      <w:r w:rsidR="00861AB8">
        <w:rPr>
          <w:lang w:eastAsia="sk-SK"/>
        </w:rPr>
        <w:t xml:space="preserve">SR </w:t>
      </w:r>
      <w:r w:rsidRPr="00A44ED0">
        <w:rPr>
          <w:lang w:eastAsia="sk-SK"/>
        </w:rPr>
        <w:t xml:space="preserve">(administratívne kapacity osobitne sledované), o 36 osôb v Ministerstve zahraničných vecí a európskych záležitostí </w:t>
      </w:r>
      <w:r w:rsidR="00861AB8">
        <w:rPr>
          <w:lang w:eastAsia="sk-SK"/>
        </w:rPr>
        <w:t xml:space="preserve">SR </w:t>
      </w:r>
      <w:r w:rsidRPr="00A44ED0">
        <w:rPr>
          <w:lang w:eastAsia="sk-SK"/>
        </w:rPr>
        <w:t>(o 32 osôb na Predsedníctvo Slovenskej republiky v OBSE a</w:t>
      </w:r>
      <w:r w:rsidR="00066627">
        <w:rPr>
          <w:lang w:eastAsia="sk-SK"/>
        </w:rPr>
        <w:t> </w:t>
      </w:r>
      <w:r w:rsidRPr="00A44ED0">
        <w:rPr>
          <w:lang w:eastAsia="sk-SK"/>
        </w:rPr>
        <w:t>o</w:t>
      </w:r>
      <w:r w:rsidR="00066627">
        <w:rPr>
          <w:lang w:eastAsia="sk-SK"/>
        </w:rPr>
        <w:t> </w:t>
      </w:r>
      <w:r w:rsidRPr="00A44ED0">
        <w:rPr>
          <w:lang w:eastAsia="sk-SK"/>
        </w:rPr>
        <w:t>4</w:t>
      </w:r>
      <w:r w:rsidR="00066627">
        <w:rPr>
          <w:lang w:eastAsia="sk-SK"/>
        </w:rPr>
        <w:t> </w:t>
      </w:r>
      <w:r w:rsidRPr="00A44ED0">
        <w:rPr>
          <w:lang w:eastAsia="sk-SK"/>
        </w:rPr>
        <w:t>osoby zvýšenie na stále zastúpenie v Bruseli), o 35 osôb v Úrade podpredsedu vlády SR pre investície a informatizáciu (súvisiace najmä so zvýšením počtu administratívnych kapacít osobitne sledovaných), o 29 osôb v Ministerstve dopravy a výstavby SR (ovplyvnené najmä zvýšením o 32 osôb delimitovaných z príspevkovej organizácie Slovenská agentúra pre cestovný ruch</w:t>
      </w:r>
      <w:r w:rsidR="00861AB8">
        <w:rPr>
          <w:lang w:eastAsia="sk-SK"/>
        </w:rPr>
        <w:t xml:space="preserve"> do aparátu ústredného orgánu a </w:t>
      </w:r>
      <w:r w:rsidRPr="00A44ED0">
        <w:rPr>
          <w:lang w:eastAsia="sk-SK"/>
        </w:rPr>
        <w:t>o 9 osôb na zabezpečenie novej legislatívy) a</w:t>
      </w:r>
      <w:r w:rsidR="00D351AB">
        <w:rPr>
          <w:lang w:eastAsia="sk-SK"/>
        </w:rPr>
        <w:t xml:space="preserve"> </w:t>
      </w:r>
      <w:r w:rsidRPr="00A44ED0">
        <w:rPr>
          <w:lang w:eastAsia="sk-SK"/>
        </w:rPr>
        <w:t>o 26 osôb v Ministerstve spravodlivosti SR v nadväznosti na</w:t>
      </w:r>
      <w:r>
        <w:rPr>
          <w:lang w:eastAsia="sk-SK"/>
        </w:rPr>
        <w:t> </w:t>
      </w:r>
      <w:r w:rsidRPr="00A44ED0">
        <w:rPr>
          <w:lang w:eastAsia="sk-SK"/>
        </w:rPr>
        <w:t>prijatú legislatívu. K medziročnému zníženiu limitu počtu zamestnancov došlo v Slovenskej akadémii vied (o 152 osôb - zmena formy hospodárenia rozpočtových organizácií na príspevkové organizácie) a</w:t>
      </w:r>
      <w:r w:rsidR="00D351AB">
        <w:rPr>
          <w:lang w:eastAsia="sk-SK"/>
        </w:rPr>
        <w:t xml:space="preserve"> </w:t>
      </w:r>
      <w:r w:rsidRPr="00A44ED0">
        <w:rPr>
          <w:lang w:eastAsia="sk-SK"/>
        </w:rPr>
        <w:t xml:space="preserve">v Ministerstve zdravotníctva SR (o 15 administratívnych kapacít osobitne sledovaných). </w:t>
      </w:r>
    </w:p>
    <w:p w14:paraId="37F9AF30" w14:textId="6EB55C5E" w:rsidR="00872F0C" w:rsidRPr="00A44ED0" w:rsidRDefault="00872F0C" w:rsidP="00872F0C">
      <w:pPr>
        <w:rPr>
          <w:lang w:eastAsia="sk-SK"/>
        </w:rPr>
      </w:pPr>
      <w:r w:rsidRPr="00A44ED0">
        <w:rPr>
          <w:lang w:eastAsia="sk-SK"/>
        </w:rPr>
        <w:t>V rámci schváleného limitu počtu zamestnancov rozpočtových organizácií kapitol štátneho rozpočtu a aparátov ústredných orgánov boli uznesením vlády Slovenskej republiky schválené aj administratívne kapacity osobitne sledované v počte 1 307 (2017: 1 047).</w:t>
      </w:r>
      <w:r w:rsidRPr="00A44ED0">
        <w:rPr>
          <w:color w:val="C00000"/>
          <w:lang w:eastAsia="sk-SK"/>
        </w:rPr>
        <w:t xml:space="preserve"> </w:t>
      </w:r>
      <w:r w:rsidRPr="00A44ED0">
        <w:rPr>
          <w:lang w:eastAsia="sk-SK"/>
        </w:rPr>
        <w:t>Ide o osobitne sledovanú kategóriu zamestnancov, ktorá je v zmysle uznesenia vlády SR č. 181/2017 zapojená do implementácie európskych štrukturálnych a investičných fondov v programovom období 2014 – 2020 od roku 2017 bez nárokov na dodatočné finančné prostriedky zo štátneho rozpočtu.</w:t>
      </w:r>
    </w:p>
    <w:p w14:paraId="00C29045" w14:textId="42903312" w:rsidR="00872F0C" w:rsidRPr="00A44ED0" w:rsidRDefault="00872F0C" w:rsidP="00872F0C">
      <w:pPr>
        <w:rPr>
          <w:lang w:eastAsia="sk-SK"/>
        </w:rPr>
      </w:pPr>
      <w:r w:rsidRPr="00A44ED0">
        <w:rPr>
          <w:lang w:eastAsia="sk-SK"/>
        </w:rPr>
        <w:t xml:space="preserve">V priebehu roka 2018 bol limit počtu zamestnancov rozpočtových organizácií rozpočtovými opatreniami zvýšený o 1 088 osôb na 130 068 osôb. Administratívne kapacity osobitne sledované schválené na rok 2018 </w:t>
      </w:r>
      <w:r>
        <w:rPr>
          <w:lang w:eastAsia="sk-SK"/>
        </w:rPr>
        <w:t>uznesením vlády</w:t>
      </w:r>
      <w:r w:rsidRPr="00A44ED0">
        <w:rPr>
          <w:lang w:eastAsia="sk-SK"/>
        </w:rPr>
        <w:t xml:space="preserve"> SR č. 471/2017 boli zvýšené o 266 na počet 1 573. Ich zvýšenie bolo prednostne realizované v rámci neplnenia limitu počtu zamestnancov kapitoly a v prípade naplnenia rozpočtovaného počtu zamestnancov aj absolútnym navýšením limitu počtu osôb kapitoly v súlade s prijatým uznesením vlády SR č. 181/2017. Skutočný počet administratívnych kapacít osobitne sledovaných v roku 2018 dosiahol počet 1 325, čo je medziročne viac o 56 osôb.</w:t>
      </w:r>
    </w:p>
    <w:p w14:paraId="432553A6" w14:textId="7D9525A7" w:rsidR="00872F0C" w:rsidRPr="00A44ED0" w:rsidRDefault="00872F0C" w:rsidP="00872F0C">
      <w:pPr>
        <w:rPr>
          <w:lang w:eastAsia="sk-SK"/>
        </w:rPr>
      </w:pPr>
      <w:r w:rsidRPr="00A44ED0">
        <w:rPr>
          <w:b/>
          <w:lang w:eastAsia="sk-SK"/>
        </w:rPr>
        <w:t xml:space="preserve">Skutočné plnenie počtu zamestnancov rozpočtových organizácií kapitol štátneho rozpočtu dosiahlo úroveň 123 057 osôb, čo je v porovnaní s ich skutočným plnením v roku 2017 o 42 osôb viac. </w:t>
      </w:r>
      <w:r w:rsidRPr="00A44ED0">
        <w:rPr>
          <w:lang w:eastAsia="sk-SK"/>
        </w:rPr>
        <w:t xml:space="preserve">V porovnaní s pôvodne schváleným limitom počtu zamestnancov je skutočnosť nižšia o 5 923 zamestnancov a s upraveným limitom o 7 011 osôb (5,4 %). Z porovnania skutočného plnenia počtu zamestnancov so schváleným limitom vyplýva, že z počtu 33 kapitol štátneho rozpočtu a 3 organizácií (Kancelária verejného ochrancu práv, Rada pre vysielanie a retransmisiu a Úrad na ochranu osobných údajov) počet zamestnancov </w:t>
      </w:r>
      <w:r w:rsidR="00861AB8">
        <w:rPr>
          <w:lang w:eastAsia="sk-SK"/>
        </w:rPr>
        <w:t>schválený uznesením vlády SR č. </w:t>
      </w:r>
      <w:r w:rsidRPr="00A44ED0">
        <w:rPr>
          <w:lang w:eastAsia="sk-SK"/>
        </w:rPr>
        <w:t>471/2017 nenaplnila s výnimkou Ministerstva práce, sociálnych vecí a</w:t>
      </w:r>
      <w:r w:rsidR="00861AB8">
        <w:rPr>
          <w:lang w:eastAsia="sk-SK"/>
        </w:rPr>
        <w:t xml:space="preserve"> </w:t>
      </w:r>
      <w:r w:rsidRPr="00A44ED0">
        <w:rPr>
          <w:lang w:eastAsia="sk-SK"/>
        </w:rPr>
        <w:t>rodiny SR ani jedna kapitola štátneho rozpočtu a</w:t>
      </w:r>
      <w:r w:rsidR="00861AB8">
        <w:rPr>
          <w:lang w:eastAsia="sk-SK"/>
        </w:rPr>
        <w:t xml:space="preserve"> </w:t>
      </w:r>
      <w:r w:rsidRPr="00A44ED0">
        <w:rPr>
          <w:lang w:eastAsia="sk-SK"/>
        </w:rPr>
        <w:t>ani jedna z 3 organizácií. V absolútnom vyjadrení je možné konštatovať výrazné neplnenie limitu počtu osôb voči schválenému aj upravenému limitu v kapitole Ministerstva vnútra SR (voči schválenému limitu o 3 022 osôb, z toho o 2 467 policajtov a</w:t>
      </w:r>
      <w:r w:rsidR="00861AB8">
        <w:rPr>
          <w:lang w:eastAsia="sk-SK"/>
        </w:rPr>
        <w:t xml:space="preserve"> </w:t>
      </w:r>
      <w:r w:rsidRPr="00A44ED0">
        <w:rPr>
          <w:lang w:eastAsia="sk-SK"/>
        </w:rPr>
        <w:t>voči upravenému limitu počtu zamestnancov o 3 182 osôb, z toho tiež o 2 467 policajtov) a</w:t>
      </w:r>
      <w:r w:rsidR="00861AB8">
        <w:rPr>
          <w:lang w:eastAsia="sk-SK"/>
        </w:rPr>
        <w:t xml:space="preserve"> </w:t>
      </w:r>
      <w:r w:rsidRPr="00A44ED0">
        <w:rPr>
          <w:lang w:eastAsia="sk-SK"/>
        </w:rPr>
        <w:t>Ministerstva obrany SR (voči schválenému aj upravenému limitu počtu zamestnancov o 1 346 osôb, z toho o 1 153 profesionálnych vojakov).</w:t>
      </w:r>
    </w:p>
    <w:p w14:paraId="0A06E412" w14:textId="411E1AEE" w:rsidR="00872F0C" w:rsidRPr="00861AB8" w:rsidRDefault="00872F0C" w:rsidP="00872F0C">
      <w:pPr>
        <w:rPr>
          <w:lang w:eastAsia="sk-SK"/>
        </w:rPr>
      </w:pPr>
      <w:r w:rsidRPr="00A44ED0">
        <w:rPr>
          <w:lang w:eastAsia="sk-SK"/>
        </w:rPr>
        <w:t xml:space="preserve">Pre zamestnancov </w:t>
      </w:r>
      <w:r w:rsidRPr="00A44ED0">
        <w:rPr>
          <w:b/>
          <w:lang w:eastAsia="sk-SK"/>
        </w:rPr>
        <w:t>aparátov ústredných orgánov</w:t>
      </w:r>
      <w:r w:rsidRPr="00A44ED0">
        <w:rPr>
          <w:lang w:eastAsia="sk-SK"/>
        </w:rPr>
        <w:t xml:space="preserve"> boli schválené výdavky na mzdy, platy, služobné príjmy a </w:t>
      </w:r>
      <w:r w:rsidR="00444209">
        <w:rPr>
          <w:lang w:eastAsia="sk-SK"/>
        </w:rPr>
        <w:t>OOV</w:t>
      </w:r>
      <w:r w:rsidR="00444209" w:rsidRPr="00A44ED0">
        <w:rPr>
          <w:lang w:eastAsia="sk-SK"/>
        </w:rPr>
        <w:t xml:space="preserve"> </w:t>
      </w:r>
      <w:r w:rsidRPr="00A44ED0">
        <w:rPr>
          <w:lang w:eastAsia="sk-SK"/>
        </w:rPr>
        <w:t xml:space="preserve">v sume 225 497 tis. eur ako záväzný ukazovateľ </w:t>
      </w:r>
      <w:r w:rsidRPr="00A44ED0">
        <w:rPr>
          <w:b/>
          <w:lang w:eastAsia="sk-SK"/>
        </w:rPr>
        <w:t xml:space="preserve">z kódu 111 </w:t>
      </w:r>
      <w:r w:rsidRPr="00A44ED0">
        <w:rPr>
          <w:lang w:eastAsia="sk-SK"/>
        </w:rPr>
        <w:t>(zdroj štátneho rozpočtu)</w:t>
      </w:r>
      <w:r w:rsidR="00BB5166" w:rsidRPr="00BB5166">
        <w:t xml:space="preserve"> </w:t>
      </w:r>
      <w:r w:rsidR="00BB5166" w:rsidRPr="008A6AD1">
        <w:t>a </w:t>
      </w:r>
      <w:r w:rsidR="00BB5166" w:rsidRPr="008A6AD1">
        <w:rPr>
          <w:b/>
        </w:rPr>
        <w:t>11H</w:t>
      </w:r>
      <w:r w:rsidR="00BB5166" w:rsidRPr="008A6AD1">
        <w:t xml:space="preserve"> </w:t>
      </w:r>
      <w:r w:rsidR="00BB5166">
        <w:t>(transfery od ostatných subjektov verejnej správy)</w:t>
      </w:r>
      <w:r w:rsidR="004E1DB3">
        <w:rPr>
          <w:lang w:eastAsia="sk-SK"/>
        </w:rPr>
        <w:t>.</w:t>
      </w:r>
      <w:r w:rsidRPr="00A44ED0">
        <w:rPr>
          <w:lang w:eastAsia="sk-SK"/>
        </w:rPr>
        <w:t xml:space="preserve"> V priebehu roka bol tento limit rozpočtovými opatreniami zvýšený na 246 066 tis. eur. Zamestnancom aparátov ústredných orgánov boli za všetky zdroje spolu, t. j. vrátane prostriedkov EÚ a prostriedkov na spolufinancovanie zo štátneho rozpočtu, vyplatené mzdy a platy v sume 281 081 tis. eur. Skutočné výdavky na mzdy, platy, služobné príjmy a </w:t>
      </w:r>
      <w:r w:rsidR="00444209">
        <w:rPr>
          <w:lang w:eastAsia="sk-SK"/>
        </w:rPr>
        <w:t>OOV</w:t>
      </w:r>
      <w:r w:rsidRPr="00A44ED0">
        <w:rPr>
          <w:lang w:eastAsia="sk-SK"/>
        </w:rPr>
        <w:t xml:space="preserve"> zamestnancov aparátu ústredného orgánu medziročne vzrástli o 22 810 tis. eur. Na základe vykonaných rozpočtových opatrení vyššie čerpanie mzdových výdavkov súviselo predovšetkým s valorizáciou platov zamestnancov na úrovni 4,8</w:t>
      </w:r>
      <w:r w:rsidR="00BF5D19">
        <w:rPr>
          <w:lang w:eastAsia="sk-SK"/>
        </w:rPr>
        <w:t> </w:t>
      </w:r>
      <w:r w:rsidRPr="00A44ED0">
        <w:rPr>
          <w:lang w:eastAsia="sk-SK"/>
        </w:rPr>
        <w:t>%</w:t>
      </w:r>
      <w:r w:rsidR="00BF5D19">
        <w:rPr>
          <w:lang w:eastAsia="sk-SK"/>
        </w:rPr>
        <w:t xml:space="preserve"> </w:t>
      </w:r>
      <w:r w:rsidRPr="00A44ED0">
        <w:rPr>
          <w:lang w:eastAsia="sk-SK"/>
        </w:rPr>
        <w:t>od</w:t>
      </w:r>
      <w:r w:rsidR="008A62B6">
        <w:rPr>
          <w:lang w:eastAsia="sk-SK"/>
        </w:rPr>
        <w:t> </w:t>
      </w:r>
      <w:r w:rsidRPr="00A44ED0">
        <w:rPr>
          <w:lang w:eastAsia="sk-SK"/>
        </w:rPr>
        <w:t>1.1.2018 (7 198 tis. eur), posilnením odmeňovania zamestnancov aparátov v sume 5</w:t>
      </w:r>
      <w:r w:rsidR="008A62B6">
        <w:rPr>
          <w:lang w:eastAsia="sk-SK"/>
        </w:rPr>
        <w:t> </w:t>
      </w:r>
      <w:r w:rsidRPr="00A44ED0">
        <w:rPr>
          <w:lang w:eastAsia="sk-SK"/>
        </w:rPr>
        <w:t>905</w:t>
      </w:r>
      <w:r w:rsidR="008A62B6">
        <w:rPr>
          <w:lang w:eastAsia="sk-SK"/>
        </w:rPr>
        <w:t> </w:t>
      </w:r>
      <w:r w:rsidRPr="00A44ED0">
        <w:rPr>
          <w:lang w:eastAsia="sk-SK"/>
        </w:rPr>
        <w:t>tis.</w:t>
      </w:r>
      <w:r w:rsidR="008A62B6">
        <w:rPr>
          <w:lang w:eastAsia="sk-SK"/>
        </w:rPr>
        <w:t> </w:t>
      </w:r>
      <w:r w:rsidRPr="00A44ED0">
        <w:rPr>
          <w:lang w:eastAsia="sk-SK"/>
        </w:rPr>
        <w:t xml:space="preserve">eur, najmä v kapitole Ministerstva vnútra SR presunom z podriadených organizácií v sume 4 905 tis. eur, navýšením limitu mzdových výdavkov o 1 166 tis. eur za účelom vyplatenia odmeny pri </w:t>
      </w:r>
      <w:r w:rsidRPr="00755E65">
        <w:rPr>
          <w:lang w:eastAsia="sk-SK"/>
        </w:rPr>
        <w:t>príležitosti letnej dovolenky a vianočných sviatkov</w:t>
      </w:r>
      <w:r w:rsidR="00755E65">
        <w:rPr>
          <w:lang w:eastAsia="sk-SK"/>
        </w:rPr>
        <w:t xml:space="preserve"> (v zmysle novely Zákonníka práce účinnej od 1.5.2018)</w:t>
      </w:r>
      <w:r w:rsidRPr="00A44ED0">
        <w:rPr>
          <w:lang w:eastAsia="sk-SK"/>
        </w:rPr>
        <w:t>, zabezpečením plnenia úloh vyplývajúcich z legislatívy 4 825 tis. eur, zvýšením platov sudcov, prokurátorov, ústavných sudcov o 615 tis. eur od 1. januára 2018 (vrátane zvýšenia o 1 eur pre ústavných a verejných činiteľov) a zabezpečením krytia platov zamestnancov prijatých na</w:t>
      </w:r>
      <w:r>
        <w:rPr>
          <w:lang w:eastAsia="sk-SK"/>
        </w:rPr>
        <w:t> </w:t>
      </w:r>
      <w:r w:rsidRPr="00A44ED0">
        <w:rPr>
          <w:lang w:eastAsia="sk-SK"/>
        </w:rPr>
        <w:t>realizáciu projektov a administratívnych kapacít osobitne sledovaných. Záväzný limit miezd, platov, služobných príjmov a ostatných osobných vyrovnaní aparátov ústredných orgánov na zdroji 111</w:t>
      </w:r>
      <w:r w:rsidR="00A50103">
        <w:rPr>
          <w:lang w:eastAsia="sk-SK"/>
        </w:rPr>
        <w:t xml:space="preserve"> a 11H</w:t>
      </w:r>
      <w:r w:rsidRPr="00A44ED0">
        <w:rPr>
          <w:lang w:eastAsia="sk-SK"/>
        </w:rPr>
        <w:t xml:space="preserve"> </w:t>
      </w:r>
      <w:r w:rsidR="004E1DB3">
        <w:rPr>
          <w:lang w:eastAsia="sk-SK"/>
        </w:rPr>
        <w:t>b</w:t>
      </w:r>
      <w:r w:rsidRPr="00A44ED0">
        <w:rPr>
          <w:lang w:eastAsia="sk-SK"/>
        </w:rPr>
        <w:t xml:space="preserve">ol </w:t>
      </w:r>
      <w:r w:rsidRPr="00861AB8">
        <w:rPr>
          <w:lang w:eastAsia="sk-SK"/>
        </w:rPr>
        <w:t>dodržaný.</w:t>
      </w:r>
    </w:p>
    <w:p w14:paraId="45684089" w14:textId="0DD2F2DE" w:rsidR="00872F0C" w:rsidRPr="00A265D6" w:rsidRDefault="00872F0C" w:rsidP="00872F0C">
      <w:pPr>
        <w:rPr>
          <w:lang w:eastAsia="sk-SK"/>
        </w:rPr>
      </w:pPr>
      <w:r w:rsidRPr="00A44ED0">
        <w:rPr>
          <w:lang w:eastAsia="sk-SK"/>
        </w:rPr>
        <w:t xml:space="preserve">Pre </w:t>
      </w:r>
      <w:r w:rsidRPr="00A44ED0">
        <w:rPr>
          <w:b/>
          <w:lang w:eastAsia="sk-SK"/>
        </w:rPr>
        <w:t>aparáty ústredných orgánov</w:t>
      </w:r>
      <w:r w:rsidRPr="00A44ED0">
        <w:rPr>
          <w:lang w:eastAsia="sk-SK"/>
        </w:rPr>
        <w:t xml:space="preserve"> bol na rok 2018 schválený záväzný </w:t>
      </w:r>
      <w:r w:rsidRPr="00A44ED0">
        <w:rPr>
          <w:b/>
          <w:lang w:eastAsia="sk-SK"/>
        </w:rPr>
        <w:t>limit počtu zamestnancov</w:t>
      </w:r>
      <w:r w:rsidRPr="00A44ED0">
        <w:rPr>
          <w:lang w:eastAsia="sk-SK"/>
        </w:rPr>
        <w:t xml:space="preserve"> 12 538 osôb, z toho administratívne kapacity osobitne sledované v počte 869 osôb. Schválený limit počtu zamestnancov bol v priebehu roka zvýšený o 375 osôb </w:t>
      </w:r>
      <w:r w:rsidRPr="00A265D6">
        <w:rPr>
          <w:lang w:eastAsia="sk-SK"/>
        </w:rPr>
        <w:t xml:space="preserve">na </w:t>
      </w:r>
      <w:r w:rsidR="00CA106E" w:rsidRPr="00A265D6">
        <w:rPr>
          <w:lang w:eastAsia="sk-SK"/>
        </w:rPr>
        <w:t>1</w:t>
      </w:r>
      <w:r w:rsidRPr="00A265D6">
        <w:rPr>
          <w:lang w:eastAsia="sk-SK"/>
        </w:rPr>
        <w:t>2 913 osôb. V skutočnosti bolo v</w:t>
      </w:r>
      <w:r w:rsidRPr="00A265D6">
        <w:rPr>
          <w:color w:val="C00000"/>
          <w:lang w:eastAsia="sk-SK"/>
        </w:rPr>
        <w:t> </w:t>
      </w:r>
      <w:r w:rsidRPr="00A265D6">
        <w:rPr>
          <w:lang w:eastAsia="sk-SK"/>
        </w:rPr>
        <w:t>aparátoch ústredných orgánov v roku 2018 zamestnaných 11 670 osôb, čo je v porovnaní s rokom 2017 o 131 zamestnancov viac. Medziročné zvýšenie skutočného počtu zamestnancov v aparátoch ústredných orgánov bolo ovplyvnené najmä vyšším počtom zamestnancov prijatých na realizáciu projektov (záväzný limit počtu zamestnancov v aparátoch ústredných orgánov bol na tento účel upravený v kapitolách Ministerstva vnútra SR, Ministerstva financií SR a Úradu podpredsedu vlády SR pre investície a informatizáciu v súhrne o 195 osôb) a zamestnávaním vyššieho počtu administratívnych kapacít osobitne sledovaných. Administratívne kapacity osobitne sledované boli v aparátoch ústredných orgánov zvýšené o 267 osôb na počet 1 136 osôb a ich skutočné plnenie dosiahlo stav 990 administratívnych kapacít osobitne sledovaných.</w:t>
      </w:r>
    </w:p>
    <w:p w14:paraId="4B8091E0" w14:textId="71188BBA" w:rsidR="00872F0C" w:rsidRPr="00A265D6" w:rsidRDefault="00872F0C" w:rsidP="00872F0C">
      <w:pPr>
        <w:rPr>
          <w:lang w:eastAsia="sk-SK"/>
        </w:rPr>
      </w:pPr>
      <w:r w:rsidRPr="00A265D6">
        <w:rPr>
          <w:lang w:eastAsia="sk-SK"/>
        </w:rPr>
        <w:t>U</w:t>
      </w:r>
      <w:r w:rsidR="00CA106E" w:rsidRPr="00A265D6">
        <w:rPr>
          <w:lang w:eastAsia="sk-SK"/>
        </w:rPr>
        <w:t>znesením vlády SR č. 471/2017</w:t>
      </w:r>
      <w:r w:rsidRPr="00A265D6">
        <w:rPr>
          <w:lang w:eastAsia="sk-SK"/>
        </w:rPr>
        <w:t xml:space="preserve"> bola v prílohe č. 2 na rok 2018 schválená systemizácia colníkov v štátnej službe, systemizácia policajtov v štátnej službe, systemizácia príslušníkov Hasičského a záchranného zboru a príslušníkov Horskej záchr</w:t>
      </w:r>
      <w:r w:rsidR="00861AB8" w:rsidRPr="00A265D6">
        <w:rPr>
          <w:lang w:eastAsia="sk-SK"/>
        </w:rPr>
        <w:t xml:space="preserve">annej služby v štátnej službe a </w:t>
      </w:r>
      <w:r w:rsidRPr="00A265D6">
        <w:rPr>
          <w:lang w:eastAsia="sk-SK"/>
        </w:rPr>
        <w:t>systemizácia profesionálnych vojakov v štátnej službe. Záväzné ukazovatele systemizácie v jednotlivých kategóriách zamestnancov na zdroji 111 boli vo všetkých kapitolách dodržané.</w:t>
      </w:r>
    </w:p>
    <w:p w14:paraId="1E690A81" w14:textId="726D3ABF" w:rsidR="00872F0C" w:rsidRPr="00A265D6" w:rsidRDefault="00872F0C" w:rsidP="00872F0C">
      <w:pPr>
        <w:rPr>
          <w:b/>
          <w:i/>
          <w:color w:val="000000" w:themeColor="text1"/>
        </w:rPr>
      </w:pPr>
      <w:r w:rsidRPr="00A265D6">
        <w:rPr>
          <w:b/>
          <w:i/>
          <w:lang w:eastAsia="sk-SK"/>
        </w:rPr>
        <w:t>Prehľad o plnení limitu počtu zamestnancov, miezd, platov, služobných príjmov a ostatných osobných vyrovnaní v kapitolách štátneho rozpočtu na rok 2018 vrátane vyhodnotenia systemizácie je uvedený v tabuľkách 22, 24, 25, 26 a 27 tabuľkovej časti štátneho záverečného účtu.</w:t>
      </w:r>
    </w:p>
    <w:p w14:paraId="1CEC7912" w14:textId="77777777" w:rsidR="00872F0C" w:rsidRPr="00A265D6" w:rsidRDefault="00872F0C" w:rsidP="00872F0C">
      <w:pPr>
        <w:rPr>
          <w:b/>
          <w:color w:val="000000" w:themeColor="text1"/>
        </w:rPr>
      </w:pPr>
      <w:r w:rsidRPr="00A265D6">
        <w:rPr>
          <w:b/>
          <w:color w:val="000000" w:themeColor="text1"/>
        </w:rPr>
        <w:t>Poistné a príspevok do poisťovní</w:t>
      </w:r>
    </w:p>
    <w:p w14:paraId="36ED5792" w14:textId="5B74F395" w:rsidR="00872F0C" w:rsidRPr="00642282" w:rsidRDefault="00872F0C" w:rsidP="00872F0C">
      <w:pPr>
        <w:rPr>
          <w:lang w:eastAsia="sk-SK"/>
        </w:rPr>
      </w:pPr>
      <w:r w:rsidRPr="00A265D6">
        <w:rPr>
          <w:lang w:eastAsia="sk-SK"/>
        </w:rPr>
        <w:t>Kapitoly štátneho rozpočtu rozpísali v roku 2018 výdavky na poistné a príspevok do poisťovní v sume 688 415 tis. eur (zdroj 111, </w:t>
      </w:r>
      <w:r w:rsidR="00184143" w:rsidRPr="00A265D6">
        <w:rPr>
          <w:lang w:eastAsia="sk-SK"/>
        </w:rPr>
        <w:t>7</w:t>
      </w:r>
      <w:r w:rsidRPr="00A265D6">
        <w:rPr>
          <w:lang w:eastAsia="sk-SK"/>
        </w:rPr>
        <w:t>2d, 72g). V priebehu roka bola suma</w:t>
      </w:r>
      <w:r w:rsidRPr="00642282">
        <w:rPr>
          <w:lang w:eastAsia="sk-SK"/>
        </w:rPr>
        <w:t xml:space="preserve"> rozpísaných výdavkov na poistné a príspevok do poisťovní upravená na </w:t>
      </w:r>
      <w:r>
        <w:rPr>
          <w:lang w:eastAsia="sk-SK"/>
        </w:rPr>
        <w:t>728</w:t>
      </w:r>
      <w:r w:rsidRPr="00642282">
        <w:rPr>
          <w:lang w:eastAsia="sk-SK"/>
        </w:rPr>
        <w:t xml:space="preserve"> </w:t>
      </w:r>
      <w:r>
        <w:rPr>
          <w:lang w:eastAsia="sk-SK"/>
        </w:rPr>
        <w:t>406</w:t>
      </w:r>
      <w:r w:rsidRPr="00642282">
        <w:rPr>
          <w:lang w:eastAsia="sk-SK"/>
        </w:rPr>
        <w:t xml:space="preserve"> tis. eur v súhrne za všetky zdroje. Skutočné výdavky na poistné a príspevok do poisťovní súhrnne za všetky zdroje medziročne vzrástli </w:t>
      </w:r>
      <w:r w:rsidRPr="00F96E9F">
        <w:rPr>
          <w:lang w:eastAsia="sk-SK"/>
        </w:rPr>
        <w:t>o 52 777 tis.</w:t>
      </w:r>
      <w:r w:rsidRPr="00642282">
        <w:rPr>
          <w:lang w:eastAsia="sk-SK"/>
        </w:rPr>
        <w:t xml:space="preserve"> eur (7,8 %) a dosiahli sumu 728 292 tis. eur. Vyššie čerpanie výdavkov na</w:t>
      </w:r>
      <w:r w:rsidR="00066627">
        <w:rPr>
          <w:lang w:eastAsia="sk-SK"/>
        </w:rPr>
        <w:t> </w:t>
      </w:r>
      <w:r w:rsidRPr="00642282">
        <w:rPr>
          <w:lang w:eastAsia="sk-SK"/>
        </w:rPr>
        <w:t>poistné nadväzuje na zvýšené čerpanie výdavkov na mzdy, platy, služobné príjmy a </w:t>
      </w:r>
      <w:r w:rsidR="00444209">
        <w:rPr>
          <w:lang w:eastAsia="sk-SK"/>
        </w:rPr>
        <w:t>OOV</w:t>
      </w:r>
      <w:r w:rsidRPr="00642282">
        <w:rPr>
          <w:lang w:eastAsia="sk-SK"/>
        </w:rPr>
        <w:t xml:space="preserve">, ktoré je rozpísané v časti týkajúcej sa miezd. Výdavky na poistné a príspevok do poisťovní boli čerpané v tejto štruktúre: </w:t>
      </w:r>
    </w:p>
    <w:p w14:paraId="3F220D84" w14:textId="77777777" w:rsidR="00E12EA6" w:rsidRDefault="00E12EA6">
      <w:pPr>
        <w:spacing w:after="160" w:line="259" w:lineRule="auto"/>
        <w:jc w:val="left"/>
        <w:rPr>
          <w:b/>
          <w:i/>
          <w:lang w:eastAsia="sk-SK"/>
        </w:rPr>
      </w:pPr>
      <w:r>
        <w:rPr>
          <w:b/>
          <w:i/>
          <w:lang w:eastAsia="sk-SK"/>
        </w:rPr>
        <w:br w:type="page"/>
      </w:r>
    </w:p>
    <w:p w14:paraId="4A454013" w14:textId="62FA808A" w:rsidR="00872F0C" w:rsidRPr="00642282" w:rsidRDefault="00872F0C" w:rsidP="00872F0C">
      <w:pPr>
        <w:rPr>
          <w:lang w:eastAsia="sk-SK"/>
        </w:rPr>
      </w:pPr>
      <w:r w:rsidRPr="00642282">
        <w:rPr>
          <w:b/>
          <w:i/>
          <w:lang w:eastAsia="sk-SK"/>
        </w:rPr>
        <w:t>Výdavky na poistné do Sociálnej poisťovne</w:t>
      </w:r>
      <w:r w:rsidRPr="00642282">
        <w:rPr>
          <w:lang w:eastAsia="sk-SK"/>
        </w:rPr>
        <w:t xml:space="preserve"> v sume 284 141 tis. eur dosia</w:t>
      </w:r>
      <w:r w:rsidR="00D351AB">
        <w:rPr>
          <w:lang w:eastAsia="sk-SK"/>
        </w:rPr>
        <w:t>hli medziročný nárast 7,1 % (</w:t>
      </w:r>
      <w:r w:rsidRPr="00642282">
        <w:rPr>
          <w:lang w:eastAsia="sk-SK"/>
        </w:rPr>
        <w:t>2017: 265 227 tis. eur); z toho najvyšší objem tvorilo po</w:t>
      </w:r>
      <w:r w:rsidR="00D351AB">
        <w:rPr>
          <w:lang w:eastAsia="sk-SK"/>
        </w:rPr>
        <w:t>istné na starobné poistenie 162 092 </w:t>
      </w:r>
      <w:r w:rsidRPr="00642282">
        <w:rPr>
          <w:lang w:eastAsia="sk-SK"/>
        </w:rPr>
        <w:t>tis. eur, poistné do rezervného fo</w:t>
      </w:r>
      <w:r w:rsidR="00D351AB">
        <w:rPr>
          <w:lang w:eastAsia="sk-SK"/>
        </w:rPr>
        <w:t>ndu solidarity predstavovalo 55 </w:t>
      </w:r>
      <w:r w:rsidRPr="00642282">
        <w:rPr>
          <w:lang w:eastAsia="sk-SK"/>
        </w:rPr>
        <w:t>464</w:t>
      </w:r>
      <w:r w:rsidR="00D351AB">
        <w:rPr>
          <w:lang w:eastAsia="sk-SK"/>
        </w:rPr>
        <w:t> </w:t>
      </w:r>
      <w:r w:rsidRPr="00642282">
        <w:rPr>
          <w:lang w:eastAsia="sk-SK"/>
        </w:rPr>
        <w:t>tis. eur a poistné na</w:t>
      </w:r>
      <w:r w:rsidR="00066627">
        <w:rPr>
          <w:lang w:eastAsia="sk-SK"/>
        </w:rPr>
        <w:t> </w:t>
      </w:r>
      <w:r w:rsidRPr="00642282">
        <w:rPr>
          <w:lang w:eastAsia="sk-SK"/>
        </w:rPr>
        <w:t>invalidné poistenie sumu 32</w:t>
      </w:r>
      <w:r w:rsidR="00D351AB">
        <w:rPr>
          <w:lang w:eastAsia="sk-SK"/>
        </w:rPr>
        <w:t> </w:t>
      </w:r>
      <w:r w:rsidRPr="00642282">
        <w:rPr>
          <w:lang w:eastAsia="sk-SK"/>
        </w:rPr>
        <w:t>325</w:t>
      </w:r>
      <w:r w:rsidR="00D351AB">
        <w:rPr>
          <w:lang w:eastAsia="sk-SK"/>
        </w:rPr>
        <w:t> </w:t>
      </w:r>
      <w:r w:rsidRPr="00642282">
        <w:rPr>
          <w:lang w:eastAsia="sk-SK"/>
        </w:rPr>
        <w:t xml:space="preserve">tis. eur. </w:t>
      </w:r>
    </w:p>
    <w:p w14:paraId="5DB7F00B" w14:textId="3EA11918" w:rsidR="00872F0C" w:rsidRPr="00642282" w:rsidRDefault="00872F0C" w:rsidP="00872F0C">
      <w:pPr>
        <w:rPr>
          <w:lang w:eastAsia="sk-SK"/>
        </w:rPr>
      </w:pPr>
      <w:r w:rsidRPr="00642282">
        <w:rPr>
          <w:b/>
          <w:i/>
          <w:lang w:eastAsia="sk-SK"/>
        </w:rPr>
        <w:t>Poistné na osobitné účty</w:t>
      </w:r>
      <w:r w:rsidRPr="00642282">
        <w:rPr>
          <w:lang w:eastAsia="sk-SK"/>
        </w:rPr>
        <w:t xml:space="preserve"> v kapitolách štátneho rozpočtu, do pôsobnosti ktorých patrí riadenie ozbrojených, bezpečnostných a záchranných zložiek medziročne vzrástlo o 8,0 % a dosi</w:t>
      </w:r>
      <w:r w:rsidR="00D351AB">
        <w:rPr>
          <w:lang w:eastAsia="sk-SK"/>
        </w:rPr>
        <w:t>ahlo sumu 216 382 tis. eur (</w:t>
      </w:r>
      <w:r w:rsidRPr="00642282">
        <w:rPr>
          <w:lang w:eastAsia="sk-SK"/>
        </w:rPr>
        <w:t>2017: 200 318 tis. eur); z toho rozhodujúci podiel predstavovalo poistné na výsluhový dôchodok v sume 167 879 tis. eur. Dôvodom nárastu poistného na osobitné účty je najmä nárast výdavkov na mzdy a platy štátnych zamestnancov v služobnom pomere. Poistné na</w:t>
      </w:r>
      <w:r w:rsidR="00066627">
        <w:rPr>
          <w:lang w:eastAsia="sk-SK"/>
        </w:rPr>
        <w:t> </w:t>
      </w:r>
      <w:r w:rsidRPr="00642282">
        <w:rPr>
          <w:lang w:eastAsia="sk-SK"/>
        </w:rPr>
        <w:t xml:space="preserve">invalidný výsluhový dôchodok dosiahlo sumu 25 325 tis. eur a na nemocenské zabezpečenie 11 699 tis. eur. </w:t>
      </w:r>
    </w:p>
    <w:p w14:paraId="7480B959" w14:textId="5032B68B" w:rsidR="00872F0C" w:rsidRPr="00642282" w:rsidRDefault="00872F0C" w:rsidP="00872F0C">
      <w:pPr>
        <w:rPr>
          <w:lang w:eastAsia="sk-SK"/>
        </w:rPr>
      </w:pPr>
      <w:r w:rsidRPr="00642282">
        <w:rPr>
          <w:b/>
          <w:i/>
          <w:lang w:eastAsia="sk-SK"/>
        </w:rPr>
        <w:t>Poistné do zdravotných poisťovní</w:t>
      </w:r>
      <w:r w:rsidR="00861AB8">
        <w:rPr>
          <w:lang w:eastAsia="sk-SK"/>
        </w:rPr>
        <w:t xml:space="preserve"> medziročne vzrástlo o 8,4 % a </w:t>
      </w:r>
      <w:r w:rsidRPr="00642282">
        <w:rPr>
          <w:lang w:eastAsia="sk-SK"/>
        </w:rPr>
        <w:t>dosiahlo sumu 212</w:t>
      </w:r>
      <w:r w:rsidR="00D351AB">
        <w:rPr>
          <w:lang w:eastAsia="sk-SK"/>
        </w:rPr>
        <w:t> </w:t>
      </w:r>
      <w:r w:rsidRPr="00642282">
        <w:rPr>
          <w:lang w:eastAsia="sk-SK"/>
        </w:rPr>
        <w:t>985</w:t>
      </w:r>
      <w:r w:rsidR="00D351AB">
        <w:rPr>
          <w:lang w:eastAsia="sk-SK"/>
        </w:rPr>
        <w:t> </w:t>
      </w:r>
      <w:r w:rsidRPr="00642282">
        <w:rPr>
          <w:lang w:eastAsia="sk-SK"/>
        </w:rPr>
        <w:t>tis.</w:t>
      </w:r>
      <w:r w:rsidR="00D351AB">
        <w:rPr>
          <w:lang w:eastAsia="sk-SK"/>
        </w:rPr>
        <w:t> eur (</w:t>
      </w:r>
      <w:r w:rsidRPr="00642282">
        <w:rPr>
          <w:lang w:eastAsia="sk-SK"/>
        </w:rPr>
        <w:t>2017: 196 494 tis. eur); v tom do Všeobecnej zdravotnej poisťovne bolo odvedený</w:t>
      </w:r>
      <w:r w:rsidR="00D351AB">
        <w:rPr>
          <w:lang w:eastAsia="sk-SK"/>
        </w:rPr>
        <w:t>ch 164 050 tis. </w:t>
      </w:r>
      <w:r w:rsidRPr="00642282">
        <w:rPr>
          <w:lang w:eastAsia="sk-SK"/>
        </w:rPr>
        <w:t>eur a do ostatných zdravotných poisťovní 48 935 tis. eur.</w:t>
      </w:r>
    </w:p>
    <w:p w14:paraId="095385FE" w14:textId="29F3ECCF" w:rsidR="00872F0C" w:rsidRPr="00642282" w:rsidRDefault="00872F0C" w:rsidP="00872F0C">
      <w:pPr>
        <w:rPr>
          <w:lang w:eastAsia="sk-SK"/>
        </w:rPr>
      </w:pPr>
      <w:r w:rsidRPr="00642282">
        <w:rPr>
          <w:b/>
          <w:i/>
          <w:lang w:eastAsia="sk-SK"/>
        </w:rPr>
        <w:t>Príspevok do doplnkových dôchodkových poisťovní</w:t>
      </w:r>
      <w:r w:rsidRPr="00642282">
        <w:rPr>
          <w:lang w:eastAsia="sk-SK"/>
        </w:rPr>
        <w:t xml:space="preserve"> </w:t>
      </w:r>
      <w:r w:rsidR="00D351AB">
        <w:rPr>
          <w:lang w:eastAsia="sk-SK"/>
        </w:rPr>
        <w:t>bol odvedený v sume 14 739 tis. eur (</w:t>
      </w:r>
      <w:r w:rsidRPr="00642282">
        <w:rPr>
          <w:lang w:eastAsia="sk-SK"/>
        </w:rPr>
        <w:t>2017:</w:t>
      </w:r>
      <w:r>
        <w:rPr>
          <w:lang w:eastAsia="sk-SK"/>
        </w:rPr>
        <w:t> </w:t>
      </w:r>
      <w:r w:rsidRPr="00642282">
        <w:rPr>
          <w:lang w:eastAsia="sk-SK"/>
        </w:rPr>
        <w:t>13 319 tis. eur) a</w:t>
      </w:r>
      <w:r w:rsidR="00861AB8">
        <w:rPr>
          <w:lang w:eastAsia="sk-SK"/>
        </w:rPr>
        <w:t xml:space="preserve"> </w:t>
      </w:r>
      <w:r w:rsidRPr="00642282">
        <w:rPr>
          <w:lang w:eastAsia="sk-SK"/>
        </w:rPr>
        <w:t xml:space="preserve">medziročne vzrástol o 10,7 %. </w:t>
      </w:r>
    </w:p>
    <w:p w14:paraId="64482216" w14:textId="09342DF1" w:rsidR="00872F0C" w:rsidRPr="006D6930" w:rsidRDefault="00872F0C" w:rsidP="00872F0C">
      <w:r w:rsidRPr="00642282">
        <w:rPr>
          <w:b/>
          <w:i/>
          <w:lang w:eastAsia="sk-SK"/>
        </w:rPr>
        <w:t>Príspevky na starobné dôchodkové sporenie</w:t>
      </w:r>
      <w:r w:rsidRPr="00642282">
        <w:rPr>
          <w:lang w:eastAsia="sk-SK"/>
        </w:rPr>
        <w:t xml:space="preserve"> boli odvedené v sume</w:t>
      </w:r>
      <w:r w:rsidR="00D351AB">
        <w:rPr>
          <w:lang w:eastAsia="sk-SK"/>
        </w:rPr>
        <w:t xml:space="preserve"> 44 tis. eur (2017: 156 tis. </w:t>
      </w:r>
      <w:r w:rsidRPr="00642282">
        <w:rPr>
          <w:lang w:eastAsia="sk-SK"/>
        </w:rPr>
        <w:t>eur) a</w:t>
      </w:r>
      <w:r w:rsidR="00D351AB">
        <w:rPr>
          <w:lang w:eastAsia="sk-SK"/>
        </w:rPr>
        <w:t xml:space="preserve"> </w:t>
      </w:r>
      <w:r w:rsidRPr="00642282">
        <w:rPr>
          <w:lang w:eastAsia="sk-SK"/>
        </w:rPr>
        <w:t>medziročne poklesli o 71,8 %.</w:t>
      </w:r>
      <w:r w:rsidRPr="006D6930">
        <w:t xml:space="preserve"> </w:t>
      </w:r>
    </w:p>
    <w:p w14:paraId="3E508467" w14:textId="77777777" w:rsidR="00872F0C" w:rsidRPr="00692D81" w:rsidRDefault="00872F0C" w:rsidP="00872F0C">
      <w:pPr>
        <w:pStyle w:val="Odsekzoznamu"/>
        <w:tabs>
          <w:tab w:val="left" w:pos="284"/>
        </w:tabs>
        <w:spacing w:after="120" w:line="336" w:lineRule="auto"/>
        <w:ind w:left="0"/>
        <w:jc w:val="both"/>
        <w:rPr>
          <w:rFonts w:ascii="Times New Roman" w:hAnsi="Times New Roman"/>
          <w:b/>
        </w:rPr>
      </w:pPr>
      <w:r w:rsidRPr="00692D81">
        <w:rPr>
          <w:rFonts w:ascii="Times New Roman" w:hAnsi="Times New Roman"/>
          <w:b/>
        </w:rPr>
        <w:t>Tovary a služby</w:t>
      </w:r>
    </w:p>
    <w:p w14:paraId="31F4382A" w14:textId="21052C7D" w:rsidR="00872F0C" w:rsidRPr="00241F21" w:rsidRDefault="00872F0C" w:rsidP="00872F0C">
      <w:pPr>
        <w:suppressAutoHyphens/>
        <w:rPr>
          <w:b/>
        </w:rPr>
      </w:pPr>
      <w:r w:rsidRPr="00C81584">
        <w:t>V</w:t>
      </w:r>
      <w:r w:rsidR="00BD0032">
        <w:t>ýdavky</w:t>
      </w:r>
      <w:r w:rsidRPr="00C81584">
        <w:t> </w:t>
      </w:r>
      <w:r w:rsidR="00BD0032">
        <w:t>na</w:t>
      </w:r>
      <w:r w:rsidRPr="00C81584">
        <w:t xml:space="preserve"> tovar</w:t>
      </w:r>
      <w:r w:rsidR="00BD0032">
        <w:t>y</w:t>
      </w:r>
      <w:r w:rsidRPr="00C81584">
        <w:t xml:space="preserve"> a služb</w:t>
      </w:r>
      <w:r w:rsidR="00BD0032">
        <w:t>y</w:t>
      </w:r>
      <w:r w:rsidRPr="00C81584">
        <w:t xml:space="preserve"> </w:t>
      </w:r>
      <w:r w:rsidR="00BD0032">
        <w:t xml:space="preserve">boli </w:t>
      </w:r>
      <w:r w:rsidRPr="00C81584">
        <w:t xml:space="preserve">rozpočtované v sume 1 998 722 tis. eur. V skutočnom čerpaní 1 634 652 tis. eur, ktoré vo vzťahu k schválenému rozpočtu predstavuje </w:t>
      </w:r>
      <w:r w:rsidR="00BD0032">
        <w:t>rozdiel</w:t>
      </w:r>
      <w:r w:rsidRPr="00C81584">
        <w:t xml:space="preserve"> o</w:t>
      </w:r>
      <w:r>
        <w:t> 18,2</w:t>
      </w:r>
      <w:r w:rsidRPr="00C81584">
        <w:t xml:space="preserve"> %, </w:t>
      </w:r>
      <w:r w:rsidRPr="00241F21">
        <w:t>sa odrazila najmä skutočnosť, že v rámci služieb sa rozpočtujú aj zálohové platby na projekty EÚ a prostriedky štátneho rozpočtu na spolufinancovanie projektov v súlade s koncepciou finančného riadenia štrukturálnych fondov a Kohézneho fondu. Zúčtovanie poskytnutých zálohových platieb sa však vykonáva na príslušných položkách rozpočtovej klasifikácie podľa skutočne realizovaných výdavkov</w:t>
      </w:r>
      <w:r w:rsidR="00EF01AD">
        <w:t xml:space="preserve"> (napríklad bežné a kapitálové transfery)</w:t>
      </w:r>
      <w:r w:rsidRPr="00241F21">
        <w:t>.</w:t>
      </w:r>
    </w:p>
    <w:p w14:paraId="76558DFF" w14:textId="77777777" w:rsidR="00207550" w:rsidRDefault="00872F0C" w:rsidP="00872F0C">
      <w:pPr>
        <w:suppressAutoHyphens/>
      </w:pPr>
      <w:r w:rsidRPr="00105D17">
        <w:t>Z výdavkov vyčlenených na tovary a služby sa financovali nákupy štandardných tovarov a</w:t>
      </w:r>
      <w:r w:rsidR="00066627">
        <w:t> </w:t>
      </w:r>
      <w:r w:rsidRPr="00105D17">
        <w:t>služieb, ktoré si vyžaduje prevádzka jednotlivých úradov (energie, cestovné, dopravné, údržba a</w:t>
      </w:r>
      <w:r w:rsidR="00066627">
        <w:t> </w:t>
      </w:r>
      <w:r w:rsidRPr="00105D17">
        <w:t xml:space="preserve">opravy, prenájom hnuteľných a nehnuteľných vecí, poštové a telekomunikačné služby a pod). </w:t>
      </w:r>
    </w:p>
    <w:p w14:paraId="5D2170A4" w14:textId="77777777" w:rsidR="00207550" w:rsidRDefault="00207550">
      <w:pPr>
        <w:spacing w:after="160" w:line="259" w:lineRule="auto"/>
        <w:jc w:val="left"/>
      </w:pPr>
      <w:r>
        <w:br w:type="page"/>
      </w:r>
    </w:p>
    <w:p w14:paraId="011B6772" w14:textId="4B3576F5" w:rsidR="00872F0C" w:rsidRPr="00105D17" w:rsidRDefault="00872F0C" w:rsidP="00872F0C">
      <w:pPr>
        <w:suppressAutoHyphens/>
      </w:pPr>
      <w:r w:rsidRPr="00105D17">
        <w:t xml:space="preserve">Ich štruktúra je obsiahnutá v nasledovnom prehľade: </w:t>
      </w:r>
    </w:p>
    <w:tbl>
      <w:tblPr>
        <w:tblW w:w="9000" w:type="dxa"/>
        <w:tblCellMar>
          <w:left w:w="70" w:type="dxa"/>
          <w:right w:w="70" w:type="dxa"/>
        </w:tblCellMar>
        <w:tblLook w:val="04A0" w:firstRow="1" w:lastRow="0" w:firstColumn="1" w:lastColumn="0" w:noHBand="0" w:noVBand="1"/>
      </w:tblPr>
      <w:tblGrid>
        <w:gridCol w:w="3801"/>
        <w:gridCol w:w="902"/>
        <w:gridCol w:w="902"/>
        <w:gridCol w:w="902"/>
        <w:gridCol w:w="1100"/>
        <w:gridCol w:w="836"/>
        <w:gridCol w:w="557"/>
      </w:tblGrid>
      <w:tr w:rsidR="00872F0C" w:rsidRPr="0050486B" w14:paraId="54EEB01A" w14:textId="77777777" w:rsidTr="00872F0C">
        <w:trPr>
          <w:trHeight w:val="458"/>
        </w:trPr>
        <w:tc>
          <w:tcPr>
            <w:tcW w:w="9000" w:type="dxa"/>
            <w:gridSpan w:val="7"/>
            <w:tcBorders>
              <w:top w:val="nil"/>
              <w:left w:val="nil"/>
              <w:bottom w:val="nil"/>
              <w:right w:val="nil"/>
            </w:tcBorders>
            <w:shd w:val="clear" w:color="000000" w:fill="000000"/>
            <w:vAlign w:val="center"/>
            <w:hideMark/>
          </w:tcPr>
          <w:p w14:paraId="135C3F22" w14:textId="246B8431" w:rsidR="00872F0C" w:rsidRPr="0050486B" w:rsidRDefault="00872F0C" w:rsidP="00D351AB">
            <w:pPr>
              <w:spacing w:after="0" w:line="240" w:lineRule="auto"/>
              <w:jc w:val="left"/>
              <w:rPr>
                <w:b/>
                <w:bCs/>
                <w:color w:val="FFFFFF"/>
                <w:sz w:val="18"/>
                <w:szCs w:val="18"/>
                <w:lang w:eastAsia="sk-SK"/>
              </w:rPr>
            </w:pPr>
            <w:r w:rsidRPr="0050486B">
              <w:rPr>
                <w:b/>
                <w:bCs/>
                <w:color w:val="FFFFFF"/>
                <w:sz w:val="18"/>
                <w:szCs w:val="18"/>
                <w:lang w:eastAsia="sk-SK"/>
              </w:rPr>
              <w:t>Tovary a služby                                                                                                                                                  v tis. eur</w:t>
            </w:r>
          </w:p>
        </w:tc>
      </w:tr>
      <w:tr w:rsidR="00872F0C" w:rsidRPr="0050486B" w14:paraId="4254A766" w14:textId="77777777" w:rsidTr="00872F0C">
        <w:trPr>
          <w:trHeight w:val="330"/>
        </w:trPr>
        <w:tc>
          <w:tcPr>
            <w:tcW w:w="3801" w:type="dxa"/>
            <w:vMerge w:val="restart"/>
            <w:tcBorders>
              <w:top w:val="nil"/>
              <w:left w:val="nil"/>
              <w:bottom w:val="nil"/>
              <w:right w:val="nil"/>
            </w:tcBorders>
            <w:shd w:val="clear" w:color="000000" w:fill="BFBFBF"/>
            <w:vAlign w:val="center"/>
            <w:hideMark/>
          </w:tcPr>
          <w:p w14:paraId="63E6B5FD" w14:textId="77777777" w:rsidR="00872F0C" w:rsidRPr="0050486B" w:rsidRDefault="00872F0C" w:rsidP="00872F0C">
            <w:pPr>
              <w:spacing w:after="0" w:line="240" w:lineRule="auto"/>
              <w:jc w:val="left"/>
              <w:rPr>
                <w:b/>
                <w:bCs/>
                <w:color w:val="000000"/>
                <w:sz w:val="18"/>
                <w:szCs w:val="18"/>
                <w:lang w:eastAsia="sk-SK"/>
              </w:rPr>
            </w:pPr>
            <w:r w:rsidRPr="0050486B">
              <w:rPr>
                <w:b/>
                <w:bCs/>
                <w:color w:val="000000"/>
                <w:sz w:val="18"/>
                <w:szCs w:val="18"/>
                <w:lang w:eastAsia="sk-SK"/>
              </w:rPr>
              <w:t xml:space="preserve"> </w:t>
            </w:r>
          </w:p>
        </w:tc>
        <w:tc>
          <w:tcPr>
            <w:tcW w:w="1804" w:type="dxa"/>
            <w:gridSpan w:val="2"/>
            <w:tcBorders>
              <w:top w:val="nil"/>
              <w:left w:val="nil"/>
              <w:bottom w:val="nil"/>
              <w:right w:val="nil"/>
            </w:tcBorders>
            <w:shd w:val="clear" w:color="000000" w:fill="BFBFBF"/>
            <w:noWrap/>
            <w:vAlign w:val="center"/>
            <w:hideMark/>
          </w:tcPr>
          <w:p w14:paraId="24E099A8" w14:textId="77777777" w:rsidR="00872F0C" w:rsidRPr="0050486B" w:rsidRDefault="00872F0C" w:rsidP="00872F0C">
            <w:pPr>
              <w:spacing w:after="0" w:line="240" w:lineRule="auto"/>
              <w:jc w:val="center"/>
              <w:rPr>
                <w:b/>
                <w:bCs/>
                <w:color w:val="000000"/>
                <w:sz w:val="18"/>
                <w:szCs w:val="18"/>
                <w:lang w:eastAsia="sk-SK"/>
              </w:rPr>
            </w:pPr>
            <w:r w:rsidRPr="0050486B">
              <w:rPr>
                <w:b/>
                <w:bCs/>
                <w:color w:val="000000"/>
                <w:sz w:val="18"/>
                <w:szCs w:val="18"/>
                <w:lang w:eastAsia="sk-SK"/>
              </w:rPr>
              <w:t>Skutočnosť</w:t>
            </w:r>
          </w:p>
        </w:tc>
        <w:tc>
          <w:tcPr>
            <w:tcW w:w="902" w:type="dxa"/>
            <w:tcBorders>
              <w:top w:val="nil"/>
              <w:left w:val="nil"/>
              <w:bottom w:val="nil"/>
              <w:right w:val="nil"/>
            </w:tcBorders>
            <w:shd w:val="clear" w:color="000000" w:fill="BFBFBF"/>
            <w:noWrap/>
            <w:vAlign w:val="center"/>
            <w:hideMark/>
          </w:tcPr>
          <w:p w14:paraId="57738757" w14:textId="77777777" w:rsidR="00872F0C" w:rsidRPr="0050486B" w:rsidRDefault="00872F0C" w:rsidP="00872F0C">
            <w:pPr>
              <w:spacing w:after="0" w:line="240" w:lineRule="auto"/>
              <w:jc w:val="center"/>
              <w:rPr>
                <w:b/>
                <w:bCs/>
                <w:color w:val="000000"/>
                <w:sz w:val="18"/>
                <w:szCs w:val="18"/>
                <w:lang w:eastAsia="sk-SK"/>
              </w:rPr>
            </w:pPr>
            <w:r w:rsidRPr="0050486B">
              <w:rPr>
                <w:b/>
                <w:bCs/>
                <w:color w:val="000000"/>
                <w:sz w:val="18"/>
                <w:szCs w:val="18"/>
                <w:lang w:eastAsia="sk-SK"/>
              </w:rPr>
              <w:t>Rozpočet</w:t>
            </w:r>
          </w:p>
        </w:tc>
        <w:tc>
          <w:tcPr>
            <w:tcW w:w="1100" w:type="dxa"/>
            <w:tcBorders>
              <w:top w:val="nil"/>
              <w:left w:val="nil"/>
              <w:bottom w:val="nil"/>
              <w:right w:val="nil"/>
            </w:tcBorders>
            <w:shd w:val="clear" w:color="000000" w:fill="BFBFBF"/>
            <w:noWrap/>
            <w:vAlign w:val="center"/>
            <w:hideMark/>
          </w:tcPr>
          <w:p w14:paraId="061BEF1F" w14:textId="77777777" w:rsidR="00872F0C" w:rsidRPr="0050486B" w:rsidRDefault="00872F0C" w:rsidP="00872F0C">
            <w:pPr>
              <w:spacing w:after="0" w:line="240" w:lineRule="auto"/>
              <w:jc w:val="center"/>
              <w:rPr>
                <w:b/>
                <w:bCs/>
                <w:color w:val="000000"/>
                <w:sz w:val="18"/>
                <w:szCs w:val="18"/>
                <w:lang w:eastAsia="sk-SK"/>
              </w:rPr>
            </w:pPr>
            <w:r w:rsidRPr="0050486B">
              <w:rPr>
                <w:b/>
                <w:bCs/>
                <w:color w:val="000000"/>
                <w:sz w:val="18"/>
                <w:szCs w:val="18"/>
                <w:lang w:eastAsia="sk-SK"/>
              </w:rPr>
              <w:t>Skutočnosť</w:t>
            </w:r>
          </w:p>
        </w:tc>
        <w:tc>
          <w:tcPr>
            <w:tcW w:w="1393" w:type="dxa"/>
            <w:gridSpan w:val="2"/>
            <w:tcBorders>
              <w:top w:val="nil"/>
              <w:left w:val="nil"/>
              <w:bottom w:val="nil"/>
              <w:right w:val="nil"/>
            </w:tcBorders>
            <w:shd w:val="clear" w:color="000000" w:fill="BFBFBF"/>
            <w:noWrap/>
            <w:vAlign w:val="center"/>
            <w:hideMark/>
          </w:tcPr>
          <w:p w14:paraId="78B13BEB" w14:textId="77777777" w:rsidR="00872F0C" w:rsidRPr="0050486B" w:rsidRDefault="00872F0C" w:rsidP="00872F0C">
            <w:pPr>
              <w:spacing w:after="0" w:line="240" w:lineRule="auto"/>
              <w:jc w:val="center"/>
              <w:rPr>
                <w:b/>
                <w:bCs/>
                <w:color w:val="000000"/>
                <w:sz w:val="18"/>
                <w:szCs w:val="18"/>
                <w:lang w:eastAsia="sk-SK"/>
              </w:rPr>
            </w:pPr>
            <w:r w:rsidRPr="0050486B">
              <w:rPr>
                <w:b/>
                <w:bCs/>
                <w:color w:val="000000"/>
                <w:sz w:val="18"/>
                <w:szCs w:val="18"/>
                <w:lang w:eastAsia="sk-SK"/>
              </w:rPr>
              <w:t>Rozdiel</w:t>
            </w:r>
          </w:p>
        </w:tc>
      </w:tr>
      <w:tr w:rsidR="00872F0C" w:rsidRPr="0050486B" w14:paraId="6A0BC892" w14:textId="77777777" w:rsidTr="00872F0C">
        <w:trPr>
          <w:trHeight w:val="330"/>
        </w:trPr>
        <w:tc>
          <w:tcPr>
            <w:tcW w:w="3801" w:type="dxa"/>
            <w:vMerge/>
            <w:tcBorders>
              <w:top w:val="nil"/>
              <w:left w:val="nil"/>
              <w:bottom w:val="nil"/>
              <w:right w:val="nil"/>
            </w:tcBorders>
            <w:vAlign w:val="center"/>
            <w:hideMark/>
          </w:tcPr>
          <w:p w14:paraId="44A6C5CD" w14:textId="77777777" w:rsidR="00872F0C" w:rsidRPr="0050486B" w:rsidRDefault="00872F0C" w:rsidP="00872F0C">
            <w:pPr>
              <w:spacing w:after="0" w:line="240" w:lineRule="auto"/>
              <w:jc w:val="left"/>
              <w:rPr>
                <w:b/>
                <w:bCs/>
                <w:color w:val="000000"/>
                <w:sz w:val="18"/>
                <w:szCs w:val="18"/>
                <w:lang w:eastAsia="sk-SK"/>
              </w:rPr>
            </w:pPr>
          </w:p>
        </w:tc>
        <w:tc>
          <w:tcPr>
            <w:tcW w:w="902" w:type="dxa"/>
            <w:tcBorders>
              <w:top w:val="nil"/>
              <w:left w:val="nil"/>
              <w:bottom w:val="nil"/>
              <w:right w:val="nil"/>
            </w:tcBorders>
            <w:shd w:val="clear" w:color="000000" w:fill="BFBFBF"/>
            <w:noWrap/>
            <w:vAlign w:val="center"/>
            <w:hideMark/>
          </w:tcPr>
          <w:p w14:paraId="4CFF29D4" w14:textId="77777777" w:rsidR="00872F0C" w:rsidRPr="0050486B" w:rsidRDefault="00872F0C" w:rsidP="00872F0C">
            <w:pPr>
              <w:spacing w:after="0" w:line="240" w:lineRule="auto"/>
              <w:jc w:val="center"/>
              <w:rPr>
                <w:b/>
                <w:bCs/>
                <w:color w:val="000000"/>
                <w:sz w:val="18"/>
                <w:szCs w:val="18"/>
                <w:lang w:eastAsia="sk-SK"/>
              </w:rPr>
            </w:pPr>
            <w:r w:rsidRPr="0050486B">
              <w:rPr>
                <w:b/>
                <w:bCs/>
                <w:color w:val="000000"/>
                <w:sz w:val="18"/>
                <w:szCs w:val="18"/>
                <w:lang w:eastAsia="sk-SK"/>
              </w:rPr>
              <w:t>2016</w:t>
            </w:r>
          </w:p>
        </w:tc>
        <w:tc>
          <w:tcPr>
            <w:tcW w:w="902" w:type="dxa"/>
            <w:tcBorders>
              <w:top w:val="nil"/>
              <w:left w:val="nil"/>
              <w:bottom w:val="nil"/>
              <w:right w:val="nil"/>
            </w:tcBorders>
            <w:shd w:val="clear" w:color="000000" w:fill="BFBFBF"/>
            <w:noWrap/>
            <w:vAlign w:val="center"/>
            <w:hideMark/>
          </w:tcPr>
          <w:p w14:paraId="73F49A7B" w14:textId="77777777" w:rsidR="00872F0C" w:rsidRPr="0050486B" w:rsidRDefault="00872F0C" w:rsidP="00872F0C">
            <w:pPr>
              <w:spacing w:after="0" w:line="240" w:lineRule="auto"/>
              <w:jc w:val="center"/>
              <w:rPr>
                <w:b/>
                <w:bCs/>
                <w:color w:val="000000"/>
                <w:sz w:val="18"/>
                <w:szCs w:val="18"/>
                <w:lang w:eastAsia="sk-SK"/>
              </w:rPr>
            </w:pPr>
            <w:r w:rsidRPr="0050486B">
              <w:rPr>
                <w:b/>
                <w:bCs/>
                <w:color w:val="000000"/>
                <w:sz w:val="18"/>
                <w:szCs w:val="18"/>
                <w:lang w:eastAsia="sk-SK"/>
              </w:rPr>
              <w:t>2017</w:t>
            </w:r>
          </w:p>
        </w:tc>
        <w:tc>
          <w:tcPr>
            <w:tcW w:w="902" w:type="dxa"/>
            <w:tcBorders>
              <w:top w:val="nil"/>
              <w:left w:val="nil"/>
              <w:bottom w:val="nil"/>
              <w:right w:val="nil"/>
            </w:tcBorders>
            <w:shd w:val="clear" w:color="000000" w:fill="BFBFBF"/>
            <w:noWrap/>
            <w:vAlign w:val="center"/>
            <w:hideMark/>
          </w:tcPr>
          <w:p w14:paraId="09D7532D" w14:textId="77777777" w:rsidR="00872F0C" w:rsidRPr="0050486B" w:rsidRDefault="00872F0C" w:rsidP="00872F0C">
            <w:pPr>
              <w:spacing w:after="0" w:line="240" w:lineRule="auto"/>
              <w:jc w:val="center"/>
              <w:rPr>
                <w:b/>
                <w:bCs/>
                <w:color w:val="000000"/>
                <w:sz w:val="18"/>
                <w:szCs w:val="18"/>
                <w:lang w:eastAsia="sk-SK"/>
              </w:rPr>
            </w:pPr>
            <w:r w:rsidRPr="0050486B">
              <w:rPr>
                <w:b/>
                <w:bCs/>
                <w:color w:val="000000"/>
                <w:sz w:val="18"/>
                <w:szCs w:val="18"/>
                <w:lang w:eastAsia="sk-SK"/>
              </w:rPr>
              <w:t>2018</w:t>
            </w:r>
          </w:p>
        </w:tc>
        <w:tc>
          <w:tcPr>
            <w:tcW w:w="1100" w:type="dxa"/>
            <w:tcBorders>
              <w:top w:val="nil"/>
              <w:left w:val="nil"/>
              <w:bottom w:val="nil"/>
              <w:right w:val="nil"/>
            </w:tcBorders>
            <w:shd w:val="clear" w:color="000000" w:fill="BFBFBF"/>
            <w:noWrap/>
            <w:vAlign w:val="center"/>
            <w:hideMark/>
          </w:tcPr>
          <w:p w14:paraId="249EADCE" w14:textId="77777777" w:rsidR="00872F0C" w:rsidRPr="0050486B" w:rsidRDefault="00872F0C" w:rsidP="00872F0C">
            <w:pPr>
              <w:spacing w:after="0" w:line="240" w:lineRule="auto"/>
              <w:jc w:val="center"/>
              <w:rPr>
                <w:b/>
                <w:bCs/>
                <w:color w:val="000000"/>
                <w:sz w:val="18"/>
                <w:szCs w:val="18"/>
                <w:lang w:eastAsia="sk-SK"/>
              </w:rPr>
            </w:pPr>
            <w:r w:rsidRPr="0050486B">
              <w:rPr>
                <w:b/>
                <w:bCs/>
                <w:color w:val="000000"/>
                <w:sz w:val="18"/>
                <w:szCs w:val="18"/>
                <w:lang w:eastAsia="sk-SK"/>
              </w:rPr>
              <w:t>2018</w:t>
            </w:r>
          </w:p>
        </w:tc>
        <w:tc>
          <w:tcPr>
            <w:tcW w:w="836" w:type="dxa"/>
            <w:tcBorders>
              <w:top w:val="nil"/>
              <w:left w:val="nil"/>
              <w:bottom w:val="nil"/>
              <w:right w:val="nil"/>
            </w:tcBorders>
            <w:shd w:val="clear" w:color="000000" w:fill="BFBFBF"/>
            <w:noWrap/>
            <w:vAlign w:val="center"/>
            <w:hideMark/>
          </w:tcPr>
          <w:p w14:paraId="767E841C" w14:textId="77777777" w:rsidR="00872F0C" w:rsidRPr="0050486B" w:rsidRDefault="00872F0C" w:rsidP="00872F0C">
            <w:pPr>
              <w:spacing w:after="0" w:line="240" w:lineRule="auto"/>
              <w:jc w:val="center"/>
              <w:rPr>
                <w:b/>
                <w:bCs/>
                <w:color w:val="000000"/>
                <w:sz w:val="18"/>
                <w:szCs w:val="18"/>
                <w:lang w:eastAsia="sk-SK"/>
              </w:rPr>
            </w:pPr>
            <w:r w:rsidRPr="0050486B">
              <w:rPr>
                <w:b/>
                <w:bCs/>
                <w:color w:val="000000"/>
                <w:sz w:val="18"/>
                <w:szCs w:val="18"/>
                <w:lang w:eastAsia="sk-SK"/>
              </w:rPr>
              <w:t>v tis. eur</w:t>
            </w:r>
          </w:p>
        </w:tc>
        <w:tc>
          <w:tcPr>
            <w:tcW w:w="557" w:type="dxa"/>
            <w:tcBorders>
              <w:top w:val="nil"/>
              <w:left w:val="nil"/>
              <w:bottom w:val="nil"/>
              <w:right w:val="nil"/>
            </w:tcBorders>
            <w:shd w:val="clear" w:color="000000" w:fill="BFBFBF"/>
            <w:noWrap/>
            <w:vAlign w:val="center"/>
            <w:hideMark/>
          </w:tcPr>
          <w:p w14:paraId="6E9F22ED" w14:textId="77777777" w:rsidR="00872F0C" w:rsidRPr="0050486B" w:rsidRDefault="00872F0C" w:rsidP="00872F0C">
            <w:pPr>
              <w:spacing w:after="0" w:line="240" w:lineRule="auto"/>
              <w:jc w:val="center"/>
              <w:rPr>
                <w:b/>
                <w:bCs/>
                <w:color w:val="000000"/>
                <w:sz w:val="18"/>
                <w:szCs w:val="18"/>
                <w:lang w:eastAsia="sk-SK"/>
              </w:rPr>
            </w:pPr>
            <w:r w:rsidRPr="0050486B">
              <w:rPr>
                <w:b/>
                <w:bCs/>
                <w:color w:val="000000"/>
                <w:sz w:val="18"/>
                <w:szCs w:val="18"/>
                <w:lang w:eastAsia="sk-SK"/>
              </w:rPr>
              <w:t>v %</w:t>
            </w:r>
          </w:p>
        </w:tc>
      </w:tr>
      <w:tr w:rsidR="00872F0C" w:rsidRPr="0050486B" w14:paraId="70AAE666" w14:textId="77777777" w:rsidTr="00872F0C">
        <w:trPr>
          <w:trHeight w:val="345"/>
        </w:trPr>
        <w:tc>
          <w:tcPr>
            <w:tcW w:w="3801" w:type="dxa"/>
            <w:tcBorders>
              <w:top w:val="nil"/>
              <w:left w:val="nil"/>
              <w:bottom w:val="single" w:sz="8" w:space="0" w:color="auto"/>
              <w:right w:val="nil"/>
            </w:tcBorders>
            <w:shd w:val="clear" w:color="000000" w:fill="BFBFBF"/>
            <w:vAlign w:val="center"/>
            <w:hideMark/>
          </w:tcPr>
          <w:p w14:paraId="611A6739" w14:textId="77777777" w:rsidR="00872F0C" w:rsidRPr="0050486B" w:rsidRDefault="00872F0C" w:rsidP="00872F0C">
            <w:pPr>
              <w:spacing w:after="0" w:line="240" w:lineRule="auto"/>
              <w:jc w:val="left"/>
              <w:rPr>
                <w:color w:val="000000"/>
                <w:sz w:val="18"/>
                <w:szCs w:val="18"/>
                <w:lang w:eastAsia="sk-SK"/>
              </w:rPr>
            </w:pPr>
            <w:r w:rsidRPr="0050486B">
              <w:rPr>
                <w:color w:val="000000"/>
                <w:sz w:val="18"/>
                <w:szCs w:val="18"/>
                <w:lang w:eastAsia="sk-SK"/>
              </w:rPr>
              <w:t> </w:t>
            </w:r>
          </w:p>
        </w:tc>
        <w:tc>
          <w:tcPr>
            <w:tcW w:w="902" w:type="dxa"/>
            <w:tcBorders>
              <w:top w:val="nil"/>
              <w:left w:val="nil"/>
              <w:bottom w:val="single" w:sz="8" w:space="0" w:color="auto"/>
              <w:right w:val="nil"/>
            </w:tcBorders>
            <w:shd w:val="clear" w:color="000000" w:fill="BFBFBF"/>
            <w:noWrap/>
            <w:vAlign w:val="center"/>
            <w:hideMark/>
          </w:tcPr>
          <w:p w14:paraId="4CF6DBE9" w14:textId="77777777" w:rsidR="00872F0C" w:rsidRPr="0050486B" w:rsidRDefault="00872F0C" w:rsidP="00872F0C">
            <w:pPr>
              <w:spacing w:after="0" w:line="240" w:lineRule="auto"/>
              <w:jc w:val="center"/>
              <w:rPr>
                <w:b/>
                <w:bCs/>
                <w:color w:val="000000"/>
                <w:sz w:val="18"/>
                <w:szCs w:val="18"/>
                <w:lang w:eastAsia="sk-SK"/>
              </w:rPr>
            </w:pPr>
            <w:r w:rsidRPr="0050486B">
              <w:rPr>
                <w:b/>
                <w:bCs/>
                <w:color w:val="000000"/>
                <w:sz w:val="18"/>
                <w:szCs w:val="18"/>
                <w:lang w:eastAsia="sk-SK"/>
              </w:rPr>
              <w:t>1</w:t>
            </w:r>
          </w:p>
        </w:tc>
        <w:tc>
          <w:tcPr>
            <w:tcW w:w="902" w:type="dxa"/>
            <w:tcBorders>
              <w:top w:val="nil"/>
              <w:left w:val="nil"/>
              <w:bottom w:val="single" w:sz="8" w:space="0" w:color="auto"/>
              <w:right w:val="nil"/>
            </w:tcBorders>
            <w:shd w:val="clear" w:color="000000" w:fill="BFBFBF"/>
            <w:noWrap/>
            <w:vAlign w:val="center"/>
            <w:hideMark/>
          </w:tcPr>
          <w:p w14:paraId="355F4A32" w14:textId="77777777" w:rsidR="00872F0C" w:rsidRPr="0050486B" w:rsidRDefault="00872F0C" w:rsidP="00872F0C">
            <w:pPr>
              <w:spacing w:after="0" w:line="240" w:lineRule="auto"/>
              <w:jc w:val="center"/>
              <w:rPr>
                <w:b/>
                <w:bCs/>
                <w:color w:val="000000"/>
                <w:sz w:val="18"/>
                <w:szCs w:val="18"/>
                <w:lang w:eastAsia="sk-SK"/>
              </w:rPr>
            </w:pPr>
            <w:r w:rsidRPr="0050486B">
              <w:rPr>
                <w:b/>
                <w:bCs/>
                <w:color w:val="000000"/>
                <w:sz w:val="18"/>
                <w:szCs w:val="18"/>
                <w:lang w:eastAsia="sk-SK"/>
              </w:rPr>
              <w:t>2</w:t>
            </w:r>
          </w:p>
        </w:tc>
        <w:tc>
          <w:tcPr>
            <w:tcW w:w="902" w:type="dxa"/>
            <w:tcBorders>
              <w:top w:val="nil"/>
              <w:left w:val="nil"/>
              <w:bottom w:val="single" w:sz="8" w:space="0" w:color="auto"/>
              <w:right w:val="nil"/>
            </w:tcBorders>
            <w:shd w:val="clear" w:color="000000" w:fill="BFBFBF"/>
            <w:noWrap/>
            <w:vAlign w:val="center"/>
            <w:hideMark/>
          </w:tcPr>
          <w:p w14:paraId="23AE1DC2" w14:textId="77777777" w:rsidR="00872F0C" w:rsidRPr="0050486B" w:rsidRDefault="00872F0C" w:rsidP="00872F0C">
            <w:pPr>
              <w:spacing w:after="0" w:line="240" w:lineRule="auto"/>
              <w:jc w:val="center"/>
              <w:rPr>
                <w:b/>
                <w:bCs/>
                <w:color w:val="000000"/>
                <w:sz w:val="18"/>
                <w:szCs w:val="18"/>
                <w:lang w:eastAsia="sk-SK"/>
              </w:rPr>
            </w:pPr>
            <w:r w:rsidRPr="0050486B">
              <w:rPr>
                <w:b/>
                <w:bCs/>
                <w:color w:val="000000"/>
                <w:sz w:val="18"/>
                <w:szCs w:val="18"/>
                <w:lang w:eastAsia="sk-SK"/>
              </w:rPr>
              <w:t>3</w:t>
            </w:r>
          </w:p>
        </w:tc>
        <w:tc>
          <w:tcPr>
            <w:tcW w:w="1100" w:type="dxa"/>
            <w:tcBorders>
              <w:top w:val="nil"/>
              <w:left w:val="nil"/>
              <w:bottom w:val="single" w:sz="8" w:space="0" w:color="auto"/>
              <w:right w:val="nil"/>
            </w:tcBorders>
            <w:shd w:val="clear" w:color="000000" w:fill="BFBFBF"/>
            <w:noWrap/>
            <w:vAlign w:val="center"/>
            <w:hideMark/>
          </w:tcPr>
          <w:p w14:paraId="69B85ACA" w14:textId="77777777" w:rsidR="00872F0C" w:rsidRPr="0050486B" w:rsidRDefault="00872F0C" w:rsidP="00872F0C">
            <w:pPr>
              <w:spacing w:after="0" w:line="240" w:lineRule="auto"/>
              <w:jc w:val="center"/>
              <w:rPr>
                <w:b/>
                <w:bCs/>
                <w:color w:val="000000"/>
                <w:sz w:val="18"/>
                <w:szCs w:val="18"/>
                <w:lang w:eastAsia="sk-SK"/>
              </w:rPr>
            </w:pPr>
            <w:r w:rsidRPr="0050486B">
              <w:rPr>
                <w:b/>
                <w:bCs/>
                <w:color w:val="000000"/>
                <w:sz w:val="18"/>
                <w:szCs w:val="18"/>
                <w:lang w:eastAsia="sk-SK"/>
              </w:rPr>
              <w:t>4</w:t>
            </w:r>
          </w:p>
        </w:tc>
        <w:tc>
          <w:tcPr>
            <w:tcW w:w="836" w:type="dxa"/>
            <w:tcBorders>
              <w:top w:val="nil"/>
              <w:left w:val="nil"/>
              <w:bottom w:val="single" w:sz="8" w:space="0" w:color="auto"/>
              <w:right w:val="nil"/>
            </w:tcBorders>
            <w:shd w:val="clear" w:color="000000" w:fill="BFBFBF"/>
            <w:noWrap/>
            <w:vAlign w:val="center"/>
            <w:hideMark/>
          </w:tcPr>
          <w:p w14:paraId="607FE3E1" w14:textId="77777777" w:rsidR="00872F0C" w:rsidRPr="0050486B" w:rsidRDefault="00872F0C" w:rsidP="00872F0C">
            <w:pPr>
              <w:spacing w:after="0" w:line="240" w:lineRule="auto"/>
              <w:jc w:val="center"/>
              <w:rPr>
                <w:b/>
                <w:bCs/>
                <w:color w:val="000000"/>
                <w:sz w:val="18"/>
                <w:szCs w:val="18"/>
                <w:lang w:eastAsia="sk-SK"/>
              </w:rPr>
            </w:pPr>
            <w:r w:rsidRPr="0050486B">
              <w:rPr>
                <w:b/>
                <w:bCs/>
                <w:color w:val="000000"/>
                <w:sz w:val="18"/>
                <w:szCs w:val="18"/>
                <w:lang w:eastAsia="sk-SK"/>
              </w:rPr>
              <w:t>5=4-3</w:t>
            </w:r>
          </w:p>
        </w:tc>
        <w:tc>
          <w:tcPr>
            <w:tcW w:w="557" w:type="dxa"/>
            <w:tcBorders>
              <w:top w:val="nil"/>
              <w:left w:val="nil"/>
              <w:bottom w:val="single" w:sz="8" w:space="0" w:color="auto"/>
              <w:right w:val="nil"/>
            </w:tcBorders>
            <w:shd w:val="clear" w:color="000000" w:fill="BFBFBF"/>
            <w:noWrap/>
            <w:vAlign w:val="center"/>
            <w:hideMark/>
          </w:tcPr>
          <w:p w14:paraId="2556092E" w14:textId="77777777" w:rsidR="00872F0C" w:rsidRPr="0050486B" w:rsidRDefault="00872F0C" w:rsidP="00872F0C">
            <w:pPr>
              <w:spacing w:after="0" w:line="240" w:lineRule="auto"/>
              <w:jc w:val="center"/>
              <w:rPr>
                <w:b/>
                <w:bCs/>
                <w:color w:val="000000"/>
                <w:sz w:val="18"/>
                <w:szCs w:val="18"/>
                <w:lang w:eastAsia="sk-SK"/>
              </w:rPr>
            </w:pPr>
            <w:r w:rsidRPr="0050486B">
              <w:rPr>
                <w:b/>
                <w:bCs/>
                <w:color w:val="000000"/>
                <w:sz w:val="18"/>
                <w:szCs w:val="18"/>
                <w:lang w:eastAsia="sk-SK"/>
              </w:rPr>
              <w:t>6=4-3</w:t>
            </w:r>
          </w:p>
        </w:tc>
      </w:tr>
      <w:tr w:rsidR="00872F0C" w:rsidRPr="0050486B" w14:paraId="598A68C5" w14:textId="77777777" w:rsidTr="00872F0C">
        <w:trPr>
          <w:trHeight w:val="300"/>
        </w:trPr>
        <w:tc>
          <w:tcPr>
            <w:tcW w:w="3801" w:type="dxa"/>
            <w:tcBorders>
              <w:top w:val="nil"/>
              <w:left w:val="nil"/>
              <w:bottom w:val="nil"/>
              <w:right w:val="nil"/>
            </w:tcBorders>
            <w:shd w:val="clear" w:color="auto" w:fill="auto"/>
            <w:vAlign w:val="center"/>
            <w:hideMark/>
          </w:tcPr>
          <w:p w14:paraId="6755DC33" w14:textId="77777777" w:rsidR="00872F0C" w:rsidRPr="0050486B" w:rsidRDefault="00872F0C" w:rsidP="00872F0C">
            <w:pPr>
              <w:spacing w:after="0" w:line="240" w:lineRule="auto"/>
              <w:jc w:val="left"/>
              <w:rPr>
                <w:color w:val="000000"/>
                <w:sz w:val="18"/>
                <w:szCs w:val="18"/>
                <w:lang w:eastAsia="sk-SK"/>
              </w:rPr>
            </w:pPr>
            <w:r w:rsidRPr="0050486B">
              <w:rPr>
                <w:color w:val="000000"/>
                <w:sz w:val="18"/>
                <w:szCs w:val="18"/>
                <w:lang w:eastAsia="sk-SK"/>
              </w:rPr>
              <w:t>Služby</w:t>
            </w:r>
          </w:p>
        </w:tc>
        <w:tc>
          <w:tcPr>
            <w:tcW w:w="902" w:type="dxa"/>
            <w:tcBorders>
              <w:top w:val="nil"/>
              <w:left w:val="nil"/>
              <w:bottom w:val="nil"/>
              <w:right w:val="nil"/>
            </w:tcBorders>
            <w:shd w:val="clear" w:color="auto" w:fill="auto"/>
            <w:noWrap/>
            <w:vAlign w:val="center"/>
            <w:hideMark/>
          </w:tcPr>
          <w:p w14:paraId="63ED8830"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603 117</w:t>
            </w:r>
          </w:p>
        </w:tc>
        <w:tc>
          <w:tcPr>
            <w:tcW w:w="902" w:type="dxa"/>
            <w:tcBorders>
              <w:top w:val="nil"/>
              <w:left w:val="nil"/>
              <w:bottom w:val="nil"/>
              <w:right w:val="nil"/>
            </w:tcBorders>
            <w:shd w:val="clear" w:color="auto" w:fill="auto"/>
            <w:noWrap/>
            <w:vAlign w:val="center"/>
            <w:hideMark/>
          </w:tcPr>
          <w:p w14:paraId="2A8E765A"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554 882</w:t>
            </w:r>
          </w:p>
        </w:tc>
        <w:tc>
          <w:tcPr>
            <w:tcW w:w="902" w:type="dxa"/>
            <w:tcBorders>
              <w:top w:val="nil"/>
              <w:left w:val="nil"/>
              <w:bottom w:val="nil"/>
              <w:right w:val="nil"/>
            </w:tcBorders>
            <w:shd w:val="clear" w:color="auto" w:fill="auto"/>
            <w:noWrap/>
            <w:vAlign w:val="center"/>
            <w:hideMark/>
          </w:tcPr>
          <w:p w14:paraId="365F172A"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1 113 757</w:t>
            </w:r>
          </w:p>
        </w:tc>
        <w:tc>
          <w:tcPr>
            <w:tcW w:w="1100" w:type="dxa"/>
            <w:tcBorders>
              <w:top w:val="nil"/>
              <w:left w:val="nil"/>
              <w:bottom w:val="nil"/>
              <w:right w:val="nil"/>
            </w:tcBorders>
            <w:shd w:val="clear" w:color="000000" w:fill="BFBFBF"/>
            <w:noWrap/>
            <w:vAlign w:val="center"/>
            <w:hideMark/>
          </w:tcPr>
          <w:p w14:paraId="79087022"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713 722</w:t>
            </w:r>
          </w:p>
        </w:tc>
        <w:tc>
          <w:tcPr>
            <w:tcW w:w="836" w:type="dxa"/>
            <w:tcBorders>
              <w:top w:val="nil"/>
              <w:left w:val="nil"/>
              <w:bottom w:val="nil"/>
              <w:right w:val="nil"/>
            </w:tcBorders>
            <w:shd w:val="clear" w:color="auto" w:fill="auto"/>
            <w:noWrap/>
            <w:vAlign w:val="center"/>
            <w:hideMark/>
          </w:tcPr>
          <w:p w14:paraId="53C2CC4D"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-400 035</w:t>
            </w:r>
          </w:p>
        </w:tc>
        <w:tc>
          <w:tcPr>
            <w:tcW w:w="557" w:type="dxa"/>
            <w:tcBorders>
              <w:top w:val="nil"/>
              <w:left w:val="nil"/>
              <w:bottom w:val="nil"/>
              <w:right w:val="nil"/>
            </w:tcBorders>
            <w:shd w:val="clear" w:color="auto" w:fill="auto"/>
            <w:noWrap/>
            <w:vAlign w:val="center"/>
            <w:hideMark/>
          </w:tcPr>
          <w:p w14:paraId="73247ADD"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-35,9</w:t>
            </w:r>
          </w:p>
        </w:tc>
      </w:tr>
      <w:tr w:rsidR="00872F0C" w:rsidRPr="0050486B" w14:paraId="7E1F45AD" w14:textId="77777777" w:rsidTr="00872F0C">
        <w:trPr>
          <w:trHeight w:val="300"/>
        </w:trPr>
        <w:tc>
          <w:tcPr>
            <w:tcW w:w="3801" w:type="dxa"/>
            <w:tcBorders>
              <w:top w:val="nil"/>
              <w:left w:val="nil"/>
              <w:bottom w:val="nil"/>
              <w:right w:val="nil"/>
            </w:tcBorders>
            <w:shd w:val="clear" w:color="auto" w:fill="auto"/>
            <w:vAlign w:val="center"/>
            <w:hideMark/>
          </w:tcPr>
          <w:p w14:paraId="2DE22A67" w14:textId="77777777" w:rsidR="00872F0C" w:rsidRPr="0050486B" w:rsidRDefault="00872F0C" w:rsidP="00872F0C">
            <w:pPr>
              <w:spacing w:after="0" w:line="240" w:lineRule="auto"/>
              <w:jc w:val="left"/>
              <w:rPr>
                <w:color w:val="000000"/>
                <w:sz w:val="18"/>
                <w:szCs w:val="18"/>
                <w:lang w:eastAsia="sk-SK"/>
              </w:rPr>
            </w:pPr>
            <w:r w:rsidRPr="0050486B">
              <w:rPr>
                <w:color w:val="000000"/>
                <w:sz w:val="18"/>
                <w:szCs w:val="18"/>
                <w:lang w:eastAsia="sk-SK"/>
              </w:rPr>
              <w:t>Rutinná a štandardná údržba</w:t>
            </w:r>
          </w:p>
        </w:tc>
        <w:tc>
          <w:tcPr>
            <w:tcW w:w="902" w:type="dxa"/>
            <w:tcBorders>
              <w:top w:val="nil"/>
              <w:left w:val="nil"/>
              <w:bottom w:val="nil"/>
              <w:right w:val="nil"/>
            </w:tcBorders>
            <w:shd w:val="clear" w:color="auto" w:fill="auto"/>
            <w:noWrap/>
            <w:vAlign w:val="center"/>
            <w:hideMark/>
          </w:tcPr>
          <w:p w14:paraId="58818D47"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233 491</w:t>
            </w:r>
          </w:p>
        </w:tc>
        <w:tc>
          <w:tcPr>
            <w:tcW w:w="902" w:type="dxa"/>
            <w:tcBorders>
              <w:top w:val="nil"/>
              <w:left w:val="nil"/>
              <w:bottom w:val="nil"/>
              <w:right w:val="nil"/>
            </w:tcBorders>
            <w:shd w:val="clear" w:color="auto" w:fill="auto"/>
            <w:noWrap/>
            <w:vAlign w:val="center"/>
            <w:hideMark/>
          </w:tcPr>
          <w:p w14:paraId="7D15D127"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287 430</w:t>
            </w:r>
          </w:p>
        </w:tc>
        <w:tc>
          <w:tcPr>
            <w:tcW w:w="902" w:type="dxa"/>
            <w:tcBorders>
              <w:top w:val="nil"/>
              <w:left w:val="nil"/>
              <w:bottom w:val="nil"/>
              <w:right w:val="nil"/>
            </w:tcBorders>
            <w:shd w:val="clear" w:color="auto" w:fill="auto"/>
            <w:noWrap/>
            <w:vAlign w:val="center"/>
            <w:hideMark/>
          </w:tcPr>
          <w:p w14:paraId="4905C8BE"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246 527</w:t>
            </w:r>
          </w:p>
        </w:tc>
        <w:tc>
          <w:tcPr>
            <w:tcW w:w="1100" w:type="dxa"/>
            <w:tcBorders>
              <w:top w:val="nil"/>
              <w:left w:val="nil"/>
              <w:bottom w:val="nil"/>
              <w:right w:val="nil"/>
            </w:tcBorders>
            <w:shd w:val="clear" w:color="000000" w:fill="BFBFBF"/>
            <w:noWrap/>
            <w:vAlign w:val="center"/>
            <w:hideMark/>
          </w:tcPr>
          <w:p w14:paraId="7DF2F95C"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288 069</w:t>
            </w:r>
          </w:p>
        </w:tc>
        <w:tc>
          <w:tcPr>
            <w:tcW w:w="836" w:type="dxa"/>
            <w:tcBorders>
              <w:top w:val="nil"/>
              <w:left w:val="nil"/>
              <w:bottom w:val="nil"/>
              <w:right w:val="nil"/>
            </w:tcBorders>
            <w:shd w:val="clear" w:color="auto" w:fill="auto"/>
            <w:noWrap/>
            <w:vAlign w:val="center"/>
            <w:hideMark/>
          </w:tcPr>
          <w:p w14:paraId="6D55448B"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41 542</w:t>
            </w:r>
          </w:p>
        </w:tc>
        <w:tc>
          <w:tcPr>
            <w:tcW w:w="557" w:type="dxa"/>
            <w:tcBorders>
              <w:top w:val="nil"/>
              <w:left w:val="nil"/>
              <w:bottom w:val="nil"/>
              <w:right w:val="nil"/>
            </w:tcBorders>
            <w:shd w:val="clear" w:color="auto" w:fill="auto"/>
            <w:noWrap/>
            <w:vAlign w:val="center"/>
            <w:hideMark/>
          </w:tcPr>
          <w:p w14:paraId="7B3367BA"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16,9</w:t>
            </w:r>
          </w:p>
        </w:tc>
      </w:tr>
      <w:tr w:rsidR="00872F0C" w:rsidRPr="0050486B" w14:paraId="6D1D54C6" w14:textId="77777777" w:rsidTr="00872F0C">
        <w:trPr>
          <w:trHeight w:val="300"/>
        </w:trPr>
        <w:tc>
          <w:tcPr>
            <w:tcW w:w="3801" w:type="dxa"/>
            <w:tcBorders>
              <w:top w:val="nil"/>
              <w:left w:val="nil"/>
              <w:bottom w:val="nil"/>
              <w:right w:val="nil"/>
            </w:tcBorders>
            <w:shd w:val="clear" w:color="auto" w:fill="auto"/>
            <w:vAlign w:val="center"/>
            <w:hideMark/>
          </w:tcPr>
          <w:p w14:paraId="10C0E879" w14:textId="77777777" w:rsidR="00872F0C" w:rsidRPr="0050486B" w:rsidRDefault="00872F0C" w:rsidP="00872F0C">
            <w:pPr>
              <w:spacing w:after="0" w:line="240" w:lineRule="auto"/>
              <w:jc w:val="left"/>
              <w:rPr>
                <w:color w:val="000000"/>
                <w:sz w:val="18"/>
                <w:szCs w:val="18"/>
                <w:lang w:eastAsia="sk-SK"/>
              </w:rPr>
            </w:pPr>
            <w:r w:rsidRPr="0050486B">
              <w:rPr>
                <w:color w:val="000000"/>
                <w:sz w:val="18"/>
                <w:szCs w:val="18"/>
                <w:lang w:eastAsia="sk-SK"/>
              </w:rPr>
              <w:t>Materiál</w:t>
            </w:r>
          </w:p>
        </w:tc>
        <w:tc>
          <w:tcPr>
            <w:tcW w:w="902" w:type="dxa"/>
            <w:tcBorders>
              <w:top w:val="nil"/>
              <w:left w:val="nil"/>
              <w:bottom w:val="nil"/>
              <w:right w:val="nil"/>
            </w:tcBorders>
            <w:shd w:val="clear" w:color="auto" w:fill="auto"/>
            <w:noWrap/>
            <w:vAlign w:val="center"/>
            <w:hideMark/>
          </w:tcPr>
          <w:p w14:paraId="53A32FB7"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176 356</w:t>
            </w:r>
          </w:p>
        </w:tc>
        <w:tc>
          <w:tcPr>
            <w:tcW w:w="902" w:type="dxa"/>
            <w:tcBorders>
              <w:top w:val="nil"/>
              <w:left w:val="nil"/>
              <w:bottom w:val="nil"/>
              <w:right w:val="nil"/>
            </w:tcBorders>
            <w:shd w:val="clear" w:color="auto" w:fill="auto"/>
            <w:noWrap/>
            <w:vAlign w:val="center"/>
            <w:hideMark/>
          </w:tcPr>
          <w:p w14:paraId="366A5D71"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202 716</w:t>
            </w:r>
          </w:p>
        </w:tc>
        <w:tc>
          <w:tcPr>
            <w:tcW w:w="902" w:type="dxa"/>
            <w:tcBorders>
              <w:top w:val="nil"/>
              <w:left w:val="nil"/>
              <w:bottom w:val="nil"/>
              <w:right w:val="nil"/>
            </w:tcBorders>
            <w:shd w:val="clear" w:color="auto" w:fill="auto"/>
            <w:noWrap/>
            <w:vAlign w:val="center"/>
            <w:hideMark/>
          </w:tcPr>
          <w:p w14:paraId="298F895A"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201 576</w:t>
            </w:r>
          </w:p>
        </w:tc>
        <w:tc>
          <w:tcPr>
            <w:tcW w:w="1100" w:type="dxa"/>
            <w:tcBorders>
              <w:top w:val="nil"/>
              <w:left w:val="nil"/>
              <w:bottom w:val="nil"/>
              <w:right w:val="nil"/>
            </w:tcBorders>
            <w:shd w:val="clear" w:color="000000" w:fill="BFBFBF"/>
            <w:noWrap/>
            <w:vAlign w:val="center"/>
            <w:hideMark/>
          </w:tcPr>
          <w:p w14:paraId="0294F83F"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189 815</w:t>
            </w:r>
          </w:p>
        </w:tc>
        <w:tc>
          <w:tcPr>
            <w:tcW w:w="836" w:type="dxa"/>
            <w:tcBorders>
              <w:top w:val="nil"/>
              <w:left w:val="nil"/>
              <w:bottom w:val="nil"/>
              <w:right w:val="nil"/>
            </w:tcBorders>
            <w:shd w:val="clear" w:color="auto" w:fill="auto"/>
            <w:noWrap/>
            <w:vAlign w:val="center"/>
            <w:hideMark/>
          </w:tcPr>
          <w:p w14:paraId="2804455B"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-11 761</w:t>
            </w:r>
          </w:p>
        </w:tc>
        <w:tc>
          <w:tcPr>
            <w:tcW w:w="557" w:type="dxa"/>
            <w:tcBorders>
              <w:top w:val="nil"/>
              <w:left w:val="nil"/>
              <w:bottom w:val="nil"/>
              <w:right w:val="nil"/>
            </w:tcBorders>
            <w:shd w:val="clear" w:color="auto" w:fill="auto"/>
            <w:noWrap/>
            <w:vAlign w:val="center"/>
            <w:hideMark/>
          </w:tcPr>
          <w:p w14:paraId="46E57DF1"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-5,8</w:t>
            </w:r>
          </w:p>
        </w:tc>
      </w:tr>
      <w:tr w:rsidR="00872F0C" w:rsidRPr="0050486B" w14:paraId="307260F5" w14:textId="77777777" w:rsidTr="00872F0C">
        <w:trPr>
          <w:trHeight w:val="300"/>
        </w:trPr>
        <w:tc>
          <w:tcPr>
            <w:tcW w:w="3801" w:type="dxa"/>
            <w:tcBorders>
              <w:top w:val="nil"/>
              <w:left w:val="nil"/>
              <w:bottom w:val="nil"/>
              <w:right w:val="nil"/>
            </w:tcBorders>
            <w:shd w:val="clear" w:color="auto" w:fill="auto"/>
            <w:vAlign w:val="center"/>
            <w:hideMark/>
          </w:tcPr>
          <w:p w14:paraId="194A220C" w14:textId="77777777" w:rsidR="00872F0C" w:rsidRPr="0050486B" w:rsidRDefault="00872F0C" w:rsidP="00872F0C">
            <w:pPr>
              <w:spacing w:after="0" w:line="240" w:lineRule="auto"/>
              <w:jc w:val="left"/>
              <w:rPr>
                <w:color w:val="000000"/>
                <w:sz w:val="18"/>
                <w:szCs w:val="18"/>
                <w:lang w:eastAsia="sk-SK"/>
              </w:rPr>
            </w:pPr>
            <w:r w:rsidRPr="0050486B">
              <w:rPr>
                <w:color w:val="000000"/>
                <w:sz w:val="18"/>
                <w:szCs w:val="18"/>
                <w:lang w:eastAsia="sk-SK"/>
              </w:rPr>
              <w:t>Energie, voda a komunikácie</w:t>
            </w:r>
          </w:p>
        </w:tc>
        <w:tc>
          <w:tcPr>
            <w:tcW w:w="902" w:type="dxa"/>
            <w:tcBorders>
              <w:top w:val="nil"/>
              <w:left w:val="nil"/>
              <w:bottom w:val="nil"/>
              <w:right w:val="nil"/>
            </w:tcBorders>
            <w:shd w:val="clear" w:color="auto" w:fill="auto"/>
            <w:noWrap/>
            <w:vAlign w:val="center"/>
            <w:hideMark/>
          </w:tcPr>
          <w:p w14:paraId="4C08F269"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176 436</w:t>
            </w:r>
          </w:p>
        </w:tc>
        <w:tc>
          <w:tcPr>
            <w:tcW w:w="902" w:type="dxa"/>
            <w:tcBorders>
              <w:top w:val="nil"/>
              <w:left w:val="nil"/>
              <w:bottom w:val="nil"/>
              <w:right w:val="nil"/>
            </w:tcBorders>
            <w:shd w:val="clear" w:color="auto" w:fill="auto"/>
            <w:noWrap/>
            <w:vAlign w:val="center"/>
            <w:hideMark/>
          </w:tcPr>
          <w:p w14:paraId="0E488E00"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175 935</w:t>
            </w:r>
          </w:p>
        </w:tc>
        <w:tc>
          <w:tcPr>
            <w:tcW w:w="902" w:type="dxa"/>
            <w:tcBorders>
              <w:top w:val="nil"/>
              <w:left w:val="nil"/>
              <w:bottom w:val="nil"/>
              <w:right w:val="nil"/>
            </w:tcBorders>
            <w:shd w:val="clear" w:color="auto" w:fill="auto"/>
            <w:noWrap/>
            <w:vAlign w:val="center"/>
            <w:hideMark/>
          </w:tcPr>
          <w:p w14:paraId="107C400A"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169 697</w:t>
            </w:r>
          </w:p>
        </w:tc>
        <w:tc>
          <w:tcPr>
            <w:tcW w:w="1100" w:type="dxa"/>
            <w:tcBorders>
              <w:top w:val="nil"/>
              <w:left w:val="nil"/>
              <w:bottom w:val="nil"/>
              <w:right w:val="nil"/>
            </w:tcBorders>
            <w:shd w:val="clear" w:color="000000" w:fill="BFBFBF"/>
            <w:noWrap/>
            <w:vAlign w:val="center"/>
            <w:hideMark/>
          </w:tcPr>
          <w:p w14:paraId="09B16F4A"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178 373</w:t>
            </w:r>
          </w:p>
        </w:tc>
        <w:tc>
          <w:tcPr>
            <w:tcW w:w="836" w:type="dxa"/>
            <w:tcBorders>
              <w:top w:val="nil"/>
              <w:left w:val="nil"/>
              <w:bottom w:val="nil"/>
              <w:right w:val="nil"/>
            </w:tcBorders>
            <w:shd w:val="clear" w:color="auto" w:fill="auto"/>
            <w:noWrap/>
            <w:vAlign w:val="center"/>
            <w:hideMark/>
          </w:tcPr>
          <w:p w14:paraId="77073170"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8 676</w:t>
            </w:r>
          </w:p>
        </w:tc>
        <w:tc>
          <w:tcPr>
            <w:tcW w:w="557" w:type="dxa"/>
            <w:tcBorders>
              <w:top w:val="nil"/>
              <w:left w:val="nil"/>
              <w:bottom w:val="nil"/>
              <w:right w:val="nil"/>
            </w:tcBorders>
            <w:shd w:val="clear" w:color="auto" w:fill="auto"/>
            <w:noWrap/>
            <w:vAlign w:val="center"/>
            <w:hideMark/>
          </w:tcPr>
          <w:p w14:paraId="6A00816F"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5,1</w:t>
            </w:r>
          </w:p>
        </w:tc>
      </w:tr>
      <w:tr w:rsidR="00872F0C" w:rsidRPr="0050486B" w14:paraId="5C87A2D0" w14:textId="77777777" w:rsidTr="00872F0C">
        <w:trPr>
          <w:trHeight w:val="435"/>
        </w:trPr>
        <w:tc>
          <w:tcPr>
            <w:tcW w:w="3801" w:type="dxa"/>
            <w:tcBorders>
              <w:top w:val="nil"/>
              <w:left w:val="nil"/>
              <w:bottom w:val="nil"/>
              <w:right w:val="nil"/>
            </w:tcBorders>
            <w:shd w:val="clear" w:color="auto" w:fill="auto"/>
            <w:vAlign w:val="center"/>
            <w:hideMark/>
          </w:tcPr>
          <w:p w14:paraId="2EFE647B" w14:textId="77777777" w:rsidR="00872F0C" w:rsidRPr="0050486B" w:rsidRDefault="00872F0C" w:rsidP="00872F0C">
            <w:pPr>
              <w:spacing w:after="0" w:line="240" w:lineRule="auto"/>
              <w:jc w:val="left"/>
              <w:rPr>
                <w:color w:val="000000"/>
                <w:sz w:val="18"/>
                <w:szCs w:val="18"/>
                <w:lang w:eastAsia="sk-SK"/>
              </w:rPr>
            </w:pPr>
            <w:r w:rsidRPr="0050486B">
              <w:rPr>
                <w:color w:val="000000"/>
                <w:sz w:val="18"/>
                <w:szCs w:val="18"/>
                <w:lang w:eastAsia="sk-SK"/>
              </w:rPr>
              <w:t>Nájomné za nájom nehnuteľných a hnuteľných vecí</w:t>
            </w:r>
          </w:p>
        </w:tc>
        <w:tc>
          <w:tcPr>
            <w:tcW w:w="902" w:type="dxa"/>
            <w:tcBorders>
              <w:top w:val="nil"/>
              <w:left w:val="nil"/>
              <w:bottom w:val="nil"/>
              <w:right w:val="nil"/>
            </w:tcBorders>
            <w:shd w:val="clear" w:color="auto" w:fill="auto"/>
            <w:noWrap/>
            <w:vAlign w:val="center"/>
            <w:hideMark/>
          </w:tcPr>
          <w:p w14:paraId="7061957A"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163 352</w:t>
            </w:r>
          </w:p>
        </w:tc>
        <w:tc>
          <w:tcPr>
            <w:tcW w:w="902" w:type="dxa"/>
            <w:tcBorders>
              <w:top w:val="nil"/>
              <w:left w:val="nil"/>
              <w:bottom w:val="nil"/>
              <w:right w:val="nil"/>
            </w:tcBorders>
            <w:shd w:val="clear" w:color="auto" w:fill="auto"/>
            <w:noWrap/>
            <w:vAlign w:val="center"/>
            <w:hideMark/>
          </w:tcPr>
          <w:p w14:paraId="6AB05E82"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164 733</w:t>
            </w:r>
          </w:p>
        </w:tc>
        <w:tc>
          <w:tcPr>
            <w:tcW w:w="902" w:type="dxa"/>
            <w:tcBorders>
              <w:top w:val="nil"/>
              <w:left w:val="nil"/>
              <w:bottom w:val="nil"/>
              <w:right w:val="nil"/>
            </w:tcBorders>
            <w:shd w:val="clear" w:color="auto" w:fill="auto"/>
            <w:noWrap/>
            <w:vAlign w:val="center"/>
            <w:hideMark/>
          </w:tcPr>
          <w:p w14:paraId="0B267E5E"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164 313</w:t>
            </w:r>
          </w:p>
        </w:tc>
        <w:tc>
          <w:tcPr>
            <w:tcW w:w="1100" w:type="dxa"/>
            <w:tcBorders>
              <w:top w:val="nil"/>
              <w:left w:val="nil"/>
              <w:bottom w:val="nil"/>
              <w:right w:val="nil"/>
            </w:tcBorders>
            <w:shd w:val="clear" w:color="000000" w:fill="BFBFBF"/>
            <w:noWrap/>
            <w:vAlign w:val="center"/>
            <w:hideMark/>
          </w:tcPr>
          <w:p w14:paraId="5ECA8728"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163 704</w:t>
            </w:r>
          </w:p>
        </w:tc>
        <w:tc>
          <w:tcPr>
            <w:tcW w:w="836" w:type="dxa"/>
            <w:tcBorders>
              <w:top w:val="nil"/>
              <w:left w:val="nil"/>
              <w:bottom w:val="nil"/>
              <w:right w:val="nil"/>
            </w:tcBorders>
            <w:shd w:val="clear" w:color="auto" w:fill="auto"/>
            <w:noWrap/>
            <w:vAlign w:val="center"/>
            <w:hideMark/>
          </w:tcPr>
          <w:p w14:paraId="1AAFED6A"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-609</w:t>
            </w:r>
          </w:p>
        </w:tc>
        <w:tc>
          <w:tcPr>
            <w:tcW w:w="557" w:type="dxa"/>
            <w:tcBorders>
              <w:top w:val="nil"/>
              <w:left w:val="nil"/>
              <w:bottom w:val="nil"/>
              <w:right w:val="nil"/>
            </w:tcBorders>
            <w:shd w:val="clear" w:color="auto" w:fill="auto"/>
            <w:noWrap/>
            <w:vAlign w:val="center"/>
            <w:hideMark/>
          </w:tcPr>
          <w:p w14:paraId="6A33B3DA"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-0,4</w:t>
            </w:r>
          </w:p>
        </w:tc>
      </w:tr>
      <w:tr w:rsidR="00872F0C" w:rsidRPr="0050486B" w14:paraId="0E703B7D" w14:textId="77777777" w:rsidTr="00872F0C">
        <w:trPr>
          <w:trHeight w:val="300"/>
        </w:trPr>
        <w:tc>
          <w:tcPr>
            <w:tcW w:w="3801" w:type="dxa"/>
            <w:tcBorders>
              <w:top w:val="nil"/>
              <w:left w:val="nil"/>
              <w:bottom w:val="nil"/>
              <w:right w:val="nil"/>
            </w:tcBorders>
            <w:shd w:val="clear" w:color="auto" w:fill="auto"/>
            <w:vAlign w:val="center"/>
            <w:hideMark/>
          </w:tcPr>
          <w:p w14:paraId="5A7DDFA0" w14:textId="77777777" w:rsidR="00872F0C" w:rsidRPr="0050486B" w:rsidRDefault="00872F0C" w:rsidP="00872F0C">
            <w:pPr>
              <w:spacing w:after="0" w:line="240" w:lineRule="auto"/>
              <w:jc w:val="left"/>
              <w:rPr>
                <w:color w:val="000000"/>
                <w:sz w:val="18"/>
                <w:szCs w:val="18"/>
                <w:lang w:eastAsia="sk-SK"/>
              </w:rPr>
            </w:pPr>
            <w:r w:rsidRPr="0050486B">
              <w:rPr>
                <w:color w:val="000000"/>
                <w:sz w:val="18"/>
                <w:szCs w:val="18"/>
                <w:lang w:eastAsia="sk-SK"/>
              </w:rPr>
              <w:t>Dopravné</w:t>
            </w:r>
          </w:p>
        </w:tc>
        <w:tc>
          <w:tcPr>
            <w:tcW w:w="902" w:type="dxa"/>
            <w:tcBorders>
              <w:top w:val="nil"/>
              <w:left w:val="nil"/>
              <w:bottom w:val="nil"/>
              <w:right w:val="nil"/>
            </w:tcBorders>
            <w:shd w:val="clear" w:color="auto" w:fill="auto"/>
            <w:noWrap/>
            <w:vAlign w:val="center"/>
            <w:hideMark/>
          </w:tcPr>
          <w:p w14:paraId="29F8E3B4"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69 369</w:t>
            </w:r>
          </w:p>
        </w:tc>
        <w:tc>
          <w:tcPr>
            <w:tcW w:w="902" w:type="dxa"/>
            <w:tcBorders>
              <w:top w:val="nil"/>
              <w:left w:val="nil"/>
              <w:bottom w:val="nil"/>
              <w:right w:val="nil"/>
            </w:tcBorders>
            <w:shd w:val="clear" w:color="auto" w:fill="auto"/>
            <w:noWrap/>
            <w:vAlign w:val="center"/>
            <w:hideMark/>
          </w:tcPr>
          <w:p w14:paraId="4C443D6B"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62 949</w:t>
            </w:r>
          </w:p>
        </w:tc>
        <w:tc>
          <w:tcPr>
            <w:tcW w:w="902" w:type="dxa"/>
            <w:tcBorders>
              <w:top w:val="nil"/>
              <w:left w:val="nil"/>
              <w:bottom w:val="nil"/>
              <w:right w:val="nil"/>
            </w:tcBorders>
            <w:shd w:val="clear" w:color="auto" w:fill="auto"/>
            <w:noWrap/>
            <w:vAlign w:val="center"/>
            <w:hideMark/>
          </w:tcPr>
          <w:p w14:paraId="70F50138"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71 298</w:t>
            </w:r>
          </w:p>
        </w:tc>
        <w:tc>
          <w:tcPr>
            <w:tcW w:w="1100" w:type="dxa"/>
            <w:tcBorders>
              <w:top w:val="nil"/>
              <w:left w:val="nil"/>
              <w:bottom w:val="nil"/>
              <w:right w:val="nil"/>
            </w:tcBorders>
            <w:shd w:val="clear" w:color="000000" w:fill="BFBFBF"/>
            <w:noWrap/>
            <w:vAlign w:val="center"/>
            <w:hideMark/>
          </w:tcPr>
          <w:p w14:paraId="023CA8E6"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67 937</w:t>
            </w:r>
          </w:p>
        </w:tc>
        <w:tc>
          <w:tcPr>
            <w:tcW w:w="836" w:type="dxa"/>
            <w:tcBorders>
              <w:top w:val="nil"/>
              <w:left w:val="nil"/>
              <w:bottom w:val="nil"/>
              <w:right w:val="nil"/>
            </w:tcBorders>
            <w:shd w:val="clear" w:color="auto" w:fill="auto"/>
            <w:noWrap/>
            <w:vAlign w:val="center"/>
            <w:hideMark/>
          </w:tcPr>
          <w:p w14:paraId="6C28343A"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-3 361</w:t>
            </w:r>
          </w:p>
        </w:tc>
        <w:tc>
          <w:tcPr>
            <w:tcW w:w="557" w:type="dxa"/>
            <w:tcBorders>
              <w:top w:val="nil"/>
              <w:left w:val="nil"/>
              <w:bottom w:val="nil"/>
              <w:right w:val="nil"/>
            </w:tcBorders>
            <w:shd w:val="clear" w:color="auto" w:fill="auto"/>
            <w:noWrap/>
            <w:vAlign w:val="center"/>
            <w:hideMark/>
          </w:tcPr>
          <w:p w14:paraId="5D688982"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-4,7</w:t>
            </w:r>
          </w:p>
        </w:tc>
      </w:tr>
      <w:tr w:rsidR="00872F0C" w:rsidRPr="0050486B" w14:paraId="0A738B46" w14:textId="77777777" w:rsidTr="00872F0C">
        <w:trPr>
          <w:trHeight w:val="300"/>
        </w:trPr>
        <w:tc>
          <w:tcPr>
            <w:tcW w:w="3801" w:type="dxa"/>
            <w:tcBorders>
              <w:top w:val="nil"/>
              <w:left w:val="nil"/>
              <w:bottom w:val="nil"/>
              <w:right w:val="nil"/>
            </w:tcBorders>
            <w:shd w:val="clear" w:color="auto" w:fill="auto"/>
            <w:vAlign w:val="center"/>
            <w:hideMark/>
          </w:tcPr>
          <w:p w14:paraId="02A6D62C" w14:textId="77777777" w:rsidR="00872F0C" w:rsidRPr="0050486B" w:rsidRDefault="00872F0C" w:rsidP="00872F0C">
            <w:pPr>
              <w:spacing w:after="0" w:line="240" w:lineRule="auto"/>
              <w:jc w:val="left"/>
              <w:rPr>
                <w:color w:val="000000"/>
                <w:sz w:val="18"/>
                <w:szCs w:val="18"/>
                <w:lang w:eastAsia="sk-SK"/>
              </w:rPr>
            </w:pPr>
            <w:r w:rsidRPr="0050486B">
              <w:rPr>
                <w:color w:val="000000"/>
                <w:sz w:val="18"/>
                <w:szCs w:val="18"/>
                <w:lang w:eastAsia="sk-SK"/>
              </w:rPr>
              <w:t>Cestovné náhrady</w:t>
            </w:r>
          </w:p>
        </w:tc>
        <w:tc>
          <w:tcPr>
            <w:tcW w:w="902" w:type="dxa"/>
            <w:tcBorders>
              <w:top w:val="nil"/>
              <w:left w:val="nil"/>
              <w:bottom w:val="nil"/>
              <w:right w:val="nil"/>
            </w:tcBorders>
            <w:shd w:val="clear" w:color="auto" w:fill="auto"/>
            <w:noWrap/>
            <w:vAlign w:val="center"/>
            <w:hideMark/>
          </w:tcPr>
          <w:p w14:paraId="55730C75"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37 233</w:t>
            </w:r>
          </w:p>
        </w:tc>
        <w:tc>
          <w:tcPr>
            <w:tcW w:w="902" w:type="dxa"/>
            <w:tcBorders>
              <w:top w:val="nil"/>
              <w:left w:val="nil"/>
              <w:bottom w:val="nil"/>
              <w:right w:val="nil"/>
            </w:tcBorders>
            <w:shd w:val="clear" w:color="auto" w:fill="auto"/>
            <w:noWrap/>
            <w:vAlign w:val="center"/>
            <w:hideMark/>
          </w:tcPr>
          <w:p w14:paraId="39B1C05E"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35 059</w:t>
            </w:r>
          </w:p>
        </w:tc>
        <w:tc>
          <w:tcPr>
            <w:tcW w:w="902" w:type="dxa"/>
            <w:tcBorders>
              <w:top w:val="nil"/>
              <w:left w:val="nil"/>
              <w:bottom w:val="nil"/>
              <w:right w:val="nil"/>
            </w:tcBorders>
            <w:shd w:val="clear" w:color="auto" w:fill="auto"/>
            <w:noWrap/>
            <w:vAlign w:val="center"/>
            <w:hideMark/>
          </w:tcPr>
          <w:p w14:paraId="732DBB26"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31 554</w:t>
            </w:r>
          </w:p>
        </w:tc>
        <w:tc>
          <w:tcPr>
            <w:tcW w:w="1100" w:type="dxa"/>
            <w:tcBorders>
              <w:top w:val="nil"/>
              <w:left w:val="nil"/>
              <w:bottom w:val="nil"/>
              <w:right w:val="nil"/>
            </w:tcBorders>
            <w:shd w:val="clear" w:color="000000" w:fill="BFBFBF"/>
            <w:noWrap/>
            <w:vAlign w:val="center"/>
            <w:hideMark/>
          </w:tcPr>
          <w:p w14:paraId="3C719B50"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33 032</w:t>
            </w:r>
          </w:p>
        </w:tc>
        <w:tc>
          <w:tcPr>
            <w:tcW w:w="836" w:type="dxa"/>
            <w:tcBorders>
              <w:top w:val="nil"/>
              <w:left w:val="nil"/>
              <w:bottom w:val="single" w:sz="8" w:space="0" w:color="auto"/>
              <w:right w:val="nil"/>
            </w:tcBorders>
            <w:shd w:val="clear" w:color="auto" w:fill="auto"/>
            <w:noWrap/>
            <w:vAlign w:val="center"/>
            <w:hideMark/>
          </w:tcPr>
          <w:p w14:paraId="6D60254D"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1 478</w:t>
            </w:r>
          </w:p>
        </w:tc>
        <w:tc>
          <w:tcPr>
            <w:tcW w:w="557" w:type="dxa"/>
            <w:tcBorders>
              <w:top w:val="nil"/>
              <w:left w:val="nil"/>
              <w:bottom w:val="single" w:sz="8" w:space="0" w:color="auto"/>
              <w:right w:val="nil"/>
            </w:tcBorders>
            <w:shd w:val="clear" w:color="auto" w:fill="auto"/>
            <w:noWrap/>
            <w:vAlign w:val="center"/>
            <w:hideMark/>
          </w:tcPr>
          <w:p w14:paraId="1C83E1A0"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4,7</w:t>
            </w:r>
          </w:p>
        </w:tc>
      </w:tr>
      <w:tr w:rsidR="00872F0C" w:rsidRPr="0050486B" w14:paraId="72E0F2E8" w14:textId="77777777" w:rsidTr="00872F0C">
        <w:trPr>
          <w:trHeight w:val="300"/>
        </w:trPr>
        <w:tc>
          <w:tcPr>
            <w:tcW w:w="3801" w:type="dxa"/>
            <w:tcBorders>
              <w:top w:val="single" w:sz="8" w:space="0" w:color="auto"/>
              <w:left w:val="nil"/>
              <w:bottom w:val="single" w:sz="8" w:space="0" w:color="auto"/>
              <w:right w:val="nil"/>
            </w:tcBorders>
            <w:shd w:val="clear" w:color="auto" w:fill="auto"/>
            <w:vAlign w:val="center"/>
            <w:hideMark/>
          </w:tcPr>
          <w:p w14:paraId="0DB2AF3C" w14:textId="77777777" w:rsidR="00872F0C" w:rsidRPr="0050486B" w:rsidRDefault="00872F0C" w:rsidP="00872F0C">
            <w:pPr>
              <w:spacing w:after="0" w:line="240" w:lineRule="auto"/>
              <w:jc w:val="left"/>
              <w:rPr>
                <w:b/>
                <w:bCs/>
                <w:color w:val="000000"/>
                <w:sz w:val="18"/>
                <w:szCs w:val="18"/>
                <w:lang w:eastAsia="sk-SK"/>
              </w:rPr>
            </w:pPr>
            <w:r w:rsidRPr="0050486B">
              <w:rPr>
                <w:b/>
                <w:bCs/>
                <w:color w:val="000000"/>
                <w:sz w:val="18"/>
                <w:szCs w:val="18"/>
                <w:lang w:eastAsia="sk-SK"/>
              </w:rPr>
              <w:t>Tovary a služby spolu</w:t>
            </w:r>
          </w:p>
        </w:tc>
        <w:tc>
          <w:tcPr>
            <w:tcW w:w="902" w:type="dxa"/>
            <w:tcBorders>
              <w:top w:val="single" w:sz="8" w:space="0" w:color="auto"/>
              <w:left w:val="nil"/>
              <w:bottom w:val="single" w:sz="8" w:space="0" w:color="auto"/>
              <w:right w:val="nil"/>
            </w:tcBorders>
            <w:shd w:val="clear" w:color="auto" w:fill="auto"/>
            <w:noWrap/>
            <w:vAlign w:val="center"/>
            <w:hideMark/>
          </w:tcPr>
          <w:p w14:paraId="1AF94A1F" w14:textId="77777777" w:rsidR="00872F0C" w:rsidRPr="0050486B" w:rsidRDefault="00872F0C" w:rsidP="00872F0C">
            <w:pPr>
              <w:spacing w:after="0" w:line="240" w:lineRule="auto"/>
              <w:jc w:val="right"/>
              <w:rPr>
                <w:b/>
                <w:bCs/>
                <w:color w:val="000000"/>
                <w:sz w:val="18"/>
                <w:szCs w:val="18"/>
                <w:lang w:eastAsia="sk-SK"/>
              </w:rPr>
            </w:pPr>
            <w:r w:rsidRPr="0050486B">
              <w:rPr>
                <w:b/>
                <w:bCs/>
                <w:color w:val="000000"/>
                <w:sz w:val="18"/>
                <w:szCs w:val="18"/>
                <w:lang w:eastAsia="sk-SK"/>
              </w:rPr>
              <w:t>1 459 354</w:t>
            </w:r>
          </w:p>
        </w:tc>
        <w:tc>
          <w:tcPr>
            <w:tcW w:w="902" w:type="dxa"/>
            <w:tcBorders>
              <w:top w:val="single" w:sz="8" w:space="0" w:color="auto"/>
              <w:left w:val="nil"/>
              <w:bottom w:val="single" w:sz="8" w:space="0" w:color="auto"/>
              <w:right w:val="nil"/>
            </w:tcBorders>
            <w:shd w:val="clear" w:color="auto" w:fill="auto"/>
            <w:noWrap/>
            <w:vAlign w:val="center"/>
            <w:hideMark/>
          </w:tcPr>
          <w:p w14:paraId="689D3903" w14:textId="77777777" w:rsidR="00872F0C" w:rsidRPr="0050486B" w:rsidRDefault="00872F0C" w:rsidP="00872F0C">
            <w:pPr>
              <w:spacing w:after="0" w:line="240" w:lineRule="auto"/>
              <w:jc w:val="right"/>
              <w:rPr>
                <w:b/>
                <w:bCs/>
                <w:color w:val="000000"/>
                <w:sz w:val="18"/>
                <w:szCs w:val="18"/>
                <w:lang w:eastAsia="sk-SK"/>
              </w:rPr>
            </w:pPr>
            <w:r w:rsidRPr="0050486B">
              <w:rPr>
                <w:b/>
                <w:bCs/>
                <w:color w:val="000000"/>
                <w:sz w:val="18"/>
                <w:szCs w:val="18"/>
                <w:lang w:eastAsia="sk-SK"/>
              </w:rPr>
              <w:t>1 483 704</w:t>
            </w:r>
          </w:p>
        </w:tc>
        <w:tc>
          <w:tcPr>
            <w:tcW w:w="902" w:type="dxa"/>
            <w:tcBorders>
              <w:top w:val="single" w:sz="8" w:space="0" w:color="auto"/>
              <w:left w:val="nil"/>
              <w:bottom w:val="single" w:sz="8" w:space="0" w:color="auto"/>
              <w:right w:val="nil"/>
            </w:tcBorders>
            <w:shd w:val="clear" w:color="auto" w:fill="auto"/>
            <w:noWrap/>
            <w:vAlign w:val="center"/>
            <w:hideMark/>
          </w:tcPr>
          <w:p w14:paraId="72A1194E" w14:textId="77777777" w:rsidR="00872F0C" w:rsidRPr="0050486B" w:rsidRDefault="00872F0C" w:rsidP="00872F0C">
            <w:pPr>
              <w:spacing w:after="0" w:line="240" w:lineRule="auto"/>
              <w:jc w:val="right"/>
              <w:rPr>
                <w:b/>
                <w:bCs/>
                <w:color w:val="000000"/>
                <w:sz w:val="18"/>
                <w:szCs w:val="18"/>
                <w:lang w:eastAsia="sk-SK"/>
              </w:rPr>
            </w:pPr>
            <w:r w:rsidRPr="0050486B">
              <w:rPr>
                <w:b/>
                <w:bCs/>
                <w:color w:val="000000"/>
                <w:sz w:val="18"/>
                <w:szCs w:val="18"/>
                <w:lang w:eastAsia="sk-SK"/>
              </w:rPr>
              <w:t>1 998 722</w:t>
            </w:r>
          </w:p>
        </w:tc>
        <w:tc>
          <w:tcPr>
            <w:tcW w:w="1100" w:type="dxa"/>
            <w:tcBorders>
              <w:top w:val="single" w:sz="8" w:space="0" w:color="auto"/>
              <w:left w:val="nil"/>
              <w:bottom w:val="single" w:sz="8" w:space="0" w:color="auto"/>
              <w:right w:val="nil"/>
            </w:tcBorders>
            <w:shd w:val="clear" w:color="000000" w:fill="BFBFBF"/>
            <w:noWrap/>
            <w:vAlign w:val="center"/>
            <w:hideMark/>
          </w:tcPr>
          <w:p w14:paraId="2954B0C9" w14:textId="77777777" w:rsidR="00872F0C" w:rsidRPr="0050486B" w:rsidRDefault="00872F0C" w:rsidP="00872F0C">
            <w:pPr>
              <w:spacing w:after="0" w:line="240" w:lineRule="auto"/>
              <w:jc w:val="right"/>
              <w:rPr>
                <w:b/>
                <w:bCs/>
                <w:color w:val="000000"/>
                <w:sz w:val="18"/>
                <w:szCs w:val="18"/>
                <w:lang w:eastAsia="sk-SK"/>
              </w:rPr>
            </w:pPr>
            <w:r w:rsidRPr="0050486B">
              <w:rPr>
                <w:b/>
                <w:bCs/>
                <w:color w:val="000000"/>
                <w:sz w:val="18"/>
                <w:szCs w:val="18"/>
                <w:lang w:eastAsia="sk-SK"/>
              </w:rPr>
              <w:t>1 634 652</w:t>
            </w:r>
          </w:p>
        </w:tc>
        <w:tc>
          <w:tcPr>
            <w:tcW w:w="836" w:type="dxa"/>
            <w:tcBorders>
              <w:top w:val="nil"/>
              <w:left w:val="nil"/>
              <w:bottom w:val="single" w:sz="8" w:space="0" w:color="auto"/>
              <w:right w:val="nil"/>
            </w:tcBorders>
            <w:shd w:val="clear" w:color="auto" w:fill="auto"/>
            <w:noWrap/>
            <w:vAlign w:val="center"/>
            <w:hideMark/>
          </w:tcPr>
          <w:p w14:paraId="310ED4C7" w14:textId="77777777" w:rsidR="00872F0C" w:rsidRPr="0050486B" w:rsidRDefault="00872F0C" w:rsidP="00872F0C">
            <w:pPr>
              <w:spacing w:after="0" w:line="240" w:lineRule="auto"/>
              <w:jc w:val="right"/>
              <w:rPr>
                <w:b/>
                <w:bCs/>
                <w:color w:val="000000"/>
                <w:sz w:val="18"/>
                <w:szCs w:val="18"/>
                <w:lang w:eastAsia="sk-SK"/>
              </w:rPr>
            </w:pPr>
            <w:r w:rsidRPr="0050486B">
              <w:rPr>
                <w:b/>
                <w:bCs/>
                <w:color w:val="000000"/>
                <w:sz w:val="18"/>
                <w:szCs w:val="18"/>
                <w:lang w:eastAsia="sk-SK"/>
              </w:rPr>
              <w:t>-364 070</w:t>
            </w:r>
          </w:p>
        </w:tc>
        <w:tc>
          <w:tcPr>
            <w:tcW w:w="557" w:type="dxa"/>
            <w:tcBorders>
              <w:top w:val="nil"/>
              <w:left w:val="nil"/>
              <w:bottom w:val="single" w:sz="8" w:space="0" w:color="auto"/>
              <w:right w:val="nil"/>
            </w:tcBorders>
            <w:shd w:val="clear" w:color="auto" w:fill="auto"/>
            <w:noWrap/>
            <w:vAlign w:val="center"/>
            <w:hideMark/>
          </w:tcPr>
          <w:p w14:paraId="2105B441" w14:textId="77777777" w:rsidR="00872F0C" w:rsidRPr="0050486B" w:rsidRDefault="00872F0C" w:rsidP="00872F0C">
            <w:pPr>
              <w:spacing w:after="0" w:line="240" w:lineRule="auto"/>
              <w:jc w:val="right"/>
              <w:rPr>
                <w:color w:val="000000"/>
                <w:sz w:val="18"/>
                <w:szCs w:val="18"/>
                <w:lang w:eastAsia="sk-SK"/>
              </w:rPr>
            </w:pPr>
            <w:r w:rsidRPr="0050486B">
              <w:rPr>
                <w:color w:val="000000"/>
                <w:sz w:val="18"/>
                <w:szCs w:val="18"/>
                <w:lang w:eastAsia="sk-SK"/>
              </w:rPr>
              <w:t>-18,2</w:t>
            </w:r>
          </w:p>
        </w:tc>
      </w:tr>
    </w:tbl>
    <w:p w14:paraId="3AD3B18E" w14:textId="2F0B3B8D" w:rsidR="00872F0C" w:rsidRPr="00BF5D19" w:rsidRDefault="00872F0C" w:rsidP="00B13BEC">
      <w:pPr>
        <w:suppressAutoHyphens/>
        <w:jc w:val="right"/>
        <w:rPr>
          <w:sz w:val="20"/>
          <w:szCs w:val="20"/>
        </w:rPr>
      </w:pPr>
      <w:r w:rsidRPr="00B13BEC">
        <w:rPr>
          <w:sz w:val="20"/>
          <w:szCs w:val="20"/>
        </w:rPr>
        <w:t>Zdroj: MF SR</w:t>
      </w:r>
    </w:p>
    <w:p w14:paraId="6451C60B" w14:textId="36083646" w:rsidR="00135AFC" w:rsidRPr="00BF5D19" w:rsidRDefault="00872F0C" w:rsidP="00872F0C">
      <w:r w:rsidRPr="00105D17">
        <w:t xml:space="preserve">Z celkových výdavkov za </w:t>
      </w:r>
      <w:r w:rsidRPr="008C0B60">
        <w:rPr>
          <w:b/>
        </w:rPr>
        <w:t>služby</w:t>
      </w:r>
      <w:r w:rsidRPr="00105D17">
        <w:rPr>
          <w:b/>
          <w:i/>
        </w:rPr>
        <w:t xml:space="preserve"> </w:t>
      </w:r>
      <w:r w:rsidRPr="00105D17">
        <w:t>realizovaných vo výške 713 722 tis. eur</w:t>
      </w:r>
      <w:r w:rsidRPr="00105D17">
        <w:rPr>
          <w:i/>
        </w:rPr>
        <w:t xml:space="preserve"> </w:t>
      </w:r>
      <w:r w:rsidRPr="00105D17">
        <w:t xml:space="preserve">boli najvyššie výdavky orientované na </w:t>
      </w:r>
      <w:r w:rsidRPr="008C0B60">
        <w:rPr>
          <w:b/>
          <w:i/>
        </w:rPr>
        <w:t>špeciálne služby</w:t>
      </w:r>
      <w:r w:rsidRPr="00105D17">
        <w:t xml:space="preserve">, vo </w:t>
      </w:r>
      <w:r w:rsidRPr="008C0B60">
        <w:t>výške 196 089 tis. eur,</w:t>
      </w:r>
      <w:r w:rsidRPr="00105D17">
        <w:t xml:space="preserve"> pričom najviac prostriedkov na tento účel vyčerpalo</w:t>
      </w:r>
      <w:r w:rsidRPr="000E18CF">
        <w:rPr>
          <w:color w:val="FF0000"/>
        </w:rPr>
        <w:t xml:space="preserve"> </w:t>
      </w:r>
      <w:r w:rsidRPr="00705F09">
        <w:t>Ministerstvo obrany SR,</w:t>
      </w:r>
      <w:r w:rsidR="008C0B60">
        <w:t xml:space="preserve"> a to </w:t>
      </w:r>
      <w:r w:rsidR="003044C3" w:rsidRPr="003044C3">
        <w:t>v sume</w:t>
      </w:r>
      <w:r w:rsidRPr="00826731">
        <w:t xml:space="preserve"> </w:t>
      </w:r>
      <w:r w:rsidRPr="00946B5A">
        <w:t>91 883 tis. eur</w:t>
      </w:r>
      <w:r>
        <w:t>,</w:t>
      </w:r>
      <w:r w:rsidRPr="00946B5A">
        <w:t xml:space="preserve"> </w:t>
      </w:r>
      <w:r w:rsidRPr="005511BC">
        <w:t>najmä na zabezpečenie obrany štátu a v súvislosti s realizáciou modernizačných projektov rezortu obrany. V podstatnej miere sa tu podieľajú výdavky súvisiace s technickou podporou k projektom na viacúčelové vrtuľníky, viacúčelové taktické lietadlá</w:t>
      </w:r>
      <w:r w:rsidR="008C0B60">
        <w:t xml:space="preserve"> a</w:t>
      </w:r>
      <w:r w:rsidRPr="005511BC">
        <w:t xml:space="preserve"> lietadlá SPARTAN.</w:t>
      </w:r>
      <w:r>
        <w:t xml:space="preserve"> </w:t>
      </w:r>
      <w:r w:rsidRPr="00826731">
        <w:t>Významnou sumou sa na čerpaní výdavkov na špeciálne služby podieľalo</w:t>
      </w:r>
      <w:r>
        <w:t xml:space="preserve"> aj</w:t>
      </w:r>
      <w:r w:rsidRPr="00826731">
        <w:t xml:space="preserve"> </w:t>
      </w:r>
      <w:r w:rsidRPr="00705F09">
        <w:t>Ministerstvo pôdohospodárstva a rozvoja vidieka SR</w:t>
      </w:r>
      <w:r w:rsidR="00D351AB">
        <w:t>,</w:t>
      </w:r>
      <w:r w:rsidRPr="00826731">
        <w:t xml:space="preserve"> a to 36 828 tis. eur. Z toho čiastka 32 830 tis. eur predstavuje finančné prostriedky účelovo určené ako mimoriadna podpora slovenským poľnohospodárom, prvovýrobcom v oblasti rastlinnej a</w:t>
      </w:r>
      <w:r w:rsidR="00066627">
        <w:t> </w:t>
      </w:r>
      <w:r w:rsidRPr="00826731">
        <w:t>živočíšnej výroby v roku 2018. Zvyšnú sumu tvorili finančné prostriedky vynaložené v súvislosti so zabezpečením financovania projektov technickej pomoci, ďalej v súvislosti s projektmi pozemkových úprav a registrov obnovenej evidencie pozemkov, taktiež na</w:t>
      </w:r>
      <w:r w:rsidR="00066627">
        <w:t> </w:t>
      </w:r>
      <w:r w:rsidRPr="00826731">
        <w:t>zabezpečenie financovania záväzkov vyplývajúcich z existujúcich zmlúv jednak na vedenie Centrálnej evidencie hospodárskych zvierat, ktorá tvorí údajovú základňu pre poskytovanie podpôr z EÚ a jednak vyplývajúcich z medzinárodnej spolupráce v oblasti vedecko-technických informácií vo</w:t>
      </w:r>
      <w:r>
        <w:t> </w:t>
      </w:r>
      <w:r w:rsidRPr="00826731">
        <w:t>vzťahu k</w:t>
      </w:r>
      <w:r>
        <w:t> FAO AGRIS (</w:t>
      </w:r>
      <w:r w:rsidRPr="00796830">
        <w:t>medzinárodný informačný systém pre poľnohospodársku vedu a</w:t>
      </w:r>
      <w:r>
        <w:t> </w:t>
      </w:r>
      <w:r w:rsidRPr="00796830">
        <w:t>technológiu</w:t>
      </w:r>
      <w:r>
        <w:t xml:space="preserve"> </w:t>
      </w:r>
      <w:r w:rsidRPr="00796830">
        <w:t>koordinovaný Organizáciou OSN</w:t>
      </w:r>
      <w:r>
        <w:t xml:space="preserve">) </w:t>
      </w:r>
      <w:r w:rsidRPr="00796830">
        <w:t>pre výživu a</w:t>
      </w:r>
      <w:r>
        <w:t> </w:t>
      </w:r>
      <w:r w:rsidRPr="00796830">
        <w:t>poľnohospodárstvo</w:t>
      </w:r>
      <w:r>
        <w:t>,</w:t>
      </w:r>
      <w:r w:rsidRPr="00826731">
        <w:t xml:space="preserve"> budovaniu a aktualizácii centrálneho katalógu knižničného fondu AGROKATALÓG.</w:t>
      </w:r>
      <w:r>
        <w:t xml:space="preserve"> </w:t>
      </w:r>
      <w:r w:rsidRPr="00826731">
        <w:t xml:space="preserve">Kapitola </w:t>
      </w:r>
      <w:r w:rsidRPr="00705F09">
        <w:t>Ministerstva spravodlivosti SR</w:t>
      </w:r>
      <w:r>
        <w:t xml:space="preserve"> </w:t>
      </w:r>
      <w:r w:rsidR="00135AFC">
        <w:t>vynaložila</w:t>
      </w:r>
      <w:r w:rsidRPr="00826731">
        <w:t xml:space="preserve"> </w:t>
      </w:r>
      <w:r>
        <w:t>na špeciálne služby sumu 15 692 tis. eur. Tieto finančné prostriedky boli určené na výdavky na súdne konania (advokátom, znalcom, tlmočníkom, prekladateľom, exekútorom, notárom, svedkom a prísediacim) a výdavky súvisiace s osobným bankrotom (odmeny pre správcov konkurzu</w:t>
      </w:r>
      <w:r w:rsidRPr="00BF5D19">
        <w:t xml:space="preserve">). </w:t>
      </w:r>
    </w:p>
    <w:p w14:paraId="664F776A" w14:textId="4C5184A2" w:rsidR="00872F0C" w:rsidRDefault="00135AFC" w:rsidP="00872F0C">
      <w:r w:rsidRPr="00135AFC">
        <w:rPr>
          <w:b/>
          <w:i/>
        </w:rPr>
        <w:t>V</w:t>
      </w:r>
      <w:r w:rsidR="00872F0C" w:rsidRPr="00135AFC">
        <w:rPr>
          <w:b/>
          <w:i/>
        </w:rPr>
        <w:t>šeobecné služby</w:t>
      </w:r>
      <w:r w:rsidR="00872F0C" w:rsidRPr="002430C1">
        <w:t>,</w:t>
      </w:r>
      <w:r w:rsidR="00872F0C">
        <w:t xml:space="preserve"> na ktoré</w:t>
      </w:r>
      <w:r w:rsidR="00872F0C" w:rsidRPr="00862CEF">
        <w:t xml:space="preserve"> vynaložili kapitoly celkovú sumu 62 811 tis. eur</w:t>
      </w:r>
      <w:r>
        <w:t xml:space="preserve"> predstavujú štandardné výkony pri správe a údržbe majetku a poskytovania výkonov jednotlivých úradov (</w:t>
      </w:r>
      <w:r w:rsidR="00872F0C" w:rsidRPr="00862CEF">
        <w:rPr>
          <w:color w:val="000000" w:themeColor="text1"/>
        </w:rPr>
        <w:t>upratovacie služby, služby spojené s užívaním nehnuteľnosti, revízie a kontroly plynových zariadení, tlmočnícku a prekladateľskú činnosť súvisiacu s vyšetrovaním v pôsobnosti Policajného zboru alebo Migračného úradu, odborné prehliadky a</w:t>
      </w:r>
      <w:r>
        <w:rPr>
          <w:color w:val="000000" w:themeColor="text1"/>
        </w:rPr>
        <w:t> </w:t>
      </w:r>
      <w:r w:rsidR="00872F0C" w:rsidRPr="00862CEF">
        <w:rPr>
          <w:color w:val="000000" w:themeColor="text1"/>
        </w:rPr>
        <w:t>skúšky</w:t>
      </w:r>
      <w:r>
        <w:rPr>
          <w:color w:val="000000" w:themeColor="text1"/>
        </w:rPr>
        <w:t xml:space="preserve"> policajnej a záchranárskej techniky,</w:t>
      </w:r>
      <w:r w:rsidR="00872F0C" w:rsidRPr="00862CEF">
        <w:rPr>
          <w:color w:val="000000" w:themeColor="text1"/>
        </w:rPr>
        <w:t xml:space="preserve"> nákup vysielacieho času pre masmédiá na zviditeľnenie finančnej pomoci zo štrukturálnych fondov, tlačiarenské a monitorovacie služby</w:t>
      </w:r>
      <w:r>
        <w:rPr>
          <w:color w:val="000000" w:themeColor="text1"/>
        </w:rPr>
        <w:t>,</w:t>
      </w:r>
      <w:r w:rsidR="00872F0C" w:rsidRPr="00862CEF">
        <w:rPr>
          <w:color w:val="000000" w:themeColor="text1"/>
        </w:rPr>
        <w:t xml:space="preserve"> </w:t>
      </w:r>
      <w:r w:rsidR="00872F0C">
        <w:rPr>
          <w:color w:val="000000" w:themeColor="text1"/>
        </w:rPr>
        <w:t xml:space="preserve">odvoz </w:t>
      </w:r>
      <w:r w:rsidR="00872F0C" w:rsidRPr="00862CEF">
        <w:rPr>
          <w:color w:val="000000" w:themeColor="text1"/>
        </w:rPr>
        <w:t>odpadu</w:t>
      </w:r>
      <w:r>
        <w:rPr>
          <w:color w:val="000000" w:themeColor="text1"/>
        </w:rPr>
        <w:t xml:space="preserve">, </w:t>
      </w:r>
      <w:r w:rsidR="00872F0C">
        <w:rPr>
          <w:color w:val="000000" w:themeColor="text1"/>
        </w:rPr>
        <w:t>tlač kontrolných známok na lieh a tabak, zabezpečenie potravinových balíčkov, hygienických balíčkov a teplého jedla pre najodkázanejšie osoby</w:t>
      </w:r>
      <w:r>
        <w:rPr>
          <w:color w:val="000000" w:themeColor="text1"/>
        </w:rPr>
        <w:t>,</w:t>
      </w:r>
      <w:r w:rsidR="00872F0C">
        <w:rPr>
          <w:color w:val="000000" w:themeColor="text1"/>
        </w:rPr>
        <w:t xml:space="preserve"> veterinárn</w:t>
      </w:r>
      <w:r>
        <w:rPr>
          <w:color w:val="000000" w:themeColor="text1"/>
        </w:rPr>
        <w:t>a</w:t>
      </w:r>
      <w:r w:rsidR="00872F0C">
        <w:rPr>
          <w:color w:val="000000" w:themeColor="text1"/>
        </w:rPr>
        <w:t xml:space="preserve"> a potravinovú ochranu a kontrol</w:t>
      </w:r>
      <w:r>
        <w:rPr>
          <w:color w:val="000000" w:themeColor="text1"/>
        </w:rPr>
        <w:t>a.</w:t>
      </w:r>
    </w:p>
    <w:p w14:paraId="11A50DC1" w14:textId="00B7ED0E" w:rsidR="00872F0C" w:rsidRDefault="005A48EE" w:rsidP="00872F0C">
      <w:r w:rsidRPr="005A48EE">
        <w:rPr>
          <w:b/>
          <w:i/>
        </w:rPr>
        <w:t>S</w:t>
      </w:r>
      <w:r w:rsidR="00872F0C" w:rsidRPr="005A48EE">
        <w:rPr>
          <w:b/>
          <w:i/>
        </w:rPr>
        <w:t>lužby v oblasti informačno-komunikačných technológií</w:t>
      </w:r>
      <w:r w:rsidR="00872F0C" w:rsidRPr="00757956">
        <w:rPr>
          <w:i/>
        </w:rPr>
        <w:t xml:space="preserve"> </w:t>
      </w:r>
      <w:r>
        <w:t xml:space="preserve">dosiahli </w:t>
      </w:r>
      <w:r w:rsidR="00872F0C">
        <w:t>56 603 tis. </w:t>
      </w:r>
      <w:r w:rsidR="00872F0C" w:rsidRPr="00757956">
        <w:t>eur</w:t>
      </w:r>
      <w:r w:rsidR="00872F0C">
        <w:t>, na ktorých sa v najvyššej miere podieľalo Ministerstvo financií SR vo výške 22 622 tis. eur. Čerpanie týchto finančných prostriedkov súviselo najmä s prevádzkou informačného systému pre systém štátnej pokladnice a</w:t>
      </w:r>
      <w:r w:rsidR="00872F0C">
        <w:rPr>
          <w:color w:val="FF0000"/>
        </w:rPr>
        <w:t xml:space="preserve"> </w:t>
      </w:r>
      <w:r w:rsidR="00872F0C" w:rsidRPr="0020660A">
        <w:t>na podpornú infraštruktúru pre informačné systémy riadenia verejných financií.</w:t>
      </w:r>
    </w:p>
    <w:p w14:paraId="040D5C57" w14:textId="5408F775" w:rsidR="00872F0C" w:rsidRDefault="00872F0C" w:rsidP="00872F0C">
      <w:r w:rsidRPr="00307928">
        <w:t xml:space="preserve">Na </w:t>
      </w:r>
      <w:r w:rsidRPr="005A48EE">
        <w:rPr>
          <w:b/>
          <w:i/>
        </w:rPr>
        <w:t xml:space="preserve">nezrovnalosti a iné </w:t>
      </w:r>
      <w:proofErr w:type="spellStart"/>
      <w:r w:rsidRPr="005A48EE">
        <w:rPr>
          <w:b/>
          <w:i/>
        </w:rPr>
        <w:t>vratky</w:t>
      </w:r>
      <w:proofErr w:type="spellEnd"/>
      <w:r w:rsidRPr="005A48EE">
        <w:rPr>
          <w:b/>
          <w:i/>
        </w:rPr>
        <w:t xml:space="preserve"> za prostriedky EÚ zaradené do štátneho rozpočtu a za prostriedky spolufinancovania</w:t>
      </w:r>
      <w:r w:rsidRPr="00307928">
        <w:rPr>
          <w:i/>
        </w:rPr>
        <w:t xml:space="preserve"> </w:t>
      </w:r>
      <w:r w:rsidRPr="00307928">
        <w:t xml:space="preserve">sa </w:t>
      </w:r>
      <w:r w:rsidRPr="00A265D6">
        <w:t>použilo</w:t>
      </w:r>
      <w:r w:rsidRPr="00A265D6">
        <w:rPr>
          <w:color w:val="FF0000"/>
        </w:rPr>
        <w:t xml:space="preserve"> </w:t>
      </w:r>
      <w:r w:rsidR="004603BE" w:rsidRPr="00A265D6">
        <w:t>95</w:t>
      </w:r>
      <w:r w:rsidRPr="00A265D6">
        <w:t> </w:t>
      </w:r>
      <w:r w:rsidR="004603BE" w:rsidRPr="00A265D6">
        <w:t>131</w:t>
      </w:r>
      <w:r w:rsidRPr="00A265D6">
        <w:t> tis. eur. Na týchto výdavkoch sa najviac podieľal</w:t>
      </w:r>
      <w:r w:rsidR="004603BE" w:rsidRPr="00A265D6">
        <w:t>a Všeobecná pokladničná</w:t>
      </w:r>
      <w:r w:rsidR="001C0A69" w:rsidRPr="00A265D6">
        <w:t xml:space="preserve"> správa v sume 38 544 tis. eur, kde sa prostredníctvom tohto titulu </w:t>
      </w:r>
      <w:r w:rsidR="008C14DE" w:rsidRPr="00A265D6">
        <w:t xml:space="preserve">riešil postup vysporiadania prostriedkov určených na finančné korekcie </w:t>
      </w:r>
      <w:r w:rsidR="005A48EE" w:rsidRPr="00A265D6">
        <w:t>potvrdené</w:t>
      </w:r>
      <w:r w:rsidR="008C14DE" w:rsidRPr="00A265D6">
        <w:t xml:space="preserve"> Európskou komisiou v nadväznosti na viazanie výdavkov </w:t>
      </w:r>
      <w:r w:rsidR="008C14DE" w:rsidRPr="00A265D6">
        <w:rPr>
          <w:szCs w:val="20"/>
        </w:rPr>
        <w:t xml:space="preserve">v kapitolách. V roku 2018 sa vysporiadanie nezrovnalosti týkalo najmä </w:t>
      </w:r>
      <w:r w:rsidR="008C14DE" w:rsidRPr="00A265D6">
        <w:t>Ministerstva financií SR v sume 36 366 </w:t>
      </w:r>
      <w:r w:rsidR="00EA3540" w:rsidRPr="00A265D6">
        <w:t>tis. pre OP</w:t>
      </w:r>
      <w:r w:rsidR="002874DF" w:rsidRPr="00A265D6">
        <w:t xml:space="preserve"> </w:t>
      </w:r>
      <w:r w:rsidR="00EA3540" w:rsidRPr="00A265D6">
        <w:t>IS (Operačný pro</w:t>
      </w:r>
      <w:r w:rsidR="008C14DE" w:rsidRPr="00A265D6">
        <w:t xml:space="preserve">gram </w:t>
      </w:r>
      <w:r w:rsidR="00EA3540" w:rsidRPr="00A265D6">
        <w:t>i</w:t>
      </w:r>
      <w:r w:rsidR="008C14DE" w:rsidRPr="00A265D6">
        <w:t>nforma</w:t>
      </w:r>
      <w:r w:rsidR="00EA3540" w:rsidRPr="00A265D6">
        <w:t>tizácia spoločnosti)</w:t>
      </w:r>
      <w:r w:rsidR="008C14DE" w:rsidRPr="00A265D6">
        <w:t xml:space="preserve">. </w:t>
      </w:r>
      <w:r w:rsidR="00307928" w:rsidRPr="00A265D6">
        <w:t>Ď</w:t>
      </w:r>
      <w:r w:rsidR="004603BE" w:rsidRPr="00A265D6">
        <w:t>alšie významné čerpanie realizovalo</w:t>
      </w:r>
      <w:r w:rsidRPr="00A265D6">
        <w:t xml:space="preserve"> Ministerstvo vnútra SR sumou 30 591 tis. eur. Prostriedky</w:t>
      </w:r>
      <w:r w:rsidRPr="00307928">
        <w:t xml:space="preserve"> boli použité na úhradu identifikovaných individuálnych nezrovnalostí, ktoré boli zistené kontrolami použitia prostriedkov v rámci rôznych projektov. </w:t>
      </w:r>
    </w:p>
    <w:p w14:paraId="0F9C2410" w14:textId="4DE1E387" w:rsidR="00872F0C" w:rsidRPr="00796830" w:rsidRDefault="00872F0C" w:rsidP="00872F0C">
      <w:r w:rsidRPr="00285EA1">
        <w:t>Vý</w:t>
      </w:r>
      <w:r w:rsidR="00AE3137">
        <w:t>davky na</w:t>
      </w:r>
      <w:r w:rsidRPr="00285EA1">
        <w:rPr>
          <w:i/>
        </w:rPr>
        <w:t xml:space="preserve"> </w:t>
      </w:r>
      <w:r w:rsidRPr="000D731D">
        <w:rPr>
          <w:b/>
          <w:i/>
        </w:rPr>
        <w:t>strav</w:t>
      </w:r>
      <w:r w:rsidR="000D731D">
        <w:rPr>
          <w:b/>
          <w:i/>
        </w:rPr>
        <w:t>ovanie</w:t>
      </w:r>
      <w:r w:rsidRPr="005511BC">
        <w:t xml:space="preserve"> zamestnancov podľa platných predpisov </w:t>
      </w:r>
      <w:r w:rsidR="00AE3137">
        <w:t xml:space="preserve">boli </w:t>
      </w:r>
      <w:r>
        <w:t>v sume 53 845 tis. eur a</w:t>
      </w:r>
      <w:r w:rsidR="00066627">
        <w:t> </w:t>
      </w:r>
      <w:r w:rsidRPr="000D731D">
        <w:rPr>
          <w:b/>
          <w:i/>
        </w:rPr>
        <w:t>výdavky na štúdie, expertízy a posudky</w:t>
      </w:r>
      <w:r w:rsidRPr="00DB1206">
        <w:t xml:space="preserve"> 24 772 tis. eur</w:t>
      </w:r>
      <w:r>
        <w:t xml:space="preserve">. </w:t>
      </w:r>
      <w:r w:rsidR="00E7738F">
        <w:t>Z toho najviac čerpalo Ministerstvo vnútra SR 15 201 tis</w:t>
      </w:r>
      <w:r w:rsidR="00E7738F" w:rsidRPr="00BD02D9">
        <w:t>. eur</w:t>
      </w:r>
      <w:r w:rsidR="00BD02D9">
        <w:t xml:space="preserve">, </w:t>
      </w:r>
      <w:r w:rsidR="00BD02D9" w:rsidRPr="00BD02D9">
        <w:t xml:space="preserve">v prevažnej miere na znalecké posudky a odborné vyjadrenia v oblasti </w:t>
      </w:r>
      <w:proofErr w:type="spellStart"/>
      <w:r w:rsidR="00BD02D9" w:rsidRPr="00BD02D9">
        <w:t>toxikológie</w:t>
      </w:r>
      <w:proofErr w:type="spellEnd"/>
      <w:r w:rsidR="00BD02D9" w:rsidRPr="00BD02D9">
        <w:t>, psychológie, ekonomiky, stavebníctva, l</w:t>
      </w:r>
      <w:r w:rsidR="00331568">
        <w:t xml:space="preserve">ekárstva, pitvy, rozbory vody, </w:t>
      </w:r>
      <w:r w:rsidR="00BD02D9" w:rsidRPr="00BD02D9">
        <w:t xml:space="preserve">a iné. Požiadavky na vypracovanie znaleckých posudkov súviseli najmä s činnosťou Policajného zboru. </w:t>
      </w:r>
      <w:r>
        <w:t>Ďalšou s</w:t>
      </w:r>
      <w:r w:rsidRPr="002013E1">
        <w:t xml:space="preserve">účasťou výdavkov na služby je aj </w:t>
      </w:r>
      <w:r w:rsidRPr="000D731D">
        <w:rPr>
          <w:b/>
          <w:i/>
        </w:rPr>
        <w:t>prídel do sociálneho fondu</w:t>
      </w:r>
      <w:r w:rsidRPr="002013E1">
        <w:t>, ktorý tvor</w:t>
      </w:r>
      <w:r w:rsidR="000D731D">
        <w:t>il</w:t>
      </w:r>
      <w:r w:rsidRPr="002013E1">
        <w:t xml:space="preserve"> čiastka 22 943 tis. eur. Všetky kapitoly štátneho rozpočtu ho realizovali v súlade so zákonom č.152/1994 Z. z. o sociálnom fonde a o doplnení zákona č. 286/1992 Zb. o daniach z príjmov v znení neskorších predpisov, kde je stanovená hranica minimálnej výšky tvorby sociálneho fondu, ktorá je pre každého zamestnávateľa záväzná.</w:t>
      </w:r>
      <w:r w:rsidRPr="000E18CF">
        <w:rPr>
          <w:color w:val="FF0000"/>
        </w:rPr>
        <w:t xml:space="preserve"> </w:t>
      </w:r>
    </w:p>
    <w:p w14:paraId="71A78011" w14:textId="77777777" w:rsidR="00F251A1" w:rsidRDefault="00872F0C" w:rsidP="00872F0C">
      <w:r w:rsidRPr="00F251A1">
        <w:rPr>
          <w:b/>
        </w:rPr>
        <w:t>Rutinná a štandardná údržba</w:t>
      </w:r>
      <w:r w:rsidRPr="00934060">
        <w:t xml:space="preserve"> zahŕňa výdavky na práce a služby, ktorými sa zabezpečuje bežn</w:t>
      </w:r>
      <w:r>
        <w:t>á</w:t>
      </w:r>
      <w:r w:rsidRPr="00934060">
        <w:t xml:space="preserve"> </w:t>
      </w:r>
      <w:r>
        <w:t>prevádzka</w:t>
      </w:r>
      <w:r w:rsidRPr="00934060">
        <w:t xml:space="preserve"> majetku, napr. budov, prevádzkového zariadenia, kancelárskeho vybavenia, softvéru a pod.</w:t>
      </w:r>
      <w:r w:rsidRPr="000E18CF">
        <w:rPr>
          <w:color w:val="FF0000"/>
        </w:rPr>
        <w:t xml:space="preserve"> </w:t>
      </w:r>
      <w:r w:rsidRPr="007C6BF8">
        <w:t xml:space="preserve">Objemovo najväčšie čerpanie si vyžiadala údržba </w:t>
      </w:r>
      <w:r w:rsidRPr="00F251A1">
        <w:rPr>
          <w:b/>
          <w:i/>
        </w:rPr>
        <w:t>softvéru</w:t>
      </w:r>
      <w:r w:rsidRPr="007C6BF8">
        <w:t xml:space="preserve"> 95 123 tis. eur,</w:t>
      </w:r>
      <w:r w:rsidRPr="000E18CF">
        <w:rPr>
          <w:color w:val="FF0000"/>
        </w:rPr>
        <w:t xml:space="preserve"> </w:t>
      </w:r>
      <w:r w:rsidRPr="00EB2D2C">
        <w:t xml:space="preserve">kde najvyšší objem finančných prostriedkov čerpalo Ministerstvo financií SR </w:t>
      </w:r>
      <w:r w:rsidRPr="007C6BF8">
        <w:t xml:space="preserve">súvisí predovšetkým </w:t>
      </w:r>
      <w:r>
        <w:t xml:space="preserve">s prevádzkou a podporou informačných systémov (rezortných aj nadrezortných). V rámci tejto </w:t>
      </w:r>
      <w:r w:rsidR="00FF6E50">
        <w:t>pod</w:t>
      </w:r>
      <w:r>
        <w:t>položky boli čerpané aj zdroje EÚ a príslušné spolufinancovanie. Finančné prostriedky boli použité najmä na financovanie špecializovaných systémov pre Finančné riaditeľstvo SR, centrálnych licenčných zmluvných vzťahov a centrálneho účtovného systému na kap</w:t>
      </w:r>
      <w:r w:rsidR="00F251A1">
        <w:t>itole Ministerstva financií SR.</w:t>
      </w:r>
    </w:p>
    <w:p w14:paraId="0E1C0EF4" w14:textId="77777777" w:rsidR="00F251A1" w:rsidRDefault="00872F0C" w:rsidP="00872F0C">
      <w:r w:rsidRPr="007C6BF8">
        <w:t xml:space="preserve">Na financovanie údržby </w:t>
      </w:r>
      <w:r w:rsidRPr="00F251A1">
        <w:rPr>
          <w:b/>
          <w:i/>
        </w:rPr>
        <w:t>budov a objektov alebo ich častí</w:t>
      </w:r>
      <w:r w:rsidRPr="007C6BF8">
        <w:t xml:space="preserve"> </w:t>
      </w:r>
      <w:r w:rsidRPr="00695C12">
        <w:t>sa použilo 81 502 tis. eur, z toho najviac v kapitole</w:t>
      </w:r>
      <w:r w:rsidRPr="000E18CF">
        <w:rPr>
          <w:color w:val="FF0000"/>
        </w:rPr>
        <w:t xml:space="preserve"> </w:t>
      </w:r>
      <w:r w:rsidRPr="003834CE">
        <w:t>Ministerstva dopravy a výstavby SR</w:t>
      </w:r>
      <w:r w:rsidRPr="0072720D">
        <w:t xml:space="preserve"> </w:t>
      </w:r>
      <w:r>
        <w:t xml:space="preserve">v objeme </w:t>
      </w:r>
      <w:r w:rsidRPr="0020660A">
        <w:t>50 986 tis. eur</w:t>
      </w:r>
      <w:r>
        <w:t>,</w:t>
      </w:r>
      <w:r w:rsidRPr="0020660A">
        <w:t xml:space="preserve"> </w:t>
      </w:r>
      <w:r w:rsidRPr="003316CE">
        <w:t xml:space="preserve">na údržbu a opravu ciest I. triedy </w:t>
      </w:r>
      <w:r w:rsidRPr="0020660A">
        <w:t xml:space="preserve">a v kapitole </w:t>
      </w:r>
      <w:r w:rsidRPr="0065610E">
        <w:t xml:space="preserve">Ministerstva vnútra SR </w:t>
      </w:r>
      <w:r w:rsidRPr="00A130C9">
        <w:t>v sume</w:t>
      </w:r>
      <w:r>
        <w:rPr>
          <w:b/>
        </w:rPr>
        <w:t xml:space="preserve"> </w:t>
      </w:r>
      <w:r w:rsidRPr="0020660A">
        <w:t xml:space="preserve">15 936 tis. eur, ktoré </w:t>
      </w:r>
      <w:r>
        <w:t>tieto prostriedky</w:t>
      </w:r>
      <w:r>
        <w:rPr>
          <w:b/>
          <w:bCs/>
        </w:rPr>
        <w:t xml:space="preserve"> </w:t>
      </w:r>
      <w:r w:rsidRPr="0032785B">
        <w:rPr>
          <w:bCs/>
        </w:rPr>
        <w:t>p</w:t>
      </w:r>
      <w:r>
        <w:t>oužilo na úhradu výdavkov za práce a služby, ktorými sa zabezpečuje bežná prevádzka majetku. Súvis</w:t>
      </w:r>
      <w:r w:rsidR="00F251A1">
        <w:t>eli so stavebnými prácami, údržbou</w:t>
      </w:r>
      <w:r>
        <w:t xml:space="preserve"> a</w:t>
      </w:r>
      <w:r w:rsidR="00F251A1">
        <w:t> </w:t>
      </w:r>
      <w:r>
        <w:t>opravami</w:t>
      </w:r>
      <w:r w:rsidR="00F251A1">
        <w:t>.</w:t>
      </w:r>
      <w:r>
        <w:t xml:space="preserve"> </w:t>
      </w:r>
    </w:p>
    <w:p w14:paraId="742044F6" w14:textId="4F0B5F95" w:rsidR="00872F0C" w:rsidRDefault="00872F0C" w:rsidP="00872F0C">
      <w:r w:rsidRPr="00A130C9">
        <w:t xml:space="preserve">Výdavky spojené s údržbou </w:t>
      </w:r>
      <w:r w:rsidRPr="00F251A1">
        <w:rPr>
          <w:b/>
          <w:i/>
        </w:rPr>
        <w:t>špeciálnych strojov a prístrojov</w:t>
      </w:r>
      <w:r w:rsidRPr="00A130C9">
        <w:rPr>
          <w:i/>
        </w:rPr>
        <w:t xml:space="preserve"> </w:t>
      </w:r>
      <w:r w:rsidRPr="00A130C9">
        <w:t xml:space="preserve">boli vynaložené vo výške 46 633 tis. eur, z toho najvyššie výdavky malo </w:t>
      </w:r>
      <w:r w:rsidRPr="003834CE">
        <w:t>Ministerstvo obrany SR</w:t>
      </w:r>
      <w:r>
        <w:t>, a to</w:t>
      </w:r>
      <w:r w:rsidRPr="00A130C9">
        <w:t xml:space="preserve"> </w:t>
      </w:r>
      <w:r w:rsidR="003C45AF">
        <w:t>3</w:t>
      </w:r>
      <w:r w:rsidRPr="00A130C9">
        <w:t xml:space="preserve">8 747 tis. eur </w:t>
      </w:r>
      <w:r>
        <w:t>najmä na údržbu</w:t>
      </w:r>
      <w:r>
        <w:rPr>
          <w:color w:val="1F497D"/>
        </w:rPr>
        <w:t xml:space="preserve"> </w:t>
      </w:r>
      <w:r w:rsidRPr="00963A7E">
        <w:t>pozemnej a leteckej techniky ozbrojených síl SR, vrátane čerpania prostriedkov na</w:t>
      </w:r>
      <w:r w:rsidR="00066627">
        <w:t> </w:t>
      </w:r>
      <w:r w:rsidRPr="00963A7E">
        <w:t xml:space="preserve">Abonentnú zmluvu. </w:t>
      </w:r>
    </w:p>
    <w:p w14:paraId="7C861E0D" w14:textId="11CCB718" w:rsidR="007A5DB1" w:rsidRDefault="00872F0C" w:rsidP="007A5DB1">
      <w:pPr>
        <w:spacing w:before="120"/>
      </w:pPr>
      <w:r w:rsidRPr="002B5E6A">
        <w:t>V</w:t>
      </w:r>
      <w:r w:rsidR="007A5DB1">
        <w:t>ýdavky na spotrebný</w:t>
      </w:r>
      <w:r w:rsidRPr="002B5E6A">
        <w:t xml:space="preserve"> </w:t>
      </w:r>
      <w:r w:rsidRPr="0010567A">
        <w:rPr>
          <w:b/>
        </w:rPr>
        <w:t>materiál</w:t>
      </w:r>
      <w:r w:rsidRPr="002B5E6A">
        <w:t xml:space="preserve"> </w:t>
      </w:r>
      <w:r w:rsidR="007A5DB1">
        <w:t xml:space="preserve">dosiahli úhrnom 189 815 tis. eur, pričom ide o výdavky, ktoré súvisia priamo s prevádzkou jednotlivých rozpočtových organizácií, ale aj s poskytovaním určitej formy pomoci napr. pre fyzické osoby. Najviac prostriedkov sa vynaložilo na </w:t>
      </w:r>
      <w:r w:rsidRPr="007A5DB1">
        <w:rPr>
          <w:b/>
          <w:i/>
        </w:rPr>
        <w:t>v</w:t>
      </w:r>
      <w:r w:rsidR="007A5DB1">
        <w:rPr>
          <w:b/>
          <w:i/>
        </w:rPr>
        <w:t xml:space="preserve">šeobecný materiál </w:t>
      </w:r>
      <w:r w:rsidR="007A5DB1" w:rsidRPr="007A5DB1">
        <w:t>(</w:t>
      </w:r>
      <w:r>
        <w:t>52 588 tis. eur</w:t>
      </w:r>
      <w:r w:rsidRPr="006618CD">
        <w:t>, z toho najmä v</w:t>
      </w:r>
      <w:r>
        <w:t> </w:t>
      </w:r>
      <w:r w:rsidRPr="006618CD">
        <w:t xml:space="preserve">kapitole </w:t>
      </w:r>
      <w:r w:rsidRPr="00E737CE">
        <w:t>Ministerstva vnútra</w:t>
      </w:r>
      <w:r w:rsidRPr="006618CD">
        <w:t xml:space="preserve"> SR </w:t>
      </w:r>
      <w:r>
        <w:t>24 448 tis. eur</w:t>
      </w:r>
      <w:r w:rsidR="007A5DB1">
        <w:t xml:space="preserve"> napríklad na</w:t>
      </w:r>
      <w:r w:rsidR="00066627">
        <w:t> </w:t>
      </w:r>
      <w:r>
        <w:t xml:space="preserve">spotrebný materiál k výpočtovej technike, kancelárske potreby a tiež </w:t>
      </w:r>
      <w:r w:rsidRPr="00C3403B">
        <w:t xml:space="preserve">nákup tabuliek </w:t>
      </w:r>
      <w:r>
        <w:t>evidenčných čísel</w:t>
      </w:r>
      <w:r w:rsidRPr="00C3403B">
        <w:t> vozidiel, chemikálií pre expertíznu činnosť, očkovacích sér</w:t>
      </w:r>
      <w:r>
        <w:t xml:space="preserve"> a </w:t>
      </w:r>
      <w:r w:rsidRPr="00C3403B">
        <w:t>materiálu pre zvieratá</w:t>
      </w:r>
      <w:r w:rsidR="007A5DB1">
        <w:t>).</w:t>
      </w:r>
    </w:p>
    <w:p w14:paraId="32D93FFF" w14:textId="1543AA0F" w:rsidR="007A5DB1" w:rsidRDefault="00872F0C" w:rsidP="007A5DB1">
      <w:pPr>
        <w:spacing w:before="120"/>
      </w:pPr>
      <w:r>
        <w:t>Výdavky</w:t>
      </w:r>
      <w:r w:rsidRPr="0052461E">
        <w:t xml:space="preserve"> na </w:t>
      </w:r>
      <w:r w:rsidRPr="007A5DB1">
        <w:rPr>
          <w:b/>
          <w:i/>
        </w:rPr>
        <w:t>pracovné odevy, obuv a pracovné pomôcky</w:t>
      </w:r>
      <w:r>
        <w:rPr>
          <w:i/>
        </w:rPr>
        <w:t xml:space="preserve"> </w:t>
      </w:r>
      <w:r w:rsidRPr="0052461E">
        <w:t>v sume</w:t>
      </w:r>
      <w:r w:rsidRPr="0052461E">
        <w:rPr>
          <w:b/>
        </w:rPr>
        <w:t xml:space="preserve"> </w:t>
      </w:r>
      <w:r w:rsidRPr="0052461E">
        <w:t>31 696 tis. eur</w:t>
      </w:r>
      <w:r>
        <w:t xml:space="preserve"> boli</w:t>
      </w:r>
      <w:r w:rsidRPr="0052461E">
        <w:t xml:space="preserve"> realizované predovšetkým v rezortoch </w:t>
      </w:r>
      <w:r w:rsidRPr="00E737CE">
        <w:t>Ministerstva obrany SR</w:t>
      </w:r>
      <w:r w:rsidRPr="0052461E">
        <w:t xml:space="preserve"> </w:t>
      </w:r>
      <w:r w:rsidR="007A5DB1">
        <w:t>(</w:t>
      </w:r>
      <w:r>
        <w:t>13 730 </w:t>
      </w:r>
      <w:r w:rsidRPr="0052461E">
        <w:t>tis. eur</w:t>
      </w:r>
      <w:r w:rsidR="007A5DB1">
        <w:t xml:space="preserve">) a </w:t>
      </w:r>
      <w:r w:rsidRPr="00E737CE">
        <w:t xml:space="preserve">Ministerstva vnútra SR </w:t>
      </w:r>
      <w:r w:rsidR="007A5DB1">
        <w:t>(</w:t>
      </w:r>
      <w:r w:rsidRPr="00E737CE">
        <w:t>9 487 tis. eur</w:t>
      </w:r>
      <w:r w:rsidR="007A5DB1">
        <w:t xml:space="preserve">) </w:t>
      </w:r>
      <w:r w:rsidR="007A5DB1" w:rsidRPr="0086100C">
        <w:t>najmä na financovanie výdavkov súvisiacich so zabezpečením výstroj</w:t>
      </w:r>
      <w:r w:rsidR="007A5DB1">
        <w:t>a</w:t>
      </w:r>
      <w:r w:rsidR="007A5DB1" w:rsidRPr="0086100C">
        <w:t xml:space="preserve"> pre profesionálnych vojakov </w:t>
      </w:r>
      <w:r w:rsidR="007A5DB1" w:rsidRPr="00E737CE">
        <w:t>a</w:t>
      </w:r>
      <w:r w:rsidR="007A5DB1">
        <w:t> policajtov. Tieto dve kapitoly tvoria aj väčšinu výdavkov na špeciálny materiál (28 482 tis</w:t>
      </w:r>
      <w:r w:rsidR="007A5A77">
        <w:t>.</w:t>
      </w:r>
      <w:r w:rsidR="007A5DB1">
        <w:t xml:space="preserve"> eur) v podobe </w:t>
      </w:r>
      <w:r w:rsidRPr="00F936A0">
        <w:t>osobn</w:t>
      </w:r>
      <w:r w:rsidR="007A5DB1">
        <w:t>ých</w:t>
      </w:r>
      <w:r w:rsidRPr="00F936A0">
        <w:t xml:space="preserve"> doklad</w:t>
      </w:r>
      <w:r w:rsidR="007A5DB1">
        <w:t>ov</w:t>
      </w:r>
      <w:r w:rsidRPr="00F936A0">
        <w:t xml:space="preserve"> (napr. vodičské </w:t>
      </w:r>
      <w:r w:rsidR="007A5DB1">
        <w:t xml:space="preserve">a občianske </w:t>
      </w:r>
      <w:r w:rsidRPr="00F936A0">
        <w:t>preukazy formátu EÚ, cestovné pasy s biometriou, osvedčenia o evidencii vozidla, povolenia na pobyt, platby za</w:t>
      </w:r>
      <w:r>
        <w:t> </w:t>
      </w:r>
      <w:r w:rsidRPr="00F936A0">
        <w:t xml:space="preserve">výzbrojný materiál a obmenu zbraní a nákup </w:t>
      </w:r>
      <w:r w:rsidRPr="00872F0C">
        <w:t>streliva</w:t>
      </w:r>
      <w:r w:rsidR="007A5DB1">
        <w:t>)</w:t>
      </w:r>
      <w:r w:rsidRPr="00872F0C">
        <w:t>.</w:t>
      </w:r>
    </w:p>
    <w:p w14:paraId="150298B1" w14:textId="4ED5275E" w:rsidR="00872F0C" w:rsidRDefault="00872F0C" w:rsidP="007A5DB1">
      <w:pPr>
        <w:spacing w:before="120"/>
      </w:pPr>
      <w:r w:rsidRPr="00872F0C">
        <w:t xml:space="preserve">Na </w:t>
      </w:r>
      <w:r w:rsidRPr="001F469D">
        <w:rPr>
          <w:b/>
          <w:i/>
        </w:rPr>
        <w:t>potraviny</w:t>
      </w:r>
      <w:r w:rsidRPr="00C3403B">
        <w:t xml:space="preserve"> sa vynaložilo</w:t>
      </w:r>
      <w:r w:rsidRPr="000E18CF">
        <w:rPr>
          <w:color w:val="FF0000"/>
        </w:rPr>
        <w:t xml:space="preserve"> </w:t>
      </w:r>
      <w:r w:rsidRPr="00C3403B">
        <w:t xml:space="preserve">27 789 tis. eur, najmä v kapitole </w:t>
      </w:r>
      <w:r w:rsidRPr="003834CE">
        <w:t>Ministerstva práce, sociálnych vecí a rodiny</w:t>
      </w:r>
      <w:r w:rsidRPr="00C3403B">
        <w:t xml:space="preserve"> SR </w:t>
      </w:r>
      <w:r>
        <w:t xml:space="preserve">vo výške </w:t>
      </w:r>
      <w:r w:rsidRPr="00C3403B">
        <w:t>14 756 tis. eur</w:t>
      </w:r>
      <w:r>
        <w:t>. Z tejto sumy čiastka 12 283 tis. eur bola použitá na</w:t>
      </w:r>
      <w:r w:rsidR="00066627">
        <w:t> </w:t>
      </w:r>
      <w:r>
        <w:t xml:space="preserve">financovanie Operačného programu európskej pomoci pre najodkázanejšie osoby (FEAD) a výdavky súvisiace s prípravou stravy najmä </w:t>
      </w:r>
      <w:r w:rsidRPr="0086100C">
        <w:t>v</w:t>
      </w:r>
      <w:r>
        <w:t> štátnych detských domovoch</w:t>
      </w:r>
      <w:r w:rsidRPr="0086100C">
        <w:t>.</w:t>
      </w:r>
      <w:r>
        <w:t xml:space="preserve"> </w:t>
      </w:r>
      <w:r w:rsidRPr="00C3403B">
        <w:t>Ďalší rezort, ktorý sa významne podieľal na čerpaní finančných prostriedkov na potraviny je Ministerstvo spravodlivosti SR</w:t>
      </w:r>
      <w:r>
        <w:t xml:space="preserve"> sumou 8 605 tis. </w:t>
      </w:r>
      <w:r w:rsidRPr="0052461E">
        <w:t>eur.</w:t>
      </w:r>
      <w:r w:rsidRPr="000E18CF">
        <w:rPr>
          <w:color w:val="FF0000"/>
        </w:rPr>
        <w:t xml:space="preserve"> </w:t>
      </w:r>
      <w:r w:rsidRPr="0052461E">
        <w:t>Tieto v</w:t>
      </w:r>
      <w:r>
        <w:t>ýdavky na nákup potravín boli použité hlavne na</w:t>
      </w:r>
      <w:r w:rsidR="00066627">
        <w:t> </w:t>
      </w:r>
      <w:r>
        <w:t xml:space="preserve">prípravu stravy pre obvinených a odsúdených, príslušníkov </w:t>
      </w:r>
      <w:r w:rsidRPr="008B7E49">
        <w:t>Zboru väzenskej a</w:t>
      </w:r>
      <w:r w:rsidR="00BF5D19">
        <w:t xml:space="preserve"> </w:t>
      </w:r>
      <w:r w:rsidRPr="008B7E49">
        <w:t>justičnej stráže</w:t>
      </w:r>
      <w:r w:rsidR="00BF5D19">
        <w:t xml:space="preserve"> </w:t>
      </w:r>
      <w:r w:rsidRPr="008B7E49">
        <w:t>a</w:t>
      </w:r>
      <w:r w:rsidR="00BF5D19">
        <w:t xml:space="preserve"> </w:t>
      </w:r>
      <w:r w:rsidRPr="008B7E49">
        <w:t>zamestnancov rezortných organizácií</w:t>
      </w:r>
      <w:r>
        <w:t>.</w:t>
      </w:r>
    </w:p>
    <w:p w14:paraId="1FA87394" w14:textId="5B24DF8E" w:rsidR="00872F0C" w:rsidRPr="002A0AB1" w:rsidRDefault="00872F0C" w:rsidP="00872F0C">
      <w:r>
        <w:t>Položku</w:t>
      </w:r>
      <w:r w:rsidRPr="002B5E6A">
        <w:t xml:space="preserve"> </w:t>
      </w:r>
      <w:r w:rsidRPr="00E33214">
        <w:rPr>
          <w:b/>
        </w:rPr>
        <w:t>energie, voda a komunikácie</w:t>
      </w:r>
      <w:r w:rsidRPr="002B5E6A">
        <w:t xml:space="preserve"> </w:t>
      </w:r>
      <w:r w:rsidRPr="00283EA1">
        <w:t>tvor</w:t>
      </w:r>
      <w:r>
        <w:t>ia</w:t>
      </w:r>
      <w:r w:rsidRPr="00283EA1">
        <w:t xml:space="preserve"> súhrnné výdavky na všetky druhy energií, poštové a telekomunikačné služby</w:t>
      </w:r>
      <w:r>
        <w:t>, ako aj výdavky</w:t>
      </w:r>
      <w:r w:rsidRPr="00283EA1">
        <w:t xml:space="preserve"> na komunikačnú infraštruktúru. V rozhodujú</w:t>
      </w:r>
      <w:r w:rsidR="00AE3137">
        <w:t xml:space="preserve">cej miere </w:t>
      </w:r>
      <w:r w:rsidR="00AE3137" w:rsidRPr="00006FC6">
        <w:t xml:space="preserve">sa </w:t>
      </w:r>
      <w:r w:rsidRPr="00006FC6">
        <w:t xml:space="preserve">na nich podieľajú úhrady </w:t>
      </w:r>
      <w:r w:rsidRPr="009B2EC0">
        <w:rPr>
          <w:b/>
          <w:i/>
        </w:rPr>
        <w:t>energií</w:t>
      </w:r>
      <w:r w:rsidRPr="00006FC6">
        <w:t xml:space="preserve"> 75 692 tis. eur, z toho najviac Ministerstvo vnútra SR</w:t>
      </w:r>
      <w:r w:rsidRPr="006B4346">
        <w:t xml:space="preserve"> 26 253 tis. eur a Ministerstvo obrany SR 17 924 tis. eur. Z výdavkov na </w:t>
      </w:r>
      <w:r w:rsidRPr="009B2EC0">
        <w:rPr>
          <w:b/>
          <w:i/>
        </w:rPr>
        <w:t>komunikačnú infraštruktúru</w:t>
      </w:r>
      <w:r w:rsidRPr="000E18CF">
        <w:rPr>
          <w:color w:val="FF0000"/>
        </w:rPr>
        <w:t xml:space="preserve"> </w:t>
      </w:r>
      <w:r w:rsidRPr="006B4346">
        <w:t>51 374 tis, eur</w:t>
      </w:r>
      <w:r>
        <w:t xml:space="preserve">, významnú časť financovalo Ministerstvo financií SR 12 796 tis. eur, najmä v rámci podprogramu medzirezortného programu </w:t>
      </w:r>
      <w:r w:rsidRPr="002F59EB">
        <w:t xml:space="preserve">0EK 0D (informačné technológie financované zo štátneho rozpočtu). </w:t>
      </w:r>
      <w:r>
        <w:t>Významnú časť tvorili výdavky DataCentra na</w:t>
      </w:r>
      <w:r w:rsidR="00066627">
        <w:t> </w:t>
      </w:r>
      <w:r>
        <w:t>zabezpečenie komunikačno-technologickej infraštruktúry.</w:t>
      </w:r>
      <w:r w:rsidRPr="006B4346">
        <w:t xml:space="preserve"> </w:t>
      </w:r>
      <w:r>
        <w:t>Čerpanie výdavkov na ďa</w:t>
      </w:r>
      <w:r w:rsidRPr="001E51AA">
        <w:t>lš</w:t>
      </w:r>
      <w:r>
        <w:t>ích</w:t>
      </w:r>
      <w:r w:rsidRPr="001E51AA">
        <w:t xml:space="preserve"> podpoložk</w:t>
      </w:r>
      <w:r>
        <w:t>ách</w:t>
      </w:r>
      <w:r w:rsidRPr="001E51AA">
        <w:t xml:space="preserve"> tvoria výdavky na </w:t>
      </w:r>
      <w:r w:rsidRPr="009B2EC0">
        <w:rPr>
          <w:b/>
          <w:i/>
        </w:rPr>
        <w:t>poštové služby</w:t>
      </w:r>
      <w:r w:rsidRPr="001E51AA">
        <w:rPr>
          <w:i/>
        </w:rPr>
        <w:t xml:space="preserve"> </w:t>
      </w:r>
      <w:r w:rsidRPr="009B2EC0">
        <w:t>vo výške</w:t>
      </w:r>
      <w:r w:rsidRPr="001E51AA">
        <w:rPr>
          <w:i/>
        </w:rPr>
        <w:t xml:space="preserve"> </w:t>
      </w:r>
      <w:r w:rsidRPr="00940D7C">
        <w:t>25 108 tis. eur</w:t>
      </w:r>
      <w:r w:rsidRPr="001E51AA">
        <w:t xml:space="preserve"> a </w:t>
      </w:r>
      <w:r w:rsidRPr="009B2EC0">
        <w:rPr>
          <w:b/>
          <w:i/>
        </w:rPr>
        <w:t>telekomunikačné služby</w:t>
      </w:r>
      <w:r w:rsidRPr="001E51AA">
        <w:t xml:space="preserve"> v sume 15 09</w:t>
      </w:r>
      <w:r w:rsidR="00C8173C">
        <w:t>8</w:t>
      </w:r>
      <w:r w:rsidRPr="001E51AA">
        <w:t xml:space="preserve"> tis. eur. </w:t>
      </w:r>
    </w:p>
    <w:p w14:paraId="1C66ADDD" w14:textId="6DE28E34" w:rsidR="00872F0C" w:rsidRPr="002F59EB" w:rsidRDefault="008A1376" w:rsidP="00872F0C">
      <w:pPr>
        <w:suppressAutoHyphens/>
        <w:rPr>
          <w:b/>
          <w:i/>
        </w:rPr>
      </w:pPr>
      <w:r>
        <w:t xml:space="preserve">Výdavky na </w:t>
      </w:r>
      <w:r w:rsidR="00872F0C" w:rsidRPr="00675C6B">
        <w:rPr>
          <w:b/>
        </w:rPr>
        <w:t xml:space="preserve">nájomné </w:t>
      </w:r>
      <w:r>
        <w:rPr>
          <w:b/>
        </w:rPr>
        <w:t xml:space="preserve">za nájom </w:t>
      </w:r>
      <w:r>
        <w:t xml:space="preserve">dosiahli úhrnnom 163 704 tis. eur, z toho za nájom budov a objektov alebo ich častí 161 042 tis. eur. V rámci týchto výdavkov uhrádza </w:t>
      </w:r>
      <w:r w:rsidR="00872F0C" w:rsidRPr="00773DB5">
        <w:t>Ministerstv</w:t>
      </w:r>
      <w:r>
        <w:t xml:space="preserve">o dopravy a výstavby SR platbu za dostupnosť </w:t>
      </w:r>
      <w:r w:rsidRPr="002F59EB">
        <w:t xml:space="preserve">pre 2. balík PPP - úhradu </w:t>
      </w:r>
      <w:proofErr w:type="spellStart"/>
      <w:r w:rsidRPr="002F59EB">
        <w:t>nerozporovaných</w:t>
      </w:r>
      <w:proofErr w:type="spellEnd"/>
      <w:r w:rsidRPr="002F59EB">
        <w:t xml:space="preserve"> častí mesačných jednotkových platieb Koncesionárovi v zmysle Koncesnej zmluvy R1</w:t>
      </w:r>
      <w:r>
        <w:t xml:space="preserve"> (124</w:t>
      </w:r>
      <w:r w:rsidR="00066627">
        <w:t> </w:t>
      </w:r>
      <w:r>
        <w:t>927</w:t>
      </w:r>
      <w:r w:rsidR="00066627">
        <w:t> </w:t>
      </w:r>
      <w:r>
        <w:t>tis</w:t>
      </w:r>
      <w:r w:rsidR="007A5A77">
        <w:t>.</w:t>
      </w:r>
      <w:r w:rsidR="00066627">
        <w:t> </w:t>
      </w:r>
      <w:r>
        <w:t>eur).</w:t>
      </w:r>
      <w:r w:rsidR="00872F0C" w:rsidRPr="002F59EB">
        <w:t xml:space="preserve"> </w:t>
      </w:r>
    </w:p>
    <w:p w14:paraId="73E855C6" w14:textId="557933DE" w:rsidR="00484382" w:rsidRDefault="00872F0C" w:rsidP="00872F0C">
      <w:pPr>
        <w:suppressAutoHyphens/>
      </w:pPr>
      <w:r w:rsidRPr="00773DB5">
        <w:t xml:space="preserve">V </w:t>
      </w:r>
      <w:r w:rsidRPr="00675C6B">
        <w:rPr>
          <w:b/>
        </w:rPr>
        <w:t>dopravnom</w:t>
      </w:r>
      <w:r w:rsidRPr="00773DB5">
        <w:rPr>
          <w:b/>
          <w:i/>
        </w:rPr>
        <w:t xml:space="preserve"> </w:t>
      </w:r>
      <w:r w:rsidRPr="00773DB5">
        <w:t xml:space="preserve">sú zahrnuté výdavky na dopravu ľudí a tovaru za prevádzkovým účelom, vrátane služobných a prenajatých dopravných prostriedkov, ďalej výdavky na servis, údržbu a opravy služobných dopravných prostriedkov. </w:t>
      </w:r>
      <w:r w:rsidR="00484382">
        <w:t>Z</w:t>
      </w:r>
      <w:r w:rsidRPr="00773DB5">
        <w:t xml:space="preserve">a </w:t>
      </w:r>
      <w:r w:rsidRPr="00484382">
        <w:rPr>
          <w:b/>
        </w:rPr>
        <w:t>p</w:t>
      </w:r>
      <w:r w:rsidRPr="00484382">
        <w:rPr>
          <w:b/>
          <w:i/>
        </w:rPr>
        <w:t>alivo, mazivá, oleje, špeciálne kvapaliny</w:t>
      </w:r>
      <w:r w:rsidR="00484382">
        <w:t xml:space="preserve"> sa vynaložilo</w:t>
      </w:r>
      <w:r>
        <w:t xml:space="preserve"> </w:t>
      </w:r>
      <w:r w:rsidRPr="00773DB5">
        <w:t>31 204 tis. eur</w:t>
      </w:r>
      <w:r w:rsidR="00484382">
        <w:t xml:space="preserve"> a za </w:t>
      </w:r>
      <w:r w:rsidR="00484382" w:rsidRPr="00484382">
        <w:rPr>
          <w:b/>
          <w:i/>
        </w:rPr>
        <w:t>servis, údržb</w:t>
      </w:r>
      <w:r w:rsidR="00484382">
        <w:rPr>
          <w:b/>
          <w:i/>
        </w:rPr>
        <w:t>u</w:t>
      </w:r>
      <w:r w:rsidR="00484382" w:rsidRPr="00484382">
        <w:rPr>
          <w:b/>
          <w:i/>
        </w:rPr>
        <w:t xml:space="preserve"> a opr</w:t>
      </w:r>
      <w:r w:rsidR="00484382">
        <w:rPr>
          <w:b/>
          <w:i/>
        </w:rPr>
        <w:t>a</w:t>
      </w:r>
      <w:r w:rsidR="00484382" w:rsidRPr="00484382">
        <w:rPr>
          <w:b/>
          <w:i/>
        </w:rPr>
        <w:t>v</w:t>
      </w:r>
      <w:r w:rsidR="00484382">
        <w:rPr>
          <w:b/>
          <w:i/>
        </w:rPr>
        <w:t>y</w:t>
      </w:r>
      <w:r w:rsidR="00484382" w:rsidRPr="00484382">
        <w:rPr>
          <w:b/>
          <w:i/>
        </w:rPr>
        <w:t xml:space="preserve"> služobných dopravných prostriedkov</w:t>
      </w:r>
      <w:r w:rsidR="00484382" w:rsidRPr="00DA0E45">
        <w:t xml:space="preserve"> bol</w:t>
      </w:r>
      <w:r w:rsidR="00484382">
        <w:t>o</w:t>
      </w:r>
      <w:r w:rsidR="00484382" w:rsidRPr="00DA0E45">
        <w:t xml:space="preserve"> vynaložen</w:t>
      </w:r>
      <w:r w:rsidR="00484382">
        <w:t>ých</w:t>
      </w:r>
      <w:r w:rsidR="00484382" w:rsidRPr="00DA0E45">
        <w:t xml:space="preserve"> 25 490 tis. eur</w:t>
      </w:r>
      <w:r w:rsidR="00484382">
        <w:t>. Na oboch druhoch výdavkov sa v rozhodujúcej miere podieľa kapitola Ministerstva vnútra SR (z dôvodu početnosti organizácií a</w:t>
      </w:r>
      <w:r w:rsidR="00BF5D19">
        <w:t xml:space="preserve"> </w:t>
      </w:r>
      <w:r w:rsidR="00484382">
        <w:t xml:space="preserve">policajných a </w:t>
      </w:r>
      <w:r w:rsidR="00BF5D19">
        <w:t>záchranárskych</w:t>
      </w:r>
      <w:r w:rsidR="00484382">
        <w:t xml:space="preserve"> zložiek spadajúcich do rezortu, ktoré majú k dispozícii rôznu dopravnú techniku – vozidlá, vládnu letku, policajné vrtuľníky a</w:t>
      </w:r>
      <w:r w:rsidR="00BF5D19">
        <w:t xml:space="preserve"> </w:t>
      </w:r>
      <w:r w:rsidR="00484382">
        <w:t>ďalšie).</w:t>
      </w:r>
    </w:p>
    <w:p w14:paraId="05B3B412" w14:textId="77777777" w:rsidR="00872F0C" w:rsidRPr="00BC54C2" w:rsidRDefault="00872F0C" w:rsidP="00872F0C">
      <w:pPr>
        <w:pStyle w:val="Odsekzoznamu"/>
        <w:tabs>
          <w:tab w:val="left" w:pos="284"/>
        </w:tabs>
        <w:suppressAutoHyphens/>
        <w:spacing w:before="120" w:after="120" w:line="360" w:lineRule="auto"/>
        <w:ind w:left="0"/>
        <w:jc w:val="both"/>
        <w:rPr>
          <w:rFonts w:ascii="Times New Roman" w:hAnsi="Times New Roman"/>
          <w:b/>
        </w:rPr>
      </w:pPr>
      <w:r w:rsidRPr="00BC54C2">
        <w:rPr>
          <w:rFonts w:ascii="Times New Roman" w:hAnsi="Times New Roman"/>
          <w:b/>
        </w:rPr>
        <w:t>Bežné transfery</w:t>
      </w:r>
    </w:p>
    <w:p w14:paraId="5A0FB841" w14:textId="7A2E50EA" w:rsidR="00872F0C" w:rsidRPr="00BC54C2" w:rsidRDefault="00365D11" w:rsidP="00872F0C">
      <w:r>
        <w:t xml:space="preserve">Transfery, ako platby jednotlivcom alebo skupinám subjektov </w:t>
      </w:r>
      <w:r w:rsidR="00872F0C" w:rsidRPr="00BC54C2">
        <w:t>uskutočňované bez toho, aby ich príjemcovia poskytovali</w:t>
      </w:r>
      <w:r w:rsidR="00872F0C">
        <w:t xml:space="preserve"> v súvislosti s nimi</w:t>
      </w:r>
      <w:r w:rsidR="00872F0C" w:rsidRPr="00BC54C2">
        <w:t xml:space="preserve"> nejaké protislužby alebo tovary</w:t>
      </w:r>
      <w:r>
        <w:t>, tvorili 69 % celkových výdavkov štátneho rozpočtu v roku 2018.</w:t>
      </w:r>
      <w:r w:rsidR="00872F0C" w:rsidRPr="00BC54C2">
        <w:t xml:space="preserve"> Transferová platba všeobecného charakteru určená pre rôzne alebo neurčené ciele sa </w:t>
      </w:r>
      <w:r w:rsidR="000F3834">
        <w:t>považuje vždy za bežný transfer a</w:t>
      </w:r>
      <w:r w:rsidR="00872F0C" w:rsidRPr="00BC54C2">
        <w:t xml:space="preserve"> môže byť len finančný vo forme príspevkov, dotácií a iných finančných vzťahov. </w:t>
      </w:r>
    </w:p>
    <w:p w14:paraId="281C8BC7" w14:textId="3471A46A" w:rsidR="00872F0C" w:rsidRPr="009B6BC9" w:rsidRDefault="00872F0C" w:rsidP="00872F0C">
      <w:r w:rsidRPr="00BC54C2">
        <w:t>Bežné transfery boli realizované zo zdroja štátneho rozpočtu vo výške 9 771 657 </w:t>
      </w:r>
      <w:r>
        <w:t>tis. eur</w:t>
      </w:r>
      <w:r w:rsidR="000F3834">
        <w:t xml:space="preserve"> pričom</w:t>
      </w:r>
      <w:r>
        <w:t xml:space="preserve"> </w:t>
      </w:r>
      <w:r w:rsidR="000F3834">
        <w:t>r</w:t>
      </w:r>
      <w:r w:rsidRPr="009B6BC9">
        <w:t>ozpočet bol schválený vo výške 9 983 360 tis. eur</w:t>
      </w:r>
      <w:r w:rsidR="000F3834">
        <w:t>.</w:t>
      </w:r>
      <w:r w:rsidR="00CB7BF2">
        <w:t xml:space="preserve"> Prehľad bežných transferov podľa skupín prijímateľov poskytuje nasledovná tabuľka:</w:t>
      </w:r>
    </w:p>
    <w:tbl>
      <w:tblPr>
        <w:tblW w:w="8505" w:type="dxa"/>
        <w:tblCellMar>
          <w:left w:w="70" w:type="dxa"/>
          <w:right w:w="70" w:type="dxa"/>
        </w:tblCellMar>
        <w:tblLook w:val="04A0" w:firstRow="1" w:lastRow="0" w:firstColumn="1" w:lastColumn="0" w:noHBand="0" w:noVBand="1"/>
      </w:tblPr>
      <w:tblGrid>
        <w:gridCol w:w="2747"/>
        <w:gridCol w:w="1060"/>
        <w:gridCol w:w="980"/>
        <w:gridCol w:w="992"/>
        <w:gridCol w:w="1025"/>
        <w:gridCol w:w="851"/>
        <w:gridCol w:w="850"/>
      </w:tblGrid>
      <w:tr w:rsidR="00872F0C" w:rsidRPr="00940D7C" w14:paraId="11F50DA0" w14:textId="77777777" w:rsidTr="00DA7E33">
        <w:trPr>
          <w:trHeight w:val="329"/>
        </w:trPr>
        <w:tc>
          <w:tcPr>
            <w:tcW w:w="8505" w:type="dxa"/>
            <w:gridSpan w:val="7"/>
            <w:tcBorders>
              <w:top w:val="nil"/>
              <w:left w:val="nil"/>
              <w:bottom w:val="nil"/>
              <w:right w:val="nil"/>
            </w:tcBorders>
            <w:shd w:val="clear" w:color="000000" w:fill="000000"/>
            <w:vAlign w:val="center"/>
            <w:hideMark/>
          </w:tcPr>
          <w:p w14:paraId="6A2B15ED" w14:textId="37F53345" w:rsidR="00872F0C" w:rsidRPr="00940D7C" w:rsidRDefault="00872F0C" w:rsidP="00DA7E33">
            <w:pPr>
              <w:spacing w:after="0" w:line="240" w:lineRule="auto"/>
              <w:jc w:val="left"/>
              <w:rPr>
                <w:b/>
                <w:bCs/>
                <w:color w:val="FFFFFF"/>
                <w:sz w:val="18"/>
                <w:szCs w:val="18"/>
                <w:lang w:eastAsia="sk-SK"/>
              </w:rPr>
            </w:pPr>
            <w:r w:rsidRPr="00940D7C">
              <w:rPr>
                <w:b/>
                <w:bCs/>
                <w:color w:val="FFFFFF"/>
                <w:sz w:val="18"/>
                <w:szCs w:val="18"/>
                <w:lang w:eastAsia="sk-SK"/>
              </w:rPr>
              <w:t>Bežné transfery                                                                                                                                              v tis. eur</w:t>
            </w:r>
          </w:p>
        </w:tc>
      </w:tr>
      <w:tr w:rsidR="00872F0C" w:rsidRPr="00940D7C" w14:paraId="09B2D9FC" w14:textId="77777777" w:rsidTr="00DA7E33">
        <w:trPr>
          <w:trHeight w:val="330"/>
        </w:trPr>
        <w:tc>
          <w:tcPr>
            <w:tcW w:w="2747" w:type="dxa"/>
            <w:vMerge w:val="restart"/>
            <w:tcBorders>
              <w:top w:val="nil"/>
              <w:left w:val="nil"/>
              <w:bottom w:val="nil"/>
              <w:right w:val="nil"/>
            </w:tcBorders>
            <w:shd w:val="clear" w:color="000000" w:fill="BFBFBF"/>
            <w:vAlign w:val="center"/>
            <w:hideMark/>
          </w:tcPr>
          <w:p w14:paraId="01187584" w14:textId="77777777" w:rsidR="00872F0C" w:rsidRPr="00940D7C" w:rsidRDefault="00872F0C" w:rsidP="00872F0C">
            <w:pPr>
              <w:spacing w:after="0" w:line="240" w:lineRule="auto"/>
              <w:jc w:val="center"/>
              <w:rPr>
                <w:b/>
                <w:bCs/>
                <w:color w:val="000000"/>
                <w:sz w:val="18"/>
                <w:szCs w:val="18"/>
                <w:lang w:eastAsia="sk-SK"/>
              </w:rPr>
            </w:pPr>
            <w:r w:rsidRPr="00940D7C">
              <w:rPr>
                <w:b/>
                <w:bCs/>
                <w:color w:val="000000"/>
                <w:sz w:val="18"/>
                <w:szCs w:val="18"/>
                <w:lang w:eastAsia="sk-SK"/>
              </w:rPr>
              <w:t xml:space="preserve"> </w:t>
            </w:r>
          </w:p>
        </w:tc>
        <w:tc>
          <w:tcPr>
            <w:tcW w:w="2040" w:type="dxa"/>
            <w:gridSpan w:val="2"/>
            <w:tcBorders>
              <w:top w:val="nil"/>
              <w:left w:val="nil"/>
              <w:bottom w:val="nil"/>
              <w:right w:val="nil"/>
            </w:tcBorders>
            <w:shd w:val="clear" w:color="000000" w:fill="BFBFBF"/>
            <w:noWrap/>
            <w:vAlign w:val="center"/>
            <w:hideMark/>
          </w:tcPr>
          <w:p w14:paraId="2260F9E2" w14:textId="77777777" w:rsidR="00872F0C" w:rsidRPr="00940D7C" w:rsidRDefault="00872F0C" w:rsidP="00872F0C">
            <w:pPr>
              <w:spacing w:after="0" w:line="240" w:lineRule="auto"/>
              <w:jc w:val="center"/>
              <w:rPr>
                <w:b/>
                <w:bCs/>
                <w:color w:val="000000"/>
                <w:sz w:val="18"/>
                <w:szCs w:val="18"/>
                <w:lang w:eastAsia="sk-SK"/>
              </w:rPr>
            </w:pPr>
            <w:r w:rsidRPr="00940D7C">
              <w:rPr>
                <w:b/>
                <w:bCs/>
                <w:color w:val="000000"/>
                <w:sz w:val="18"/>
                <w:szCs w:val="18"/>
                <w:lang w:eastAsia="sk-SK"/>
              </w:rPr>
              <w:t>Skutočnosť</w:t>
            </w:r>
          </w:p>
        </w:tc>
        <w:tc>
          <w:tcPr>
            <w:tcW w:w="992" w:type="dxa"/>
            <w:tcBorders>
              <w:top w:val="nil"/>
              <w:left w:val="nil"/>
              <w:bottom w:val="nil"/>
              <w:right w:val="nil"/>
            </w:tcBorders>
            <w:shd w:val="clear" w:color="000000" w:fill="BFBFBF"/>
            <w:noWrap/>
            <w:vAlign w:val="center"/>
            <w:hideMark/>
          </w:tcPr>
          <w:p w14:paraId="7D5F1E07" w14:textId="77777777" w:rsidR="00872F0C" w:rsidRPr="00940D7C" w:rsidRDefault="00872F0C" w:rsidP="00872F0C">
            <w:pPr>
              <w:spacing w:after="0" w:line="240" w:lineRule="auto"/>
              <w:jc w:val="center"/>
              <w:rPr>
                <w:b/>
                <w:bCs/>
                <w:color w:val="000000"/>
                <w:sz w:val="18"/>
                <w:szCs w:val="18"/>
                <w:lang w:eastAsia="sk-SK"/>
              </w:rPr>
            </w:pPr>
            <w:r w:rsidRPr="00940D7C">
              <w:rPr>
                <w:b/>
                <w:bCs/>
                <w:color w:val="000000"/>
                <w:sz w:val="18"/>
                <w:szCs w:val="18"/>
                <w:lang w:eastAsia="sk-SK"/>
              </w:rPr>
              <w:t>Rozpočet</w:t>
            </w:r>
          </w:p>
        </w:tc>
        <w:tc>
          <w:tcPr>
            <w:tcW w:w="1025" w:type="dxa"/>
            <w:tcBorders>
              <w:top w:val="nil"/>
              <w:left w:val="nil"/>
              <w:bottom w:val="nil"/>
              <w:right w:val="nil"/>
            </w:tcBorders>
            <w:shd w:val="clear" w:color="000000" w:fill="BFBFBF"/>
            <w:noWrap/>
            <w:vAlign w:val="center"/>
            <w:hideMark/>
          </w:tcPr>
          <w:p w14:paraId="450FF076" w14:textId="77777777" w:rsidR="00872F0C" w:rsidRPr="00940D7C" w:rsidRDefault="00872F0C" w:rsidP="00872F0C">
            <w:pPr>
              <w:spacing w:after="0" w:line="240" w:lineRule="auto"/>
              <w:jc w:val="center"/>
              <w:rPr>
                <w:b/>
                <w:bCs/>
                <w:color w:val="000000"/>
                <w:sz w:val="18"/>
                <w:szCs w:val="18"/>
                <w:lang w:eastAsia="sk-SK"/>
              </w:rPr>
            </w:pPr>
            <w:r w:rsidRPr="00940D7C">
              <w:rPr>
                <w:b/>
                <w:bCs/>
                <w:color w:val="000000"/>
                <w:sz w:val="18"/>
                <w:szCs w:val="18"/>
                <w:lang w:eastAsia="sk-SK"/>
              </w:rPr>
              <w:t>Skutočnosť</w:t>
            </w:r>
          </w:p>
        </w:tc>
        <w:tc>
          <w:tcPr>
            <w:tcW w:w="1701" w:type="dxa"/>
            <w:gridSpan w:val="2"/>
            <w:tcBorders>
              <w:top w:val="nil"/>
              <w:left w:val="nil"/>
              <w:bottom w:val="nil"/>
              <w:right w:val="nil"/>
            </w:tcBorders>
            <w:shd w:val="clear" w:color="000000" w:fill="BFBFBF"/>
            <w:noWrap/>
            <w:vAlign w:val="center"/>
            <w:hideMark/>
          </w:tcPr>
          <w:p w14:paraId="0F88AF1E" w14:textId="77777777" w:rsidR="00872F0C" w:rsidRPr="00940D7C" w:rsidRDefault="00872F0C" w:rsidP="00872F0C">
            <w:pPr>
              <w:spacing w:after="0" w:line="240" w:lineRule="auto"/>
              <w:jc w:val="center"/>
              <w:rPr>
                <w:b/>
                <w:bCs/>
                <w:color w:val="000000"/>
                <w:sz w:val="18"/>
                <w:szCs w:val="18"/>
                <w:lang w:eastAsia="sk-SK"/>
              </w:rPr>
            </w:pPr>
            <w:r w:rsidRPr="00940D7C">
              <w:rPr>
                <w:b/>
                <w:bCs/>
                <w:color w:val="000000"/>
                <w:sz w:val="18"/>
                <w:szCs w:val="18"/>
                <w:lang w:eastAsia="sk-SK"/>
              </w:rPr>
              <w:t>Rozdiel</w:t>
            </w:r>
          </w:p>
        </w:tc>
      </w:tr>
      <w:tr w:rsidR="00872F0C" w:rsidRPr="00940D7C" w14:paraId="367609F7" w14:textId="77777777" w:rsidTr="00DA7E33">
        <w:trPr>
          <w:trHeight w:val="330"/>
        </w:trPr>
        <w:tc>
          <w:tcPr>
            <w:tcW w:w="2747" w:type="dxa"/>
            <w:vMerge/>
            <w:tcBorders>
              <w:top w:val="nil"/>
              <w:left w:val="nil"/>
              <w:bottom w:val="nil"/>
              <w:right w:val="nil"/>
            </w:tcBorders>
            <w:vAlign w:val="center"/>
            <w:hideMark/>
          </w:tcPr>
          <w:p w14:paraId="2D6141FC" w14:textId="77777777" w:rsidR="00872F0C" w:rsidRPr="00940D7C" w:rsidRDefault="00872F0C" w:rsidP="00872F0C">
            <w:pPr>
              <w:spacing w:after="0" w:line="240" w:lineRule="auto"/>
              <w:jc w:val="left"/>
              <w:rPr>
                <w:b/>
                <w:bCs/>
                <w:color w:val="000000"/>
                <w:sz w:val="18"/>
                <w:szCs w:val="18"/>
                <w:lang w:eastAsia="sk-SK"/>
              </w:rPr>
            </w:pPr>
          </w:p>
        </w:tc>
        <w:tc>
          <w:tcPr>
            <w:tcW w:w="1060" w:type="dxa"/>
            <w:tcBorders>
              <w:top w:val="nil"/>
              <w:left w:val="nil"/>
              <w:bottom w:val="nil"/>
              <w:right w:val="nil"/>
            </w:tcBorders>
            <w:shd w:val="clear" w:color="000000" w:fill="BFBFBF"/>
            <w:noWrap/>
            <w:vAlign w:val="center"/>
            <w:hideMark/>
          </w:tcPr>
          <w:p w14:paraId="072D252F" w14:textId="77777777" w:rsidR="00872F0C" w:rsidRPr="00940D7C" w:rsidRDefault="00872F0C" w:rsidP="00872F0C">
            <w:pPr>
              <w:spacing w:after="0" w:line="240" w:lineRule="auto"/>
              <w:jc w:val="center"/>
              <w:rPr>
                <w:b/>
                <w:bCs/>
                <w:color w:val="000000"/>
                <w:sz w:val="18"/>
                <w:szCs w:val="18"/>
                <w:lang w:eastAsia="sk-SK"/>
              </w:rPr>
            </w:pPr>
            <w:r w:rsidRPr="00940D7C">
              <w:rPr>
                <w:b/>
                <w:bCs/>
                <w:color w:val="000000"/>
                <w:sz w:val="18"/>
                <w:szCs w:val="18"/>
                <w:lang w:eastAsia="sk-SK"/>
              </w:rPr>
              <w:t>2016</w:t>
            </w:r>
          </w:p>
        </w:tc>
        <w:tc>
          <w:tcPr>
            <w:tcW w:w="980" w:type="dxa"/>
            <w:tcBorders>
              <w:top w:val="nil"/>
              <w:left w:val="nil"/>
              <w:bottom w:val="nil"/>
              <w:right w:val="nil"/>
            </w:tcBorders>
            <w:shd w:val="clear" w:color="000000" w:fill="BFBFBF"/>
            <w:noWrap/>
            <w:vAlign w:val="center"/>
            <w:hideMark/>
          </w:tcPr>
          <w:p w14:paraId="69F83E3C" w14:textId="77777777" w:rsidR="00872F0C" w:rsidRPr="00940D7C" w:rsidRDefault="00872F0C" w:rsidP="00872F0C">
            <w:pPr>
              <w:spacing w:after="0" w:line="240" w:lineRule="auto"/>
              <w:jc w:val="center"/>
              <w:rPr>
                <w:b/>
                <w:bCs/>
                <w:color w:val="000000"/>
                <w:sz w:val="18"/>
                <w:szCs w:val="18"/>
                <w:lang w:eastAsia="sk-SK"/>
              </w:rPr>
            </w:pPr>
            <w:r w:rsidRPr="00940D7C">
              <w:rPr>
                <w:b/>
                <w:bCs/>
                <w:color w:val="000000"/>
                <w:sz w:val="18"/>
                <w:szCs w:val="18"/>
                <w:lang w:eastAsia="sk-SK"/>
              </w:rPr>
              <w:t>2017</w:t>
            </w:r>
          </w:p>
        </w:tc>
        <w:tc>
          <w:tcPr>
            <w:tcW w:w="992" w:type="dxa"/>
            <w:tcBorders>
              <w:top w:val="nil"/>
              <w:left w:val="nil"/>
              <w:bottom w:val="nil"/>
              <w:right w:val="nil"/>
            </w:tcBorders>
            <w:shd w:val="clear" w:color="000000" w:fill="BFBFBF"/>
            <w:noWrap/>
            <w:vAlign w:val="center"/>
            <w:hideMark/>
          </w:tcPr>
          <w:p w14:paraId="73786C8B" w14:textId="77777777" w:rsidR="00872F0C" w:rsidRPr="00940D7C" w:rsidRDefault="00872F0C" w:rsidP="00872F0C">
            <w:pPr>
              <w:spacing w:after="0" w:line="240" w:lineRule="auto"/>
              <w:jc w:val="center"/>
              <w:rPr>
                <w:b/>
                <w:bCs/>
                <w:color w:val="000000"/>
                <w:sz w:val="18"/>
                <w:szCs w:val="18"/>
                <w:lang w:eastAsia="sk-SK"/>
              </w:rPr>
            </w:pPr>
            <w:r w:rsidRPr="00940D7C">
              <w:rPr>
                <w:b/>
                <w:bCs/>
                <w:color w:val="000000"/>
                <w:sz w:val="18"/>
                <w:szCs w:val="18"/>
                <w:lang w:eastAsia="sk-SK"/>
              </w:rPr>
              <w:t>2018</w:t>
            </w:r>
          </w:p>
        </w:tc>
        <w:tc>
          <w:tcPr>
            <w:tcW w:w="1025" w:type="dxa"/>
            <w:tcBorders>
              <w:top w:val="nil"/>
              <w:left w:val="nil"/>
              <w:bottom w:val="nil"/>
              <w:right w:val="nil"/>
            </w:tcBorders>
            <w:shd w:val="clear" w:color="000000" w:fill="BFBFBF"/>
            <w:noWrap/>
            <w:vAlign w:val="center"/>
            <w:hideMark/>
          </w:tcPr>
          <w:p w14:paraId="6DE90E26" w14:textId="77777777" w:rsidR="00872F0C" w:rsidRPr="00940D7C" w:rsidRDefault="00872F0C" w:rsidP="00872F0C">
            <w:pPr>
              <w:spacing w:after="0" w:line="240" w:lineRule="auto"/>
              <w:jc w:val="center"/>
              <w:rPr>
                <w:b/>
                <w:bCs/>
                <w:color w:val="000000"/>
                <w:sz w:val="18"/>
                <w:szCs w:val="18"/>
                <w:lang w:eastAsia="sk-SK"/>
              </w:rPr>
            </w:pPr>
            <w:r w:rsidRPr="00940D7C">
              <w:rPr>
                <w:b/>
                <w:bCs/>
                <w:color w:val="000000"/>
                <w:sz w:val="18"/>
                <w:szCs w:val="18"/>
                <w:lang w:eastAsia="sk-SK"/>
              </w:rPr>
              <w:t>2018</w:t>
            </w:r>
          </w:p>
        </w:tc>
        <w:tc>
          <w:tcPr>
            <w:tcW w:w="851" w:type="dxa"/>
            <w:tcBorders>
              <w:top w:val="nil"/>
              <w:left w:val="nil"/>
              <w:bottom w:val="nil"/>
              <w:right w:val="nil"/>
            </w:tcBorders>
            <w:shd w:val="clear" w:color="000000" w:fill="BFBFBF"/>
            <w:noWrap/>
            <w:vAlign w:val="center"/>
            <w:hideMark/>
          </w:tcPr>
          <w:p w14:paraId="20D0B92C" w14:textId="77777777" w:rsidR="00872F0C" w:rsidRPr="00940D7C" w:rsidRDefault="00872F0C" w:rsidP="00872F0C">
            <w:pPr>
              <w:spacing w:after="0" w:line="240" w:lineRule="auto"/>
              <w:jc w:val="center"/>
              <w:rPr>
                <w:b/>
                <w:bCs/>
                <w:color w:val="000000"/>
                <w:sz w:val="18"/>
                <w:szCs w:val="18"/>
                <w:lang w:eastAsia="sk-SK"/>
              </w:rPr>
            </w:pPr>
            <w:r w:rsidRPr="00940D7C">
              <w:rPr>
                <w:b/>
                <w:bCs/>
                <w:color w:val="000000"/>
                <w:sz w:val="18"/>
                <w:szCs w:val="18"/>
                <w:lang w:eastAsia="sk-SK"/>
              </w:rPr>
              <w:t>v tis. eur</w:t>
            </w:r>
          </w:p>
        </w:tc>
        <w:tc>
          <w:tcPr>
            <w:tcW w:w="850" w:type="dxa"/>
            <w:tcBorders>
              <w:top w:val="nil"/>
              <w:left w:val="nil"/>
              <w:bottom w:val="nil"/>
              <w:right w:val="nil"/>
            </w:tcBorders>
            <w:shd w:val="clear" w:color="000000" w:fill="BFBFBF"/>
            <w:noWrap/>
            <w:vAlign w:val="center"/>
            <w:hideMark/>
          </w:tcPr>
          <w:p w14:paraId="025CA015" w14:textId="77777777" w:rsidR="00872F0C" w:rsidRPr="00940D7C" w:rsidRDefault="00872F0C" w:rsidP="00872F0C">
            <w:pPr>
              <w:spacing w:after="0" w:line="240" w:lineRule="auto"/>
              <w:jc w:val="center"/>
              <w:rPr>
                <w:b/>
                <w:bCs/>
                <w:color w:val="000000"/>
                <w:sz w:val="18"/>
                <w:szCs w:val="18"/>
                <w:lang w:eastAsia="sk-SK"/>
              </w:rPr>
            </w:pPr>
            <w:r w:rsidRPr="00940D7C">
              <w:rPr>
                <w:b/>
                <w:bCs/>
                <w:color w:val="000000"/>
                <w:sz w:val="18"/>
                <w:szCs w:val="18"/>
                <w:lang w:eastAsia="sk-SK"/>
              </w:rPr>
              <w:t>v %</w:t>
            </w:r>
          </w:p>
        </w:tc>
      </w:tr>
      <w:tr w:rsidR="00872F0C" w:rsidRPr="00940D7C" w14:paraId="1B569E56" w14:textId="77777777" w:rsidTr="00DA7E33">
        <w:trPr>
          <w:trHeight w:val="345"/>
        </w:trPr>
        <w:tc>
          <w:tcPr>
            <w:tcW w:w="2747" w:type="dxa"/>
            <w:tcBorders>
              <w:top w:val="nil"/>
              <w:left w:val="nil"/>
              <w:bottom w:val="single" w:sz="8" w:space="0" w:color="auto"/>
              <w:right w:val="nil"/>
            </w:tcBorders>
            <w:shd w:val="clear" w:color="000000" w:fill="BFBFBF"/>
            <w:vAlign w:val="center"/>
            <w:hideMark/>
          </w:tcPr>
          <w:p w14:paraId="69691562" w14:textId="77777777" w:rsidR="00872F0C" w:rsidRPr="00940D7C" w:rsidRDefault="00872F0C" w:rsidP="00872F0C">
            <w:pPr>
              <w:spacing w:after="0" w:line="240" w:lineRule="auto"/>
              <w:jc w:val="center"/>
              <w:rPr>
                <w:b/>
                <w:bCs/>
                <w:color w:val="000000"/>
                <w:sz w:val="18"/>
                <w:szCs w:val="18"/>
                <w:lang w:eastAsia="sk-SK"/>
              </w:rPr>
            </w:pPr>
            <w:r w:rsidRPr="00940D7C">
              <w:rPr>
                <w:b/>
                <w:bCs/>
                <w:color w:val="000000"/>
                <w:sz w:val="18"/>
                <w:szCs w:val="18"/>
                <w:lang w:eastAsia="sk-SK"/>
              </w:rPr>
              <w:t> </w:t>
            </w:r>
          </w:p>
        </w:tc>
        <w:tc>
          <w:tcPr>
            <w:tcW w:w="1060" w:type="dxa"/>
            <w:tcBorders>
              <w:top w:val="nil"/>
              <w:left w:val="nil"/>
              <w:bottom w:val="single" w:sz="8" w:space="0" w:color="auto"/>
              <w:right w:val="nil"/>
            </w:tcBorders>
            <w:shd w:val="clear" w:color="000000" w:fill="BFBFBF"/>
            <w:noWrap/>
            <w:vAlign w:val="center"/>
            <w:hideMark/>
          </w:tcPr>
          <w:p w14:paraId="7F663A79" w14:textId="77777777" w:rsidR="00872F0C" w:rsidRPr="00940D7C" w:rsidRDefault="00872F0C" w:rsidP="00872F0C">
            <w:pPr>
              <w:spacing w:after="0" w:line="240" w:lineRule="auto"/>
              <w:jc w:val="center"/>
              <w:rPr>
                <w:b/>
                <w:bCs/>
                <w:color w:val="000000"/>
                <w:sz w:val="18"/>
                <w:szCs w:val="18"/>
                <w:lang w:eastAsia="sk-SK"/>
              </w:rPr>
            </w:pPr>
            <w:r w:rsidRPr="00940D7C">
              <w:rPr>
                <w:b/>
                <w:bCs/>
                <w:color w:val="000000"/>
                <w:sz w:val="18"/>
                <w:szCs w:val="18"/>
                <w:lang w:eastAsia="sk-SK"/>
              </w:rPr>
              <w:t>1</w:t>
            </w:r>
          </w:p>
        </w:tc>
        <w:tc>
          <w:tcPr>
            <w:tcW w:w="980" w:type="dxa"/>
            <w:tcBorders>
              <w:top w:val="nil"/>
              <w:left w:val="nil"/>
              <w:bottom w:val="single" w:sz="8" w:space="0" w:color="auto"/>
              <w:right w:val="nil"/>
            </w:tcBorders>
            <w:shd w:val="clear" w:color="000000" w:fill="BFBFBF"/>
            <w:noWrap/>
            <w:vAlign w:val="center"/>
            <w:hideMark/>
          </w:tcPr>
          <w:p w14:paraId="0FDE270D" w14:textId="77777777" w:rsidR="00872F0C" w:rsidRPr="00940D7C" w:rsidRDefault="00872F0C" w:rsidP="00872F0C">
            <w:pPr>
              <w:spacing w:after="0" w:line="240" w:lineRule="auto"/>
              <w:jc w:val="center"/>
              <w:rPr>
                <w:b/>
                <w:bCs/>
                <w:color w:val="000000"/>
                <w:sz w:val="18"/>
                <w:szCs w:val="18"/>
                <w:lang w:eastAsia="sk-SK"/>
              </w:rPr>
            </w:pPr>
            <w:r w:rsidRPr="00940D7C">
              <w:rPr>
                <w:b/>
                <w:bCs/>
                <w:color w:val="000000"/>
                <w:sz w:val="18"/>
                <w:szCs w:val="18"/>
                <w:lang w:eastAsia="sk-SK"/>
              </w:rPr>
              <w:t>2</w:t>
            </w:r>
          </w:p>
        </w:tc>
        <w:tc>
          <w:tcPr>
            <w:tcW w:w="992" w:type="dxa"/>
            <w:tcBorders>
              <w:top w:val="nil"/>
              <w:left w:val="nil"/>
              <w:bottom w:val="single" w:sz="8" w:space="0" w:color="auto"/>
              <w:right w:val="nil"/>
            </w:tcBorders>
            <w:shd w:val="clear" w:color="000000" w:fill="BFBFBF"/>
            <w:noWrap/>
            <w:vAlign w:val="center"/>
            <w:hideMark/>
          </w:tcPr>
          <w:p w14:paraId="588CD132" w14:textId="77777777" w:rsidR="00872F0C" w:rsidRPr="00940D7C" w:rsidRDefault="00872F0C" w:rsidP="00872F0C">
            <w:pPr>
              <w:spacing w:after="0" w:line="240" w:lineRule="auto"/>
              <w:jc w:val="center"/>
              <w:rPr>
                <w:b/>
                <w:bCs/>
                <w:color w:val="000000"/>
                <w:sz w:val="18"/>
                <w:szCs w:val="18"/>
                <w:lang w:eastAsia="sk-SK"/>
              </w:rPr>
            </w:pPr>
            <w:r w:rsidRPr="00940D7C">
              <w:rPr>
                <w:b/>
                <w:bCs/>
                <w:color w:val="000000"/>
                <w:sz w:val="18"/>
                <w:szCs w:val="18"/>
                <w:lang w:eastAsia="sk-SK"/>
              </w:rPr>
              <w:t>3</w:t>
            </w:r>
          </w:p>
        </w:tc>
        <w:tc>
          <w:tcPr>
            <w:tcW w:w="1025" w:type="dxa"/>
            <w:tcBorders>
              <w:top w:val="nil"/>
              <w:left w:val="nil"/>
              <w:bottom w:val="single" w:sz="8" w:space="0" w:color="auto"/>
              <w:right w:val="nil"/>
            </w:tcBorders>
            <w:shd w:val="clear" w:color="000000" w:fill="BFBFBF"/>
            <w:noWrap/>
            <w:vAlign w:val="center"/>
            <w:hideMark/>
          </w:tcPr>
          <w:p w14:paraId="2D426333" w14:textId="77777777" w:rsidR="00872F0C" w:rsidRPr="00940D7C" w:rsidRDefault="00872F0C" w:rsidP="00872F0C">
            <w:pPr>
              <w:spacing w:after="0" w:line="240" w:lineRule="auto"/>
              <w:jc w:val="center"/>
              <w:rPr>
                <w:b/>
                <w:bCs/>
                <w:color w:val="000000"/>
                <w:sz w:val="18"/>
                <w:szCs w:val="18"/>
                <w:lang w:eastAsia="sk-SK"/>
              </w:rPr>
            </w:pPr>
            <w:r w:rsidRPr="00940D7C">
              <w:rPr>
                <w:b/>
                <w:bCs/>
                <w:color w:val="000000"/>
                <w:sz w:val="18"/>
                <w:szCs w:val="18"/>
                <w:lang w:eastAsia="sk-SK"/>
              </w:rPr>
              <w:t>4</w:t>
            </w:r>
          </w:p>
        </w:tc>
        <w:tc>
          <w:tcPr>
            <w:tcW w:w="851" w:type="dxa"/>
            <w:tcBorders>
              <w:top w:val="nil"/>
              <w:left w:val="nil"/>
              <w:bottom w:val="single" w:sz="8" w:space="0" w:color="auto"/>
              <w:right w:val="nil"/>
            </w:tcBorders>
            <w:shd w:val="clear" w:color="000000" w:fill="BFBFBF"/>
            <w:noWrap/>
            <w:vAlign w:val="center"/>
            <w:hideMark/>
          </w:tcPr>
          <w:p w14:paraId="66E474EA" w14:textId="77777777" w:rsidR="00872F0C" w:rsidRPr="00940D7C" w:rsidRDefault="00872F0C" w:rsidP="00872F0C">
            <w:pPr>
              <w:spacing w:after="0" w:line="240" w:lineRule="auto"/>
              <w:jc w:val="center"/>
              <w:rPr>
                <w:b/>
                <w:bCs/>
                <w:color w:val="000000"/>
                <w:sz w:val="18"/>
                <w:szCs w:val="18"/>
                <w:lang w:eastAsia="sk-SK"/>
              </w:rPr>
            </w:pPr>
            <w:r w:rsidRPr="00940D7C">
              <w:rPr>
                <w:b/>
                <w:bCs/>
                <w:color w:val="000000"/>
                <w:sz w:val="18"/>
                <w:szCs w:val="18"/>
                <w:lang w:eastAsia="sk-SK"/>
              </w:rPr>
              <w:t>5=4-3</w:t>
            </w:r>
          </w:p>
        </w:tc>
        <w:tc>
          <w:tcPr>
            <w:tcW w:w="850" w:type="dxa"/>
            <w:tcBorders>
              <w:top w:val="nil"/>
              <w:left w:val="nil"/>
              <w:bottom w:val="single" w:sz="8" w:space="0" w:color="auto"/>
              <w:right w:val="nil"/>
            </w:tcBorders>
            <w:shd w:val="clear" w:color="000000" w:fill="BFBFBF"/>
            <w:noWrap/>
            <w:vAlign w:val="center"/>
            <w:hideMark/>
          </w:tcPr>
          <w:p w14:paraId="65662998" w14:textId="77777777" w:rsidR="00872F0C" w:rsidRPr="00940D7C" w:rsidRDefault="00872F0C" w:rsidP="00872F0C">
            <w:pPr>
              <w:spacing w:after="0" w:line="240" w:lineRule="auto"/>
              <w:jc w:val="center"/>
              <w:rPr>
                <w:b/>
                <w:bCs/>
                <w:color w:val="000000"/>
                <w:sz w:val="18"/>
                <w:szCs w:val="18"/>
                <w:lang w:eastAsia="sk-SK"/>
              </w:rPr>
            </w:pPr>
            <w:r w:rsidRPr="00940D7C">
              <w:rPr>
                <w:b/>
                <w:bCs/>
                <w:color w:val="000000"/>
                <w:sz w:val="18"/>
                <w:szCs w:val="18"/>
                <w:lang w:eastAsia="sk-SK"/>
              </w:rPr>
              <w:t>6=4-3</w:t>
            </w:r>
          </w:p>
        </w:tc>
      </w:tr>
      <w:tr w:rsidR="00872F0C" w:rsidRPr="00940D7C" w14:paraId="625B925A" w14:textId="77777777" w:rsidTr="00DA7E33">
        <w:trPr>
          <w:trHeight w:val="300"/>
        </w:trPr>
        <w:tc>
          <w:tcPr>
            <w:tcW w:w="2747" w:type="dxa"/>
            <w:tcBorders>
              <w:top w:val="nil"/>
              <w:left w:val="nil"/>
              <w:bottom w:val="nil"/>
              <w:right w:val="nil"/>
            </w:tcBorders>
            <w:shd w:val="clear" w:color="auto" w:fill="auto"/>
            <w:vAlign w:val="center"/>
            <w:hideMark/>
          </w:tcPr>
          <w:p w14:paraId="65051538" w14:textId="77777777" w:rsidR="00872F0C" w:rsidRPr="00940D7C" w:rsidRDefault="00872F0C" w:rsidP="00872F0C">
            <w:pPr>
              <w:spacing w:after="0" w:line="240" w:lineRule="auto"/>
              <w:jc w:val="left"/>
              <w:rPr>
                <w:color w:val="000000"/>
                <w:sz w:val="18"/>
                <w:szCs w:val="18"/>
                <w:lang w:eastAsia="sk-SK"/>
              </w:rPr>
            </w:pPr>
            <w:r w:rsidRPr="00940D7C">
              <w:rPr>
                <w:color w:val="000000"/>
                <w:sz w:val="18"/>
                <w:szCs w:val="18"/>
                <w:lang w:eastAsia="sk-SK"/>
              </w:rPr>
              <w:t>Transfery v rámci verejnej správy</w:t>
            </w:r>
          </w:p>
        </w:tc>
        <w:tc>
          <w:tcPr>
            <w:tcW w:w="1060" w:type="dxa"/>
            <w:tcBorders>
              <w:top w:val="nil"/>
              <w:left w:val="nil"/>
              <w:bottom w:val="nil"/>
              <w:right w:val="nil"/>
            </w:tcBorders>
            <w:shd w:val="clear" w:color="auto" w:fill="auto"/>
            <w:vAlign w:val="center"/>
            <w:hideMark/>
          </w:tcPr>
          <w:p w14:paraId="0F0BE63B" w14:textId="77777777" w:rsidR="00872F0C" w:rsidRPr="00940D7C" w:rsidRDefault="00872F0C" w:rsidP="00872F0C">
            <w:pPr>
              <w:spacing w:after="0" w:line="240" w:lineRule="auto"/>
              <w:jc w:val="right"/>
              <w:rPr>
                <w:color w:val="000000"/>
                <w:sz w:val="18"/>
                <w:szCs w:val="18"/>
                <w:lang w:eastAsia="sk-SK"/>
              </w:rPr>
            </w:pPr>
            <w:r w:rsidRPr="00940D7C">
              <w:rPr>
                <w:color w:val="000000"/>
                <w:sz w:val="18"/>
                <w:szCs w:val="18"/>
                <w:lang w:eastAsia="sk-SK"/>
              </w:rPr>
              <w:t>4 344 120</w:t>
            </w:r>
          </w:p>
        </w:tc>
        <w:tc>
          <w:tcPr>
            <w:tcW w:w="980" w:type="dxa"/>
            <w:tcBorders>
              <w:top w:val="nil"/>
              <w:left w:val="nil"/>
              <w:bottom w:val="nil"/>
              <w:right w:val="nil"/>
            </w:tcBorders>
            <w:shd w:val="clear" w:color="auto" w:fill="auto"/>
            <w:vAlign w:val="center"/>
            <w:hideMark/>
          </w:tcPr>
          <w:p w14:paraId="568C1397" w14:textId="77777777" w:rsidR="00872F0C" w:rsidRPr="00940D7C" w:rsidRDefault="00872F0C" w:rsidP="00872F0C">
            <w:pPr>
              <w:spacing w:after="0" w:line="240" w:lineRule="auto"/>
              <w:jc w:val="right"/>
              <w:rPr>
                <w:color w:val="000000"/>
                <w:sz w:val="18"/>
                <w:szCs w:val="18"/>
                <w:lang w:eastAsia="sk-SK"/>
              </w:rPr>
            </w:pPr>
            <w:r w:rsidRPr="00940D7C">
              <w:rPr>
                <w:color w:val="000000"/>
                <w:sz w:val="18"/>
                <w:szCs w:val="18"/>
                <w:lang w:eastAsia="sk-SK"/>
              </w:rPr>
              <w:t>4 600 132</w:t>
            </w:r>
          </w:p>
        </w:tc>
        <w:tc>
          <w:tcPr>
            <w:tcW w:w="992" w:type="dxa"/>
            <w:tcBorders>
              <w:top w:val="nil"/>
              <w:left w:val="nil"/>
              <w:bottom w:val="nil"/>
              <w:right w:val="nil"/>
            </w:tcBorders>
            <w:shd w:val="clear" w:color="auto" w:fill="auto"/>
            <w:vAlign w:val="center"/>
            <w:hideMark/>
          </w:tcPr>
          <w:p w14:paraId="56D85D7F" w14:textId="77777777" w:rsidR="00872F0C" w:rsidRPr="00940D7C" w:rsidRDefault="00872F0C" w:rsidP="00872F0C">
            <w:pPr>
              <w:spacing w:after="0" w:line="240" w:lineRule="auto"/>
              <w:jc w:val="right"/>
              <w:rPr>
                <w:color w:val="000000"/>
                <w:sz w:val="18"/>
                <w:szCs w:val="18"/>
                <w:lang w:eastAsia="sk-SK"/>
              </w:rPr>
            </w:pPr>
            <w:r w:rsidRPr="00940D7C">
              <w:rPr>
                <w:color w:val="000000"/>
                <w:sz w:val="18"/>
                <w:szCs w:val="18"/>
                <w:lang w:eastAsia="sk-SK"/>
              </w:rPr>
              <w:t>4 392 473</w:t>
            </w:r>
          </w:p>
        </w:tc>
        <w:tc>
          <w:tcPr>
            <w:tcW w:w="1025" w:type="dxa"/>
            <w:tcBorders>
              <w:top w:val="nil"/>
              <w:left w:val="nil"/>
              <w:bottom w:val="nil"/>
              <w:right w:val="nil"/>
            </w:tcBorders>
            <w:shd w:val="clear" w:color="000000" w:fill="BFBFBF"/>
            <w:vAlign w:val="center"/>
            <w:hideMark/>
          </w:tcPr>
          <w:p w14:paraId="4587C294" w14:textId="77777777" w:rsidR="00872F0C" w:rsidRPr="00940D7C" w:rsidRDefault="00872F0C" w:rsidP="00872F0C">
            <w:pPr>
              <w:spacing w:after="0" w:line="240" w:lineRule="auto"/>
              <w:jc w:val="right"/>
              <w:rPr>
                <w:color w:val="000000"/>
                <w:sz w:val="18"/>
                <w:szCs w:val="18"/>
                <w:lang w:eastAsia="sk-SK"/>
              </w:rPr>
            </w:pPr>
            <w:r w:rsidRPr="00940D7C">
              <w:rPr>
                <w:color w:val="000000"/>
                <w:sz w:val="18"/>
                <w:szCs w:val="18"/>
                <w:lang w:eastAsia="sk-SK"/>
              </w:rPr>
              <w:t>4 411 134</w:t>
            </w:r>
          </w:p>
        </w:tc>
        <w:tc>
          <w:tcPr>
            <w:tcW w:w="851" w:type="dxa"/>
            <w:tcBorders>
              <w:top w:val="nil"/>
              <w:left w:val="nil"/>
              <w:bottom w:val="nil"/>
              <w:right w:val="nil"/>
            </w:tcBorders>
            <w:shd w:val="clear" w:color="auto" w:fill="auto"/>
            <w:vAlign w:val="center"/>
            <w:hideMark/>
          </w:tcPr>
          <w:p w14:paraId="044081C2" w14:textId="77777777" w:rsidR="00872F0C" w:rsidRPr="00940D7C" w:rsidRDefault="00872F0C" w:rsidP="00872F0C">
            <w:pPr>
              <w:spacing w:after="0" w:line="240" w:lineRule="auto"/>
              <w:jc w:val="right"/>
              <w:rPr>
                <w:color w:val="000000"/>
                <w:sz w:val="18"/>
                <w:szCs w:val="18"/>
                <w:lang w:eastAsia="sk-SK"/>
              </w:rPr>
            </w:pPr>
            <w:r w:rsidRPr="00940D7C">
              <w:rPr>
                <w:color w:val="000000"/>
                <w:sz w:val="18"/>
                <w:szCs w:val="18"/>
                <w:lang w:eastAsia="sk-SK"/>
              </w:rPr>
              <w:t>18 661</w:t>
            </w:r>
          </w:p>
        </w:tc>
        <w:tc>
          <w:tcPr>
            <w:tcW w:w="850" w:type="dxa"/>
            <w:tcBorders>
              <w:top w:val="nil"/>
              <w:left w:val="nil"/>
              <w:bottom w:val="nil"/>
              <w:right w:val="nil"/>
            </w:tcBorders>
            <w:shd w:val="clear" w:color="auto" w:fill="auto"/>
            <w:vAlign w:val="center"/>
            <w:hideMark/>
          </w:tcPr>
          <w:p w14:paraId="39BEA8B9" w14:textId="77777777" w:rsidR="00872F0C" w:rsidRPr="00940D7C" w:rsidRDefault="00872F0C" w:rsidP="00872F0C">
            <w:pPr>
              <w:spacing w:after="0" w:line="240" w:lineRule="auto"/>
              <w:jc w:val="right"/>
              <w:rPr>
                <w:color w:val="000000"/>
                <w:sz w:val="18"/>
                <w:szCs w:val="18"/>
                <w:lang w:eastAsia="sk-SK"/>
              </w:rPr>
            </w:pPr>
            <w:r w:rsidRPr="00940D7C">
              <w:rPr>
                <w:color w:val="000000"/>
                <w:sz w:val="18"/>
                <w:szCs w:val="18"/>
                <w:lang w:eastAsia="sk-SK"/>
              </w:rPr>
              <w:t>0,4</w:t>
            </w:r>
          </w:p>
        </w:tc>
      </w:tr>
      <w:tr w:rsidR="00872F0C" w:rsidRPr="00940D7C" w14:paraId="2DF38955" w14:textId="77777777" w:rsidTr="00DA7E33">
        <w:trPr>
          <w:trHeight w:val="570"/>
        </w:trPr>
        <w:tc>
          <w:tcPr>
            <w:tcW w:w="2747" w:type="dxa"/>
            <w:tcBorders>
              <w:top w:val="nil"/>
              <w:left w:val="nil"/>
              <w:bottom w:val="nil"/>
              <w:right w:val="nil"/>
            </w:tcBorders>
            <w:shd w:val="clear" w:color="auto" w:fill="auto"/>
            <w:vAlign w:val="center"/>
            <w:hideMark/>
          </w:tcPr>
          <w:p w14:paraId="6E0A7C08" w14:textId="77777777" w:rsidR="00872F0C" w:rsidRPr="00940D7C" w:rsidRDefault="00872F0C" w:rsidP="00872F0C">
            <w:pPr>
              <w:spacing w:after="0" w:line="240" w:lineRule="auto"/>
              <w:jc w:val="left"/>
              <w:rPr>
                <w:color w:val="000000"/>
                <w:sz w:val="18"/>
                <w:szCs w:val="18"/>
                <w:lang w:eastAsia="sk-SK"/>
              </w:rPr>
            </w:pPr>
            <w:r w:rsidRPr="00940D7C">
              <w:rPr>
                <w:color w:val="000000"/>
                <w:sz w:val="18"/>
                <w:szCs w:val="18"/>
                <w:lang w:eastAsia="sk-SK"/>
              </w:rPr>
              <w:t>Transfery jednotlivcom a nezisk. právnickým osobám</w:t>
            </w:r>
          </w:p>
        </w:tc>
        <w:tc>
          <w:tcPr>
            <w:tcW w:w="1060" w:type="dxa"/>
            <w:tcBorders>
              <w:top w:val="nil"/>
              <w:left w:val="nil"/>
              <w:bottom w:val="nil"/>
              <w:right w:val="nil"/>
            </w:tcBorders>
            <w:shd w:val="clear" w:color="auto" w:fill="auto"/>
            <w:vAlign w:val="center"/>
            <w:hideMark/>
          </w:tcPr>
          <w:p w14:paraId="234529FB" w14:textId="77777777" w:rsidR="00872F0C" w:rsidRPr="00940D7C" w:rsidRDefault="00872F0C" w:rsidP="00872F0C">
            <w:pPr>
              <w:spacing w:after="0" w:line="240" w:lineRule="auto"/>
              <w:jc w:val="right"/>
              <w:rPr>
                <w:color w:val="000000"/>
                <w:sz w:val="18"/>
                <w:szCs w:val="18"/>
                <w:lang w:eastAsia="sk-SK"/>
              </w:rPr>
            </w:pPr>
            <w:r w:rsidRPr="00940D7C">
              <w:rPr>
                <w:color w:val="000000"/>
                <w:sz w:val="18"/>
                <w:szCs w:val="18"/>
                <w:lang w:eastAsia="sk-SK"/>
              </w:rPr>
              <w:t>3 809 873</w:t>
            </w:r>
          </w:p>
        </w:tc>
        <w:tc>
          <w:tcPr>
            <w:tcW w:w="980" w:type="dxa"/>
            <w:tcBorders>
              <w:top w:val="nil"/>
              <w:left w:val="nil"/>
              <w:bottom w:val="nil"/>
              <w:right w:val="nil"/>
            </w:tcBorders>
            <w:shd w:val="clear" w:color="auto" w:fill="auto"/>
            <w:vAlign w:val="center"/>
            <w:hideMark/>
          </w:tcPr>
          <w:p w14:paraId="2F684B64" w14:textId="77777777" w:rsidR="00872F0C" w:rsidRPr="00940D7C" w:rsidRDefault="00872F0C" w:rsidP="00872F0C">
            <w:pPr>
              <w:spacing w:after="0" w:line="240" w:lineRule="auto"/>
              <w:jc w:val="right"/>
              <w:rPr>
                <w:color w:val="000000"/>
                <w:sz w:val="18"/>
                <w:szCs w:val="18"/>
                <w:lang w:eastAsia="sk-SK"/>
              </w:rPr>
            </w:pPr>
            <w:r w:rsidRPr="00940D7C">
              <w:rPr>
                <w:color w:val="000000"/>
                <w:sz w:val="18"/>
                <w:szCs w:val="18"/>
                <w:lang w:eastAsia="sk-SK"/>
              </w:rPr>
              <w:t>3 696 261</w:t>
            </w:r>
          </w:p>
        </w:tc>
        <w:tc>
          <w:tcPr>
            <w:tcW w:w="992" w:type="dxa"/>
            <w:tcBorders>
              <w:top w:val="nil"/>
              <w:left w:val="nil"/>
              <w:bottom w:val="nil"/>
              <w:right w:val="nil"/>
            </w:tcBorders>
            <w:shd w:val="clear" w:color="auto" w:fill="auto"/>
            <w:vAlign w:val="center"/>
            <w:hideMark/>
          </w:tcPr>
          <w:p w14:paraId="4F210090" w14:textId="77777777" w:rsidR="00872F0C" w:rsidRPr="00940D7C" w:rsidRDefault="00872F0C" w:rsidP="00872F0C">
            <w:pPr>
              <w:spacing w:after="0" w:line="240" w:lineRule="auto"/>
              <w:jc w:val="right"/>
              <w:rPr>
                <w:color w:val="000000"/>
                <w:sz w:val="18"/>
                <w:szCs w:val="18"/>
                <w:lang w:eastAsia="sk-SK"/>
              </w:rPr>
            </w:pPr>
            <w:r w:rsidRPr="00940D7C">
              <w:rPr>
                <w:color w:val="000000"/>
                <w:sz w:val="18"/>
                <w:szCs w:val="18"/>
                <w:lang w:eastAsia="sk-SK"/>
              </w:rPr>
              <w:t>3 836 459</w:t>
            </w:r>
          </w:p>
        </w:tc>
        <w:tc>
          <w:tcPr>
            <w:tcW w:w="1025" w:type="dxa"/>
            <w:tcBorders>
              <w:top w:val="nil"/>
              <w:left w:val="nil"/>
              <w:bottom w:val="nil"/>
              <w:right w:val="nil"/>
            </w:tcBorders>
            <w:shd w:val="clear" w:color="000000" w:fill="BFBFBF"/>
            <w:vAlign w:val="center"/>
            <w:hideMark/>
          </w:tcPr>
          <w:p w14:paraId="401F67DC" w14:textId="77777777" w:rsidR="00872F0C" w:rsidRPr="00940D7C" w:rsidRDefault="00872F0C" w:rsidP="00872F0C">
            <w:pPr>
              <w:spacing w:after="0" w:line="240" w:lineRule="auto"/>
              <w:jc w:val="right"/>
              <w:rPr>
                <w:color w:val="000000"/>
                <w:sz w:val="18"/>
                <w:szCs w:val="18"/>
                <w:lang w:eastAsia="sk-SK"/>
              </w:rPr>
            </w:pPr>
            <w:r w:rsidRPr="00940D7C">
              <w:rPr>
                <w:color w:val="000000"/>
                <w:sz w:val="18"/>
                <w:szCs w:val="18"/>
                <w:lang w:eastAsia="sk-SK"/>
              </w:rPr>
              <w:t>3 757 414</w:t>
            </w:r>
          </w:p>
        </w:tc>
        <w:tc>
          <w:tcPr>
            <w:tcW w:w="851" w:type="dxa"/>
            <w:tcBorders>
              <w:top w:val="nil"/>
              <w:left w:val="nil"/>
              <w:bottom w:val="nil"/>
              <w:right w:val="nil"/>
            </w:tcBorders>
            <w:shd w:val="clear" w:color="auto" w:fill="auto"/>
            <w:vAlign w:val="center"/>
            <w:hideMark/>
          </w:tcPr>
          <w:p w14:paraId="0FE02AB5" w14:textId="77777777" w:rsidR="00872F0C" w:rsidRPr="00940D7C" w:rsidRDefault="00872F0C" w:rsidP="00872F0C">
            <w:pPr>
              <w:spacing w:after="0" w:line="240" w:lineRule="auto"/>
              <w:jc w:val="right"/>
              <w:rPr>
                <w:color w:val="000000"/>
                <w:sz w:val="18"/>
                <w:szCs w:val="18"/>
                <w:lang w:eastAsia="sk-SK"/>
              </w:rPr>
            </w:pPr>
            <w:r w:rsidRPr="00940D7C">
              <w:rPr>
                <w:color w:val="000000"/>
                <w:sz w:val="18"/>
                <w:szCs w:val="18"/>
                <w:lang w:eastAsia="sk-SK"/>
              </w:rPr>
              <w:t>-79 045</w:t>
            </w:r>
          </w:p>
        </w:tc>
        <w:tc>
          <w:tcPr>
            <w:tcW w:w="850" w:type="dxa"/>
            <w:tcBorders>
              <w:top w:val="nil"/>
              <w:left w:val="nil"/>
              <w:bottom w:val="nil"/>
              <w:right w:val="nil"/>
            </w:tcBorders>
            <w:shd w:val="clear" w:color="auto" w:fill="auto"/>
            <w:vAlign w:val="center"/>
            <w:hideMark/>
          </w:tcPr>
          <w:p w14:paraId="25D315AE" w14:textId="77777777" w:rsidR="00872F0C" w:rsidRPr="00940D7C" w:rsidRDefault="00872F0C" w:rsidP="00872F0C">
            <w:pPr>
              <w:spacing w:after="0" w:line="240" w:lineRule="auto"/>
              <w:jc w:val="right"/>
              <w:rPr>
                <w:color w:val="000000"/>
                <w:sz w:val="18"/>
                <w:szCs w:val="18"/>
                <w:lang w:eastAsia="sk-SK"/>
              </w:rPr>
            </w:pPr>
            <w:r w:rsidRPr="00940D7C">
              <w:rPr>
                <w:color w:val="000000"/>
                <w:sz w:val="18"/>
                <w:szCs w:val="18"/>
                <w:lang w:eastAsia="sk-SK"/>
              </w:rPr>
              <w:t>-2,1</w:t>
            </w:r>
          </w:p>
        </w:tc>
      </w:tr>
      <w:tr w:rsidR="00872F0C" w:rsidRPr="00940D7C" w14:paraId="5D404769" w14:textId="77777777" w:rsidTr="00DA7E33">
        <w:trPr>
          <w:trHeight w:val="300"/>
        </w:trPr>
        <w:tc>
          <w:tcPr>
            <w:tcW w:w="2747" w:type="dxa"/>
            <w:tcBorders>
              <w:top w:val="nil"/>
              <w:left w:val="nil"/>
              <w:bottom w:val="nil"/>
              <w:right w:val="nil"/>
            </w:tcBorders>
            <w:shd w:val="clear" w:color="auto" w:fill="auto"/>
            <w:vAlign w:val="center"/>
            <w:hideMark/>
          </w:tcPr>
          <w:p w14:paraId="72E8428A" w14:textId="77777777" w:rsidR="00872F0C" w:rsidRPr="00940D7C" w:rsidRDefault="00872F0C" w:rsidP="00872F0C">
            <w:pPr>
              <w:spacing w:after="0" w:line="240" w:lineRule="auto"/>
              <w:jc w:val="left"/>
              <w:rPr>
                <w:color w:val="000000"/>
                <w:sz w:val="18"/>
                <w:szCs w:val="18"/>
                <w:lang w:eastAsia="sk-SK"/>
              </w:rPr>
            </w:pPr>
            <w:r w:rsidRPr="00940D7C">
              <w:rPr>
                <w:color w:val="000000"/>
                <w:sz w:val="18"/>
                <w:szCs w:val="18"/>
                <w:lang w:eastAsia="sk-SK"/>
              </w:rPr>
              <w:t>Transfery do zahraničia</w:t>
            </w:r>
          </w:p>
        </w:tc>
        <w:tc>
          <w:tcPr>
            <w:tcW w:w="1060" w:type="dxa"/>
            <w:tcBorders>
              <w:top w:val="nil"/>
              <w:left w:val="nil"/>
              <w:bottom w:val="nil"/>
              <w:right w:val="nil"/>
            </w:tcBorders>
            <w:shd w:val="clear" w:color="auto" w:fill="auto"/>
            <w:vAlign w:val="center"/>
            <w:hideMark/>
          </w:tcPr>
          <w:p w14:paraId="534D9EF8" w14:textId="77777777" w:rsidR="00872F0C" w:rsidRPr="00940D7C" w:rsidRDefault="00872F0C" w:rsidP="00872F0C">
            <w:pPr>
              <w:spacing w:after="0" w:line="240" w:lineRule="auto"/>
              <w:jc w:val="right"/>
              <w:rPr>
                <w:color w:val="000000"/>
                <w:sz w:val="18"/>
                <w:szCs w:val="18"/>
                <w:lang w:eastAsia="sk-SK"/>
              </w:rPr>
            </w:pPr>
            <w:r w:rsidRPr="00940D7C">
              <w:rPr>
                <w:color w:val="000000"/>
                <w:sz w:val="18"/>
                <w:szCs w:val="18"/>
                <w:lang w:eastAsia="sk-SK"/>
              </w:rPr>
              <w:t>711 585</w:t>
            </w:r>
          </w:p>
        </w:tc>
        <w:tc>
          <w:tcPr>
            <w:tcW w:w="980" w:type="dxa"/>
            <w:tcBorders>
              <w:top w:val="nil"/>
              <w:left w:val="nil"/>
              <w:bottom w:val="nil"/>
              <w:right w:val="nil"/>
            </w:tcBorders>
            <w:shd w:val="clear" w:color="auto" w:fill="auto"/>
            <w:vAlign w:val="center"/>
            <w:hideMark/>
          </w:tcPr>
          <w:p w14:paraId="63D86D3A" w14:textId="77777777" w:rsidR="00872F0C" w:rsidRPr="00940D7C" w:rsidRDefault="00872F0C" w:rsidP="00872F0C">
            <w:pPr>
              <w:spacing w:after="0" w:line="240" w:lineRule="auto"/>
              <w:jc w:val="right"/>
              <w:rPr>
                <w:color w:val="000000"/>
                <w:sz w:val="18"/>
                <w:szCs w:val="18"/>
                <w:lang w:eastAsia="sk-SK"/>
              </w:rPr>
            </w:pPr>
            <w:r w:rsidRPr="00940D7C">
              <w:rPr>
                <w:color w:val="000000"/>
                <w:sz w:val="18"/>
                <w:szCs w:val="18"/>
                <w:lang w:eastAsia="sk-SK"/>
              </w:rPr>
              <w:t>711 358</w:t>
            </w:r>
          </w:p>
        </w:tc>
        <w:tc>
          <w:tcPr>
            <w:tcW w:w="992" w:type="dxa"/>
            <w:tcBorders>
              <w:top w:val="nil"/>
              <w:left w:val="nil"/>
              <w:bottom w:val="nil"/>
              <w:right w:val="nil"/>
            </w:tcBorders>
            <w:shd w:val="clear" w:color="auto" w:fill="auto"/>
            <w:vAlign w:val="center"/>
            <w:hideMark/>
          </w:tcPr>
          <w:p w14:paraId="00E341CF" w14:textId="77777777" w:rsidR="00872F0C" w:rsidRPr="00940D7C" w:rsidRDefault="00872F0C" w:rsidP="00872F0C">
            <w:pPr>
              <w:spacing w:after="0" w:line="240" w:lineRule="auto"/>
              <w:jc w:val="right"/>
              <w:rPr>
                <w:color w:val="000000"/>
                <w:sz w:val="18"/>
                <w:szCs w:val="18"/>
                <w:lang w:eastAsia="sk-SK"/>
              </w:rPr>
            </w:pPr>
            <w:r w:rsidRPr="00940D7C">
              <w:rPr>
                <w:color w:val="000000"/>
                <w:sz w:val="18"/>
                <w:szCs w:val="18"/>
                <w:lang w:eastAsia="sk-SK"/>
              </w:rPr>
              <w:t>850 103</w:t>
            </w:r>
          </w:p>
        </w:tc>
        <w:tc>
          <w:tcPr>
            <w:tcW w:w="1025" w:type="dxa"/>
            <w:tcBorders>
              <w:top w:val="nil"/>
              <w:left w:val="nil"/>
              <w:bottom w:val="nil"/>
              <w:right w:val="nil"/>
            </w:tcBorders>
            <w:shd w:val="clear" w:color="000000" w:fill="BFBFBF"/>
            <w:vAlign w:val="center"/>
            <w:hideMark/>
          </w:tcPr>
          <w:p w14:paraId="29605FB8" w14:textId="77777777" w:rsidR="00872F0C" w:rsidRPr="00940D7C" w:rsidRDefault="00872F0C" w:rsidP="00872F0C">
            <w:pPr>
              <w:spacing w:after="0" w:line="240" w:lineRule="auto"/>
              <w:jc w:val="right"/>
              <w:rPr>
                <w:color w:val="000000"/>
                <w:sz w:val="18"/>
                <w:szCs w:val="18"/>
                <w:lang w:eastAsia="sk-SK"/>
              </w:rPr>
            </w:pPr>
            <w:r w:rsidRPr="00940D7C">
              <w:rPr>
                <w:color w:val="000000"/>
                <w:sz w:val="18"/>
                <w:szCs w:val="18"/>
                <w:lang w:eastAsia="sk-SK"/>
              </w:rPr>
              <w:t>824 498</w:t>
            </w:r>
          </w:p>
        </w:tc>
        <w:tc>
          <w:tcPr>
            <w:tcW w:w="851" w:type="dxa"/>
            <w:tcBorders>
              <w:top w:val="nil"/>
              <w:left w:val="nil"/>
              <w:bottom w:val="nil"/>
              <w:right w:val="nil"/>
            </w:tcBorders>
            <w:shd w:val="clear" w:color="auto" w:fill="auto"/>
            <w:vAlign w:val="center"/>
            <w:hideMark/>
          </w:tcPr>
          <w:p w14:paraId="7144CE30" w14:textId="77777777" w:rsidR="00872F0C" w:rsidRPr="00940D7C" w:rsidRDefault="00872F0C" w:rsidP="00872F0C">
            <w:pPr>
              <w:spacing w:after="0" w:line="240" w:lineRule="auto"/>
              <w:jc w:val="right"/>
              <w:rPr>
                <w:color w:val="000000"/>
                <w:sz w:val="18"/>
                <w:szCs w:val="18"/>
                <w:lang w:eastAsia="sk-SK"/>
              </w:rPr>
            </w:pPr>
            <w:r w:rsidRPr="00940D7C">
              <w:rPr>
                <w:color w:val="000000"/>
                <w:sz w:val="18"/>
                <w:szCs w:val="18"/>
                <w:lang w:eastAsia="sk-SK"/>
              </w:rPr>
              <w:t>-25 605</w:t>
            </w:r>
          </w:p>
        </w:tc>
        <w:tc>
          <w:tcPr>
            <w:tcW w:w="850" w:type="dxa"/>
            <w:tcBorders>
              <w:top w:val="nil"/>
              <w:left w:val="nil"/>
              <w:bottom w:val="nil"/>
              <w:right w:val="nil"/>
            </w:tcBorders>
            <w:shd w:val="clear" w:color="auto" w:fill="auto"/>
            <w:vAlign w:val="center"/>
            <w:hideMark/>
          </w:tcPr>
          <w:p w14:paraId="77A7038E" w14:textId="77777777" w:rsidR="00872F0C" w:rsidRPr="00940D7C" w:rsidRDefault="00872F0C" w:rsidP="00872F0C">
            <w:pPr>
              <w:spacing w:after="0" w:line="240" w:lineRule="auto"/>
              <w:jc w:val="right"/>
              <w:rPr>
                <w:color w:val="000000"/>
                <w:sz w:val="18"/>
                <w:szCs w:val="18"/>
                <w:lang w:eastAsia="sk-SK"/>
              </w:rPr>
            </w:pPr>
            <w:r w:rsidRPr="00940D7C">
              <w:rPr>
                <w:color w:val="000000"/>
                <w:sz w:val="18"/>
                <w:szCs w:val="18"/>
                <w:lang w:eastAsia="sk-SK"/>
              </w:rPr>
              <w:t>-3,0</w:t>
            </w:r>
          </w:p>
        </w:tc>
      </w:tr>
      <w:tr w:rsidR="00872F0C" w:rsidRPr="00940D7C" w14:paraId="67982D34" w14:textId="77777777" w:rsidTr="00DA7E33">
        <w:trPr>
          <w:trHeight w:val="420"/>
        </w:trPr>
        <w:tc>
          <w:tcPr>
            <w:tcW w:w="2747" w:type="dxa"/>
            <w:tcBorders>
              <w:top w:val="nil"/>
              <w:left w:val="nil"/>
              <w:bottom w:val="nil"/>
              <w:right w:val="nil"/>
            </w:tcBorders>
            <w:shd w:val="clear" w:color="auto" w:fill="auto"/>
            <w:vAlign w:val="center"/>
            <w:hideMark/>
          </w:tcPr>
          <w:p w14:paraId="0600657C" w14:textId="77777777" w:rsidR="00872F0C" w:rsidRPr="00940D7C" w:rsidRDefault="00872F0C" w:rsidP="00872F0C">
            <w:pPr>
              <w:spacing w:after="0" w:line="240" w:lineRule="auto"/>
              <w:jc w:val="left"/>
              <w:rPr>
                <w:color w:val="000000"/>
                <w:sz w:val="18"/>
                <w:szCs w:val="18"/>
                <w:lang w:eastAsia="sk-SK"/>
              </w:rPr>
            </w:pPr>
            <w:r w:rsidRPr="00940D7C">
              <w:rPr>
                <w:color w:val="000000"/>
                <w:sz w:val="18"/>
                <w:szCs w:val="18"/>
                <w:lang w:eastAsia="sk-SK"/>
              </w:rPr>
              <w:t>Transfery nefinančným subjektom</w:t>
            </w:r>
          </w:p>
        </w:tc>
        <w:tc>
          <w:tcPr>
            <w:tcW w:w="1060" w:type="dxa"/>
            <w:tcBorders>
              <w:top w:val="nil"/>
              <w:left w:val="nil"/>
              <w:bottom w:val="nil"/>
              <w:right w:val="nil"/>
            </w:tcBorders>
            <w:shd w:val="clear" w:color="auto" w:fill="auto"/>
            <w:vAlign w:val="center"/>
            <w:hideMark/>
          </w:tcPr>
          <w:p w14:paraId="5841ED75" w14:textId="77777777" w:rsidR="00872F0C" w:rsidRPr="00940D7C" w:rsidRDefault="00872F0C" w:rsidP="00872F0C">
            <w:pPr>
              <w:spacing w:after="0" w:line="240" w:lineRule="auto"/>
              <w:jc w:val="right"/>
              <w:rPr>
                <w:color w:val="000000"/>
                <w:sz w:val="18"/>
                <w:szCs w:val="18"/>
                <w:lang w:eastAsia="sk-SK"/>
              </w:rPr>
            </w:pPr>
            <w:r w:rsidRPr="00940D7C">
              <w:rPr>
                <w:color w:val="000000"/>
                <w:sz w:val="18"/>
                <w:szCs w:val="18"/>
                <w:lang w:eastAsia="sk-SK"/>
              </w:rPr>
              <w:t>618 022</w:t>
            </w:r>
          </w:p>
        </w:tc>
        <w:tc>
          <w:tcPr>
            <w:tcW w:w="980" w:type="dxa"/>
            <w:tcBorders>
              <w:top w:val="nil"/>
              <w:left w:val="nil"/>
              <w:bottom w:val="nil"/>
              <w:right w:val="nil"/>
            </w:tcBorders>
            <w:shd w:val="clear" w:color="auto" w:fill="auto"/>
            <w:vAlign w:val="center"/>
            <w:hideMark/>
          </w:tcPr>
          <w:p w14:paraId="743F902C" w14:textId="77777777" w:rsidR="00872F0C" w:rsidRPr="00940D7C" w:rsidRDefault="00872F0C" w:rsidP="00872F0C">
            <w:pPr>
              <w:spacing w:after="0" w:line="240" w:lineRule="auto"/>
              <w:jc w:val="right"/>
              <w:rPr>
                <w:color w:val="000000"/>
                <w:sz w:val="18"/>
                <w:szCs w:val="18"/>
                <w:lang w:eastAsia="sk-SK"/>
              </w:rPr>
            </w:pPr>
            <w:r w:rsidRPr="00940D7C">
              <w:rPr>
                <w:color w:val="000000"/>
                <w:sz w:val="18"/>
                <w:szCs w:val="18"/>
                <w:lang w:eastAsia="sk-SK"/>
              </w:rPr>
              <w:t>643 405</w:t>
            </w:r>
          </w:p>
        </w:tc>
        <w:tc>
          <w:tcPr>
            <w:tcW w:w="992" w:type="dxa"/>
            <w:tcBorders>
              <w:top w:val="nil"/>
              <w:left w:val="nil"/>
              <w:bottom w:val="nil"/>
              <w:right w:val="nil"/>
            </w:tcBorders>
            <w:shd w:val="clear" w:color="auto" w:fill="auto"/>
            <w:vAlign w:val="center"/>
            <w:hideMark/>
          </w:tcPr>
          <w:p w14:paraId="458ACCB0" w14:textId="77777777" w:rsidR="00872F0C" w:rsidRPr="00940D7C" w:rsidRDefault="00872F0C" w:rsidP="00872F0C">
            <w:pPr>
              <w:spacing w:after="0" w:line="240" w:lineRule="auto"/>
              <w:jc w:val="right"/>
              <w:rPr>
                <w:color w:val="000000"/>
                <w:sz w:val="18"/>
                <w:szCs w:val="18"/>
                <w:lang w:eastAsia="sk-SK"/>
              </w:rPr>
            </w:pPr>
            <w:r w:rsidRPr="00940D7C">
              <w:rPr>
                <w:color w:val="000000"/>
                <w:sz w:val="18"/>
                <w:szCs w:val="18"/>
                <w:lang w:eastAsia="sk-SK"/>
              </w:rPr>
              <w:t>901 850</w:t>
            </w:r>
          </w:p>
        </w:tc>
        <w:tc>
          <w:tcPr>
            <w:tcW w:w="1025" w:type="dxa"/>
            <w:tcBorders>
              <w:top w:val="nil"/>
              <w:left w:val="nil"/>
              <w:bottom w:val="nil"/>
              <w:right w:val="nil"/>
            </w:tcBorders>
            <w:shd w:val="clear" w:color="000000" w:fill="BFBFBF"/>
            <w:vAlign w:val="center"/>
            <w:hideMark/>
          </w:tcPr>
          <w:p w14:paraId="78DB5A92" w14:textId="77777777" w:rsidR="00872F0C" w:rsidRPr="00940D7C" w:rsidRDefault="00872F0C" w:rsidP="00872F0C">
            <w:pPr>
              <w:spacing w:after="0" w:line="240" w:lineRule="auto"/>
              <w:jc w:val="right"/>
              <w:rPr>
                <w:color w:val="000000"/>
                <w:sz w:val="18"/>
                <w:szCs w:val="18"/>
                <w:lang w:eastAsia="sk-SK"/>
              </w:rPr>
            </w:pPr>
            <w:r w:rsidRPr="00940D7C">
              <w:rPr>
                <w:color w:val="000000"/>
                <w:sz w:val="18"/>
                <w:szCs w:val="18"/>
                <w:lang w:eastAsia="sk-SK"/>
              </w:rPr>
              <w:t>713 871</w:t>
            </w:r>
          </w:p>
        </w:tc>
        <w:tc>
          <w:tcPr>
            <w:tcW w:w="851" w:type="dxa"/>
            <w:tcBorders>
              <w:top w:val="nil"/>
              <w:left w:val="nil"/>
              <w:bottom w:val="nil"/>
              <w:right w:val="nil"/>
            </w:tcBorders>
            <w:shd w:val="clear" w:color="auto" w:fill="auto"/>
            <w:vAlign w:val="center"/>
            <w:hideMark/>
          </w:tcPr>
          <w:p w14:paraId="122E7CB1" w14:textId="77777777" w:rsidR="00872F0C" w:rsidRPr="00940D7C" w:rsidRDefault="00872F0C" w:rsidP="00872F0C">
            <w:pPr>
              <w:spacing w:after="0" w:line="240" w:lineRule="auto"/>
              <w:jc w:val="right"/>
              <w:rPr>
                <w:color w:val="000000"/>
                <w:sz w:val="18"/>
                <w:szCs w:val="18"/>
                <w:lang w:eastAsia="sk-SK"/>
              </w:rPr>
            </w:pPr>
            <w:r w:rsidRPr="00940D7C">
              <w:rPr>
                <w:color w:val="000000"/>
                <w:sz w:val="18"/>
                <w:szCs w:val="18"/>
                <w:lang w:eastAsia="sk-SK"/>
              </w:rPr>
              <w:t>-187 979</w:t>
            </w:r>
          </w:p>
        </w:tc>
        <w:tc>
          <w:tcPr>
            <w:tcW w:w="850" w:type="dxa"/>
            <w:tcBorders>
              <w:top w:val="nil"/>
              <w:left w:val="nil"/>
              <w:bottom w:val="nil"/>
              <w:right w:val="nil"/>
            </w:tcBorders>
            <w:shd w:val="clear" w:color="auto" w:fill="auto"/>
            <w:vAlign w:val="center"/>
            <w:hideMark/>
          </w:tcPr>
          <w:p w14:paraId="1C724A46" w14:textId="77777777" w:rsidR="00872F0C" w:rsidRPr="00940D7C" w:rsidRDefault="00872F0C" w:rsidP="00872F0C">
            <w:pPr>
              <w:spacing w:after="0" w:line="240" w:lineRule="auto"/>
              <w:jc w:val="right"/>
              <w:rPr>
                <w:color w:val="000000"/>
                <w:sz w:val="18"/>
                <w:szCs w:val="18"/>
                <w:lang w:eastAsia="sk-SK"/>
              </w:rPr>
            </w:pPr>
            <w:r w:rsidRPr="00940D7C">
              <w:rPr>
                <w:color w:val="000000"/>
                <w:sz w:val="18"/>
                <w:szCs w:val="18"/>
                <w:lang w:eastAsia="sk-SK"/>
              </w:rPr>
              <w:t>-20,8</w:t>
            </w:r>
          </w:p>
        </w:tc>
      </w:tr>
      <w:tr w:rsidR="00872F0C" w:rsidRPr="00940D7C" w14:paraId="76A97B5E" w14:textId="77777777" w:rsidTr="00DA7E33">
        <w:trPr>
          <w:trHeight w:val="540"/>
        </w:trPr>
        <w:tc>
          <w:tcPr>
            <w:tcW w:w="2747" w:type="dxa"/>
            <w:tcBorders>
              <w:top w:val="nil"/>
              <w:left w:val="nil"/>
              <w:bottom w:val="nil"/>
              <w:right w:val="nil"/>
            </w:tcBorders>
            <w:shd w:val="clear" w:color="auto" w:fill="auto"/>
            <w:vAlign w:val="center"/>
            <w:hideMark/>
          </w:tcPr>
          <w:p w14:paraId="540B128F" w14:textId="77777777" w:rsidR="00872F0C" w:rsidRPr="00940D7C" w:rsidRDefault="00872F0C" w:rsidP="00872F0C">
            <w:pPr>
              <w:spacing w:after="0" w:line="240" w:lineRule="auto"/>
              <w:jc w:val="left"/>
              <w:rPr>
                <w:color w:val="000000"/>
                <w:sz w:val="18"/>
                <w:szCs w:val="18"/>
                <w:lang w:eastAsia="sk-SK"/>
              </w:rPr>
            </w:pPr>
            <w:r w:rsidRPr="00940D7C">
              <w:rPr>
                <w:color w:val="000000"/>
                <w:sz w:val="18"/>
                <w:szCs w:val="18"/>
                <w:lang w:eastAsia="sk-SK"/>
              </w:rPr>
              <w:t>Transfery do tuzemských finančných inštitúcií</w:t>
            </w:r>
          </w:p>
        </w:tc>
        <w:tc>
          <w:tcPr>
            <w:tcW w:w="1060" w:type="dxa"/>
            <w:tcBorders>
              <w:top w:val="nil"/>
              <w:left w:val="nil"/>
              <w:bottom w:val="nil"/>
              <w:right w:val="nil"/>
            </w:tcBorders>
            <w:shd w:val="clear" w:color="auto" w:fill="auto"/>
            <w:vAlign w:val="center"/>
            <w:hideMark/>
          </w:tcPr>
          <w:p w14:paraId="47D3DCA7" w14:textId="77777777" w:rsidR="00872F0C" w:rsidRPr="00940D7C" w:rsidRDefault="00872F0C" w:rsidP="00872F0C">
            <w:pPr>
              <w:spacing w:after="0" w:line="240" w:lineRule="auto"/>
              <w:jc w:val="right"/>
              <w:rPr>
                <w:color w:val="000000"/>
                <w:sz w:val="18"/>
                <w:szCs w:val="18"/>
                <w:lang w:eastAsia="sk-SK"/>
              </w:rPr>
            </w:pPr>
            <w:r w:rsidRPr="00940D7C">
              <w:rPr>
                <w:color w:val="000000"/>
                <w:sz w:val="18"/>
                <w:szCs w:val="18"/>
                <w:lang w:eastAsia="sk-SK"/>
              </w:rPr>
              <w:t>2 127</w:t>
            </w:r>
          </w:p>
        </w:tc>
        <w:tc>
          <w:tcPr>
            <w:tcW w:w="980" w:type="dxa"/>
            <w:tcBorders>
              <w:top w:val="nil"/>
              <w:left w:val="nil"/>
              <w:bottom w:val="nil"/>
              <w:right w:val="nil"/>
            </w:tcBorders>
            <w:shd w:val="clear" w:color="auto" w:fill="auto"/>
            <w:vAlign w:val="center"/>
            <w:hideMark/>
          </w:tcPr>
          <w:p w14:paraId="25C4D14E" w14:textId="77777777" w:rsidR="00872F0C" w:rsidRPr="00940D7C" w:rsidRDefault="00872F0C" w:rsidP="00872F0C">
            <w:pPr>
              <w:spacing w:after="0" w:line="240" w:lineRule="auto"/>
              <w:jc w:val="right"/>
              <w:rPr>
                <w:color w:val="000000"/>
                <w:sz w:val="18"/>
                <w:szCs w:val="18"/>
                <w:lang w:eastAsia="sk-SK"/>
              </w:rPr>
            </w:pPr>
            <w:r w:rsidRPr="00940D7C">
              <w:rPr>
                <w:color w:val="000000"/>
                <w:sz w:val="18"/>
                <w:szCs w:val="18"/>
                <w:lang w:eastAsia="sk-SK"/>
              </w:rPr>
              <w:t>1 774</w:t>
            </w:r>
          </w:p>
        </w:tc>
        <w:tc>
          <w:tcPr>
            <w:tcW w:w="992" w:type="dxa"/>
            <w:tcBorders>
              <w:top w:val="nil"/>
              <w:left w:val="nil"/>
              <w:bottom w:val="nil"/>
              <w:right w:val="nil"/>
            </w:tcBorders>
            <w:shd w:val="clear" w:color="auto" w:fill="auto"/>
            <w:vAlign w:val="center"/>
            <w:hideMark/>
          </w:tcPr>
          <w:p w14:paraId="0A9E60A0" w14:textId="77777777" w:rsidR="00872F0C" w:rsidRPr="00940D7C" w:rsidRDefault="00872F0C" w:rsidP="00872F0C">
            <w:pPr>
              <w:spacing w:after="0" w:line="240" w:lineRule="auto"/>
              <w:jc w:val="right"/>
              <w:rPr>
                <w:color w:val="000000"/>
                <w:sz w:val="18"/>
                <w:szCs w:val="18"/>
                <w:lang w:eastAsia="sk-SK"/>
              </w:rPr>
            </w:pPr>
            <w:r w:rsidRPr="00940D7C">
              <w:rPr>
                <w:color w:val="000000"/>
                <w:sz w:val="18"/>
                <w:szCs w:val="18"/>
                <w:lang w:eastAsia="sk-SK"/>
              </w:rPr>
              <w:t>2 475</w:t>
            </w:r>
          </w:p>
        </w:tc>
        <w:tc>
          <w:tcPr>
            <w:tcW w:w="1025" w:type="dxa"/>
            <w:tcBorders>
              <w:top w:val="nil"/>
              <w:left w:val="nil"/>
              <w:bottom w:val="nil"/>
              <w:right w:val="nil"/>
            </w:tcBorders>
            <w:shd w:val="clear" w:color="000000" w:fill="BFBFBF"/>
            <w:vAlign w:val="center"/>
            <w:hideMark/>
          </w:tcPr>
          <w:p w14:paraId="78ED91F2" w14:textId="77777777" w:rsidR="00872F0C" w:rsidRPr="00940D7C" w:rsidRDefault="00872F0C" w:rsidP="00872F0C">
            <w:pPr>
              <w:spacing w:after="0" w:line="240" w:lineRule="auto"/>
              <w:jc w:val="right"/>
              <w:rPr>
                <w:color w:val="000000"/>
                <w:sz w:val="18"/>
                <w:szCs w:val="18"/>
                <w:lang w:eastAsia="sk-SK"/>
              </w:rPr>
            </w:pPr>
            <w:r w:rsidRPr="00940D7C">
              <w:rPr>
                <w:color w:val="000000"/>
                <w:sz w:val="18"/>
                <w:szCs w:val="18"/>
                <w:lang w:eastAsia="sk-SK"/>
              </w:rPr>
              <w:t>64 740</w:t>
            </w:r>
          </w:p>
        </w:tc>
        <w:tc>
          <w:tcPr>
            <w:tcW w:w="851" w:type="dxa"/>
            <w:tcBorders>
              <w:top w:val="nil"/>
              <w:left w:val="nil"/>
              <w:bottom w:val="single" w:sz="8" w:space="0" w:color="auto"/>
              <w:right w:val="nil"/>
            </w:tcBorders>
            <w:shd w:val="clear" w:color="auto" w:fill="auto"/>
            <w:vAlign w:val="center"/>
            <w:hideMark/>
          </w:tcPr>
          <w:p w14:paraId="4D04D71E" w14:textId="77777777" w:rsidR="00872F0C" w:rsidRPr="00940D7C" w:rsidRDefault="00872F0C" w:rsidP="00872F0C">
            <w:pPr>
              <w:spacing w:after="0" w:line="240" w:lineRule="auto"/>
              <w:jc w:val="right"/>
              <w:rPr>
                <w:color w:val="000000"/>
                <w:sz w:val="18"/>
                <w:szCs w:val="18"/>
                <w:lang w:eastAsia="sk-SK"/>
              </w:rPr>
            </w:pPr>
            <w:r w:rsidRPr="00940D7C">
              <w:rPr>
                <w:color w:val="000000"/>
                <w:sz w:val="18"/>
                <w:szCs w:val="18"/>
                <w:lang w:eastAsia="sk-SK"/>
              </w:rPr>
              <w:t>62 265</w:t>
            </w:r>
          </w:p>
        </w:tc>
        <w:tc>
          <w:tcPr>
            <w:tcW w:w="850" w:type="dxa"/>
            <w:tcBorders>
              <w:top w:val="nil"/>
              <w:left w:val="nil"/>
              <w:bottom w:val="single" w:sz="8" w:space="0" w:color="auto"/>
              <w:right w:val="nil"/>
            </w:tcBorders>
            <w:shd w:val="clear" w:color="auto" w:fill="auto"/>
            <w:vAlign w:val="center"/>
            <w:hideMark/>
          </w:tcPr>
          <w:p w14:paraId="4DBD6A72" w14:textId="0198D025" w:rsidR="00872F0C" w:rsidRPr="00940D7C" w:rsidRDefault="00872F0C" w:rsidP="00872F0C">
            <w:pPr>
              <w:spacing w:after="0" w:line="240" w:lineRule="auto"/>
              <w:jc w:val="right"/>
              <w:rPr>
                <w:color w:val="000000"/>
                <w:sz w:val="18"/>
                <w:szCs w:val="18"/>
                <w:lang w:eastAsia="sk-SK"/>
              </w:rPr>
            </w:pPr>
            <w:r w:rsidRPr="00940D7C">
              <w:rPr>
                <w:color w:val="000000"/>
                <w:sz w:val="18"/>
                <w:szCs w:val="18"/>
                <w:lang w:eastAsia="sk-SK"/>
              </w:rPr>
              <w:t>2</w:t>
            </w:r>
            <w:r w:rsidR="00DA7E33">
              <w:rPr>
                <w:color w:val="000000"/>
                <w:sz w:val="18"/>
                <w:szCs w:val="18"/>
                <w:lang w:eastAsia="sk-SK"/>
              </w:rPr>
              <w:t xml:space="preserve"> </w:t>
            </w:r>
            <w:r w:rsidRPr="00940D7C">
              <w:rPr>
                <w:color w:val="000000"/>
                <w:sz w:val="18"/>
                <w:szCs w:val="18"/>
                <w:lang w:eastAsia="sk-SK"/>
              </w:rPr>
              <w:t>515,8</w:t>
            </w:r>
          </w:p>
        </w:tc>
      </w:tr>
      <w:tr w:rsidR="00872F0C" w:rsidRPr="00940D7C" w14:paraId="75619918" w14:textId="77777777" w:rsidTr="00DA7E33">
        <w:trPr>
          <w:trHeight w:val="300"/>
        </w:trPr>
        <w:tc>
          <w:tcPr>
            <w:tcW w:w="2747" w:type="dxa"/>
            <w:tcBorders>
              <w:top w:val="single" w:sz="8" w:space="0" w:color="auto"/>
              <w:left w:val="nil"/>
              <w:bottom w:val="single" w:sz="8" w:space="0" w:color="auto"/>
              <w:right w:val="nil"/>
            </w:tcBorders>
            <w:shd w:val="clear" w:color="auto" w:fill="auto"/>
            <w:vAlign w:val="center"/>
            <w:hideMark/>
          </w:tcPr>
          <w:p w14:paraId="5EEEAAD3" w14:textId="77777777" w:rsidR="00872F0C" w:rsidRPr="00940D7C" w:rsidRDefault="00872F0C" w:rsidP="00872F0C">
            <w:pPr>
              <w:spacing w:after="0" w:line="240" w:lineRule="auto"/>
              <w:rPr>
                <w:b/>
                <w:bCs/>
                <w:color w:val="000000"/>
                <w:sz w:val="18"/>
                <w:szCs w:val="18"/>
                <w:lang w:eastAsia="sk-SK"/>
              </w:rPr>
            </w:pPr>
            <w:r w:rsidRPr="00940D7C">
              <w:rPr>
                <w:b/>
                <w:bCs/>
                <w:color w:val="000000"/>
                <w:sz w:val="18"/>
                <w:szCs w:val="18"/>
                <w:lang w:eastAsia="sk-SK"/>
              </w:rPr>
              <w:t>Spolu</w:t>
            </w:r>
          </w:p>
        </w:tc>
        <w:tc>
          <w:tcPr>
            <w:tcW w:w="1060" w:type="dxa"/>
            <w:tcBorders>
              <w:top w:val="single" w:sz="8" w:space="0" w:color="auto"/>
              <w:left w:val="nil"/>
              <w:bottom w:val="single" w:sz="8" w:space="0" w:color="auto"/>
              <w:right w:val="nil"/>
            </w:tcBorders>
            <w:shd w:val="clear" w:color="auto" w:fill="auto"/>
            <w:noWrap/>
            <w:vAlign w:val="center"/>
            <w:hideMark/>
          </w:tcPr>
          <w:p w14:paraId="051C4D3A" w14:textId="77777777" w:rsidR="00872F0C" w:rsidRPr="00940D7C" w:rsidRDefault="00872F0C" w:rsidP="00872F0C">
            <w:pPr>
              <w:spacing w:after="0" w:line="240" w:lineRule="auto"/>
              <w:jc w:val="right"/>
              <w:rPr>
                <w:b/>
                <w:bCs/>
                <w:color w:val="000000"/>
                <w:sz w:val="18"/>
                <w:szCs w:val="18"/>
                <w:lang w:eastAsia="sk-SK"/>
              </w:rPr>
            </w:pPr>
            <w:r w:rsidRPr="00940D7C">
              <w:rPr>
                <w:b/>
                <w:bCs/>
                <w:color w:val="000000"/>
                <w:sz w:val="18"/>
                <w:szCs w:val="18"/>
                <w:lang w:eastAsia="sk-SK"/>
              </w:rPr>
              <w:t>9 485 727</w:t>
            </w:r>
          </w:p>
        </w:tc>
        <w:tc>
          <w:tcPr>
            <w:tcW w:w="980" w:type="dxa"/>
            <w:tcBorders>
              <w:top w:val="single" w:sz="8" w:space="0" w:color="auto"/>
              <w:left w:val="nil"/>
              <w:bottom w:val="single" w:sz="8" w:space="0" w:color="auto"/>
              <w:right w:val="nil"/>
            </w:tcBorders>
            <w:shd w:val="clear" w:color="auto" w:fill="auto"/>
            <w:noWrap/>
            <w:vAlign w:val="center"/>
            <w:hideMark/>
          </w:tcPr>
          <w:p w14:paraId="29CB651E" w14:textId="77777777" w:rsidR="00872F0C" w:rsidRPr="00940D7C" w:rsidRDefault="00872F0C" w:rsidP="00872F0C">
            <w:pPr>
              <w:spacing w:after="0" w:line="240" w:lineRule="auto"/>
              <w:jc w:val="right"/>
              <w:rPr>
                <w:b/>
                <w:bCs/>
                <w:color w:val="000000"/>
                <w:sz w:val="18"/>
                <w:szCs w:val="18"/>
                <w:lang w:eastAsia="sk-SK"/>
              </w:rPr>
            </w:pPr>
            <w:r w:rsidRPr="00940D7C">
              <w:rPr>
                <w:b/>
                <w:bCs/>
                <w:color w:val="000000"/>
                <w:sz w:val="18"/>
                <w:szCs w:val="18"/>
                <w:lang w:eastAsia="sk-SK"/>
              </w:rPr>
              <w:t>9 652 930</w:t>
            </w:r>
          </w:p>
        </w:tc>
        <w:tc>
          <w:tcPr>
            <w:tcW w:w="992" w:type="dxa"/>
            <w:tcBorders>
              <w:top w:val="single" w:sz="8" w:space="0" w:color="auto"/>
              <w:left w:val="nil"/>
              <w:bottom w:val="single" w:sz="8" w:space="0" w:color="auto"/>
              <w:right w:val="nil"/>
            </w:tcBorders>
            <w:shd w:val="clear" w:color="auto" w:fill="auto"/>
            <w:noWrap/>
            <w:vAlign w:val="center"/>
            <w:hideMark/>
          </w:tcPr>
          <w:p w14:paraId="7AF2E877" w14:textId="77777777" w:rsidR="00872F0C" w:rsidRPr="00940D7C" w:rsidRDefault="00872F0C" w:rsidP="00872F0C">
            <w:pPr>
              <w:spacing w:after="0" w:line="240" w:lineRule="auto"/>
              <w:jc w:val="right"/>
              <w:rPr>
                <w:b/>
                <w:bCs/>
                <w:color w:val="000000"/>
                <w:sz w:val="18"/>
                <w:szCs w:val="18"/>
                <w:lang w:eastAsia="sk-SK"/>
              </w:rPr>
            </w:pPr>
            <w:r w:rsidRPr="00940D7C">
              <w:rPr>
                <w:b/>
                <w:bCs/>
                <w:color w:val="000000"/>
                <w:sz w:val="18"/>
                <w:szCs w:val="18"/>
                <w:lang w:eastAsia="sk-SK"/>
              </w:rPr>
              <w:t>9 983 360</w:t>
            </w:r>
          </w:p>
        </w:tc>
        <w:tc>
          <w:tcPr>
            <w:tcW w:w="1025" w:type="dxa"/>
            <w:tcBorders>
              <w:top w:val="single" w:sz="8" w:space="0" w:color="auto"/>
              <w:left w:val="nil"/>
              <w:bottom w:val="single" w:sz="8" w:space="0" w:color="auto"/>
              <w:right w:val="nil"/>
            </w:tcBorders>
            <w:shd w:val="clear" w:color="000000" w:fill="BFBFBF"/>
            <w:noWrap/>
            <w:vAlign w:val="center"/>
            <w:hideMark/>
          </w:tcPr>
          <w:p w14:paraId="53CD22C0" w14:textId="77777777" w:rsidR="00872F0C" w:rsidRPr="00940D7C" w:rsidRDefault="00872F0C" w:rsidP="00872F0C">
            <w:pPr>
              <w:spacing w:after="0" w:line="240" w:lineRule="auto"/>
              <w:jc w:val="right"/>
              <w:rPr>
                <w:b/>
                <w:bCs/>
                <w:color w:val="000000"/>
                <w:sz w:val="18"/>
                <w:szCs w:val="18"/>
                <w:lang w:eastAsia="sk-SK"/>
              </w:rPr>
            </w:pPr>
            <w:r w:rsidRPr="00940D7C">
              <w:rPr>
                <w:b/>
                <w:bCs/>
                <w:color w:val="000000"/>
                <w:sz w:val="18"/>
                <w:szCs w:val="18"/>
                <w:lang w:eastAsia="sk-SK"/>
              </w:rPr>
              <w:t>9 771 657</w:t>
            </w:r>
          </w:p>
        </w:tc>
        <w:tc>
          <w:tcPr>
            <w:tcW w:w="851" w:type="dxa"/>
            <w:tcBorders>
              <w:top w:val="nil"/>
              <w:left w:val="nil"/>
              <w:bottom w:val="single" w:sz="8" w:space="0" w:color="auto"/>
              <w:right w:val="nil"/>
            </w:tcBorders>
            <w:shd w:val="clear" w:color="auto" w:fill="auto"/>
            <w:vAlign w:val="center"/>
            <w:hideMark/>
          </w:tcPr>
          <w:p w14:paraId="7FBB13F6" w14:textId="77777777" w:rsidR="00872F0C" w:rsidRPr="00940D7C" w:rsidRDefault="00872F0C" w:rsidP="00872F0C">
            <w:pPr>
              <w:spacing w:after="0" w:line="240" w:lineRule="auto"/>
              <w:jc w:val="right"/>
              <w:rPr>
                <w:b/>
                <w:bCs/>
                <w:color w:val="000000"/>
                <w:sz w:val="18"/>
                <w:szCs w:val="18"/>
                <w:lang w:eastAsia="sk-SK"/>
              </w:rPr>
            </w:pPr>
            <w:r w:rsidRPr="00940D7C">
              <w:rPr>
                <w:b/>
                <w:bCs/>
                <w:color w:val="000000"/>
                <w:sz w:val="18"/>
                <w:szCs w:val="18"/>
                <w:lang w:eastAsia="sk-SK"/>
              </w:rPr>
              <w:t>-211 703</w:t>
            </w:r>
          </w:p>
        </w:tc>
        <w:tc>
          <w:tcPr>
            <w:tcW w:w="850" w:type="dxa"/>
            <w:tcBorders>
              <w:top w:val="nil"/>
              <w:left w:val="nil"/>
              <w:bottom w:val="single" w:sz="8" w:space="0" w:color="auto"/>
              <w:right w:val="nil"/>
            </w:tcBorders>
            <w:shd w:val="clear" w:color="auto" w:fill="auto"/>
            <w:vAlign w:val="center"/>
            <w:hideMark/>
          </w:tcPr>
          <w:p w14:paraId="46F9BA01" w14:textId="77777777" w:rsidR="00872F0C" w:rsidRPr="00940D7C" w:rsidRDefault="00872F0C" w:rsidP="00872F0C">
            <w:pPr>
              <w:spacing w:after="0" w:line="240" w:lineRule="auto"/>
              <w:jc w:val="right"/>
              <w:rPr>
                <w:color w:val="000000"/>
                <w:sz w:val="18"/>
                <w:szCs w:val="18"/>
                <w:lang w:eastAsia="sk-SK"/>
              </w:rPr>
            </w:pPr>
            <w:r w:rsidRPr="00940D7C">
              <w:rPr>
                <w:color w:val="000000"/>
                <w:sz w:val="18"/>
                <w:szCs w:val="18"/>
                <w:lang w:eastAsia="sk-SK"/>
              </w:rPr>
              <w:t>-2,1</w:t>
            </w:r>
          </w:p>
        </w:tc>
      </w:tr>
    </w:tbl>
    <w:p w14:paraId="3C3B1AAA" w14:textId="77777777" w:rsidR="00872F0C" w:rsidRPr="00BC54C2" w:rsidRDefault="00872F0C" w:rsidP="00872F0C">
      <w:pPr>
        <w:jc w:val="right"/>
      </w:pPr>
      <w:r w:rsidRPr="00BC54C2">
        <w:rPr>
          <w:sz w:val="18"/>
          <w:szCs w:val="18"/>
        </w:rPr>
        <w:t>Zdroj: MF SR</w:t>
      </w:r>
    </w:p>
    <w:p w14:paraId="1EE1FAFC" w14:textId="764CE7C7" w:rsidR="00EF1D89" w:rsidRDefault="00071652" w:rsidP="00EF1D89">
      <w:r w:rsidRPr="003E1502">
        <w:rPr>
          <w:b/>
        </w:rPr>
        <w:t>T</w:t>
      </w:r>
      <w:r w:rsidR="00872F0C" w:rsidRPr="003E1502">
        <w:rPr>
          <w:b/>
        </w:rPr>
        <w:t>ransfer</w:t>
      </w:r>
      <w:r w:rsidRPr="003E1502">
        <w:rPr>
          <w:b/>
        </w:rPr>
        <w:t>y</w:t>
      </w:r>
      <w:r w:rsidR="00872F0C" w:rsidRPr="003E1502">
        <w:rPr>
          <w:b/>
        </w:rPr>
        <w:t xml:space="preserve"> v rámci verejnej správy</w:t>
      </w:r>
      <w:r w:rsidR="00872F0C" w:rsidRPr="00725BA2">
        <w:rPr>
          <w:b/>
          <w:i/>
        </w:rPr>
        <w:t xml:space="preserve"> </w:t>
      </w:r>
      <w:r>
        <w:t xml:space="preserve">predstavujú </w:t>
      </w:r>
      <w:r w:rsidR="00825080">
        <w:t>platby subjektom, ktoré sú štatisticky zaradené do sektora verejnej správy a</w:t>
      </w:r>
      <w:r w:rsidR="00BF5D19">
        <w:t xml:space="preserve"> </w:t>
      </w:r>
      <w:r w:rsidR="00825080">
        <w:t xml:space="preserve">v registri organizácií vedenom Štatistickým úradom majú </w:t>
      </w:r>
      <w:r w:rsidR="00781447">
        <w:t>pridelený</w:t>
      </w:r>
      <w:r w:rsidR="00825080">
        <w:t xml:space="preserve"> jeden zo subsektorov ústredná správa, územná samospráva alebo fondy sociálneho a </w:t>
      </w:r>
      <w:r w:rsidR="00781447">
        <w:t>zdravotného</w:t>
      </w:r>
      <w:r w:rsidR="00825080">
        <w:t xml:space="preserve"> zabezpečenia. Príjemcovia sú </w:t>
      </w:r>
      <w:r w:rsidR="00B319C9">
        <w:t xml:space="preserve">vždy </w:t>
      </w:r>
      <w:r w:rsidR="00825080">
        <w:t>právnické osoby</w:t>
      </w:r>
      <w:r w:rsidR="00B319C9">
        <w:t xml:space="preserve">, </w:t>
      </w:r>
      <w:r w:rsidR="00825080">
        <w:t>napríklad Sociáln</w:t>
      </w:r>
      <w:r w:rsidR="00B319C9">
        <w:t>a poisťovňa</w:t>
      </w:r>
      <w:r w:rsidR="00825080">
        <w:t xml:space="preserve">, </w:t>
      </w:r>
      <w:r w:rsidR="00B319C9">
        <w:t>príspevkové a rozpočtové organizácie, verejné vysoké školy, štátne fondy, obce a vyššie územné celky, obchodné spoločnosti vo verejnej správe a</w:t>
      </w:r>
      <w:r w:rsidR="00EF1D89">
        <w:t> ďalšie.</w:t>
      </w:r>
    </w:p>
    <w:p w14:paraId="7B0331AC" w14:textId="07BD426C" w:rsidR="00960A87" w:rsidRPr="002E46C9" w:rsidRDefault="00EF1D89" w:rsidP="00960A87">
      <w:r>
        <w:t xml:space="preserve">Najvyššiu hodnotu predstavuje transfer </w:t>
      </w:r>
      <w:r w:rsidRPr="003E2C66">
        <w:rPr>
          <w:i/>
          <w:u w:val="single"/>
        </w:rPr>
        <w:t>n</w:t>
      </w:r>
      <w:r w:rsidR="00872F0C" w:rsidRPr="003E2C66">
        <w:rPr>
          <w:i/>
          <w:u w:val="single"/>
        </w:rPr>
        <w:t xml:space="preserve">a </w:t>
      </w:r>
      <w:r w:rsidR="00872F0C" w:rsidRPr="00A265D6">
        <w:rPr>
          <w:i/>
          <w:u w:val="single"/>
        </w:rPr>
        <w:t xml:space="preserve">vyrovnanie </w:t>
      </w:r>
      <w:r w:rsidR="0087122F" w:rsidRPr="00A265D6">
        <w:rPr>
          <w:i/>
          <w:u w:val="single"/>
        </w:rPr>
        <w:t>samostatného</w:t>
      </w:r>
      <w:r w:rsidR="00872F0C" w:rsidRPr="00A265D6">
        <w:rPr>
          <w:i/>
          <w:u w:val="single"/>
        </w:rPr>
        <w:t xml:space="preserve"> účtu</w:t>
      </w:r>
      <w:r w:rsidR="00872F0C" w:rsidRPr="003E2C66">
        <w:rPr>
          <w:i/>
          <w:u w:val="single"/>
        </w:rPr>
        <w:t xml:space="preserve"> štátneho dlhu</w:t>
      </w:r>
      <w:r>
        <w:rPr>
          <w:i/>
        </w:rPr>
        <w:t xml:space="preserve"> </w:t>
      </w:r>
      <w:r w:rsidRPr="00EF1D89">
        <w:t>(v</w:t>
      </w:r>
      <w:r>
        <w:t>edenom</w:t>
      </w:r>
      <w:r w:rsidRPr="00EF1D89">
        <w:t xml:space="preserve"> </w:t>
      </w:r>
      <w:r>
        <w:t>Ministerstvom financií SR</w:t>
      </w:r>
      <w:r w:rsidRPr="00EF1D89">
        <w:t>)</w:t>
      </w:r>
      <w:r w:rsidR="00872F0C" w:rsidRPr="00EF1D89">
        <w:t>,</w:t>
      </w:r>
      <w:r w:rsidR="00872F0C" w:rsidRPr="00EF1D89">
        <w:rPr>
          <w:b/>
        </w:rPr>
        <w:t xml:space="preserve"> </w:t>
      </w:r>
      <w:r w:rsidR="00872F0C" w:rsidRPr="0048758F">
        <w:t>ktor</w:t>
      </w:r>
      <w:r>
        <w:t>ý</w:t>
      </w:r>
      <w:r w:rsidR="00872F0C" w:rsidRPr="0048758F">
        <w:rPr>
          <w:b/>
        </w:rPr>
        <w:t xml:space="preserve"> </w:t>
      </w:r>
      <w:r w:rsidR="00872F0C" w:rsidRPr="0048758F">
        <w:t>bol uhraden</w:t>
      </w:r>
      <w:r>
        <w:t>ý</w:t>
      </w:r>
      <w:r w:rsidR="00872F0C" w:rsidRPr="0048758F">
        <w:t xml:space="preserve"> v objeme 1 134 322 tis. eur z kapitoly Všeobecná pokladničná správa. Ide o účet s povoleným debetným zostatkom, prostredníctvom ktorého ARDAL realizuje transakcie súvisiace </w:t>
      </w:r>
      <w:r w:rsidR="00E95469">
        <w:t xml:space="preserve">s </w:t>
      </w:r>
      <w:r w:rsidR="00872F0C" w:rsidRPr="0048758F">
        <w:t>úrokmi a poplatkami, a na ktorý ARDAL priebežne prevádza a smeruje prijaté úroky a poplatky súvisiace s finančnými operáciami vykonávanými v mene a na</w:t>
      </w:r>
      <w:r w:rsidR="00960A87">
        <w:t xml:space="preserve"> účet Ministerstva financií SR</w:t>
      </w:r>
      <w:r w:rsidR="00960A87" w:rsidRPr="002E46C9">
        <w:rPr>
          <w:rStyle w:val="Odkaznapoznmkupodiarou"/>
        </w:rPr>
        <w:footnoteReference w:id="20"/>
      </w:r>
      <w:r w:rsidR="00960A87">
        <w:t>.</w:t>
      </w:r>
    </w:p>
    <w:tbl>
      <w:tblPr>
        <w:tblW w:w="8495" w:type="dxa"/>
        <w:tblCellMar>
          <w:left w:w="70" w:type="dxa"/>
          <w:right w:w="70" w:type="dxa"/>
        </w:tblCellMar>
        <w:tblLook w:val="04A0" w:firstRow="1" w:lastRow="0" w:firstColumn="1" w:lastColumn="0" w:noHBand="0" w:noVBand="1"/>
      </w:tblPr>
      <w:tblGrid>
        <w:gridCol w:w="2735"/>
        <w:gridCol w:w="938"/>
        <w:gridCol w:w="938"/>
        <w:gridCol w:w="938"/>
        <w:gridCol w:w="1055"/>
        <w:gridCol w:w="938"/>
        <w:gridCol w:w="953"/>
      </w:tblGrid>
      <w:tr w:rsidR="00960A87" w:rsidRPr="00775D1A" w14:paraId="3A638C45" w14:textId="77777777" w:rsidTr="00331568">
        <w:trPr>
          <w:trHeight w:val="312"/>
        </w:trPr>
        <w:tc>
          <w:tcPr>
            <w:tcW w:w="8495" w:type="dxa"/>
            <w:gridSpan w:val="7"/>
            <w:tcBorders>
              <w:top w:val="single" w:sz="8" w:space="0" w:color="FFFFFF"/>
              <w:left w:val="single" w:sz="8" w:space="0" w:color="auto"/>
              <w:bottom w:val="nil"/>
              <w:right w:val="single" w:sz="8" w:space="0" w:color="000000"/>
            </w:tcBorders>
            <w:shd w:val="clear" w:color="000000" w:fill="000000"/>
            <w:noWrap/>
            <w:vAlign w:val="center"/>
            <w:hideMark/>
          </w:tcPr>
          <w:p w14:paraId="44959AE1" w14:textId="524B3206" w:rsidR="00960A87" w:rsidRPr="00775D1A" w:rsidRDefault="00960A87" w:rsidP="005A2F64">
            <w:pPr>
              <w:spacing w:after="0" w:line="240" w:lineRule="auto"/>
              <w:jc w:val="left"/>
              <w:rPr>
                <w:b/>
                <w:bCs/>
                <w:color w:val="FFFFFF"/>
                <w:sz w:val="18"/>
                <w:szCs w:val="18"/>
                <w:lang w:eastAsia="sk-SK"/>
              </w:rPr>
            </w:pPr>
            <w:r w:rsidRPr="00775D1A">
              <w:rPr>
                <w:b/>
                <w:bCs/>
                <w:color w:val="FFFFFF"/>
                <w:sz w:val="18"/>
                <w:szCs w:val="18"/>
                <w:lang w:eastAsia="sk-SK"/>
              </w:rPr>
              <w:t>Výdavky štátneho dlhu                                                                                                                                  v tis. eur</w:t>
            </w:r>
          </w:p>
        </w:tc>
      </w:tr>
      <w:tr w:rsidR="00960A87" w:rsidRPr="00775D1A" w14:paraId="4BBE33C4" w14:textId="77777777" w:rsidTr="00331568">
        <w:trPr>
          <w:trHeight w:val="312"/>
        </w:trPr>
        <w:tc>
          <w:tcPr>
            <w:tcW w:w="2735" w:type="dxa"/>
            <w:tcBorders>
              <w:top w:val="nil"/>
              <w:left w:val="nil"/>
              <w:bottom w:val="nil"/>
              <w:right w:val="nil"/>
            </w:tcBorders>
            <w:shd w:val="clear" w:color="000000" w:fill="BFBFBF"/>
            <w:vAlign w:val="center"/>
            <w:hideMark/>
          </w:tcPr>
          <w:p w14:paraId="18090770" w14:textId="77777777" w:rsidR="00960A87" w:rsidRPr="00775D1A" w:rsidRDefault="00960A87" w:rsidP="00550751">
            <w:pPr>
              <w:spacing w:after="0" w:line="240" w:lineRule="auto"/>
              <w:jc w:val="center"/>
              <w:rPr>
                <w:b/>
                <w:bCs/>
                <w:color w:val="000000"/>
                <w:sz w:val="18"/>
                <w:szCs w:val="18"/>
                <w:lang w:eastAsia="sk-SK"/>
              </w:rPr>
            </w:pPr>
            <w:r w:rsidRPr="00775D1A">
              <w:rPr>
                <w:b/>
                <w:bCs/>
                <w:color w:val="000000"/>
                <w:sz w:val="18"/>
                <w:szCs w:val="18"/>
                <w:lang w:eastAsia="sk-SK"/>
              </w:rPr>
              <w:t> </w:t>
            </w:r>
          </w:p>
        </w:tc>
        <w:tc>
          <w:tcPr>
            <w:tcW w:w="1876" w:type="dxa"/>
            <w:gridSpan w:val="2"/>
            <w:tcBorders>
              <w:top w:val="nil"/>
              <w:left w:val="nil"/>
              <w:bottom w:val="nil"/>
              <w:right w:val="nil"/>
            </w:tcBorders>
            <w:shd w:val="clear" w:color="000000" w:fill="BFBFBF"/>
            <w:vAlign w:val="center"/>
            <w:hideMark/>
          </w:tcPr>
          <w:p w14:paraId="2D6F1B65" w14:textId="77777777" w:rsidR="00960A87" w:rsidRPr="00775D1A" w:rsidRDefault="00960A87" w:rsidP="00550751">
            <w:pPr>
              <w:spacing w:after="0" w:line="240" w:lineRule="auto"/>
              <w:jc w:val="center"/>
              <w:rPr>
                <w:b/>
                <w:bCs/>
                <w:color w:val="000000"/>
                <w:sz w:val="18"/>
                <w:szCs w:val="18"/>
                <w:lang w:eastAsia="sk-SK"/>
              </w:rPr>
            </w:pPr>
            <w:r w:rsidRPr="00775D1A">
              <w:rPr>
                <w:b/>
                <w:bCs/>
                <w:color w:val="000000"/>
                <w:sz w:val="18"/>
                <w:szCs w:val="18"/>
                <w:lang w:eastAsia="sk-SK"/>
              </w:rPr>
              <w:t>Skutočnosť</w:t>
            </w:r>
          </w:p>
        </w:tc>
        <w:tc>
          <w:tcPr>
            <w:tcW w:w="938" w:type="dxa"/>
            <w:tcBorders>
              <w:top w:val="nil"/>
              <w:left w:val="nil"/>
              <w:bottom w:val="nil"/>
              <w:right w:val="nil"/>
            </w:tcBorders>
            <w:shd w:val="clear" w:color="000000" w:fill="BFBFBF"/>
            <w:vAlign w:val="center"/>
            <w:hideMark/>
          </w:tcPr>
          <w:p w14:paraId="1A7AC504" w14:textId="77777777" w:rsidR="00960A87" w:rsidRPr="00775D1A" w:rsidRDefault="00960A87" w:rsidP="00550751">
            <w:pPr>
              <w:spacing w:after="0" w:line="240" w:lineRule="auto"/>
              <w:jc w:val="center"/>
              <w:rPr>
                <w:b/>
                <w:bCs/>
                <w:color w:val="000000"/>
                <w:sz w:val="18"/>
                <w:szCs w:val="18"/>
                <w:lang w:eastAsia="sk-SK"/>
              </w:rPr>
            </w:pPr>
            <w:r w:rsidRPr="00775D1A">
              <w:rPr>
                <w:b/>
                <w:bCs/>
                <w:color w:val="000000"/>
                <w:sz w:val="18"/>
                <w:szCs w:val="18"/>
                <w:lang w:eastAsia="sk-SK"/>
              </w:rPr>
              <w:t>Rozpočet</w:t>
            </w:r>
          </w:p>
        </w:tc>
        <w:tc>
          <w:tcPr>
            <w:tcW w:w="1055" w:type="dxa"/>
            <w:tcBorders>
              <w:top w:val="nil"/>
              <w:left w:val="nil"/>
              <w:bottom w:val="nil"/>
              <w:right w:val="nil"/>
            </w:tcBorders>
            <w:shd w:val="clear" w:color="000000" w:fill="BFBFBF"/>
            <w:vAlign w:val="center"/>
            <w:hideMark/>
          </w:tcPr>
          <w:p w14:paraId="72E4DD54" w14:textId="77777777" w:rsidR="00960A87" w:rsidRPr="00775D1A" w:rsidRDefault="00960A87" w:rsidP="00550751">
            <w:pPr>
              <w:spacing w:after="0" w:line="240" w:lineRule="auto"/>
              <w:jc w:val="center"/>
              <w:rPr>
                <w:b/>
                <w:bCs/>
                <w:color w:val="000000"/>
                <w:sz w:val="18"/>
                <w:szCs w:val="18"/>
                <w:lang w:eastAsia="sk-SK"/>
              </w:rPr>
            </w:pPr>
            <w:r w:rsidRPr="00775D1A">
              <w:rPr>
                <w:b/>
                <w:bCs/>
                <w:color w:val="000000"/>
                <w:sz w:val="18"/>
                <w:szCs w:val="18"/>
                <w:lang w:eastAsia="sk-SK"/>
              </w:rPr>
              <w:t>Skutočnosť</w:t>
            </w:r>
          </w:p>
        </w:tc>
        <w:tc>
          <w:tcPr>
            <w:tcW w:w="1891" w:type="dxa"/>
            <w:gridSpan w:val="2"/>
            <w:tcBorders>
              <w:top w:val="nil"/>
              <w:left w:val="nil"/>
              <w:bottom w:val="nil"/>
              <w:right w:val="nil"/>
            </w:tcBorders>
            <w:shd w:val="clear" w:color="000000" w:fill="BFBFBF"/>
            <w:vAlign w:val="center"/>
            <w:hideMark/>
          </w:tcPr>
          <w:p w14:paraId="510BC62B" w14:textId="77777777" w:rsidR="00960A87" w:rsidRPr="00775D1A" w:rsidRDefault="00960A87" w:rsidP="00550751">
            <w:pPr>
              <w:spacing w:after="0" w:line="240" w:lineRule="auto"/>
              <w:jc w:val="center"/>
              <w:rPr>
                <w:b/>
                <w:bCs/>
                <w:color w:val="000000"/>
                <w:sz w:val="18"/>
                <w:szCs w:val="18"/>
                <w:lang w:eastAsia="sk-SK"/>
              </w:rPr>
            </w:pPr>
            <w:r w:rsidRPr="00775D1A">
              <w:rPr>
                <w:b/>
                <w:bCs/>
                <w:color w:val="000000"/>
                <w:sz w:val="18"/>
                <w:szCs w:val="18"/>
                <w:lang w:eastAsia="sk-SK"/>
              </w:rPr>
              <w:t>Rozdiel</w:t>
            </w:r>
          </w:p>
        </w:tc>
      </w:tr>
      <w:tr w:rsidR="00960A87" w:rsidRPr="00775D1A" w14:paraId="1D0CB760" w14:textId="77777777" w:rsidTr="00331568">
        <w:trPr>
          <w:trHeight w:val="312"/>
        </w:trPr>
        <w:tc>
          <w:tcPr>
            <w:tcW w:w="2735" w:type="dxa"/>
            <w:tcBorders>
              <w:top w:val="nil"/>
              <w:left w:val="nil"/>
              <w:bottom w:val="nil"/>
              <w:right w:val="nil"/>
            </w:tcBorders>
            <w:shd w:val="clear" w:color="000000" w:fill="BFBFBF"/>
            <w:vAlign w:val="center"/>
            <w:hideMark/>
          </w:tcPr>
          <w:p w14:paraId="5AD4BF5E" w14:textId="77777777" w:rsidR="00960A87" w:rsidRPr="00775D1A" w:rsidRDefault="00960A87" w:rsidP="00550751">
            <w:pPr>
              <w:spacing w:after="0" w:line="240" w:lineRule="auto"/>
              <w:jc w:val="center"/>
              <w:rPr>
                <w:b/>
                <w:bCs/>
                <w:color w:val="000000"/>
                <w:sz w:val="18"/>
                <w:szCs w:val="18"/>
                <w:lang w:eastAsia="sk-SK"/>
              </w:rPr>
            </w:pPr>
            <w:r w:rsidRPr="00775D1A">
              <w:rPr>
                <w:b/>
                <w:bCs/>
                <w:color w:val="000000"/>
                <w:sz w:val="18"/>
                <w:szCs w:val="18"/>
                <w:lang w:eastAsia="sk-SK"/>
              </w:rPr>
              <w:t> </w:t>
            </w:r>
          </w:p>
        </w:tc>
        <w:tc>
          <w:tcPr>
            <w:tcW w:w="938" w:type="dxa"/>
            <w:tcBorders>
              <w:top w:val="nil"/>
              <w:left w:val="nil"/>
              <w:bottom w:val="nil"/>
              <w:right w:val="nil"/>
            </w:tcBorders>
            <w:shd w:val="clear" w:color="000000" w:fill="BFBFBF"/>
            <w:vAlign w:val="center"/>
            <w:hideMark/>
          </w:tcPr>
          <w:p w14:paraId="2EBE58D5" w14:textId="77777777" w:rsidR="00960A87" w:rsidRPr="00775D1A" w:rsidRDefault="00960A87" w:rsidP="00550751">
            <w:pPr>
              <w:spacing w:after="0" w:line="240" w:lineRule="auto"/>
              <w:jc w:val="center"/>
              <w:rPr>
                <w:b/>
                <w:bCs/>
                <w:color w:val="000000"/>
                <w:sz w:val="18"/>
                <w:szCs w:val="18"/>
                <w:lang w:eastAsia="sk-SK"/>
              </w:rPr>
            </w:pPr>
            <w:r w:rsidRPr="00775D1A">
              <w:rPr>
                <w:b/>
                <w:bCs/>
                <w:color w:val="000000"/>
                <w:sz w:val="18"/>
                <w:szCs w:val="18"/>
                <w:lang w:eastAsia="sk-SK"/>
              </w:rPr>
              <w:t>2016</w:t>
            </w:r>
          </w:p>
        </w:tc>
        <w:tc>
          <w:tcPr>
            <w:tcW w:w="938" w:type="dxa"/>
            <w:tcBorders>
              <w:top w:val="nil"/>
              <w:left w:val="nil"/>
              <w:bottom w:val="nil"/>
              <w:right w:val="nil"/>
            </w:tcBorders>
            <w:shd w:val="clear" w:color="000000" w:fill="BFBFBF"/>
            <w:vAlign w:val="center"/>
            <w:hideMark/>
          </w:tcPr>
          <w:p w14:paraId="5762BB7E" w14:textId="77777777" w:rsidR="00960A87" w:rsidRPr="00775D1A" w:rsidRDefault="00960A87" w:rsidP="00550751">
            <w:pPr>
              <w:spacing w:after="0" w:line="240" w:lineRule="auto"/>
              <w:jc w:val="center"/>
              <w:rPr>
                <w:b/>
                <w:bCs/>
                <w:color w:val="000000"/>
                <w:sz w:val="18"/>
                <w:szCs w:val="18"/>
                <w:lang w:eastAsia="sk-SK"/>
              </w:rPr>
            </w:pPr>
            <w:r w:rsidRPr="00775D1A">
              <w:rPr>
                <w:b/>
                <w:bCs/>
                <w:color w:val="000000"/>
                <w:sz w:val="18"/>
                <w:szCs w:val="18"/>
                <w:lang w:eastAsia="sk-SK"/>
              </w:rPr>
              <w:t>2017</w:t>
            </w:r>
          </w:p>
        </w:tc>
        <w:tc>
          <w:tcPr>
            <w:tcW w:w="938" w:type="dxa"/>
            <w:tcBorders>
              <w:top w:val="nil"/>
              <w:left w:val="nil"/>
              <w:bottom w:val="nil"/>
              <w:right w:val="nil"/>
            </w:tcBorders>
            <w:shd w:val="clear" w:color="000000" w:fill="BFBFBF"/>
            <w:vAlign w:val="center"/>
            <w:hideMark/>
          </w:tcPr>
          <w:p w14:paraId="01BFC1FF" w14:textId="77777777" w:rsidR="00960A87" w:rsidRPr="00775D1A" w:rsidRDefault="00960A87" w:rsidP="00550751">
            <w:pPr>
              <w:spacing w:after="0" w:line="240" w:lineRule="auto"/>
              <w:jc w:val="center"/>
              <w:rPr>
                <w:b/>
                <w:bCs/>
                <w:color w:val="000000"/>
                <w:sz w:val="18"/>
                <w:szCs w:val="18"/>
                <w:lang w:eastAsia="sk-SK"/>
              </w:rPr>
            </w:pPr>
            <w:r w:rsidRPr="00775D1A">
              <w:rPr>
                <w:b/>
                <w:bCs/>
                <w:color w:val="000000"/>
                <w:sz w:val="18"/>
                <w:szCs w:val="18"/>
                <w:lang w:eastAsia="sk-SK"/>
              </w:rPr>
              <w:t>2018</w:t>
            </w:r>
          </w:p>
        </w:tc>
        <w:tc>
          <w:tcPr>
            <w:tcW w:w="1055" w:type="dxa"/>
            <w:tcBorders>
              <w:top w:val="nil"/>
              <w:left w:val="nil"/>
              <w:bottom w:val="nil"/>
              <w:right w:val="nil"/>
            </w:tcBorders>
            <w:shd w:val="clear" w:color="000000" w:fill="BFBFBF"/>
            <w:vAlign w:val="center"/>
            <w:hideMark/>
          </w:tcPr>
          <w:p w14:paraId="3481F25C" w14:textId="77777777" w:rsidR="00960A87" w:rsidRPr="00775D1A" w:rsidRDefault="00960A87" w:rsidP="00550751">
            <w:pPr>
              <w:spacing w:after="0" w:line="240" w:lineRule="auto"/>
              <w:jc w:val="center"/>
              <w:rPr>
                <w:b/>
                <w:bCs/>
                <w:color w:val="000000"/>
                <w:sz w:val="18"/>
                <w:szCs w:val="18"/>
                <w:lang w:eastAsia="sk-SK"/>
              </w:rPr>
            </w:pPr>
            <w:r w:rsidRPr="00775D1A">
              <w:rPr>
                <w:b/>
                <w:bCs/>
                <w:color w:val="000000"/>
                <w:sz w:val="18"/>
                <w:szCs w:val="18"/>
                <w:lang w:eastAsia="sk-SK"/>
              </w:rPr>
              <w:t>2018</w:t>
            </w:r>
          </w:p>
        </w:tc>
        <w:tc>
          <w:tcPr>
            <w:tcW w:w="938" w:type="dxa"/>
            <w:tcBorders>
              <w:top w:val="nil"/>
              <w:left w:val="nil"/>
              <w:bottom w:val="nil"/>
              <w:right w:val="nil"/>
            </w:tcBorders>
            <w:shd w:val="clear" w:color="000000" w:fill="BFBFBF"/>
            <w:vAlign w:val="center"/>
            <w:hideMark/>
          </w:tcPr>
          <w:p w14:paraId="783B7908" w14:textId="77777777" w:rsidR="00960A87" w:rsidRPr="00775D1A" w:rsidRDefault="00960A87" w:rsidP="00550751">
            <w:pPr>
              <w:spacing w:after="0" w:line="240" w:lineRule="auto"/>
              <w:jc w:val="center"/>
              <w:rPr>
                <w:b/>
                <w:bCs/>
                <w:color w:val="000000"/>
                <w:sz w:val="18"/>
                <w:szCs w:val="18"/>
                <w:lang w:eastAsia="sk-SK"/>
              </w:rPr>
            </w:pPr>
            <w:r w:rsidRPr="00775D1A">
              <w:rPr>
                <w:b/>
                <w:bCs/>
                <w:color w:val="000000"/>
                <w:sz w:val="18"/>
                <w:szCs w:val="18"/>
                <w:lang w:eastAsia="sk-SK"/>
              </w:rPr>
              <w:t xml:space="preserve"> v tis. eur</w:t>
            </w:r>
          </w:p>
        </w:tc>
        <w:tc>
          <w:tcPr>
            <w:tcW w:w="953" w:type="dxa"/>
            <w:tcBorders>
              <w:top w:val="nil"/>
              <w:left w:val="nil"/>
              <w:bottom w:val="nil"/>
              <w:right w:val="nil"/>
            </w:tcBorders>
            <w:shd w:val="clear" w:color="000000" w:fill="BFBFBF"/>
            <w:vAlign w:val="center"/>
            <w:hideMark/>
          </w:tcPr>
          <w:p w14:paraId="1C9F0EEF" w14:textId="77777777" w:rsidR="00960A87" w:rsidRPr="00775D1A" w:rsidRDefault="00960A87" w:rsidP="00550751">
            <w:pPr>
              <w:spacing w:after="0" w:line="240" w:lineRule="auto"/>
              <w:jc w:val="center"/>
              <w:rPr>
                <w:b/>
                <w:bCs/>
                <w:color w:val="000000"/>
                <w:sz w:val="18"/>
                <w:szCs w:val="18"/>
                <w:lang w:eastAsia="sk-SK"/>
              </w:rPr>
            </w:pPr>
            <w:r w:rsidRPr="00775D1A">
              <w:rPr>
                <w:b/>
                <w:bCs/>
                <w:color w:val="000000"/>
                <w:sz w:val="18"/>
                <w:szCs w:val="18"/>
                <w:lang w:eastAsia="sk-SK"/>
              </w:rPr>
              <w:t>v %</w:t>
            </w:r>
          </w:p>
        </w:tc>
      </w:tr>
      <w:tr w:rsidR="00960A87" w:rsidRPr="00775D1A" w14:paraId="39BA1069" w14:textId="77777777" w:rsidTr="00331568">
        <w:trPr>
          <w:trHeight w:val="327"/>
        </w:trPr>
        <w:tc>
          <w:tcPr>
            <w:tcW w:w="2735" w:type="dxa"/>
            <w:tcBorders>
              <w:top w:val="nil"/>
              <w:left w:val="nil"/>
              <w:bottom w:val="single" w:sz="8" w:space="0" w:color="auto"/>
              <w:right w:val="nil"/>
            </w:tcBorders>
            <w:shd w:val="clear" w:color="000000" w:fill="BFBFBF"/>
            <w:vAlign w:val="center"/>
            <w:hideMark/>
          </w:tcPr>
          <w:p w14:paraId="0BE39B78" w14:textId="77777777" w:rsidR="00960A87" w:rsidRPr="00775D1A" w:rsidRDefault="00960A87" w:rsidP="00550751">
            <w:pPr>
              <w:spacing w:after="0" w:line="240" w:lineRule="auto"/>
              <w:jc w:val="center"/>
              <w:rPr>
                <w:b/>
                <w:bCs/>
                <w:color w:val="000000"/>
                <w:sz w:val="18"/>
                <w:szCs w:val="18"/>
                <w:lang w:eastAsia="sk-SK"/>
              </w:rPr>
            </w:pPr>
            <w:r w:rsidRPr="00775D1A">
              <w:rPr>
                <w:b/>
                <w:bCs/>
                <w:color w:val="000000"/>
                <w:sz w:val="18"/>
                <w:szCs w:val="18"/>
                <w:lang w:eastAsia="sk-SK"/>
              </w:rPr>
              <w:t> </w:t>
            </w:r>
          </w:p>
        </w:tc>
        <w:tc>
          <w:tcPr>
            <w:tcW w:w="938" w:type="dxa"/>
            <w:tcBorders>
              <w:top w:val="nil"/>
              <w:left w:val="nil"/>
              <w:bottom w:val="single" w:sz="8" w:space="0" w:color="auto"/>
              <w:right w:val="nil"/>
            </w:tcBorders>
            <w:shd w:val="clear" w:color="000000" w:fill="BFBFBF"/>
            <w:vAlign w:val="center"/>
            <w:hideMark/>
          </w:tcPr>
          <w:p w14:paraId="35D009E9" w14:textId="77777777" w:rsidR="00960A87" w:rsidRPr="00775D1A" w:rsidRDefault="00960A87" w:rsidP="00550751">
            <w:pPr>
              <w:spacing w:after="0" w:line="240" w:lineRule="auto"/>
              <w:jc w:val="center"/>
              <w:rPr>
                <w:b/>
                <w:bCs/>
                <w:color w:val="000000"/>
                <w:sz w:val="18"/>
                <w:szCs w:val="18"/>
                <w:lang w:eastAsia="sk-SK"/>
              </w:rPr>
            </w:pPr>
            <w:r w:rsidRPr="00775D1A">
              <w:rPr>
                <w:b/>
                <w:bCs/>
                <w:color w:val="000000"/>
                <w:sz w:val="18"/>
                <w:szCs w:val="18"/>
                <w:lang w:eastAsia="sk-SK"/>
              </w:rPr>
              <w:t>2</w:t>
            </w:r>
          </w:p>
        </w:tc>
        <w:tc>
          <w:tcPr>
            <w:tcW w:w="938" w:type="dxa"/>
            <w:tcBorders>
              <w:top w:val="nil"/>
              <w:left w:val="nil"/>
              <w:bottom w:val="single" w:sz="8" w:space="0" w:color="auto"/>
              <w:right w:val="nil"/>
            </w:tcBorders>
            <w:shd w:val="clear" w:color="000000" w:fill="BFBFBF"/>
            <w:vAlign w:val="center"/>
            <w:hideMark/>
          </w:tcPr>
          <w:p w14:paraId="0918F5C8" w14:textId="77777777" w:rsidR="00960A87" w:rsidRPr="00775D1A" w:rsidRDefault="00960A87" w:rsidP="00550751">
            <w:pPr>
              <w:spacing w:after="0" w:line="240" w:lineRule="auto"/>
              <w:jc w:val="center"/>
              <w:rPr>
                <w:b/>
                <w:bCs/>
                <w:color w:val="000000"/>
                <w:sz w:val="18"/>
                <w:szCs w:val="18"/>
                <w:lang w:eastAsia="sk-SK"/>
              </w:rPr>
            </w:pPr>
            <w:r w:rsidRPr="00775D1A">
              <w:rPr>
                <w:b/>
                <w:bCs/>
                <w:color w:val="000000"/>
                <w:sz w:val="18"/>
                <w:szCs w:val="18"/>
                <w:lang w:eastAsia="sk-SK"/>
              </w:rPr>
              <w:t>4</w:t>
            </w:r>
          </w:p>
        </w:tc>
        <w:tc>
          <w:tcPr>
            <w:tcW w:w="938" w:type="dxa"/>
            <w:tcBorders>
              <w:top w:val="nil"/>
              <w:left w:val="nil"/>
              <w:bottom w:val="single" w:sz="8" w:space="0" w:color="auto"/>
              <w:right w:val="nil"/>
            </w:tcBorders>
            <w:shd w:val="clear" w:color="000000" w:fill="BFBFBF"/>
            <w:vAlign w:val="center"/>
            <w:hideMark/>
          </w:tcPr>
          <w:p w14:paraId="1D99ADBC" w14:textId="77777777" w:rsidR="00960A87" w:rsidRPr="00775D1A" w:rsidRDefault="00960A87" w:rsidP="00550751">
            <w:pPr>
              <w:spacing w:after="0" w:line="240" w:lineRule="auto"/>
              <w:jc w:val="center"/>
              <w:rPr>
                <w:b/>
                <w:bCs/>
                <w:color w:val="000000"/>
                <w:sz w:val="18"/>
                <w:szCs w:val="18"/>
                <w:lang w:eastAsia="sk-SK"/>
              </w:rPr>
            </w:pPr>
            <w:r w:rsidRPr="00775D1A">
              <w:rPr>
                <w:b/>
                <w:bCs/>
                <w:color w:val="000000"/>
                <w:sz w:val="18"/>
                <w:szCs w:val="18"/>
                <w:lang w:eastAsia="sk-SK"/>
              </w:rPr>
              <w:t>3</w:t>
            </w:r>
          </w:p>
        </w:tc>
        <w:tc>
          <w:tcPr>
            <w:tcW w:w="1055" w:type="dxa"/>
            <w:tcBorders>
              <w:top w:val="nil"/>
              <w:left w:val="nil"/>
              <w:bottom w:val="single" w:sz="8" w:space="0" w:color="auto"/>
              <w:right w:val="nil"/>
            </w:tcBorders>
            <w:shd w:val="clear" w:color="000000" w:fill="BFBFBF"/>
            <w:vAlign w:val="center"/>
            <w:hideMark/>
          </w:tcPr>
          <w:p w14:paraId="2BAAC1FE" w14:textId="77777777" w:rsidR="00960A87" w:rsidRPr="00775D1A" w:rsidRDefault="00960A87" w:rsidP="00550751">
            <w:pPr>
              <w:spacing w:after="0" w:line="240" w:lineRule="auto"/>
              <w:jc w:val="center"/>
              <w:rPr>
                <w:b/>
                <w:bCs/>
                <w:color w:val="000000"/>
                <w:sz w:val="18"/>
                <w:szCs w:val="18"/>
                <w:lang w:eastAsia="sk-SK"/>
              </w:rPr>
            </w:pPr>
            <w:r w:rsidRPr="00775D1A">
              <w:rPr>
                <w:b/>
                <w:bCs/>
                <w:color w:val="000000"/>
                <w:sz w:val="18"/>
                <w:szCs w:val="18"/>
                <w:lang w:eastAsia="sk-SK"/>
              </w:rPr>
              <w:t>4</w:t>
            </w:r>
          </w:p>
        </w:tc>
        <w:tc>
          <w:tcPr>
            <w:tcW w:w="938" w:type="dxa"/>
            <w:tcBorders>
              <w:top w:val="nil"/>
              <w:left w:val="nil"/>
              <w:bottom w:val="single" w:sz="8" w:space="0" w:color="auto"/>
              <w:right w:val="nil"/>
            </w:tcBorders>
            <w:shd w:val="clear" w:color="000000" w:fill="BFBFBF"/>
            <w:vAlign w:val="center"/>
            <w:hideMark/>
          </w:tcPr>
          <w:p w14:paraId="50E0E5B2" w14:textId="77777777" w:rsidR="00960A87" w:rsidRPr="00775D1A" w:rsidRDefault="00960A87" w:rsidP="00550751">
            <w:pPr>
              <w:spacing w:after="0" w:line="240" w:lineRule="auto"/>
              <w:jc w:val="center"/>
              <w:rPr>
                <w:b/>
                <w:bCs/>
                <w:color w:val="000000"/>
                <w:sz w:val="18"/>
                <w:szCs w:val="18"/>
                <w:lang w:eastAsia="sk-SK"/>
              </w:rPr>
            </w:pPr>
            <w:r w:rsidRPr="00775D1A">
              <w:rPr>
                <w:b/>
                <w:bCs/>
                <w:color w:val="000000"/>
                <w:sz w:val="18"/>
                <w:szCs w:val="18"/>
                <w:lang w:eastAsia="sk-SK"/>
              </w:rPr>
              <w:t>5=4-3</w:t>
            </w:r>
          </w:p>
        </w:tc>
        <w:tc>
          <w:tcPr>
            <w:tcW w:w="953" w:type="dxa"/>
            <w:tcBorders>
              <w:top w:val="nil"/>
              <w:left w:val="nil"/>
              <w:bottom w:val="single" w:sz="8" w:space="0" w:color="auto"/>
              <w:right w:val="nil"/>
            </w:tcBorders>
            <w:shd w:val="clear" w:color="000000" w:fill="BFBFBF"/>
            <w:vAlign w:val="center"/>
            <w:hideMark/>
          </w:tcPr>
          <w:p w14:paraId="5ED8AEE3" w14:textId="77777777" w:rsidR="00960A87" w:rsidRPr="00775D1A" w:rsidRDefault="00960A87" w:rsidP="00550751">
            <w:pPr>
              <w:spacing w:after="0" w:line="240" w:lineRule="auto"/>
              <w:jc w:val="center"/>
              <w:rPr>
                <w:b/>
                <w:bCs/>
                <w:color w:val="000000"/>
                <w:sz w:val="18"/>
                <w:szCs w:val="18"/>
                <w:lang w:eastAsia="sk-SK"/>
              </w:rPr>
            </w:pPr>
            <w:r w:rsidRPr="00775D1A">
              <w:rPr>
                <w:b/>
                <w:bCs/>
                <w:color w:val="000000"/>
                <w:sz w:val="18"/>
                <w:szCs w:val="18"/>
                <w:lang w:eastAsia="sk-SK"/>
              </w:rPr>
              <w:t>6=4-3</w:t>
            </w:r>
          </w:p>
        </w:tc>
      </w:tr>
      <w:tr w:rsidR="00960A87" w:rsidRPr="00775D1A" w14:paraId="4B72ABFE" w14:textId="77777777" w:rsidTr="00331568">
        <w:trPr>
          <w:trHeight w:val="273"/>
        </w:trPr>
        <w:tc>
          <w:tcPr>
            <w:tcW w:w="2735" w:type="dxa"/>
            <w:tcBorders>
              <w:top w:val="nil"/>
              <w:left w:val="nil"/>
              <w:bottom w:val="nil"/>
              <w:right w:val="nil"/>
            </w:tcBorders>
            <w:shd w:val="clear" w:color="auto" w:fill="auto"/>
            <w:noWrap/>
            <w:vAlign w:val="center"/>
            <w:hideMark/>
          </w:tcPr>
          <w:p w14:paraId="32144CBC" w14:textId="77777777" w:rsidR="00960A87" w:rsidRPr="00775D1A" w:rsidRDefault="00960A87" w:rsidP="00550751">
            <w:pPr>
              <w:spacing w:after="0" w:line="240" w:lineRule="auto"/>
              <w:rPr>
                <w:color w:val="000000"/>
                <w:sz w:val="18"/>
                <w:szCs w:val="18"/>
                <w:lang w:eastAsia="sk-SK"/>
              </w:rPr>
            </w:pPr>
            <w:r w:rsidRPr="00775D1A">
              <w:rPr>
                <w:color w:val="000000"/>
                <w:sz w:val="18"/>
                <w:szCs w:val="18"/>
                <w:lang w:eastAsia="sk-SK"/>
              </w:rPr>
              <w:t>dlhová služba - transfer</w:t>
            </w:r>
          </w:p>
        </w:tc>
        <w:tc>
          <w:tcPr>
            <w:tcW w:w="938" w:type="dxa"/>
            <w:tcBorders>
              <w:top w:val="nil"/>
              <w:left w:val="nil"/>
              <w:bottom w:val="nil"/>
              <w:right w:val="nil"/>
            </w:tcBorders>
            <w:shd w:val="clear" w:color="auto" w:fill="auto"/>
            <w:vAlign w:val="center"/>
            <w:hideMark/>
          </w:tcPr>
          <w:p w14:paraId="4FD091CD" w14:textId="77777777" w:rsidR="00960A87" w:rsidRPr="00775D1A" w:rsidRDefault="00960A87" w:rsidP="00550751">
            <w:pPr>
              <w:spacing w:after="0" w:line="240" w:lineRule="auto"/>
              <w:jc w:val="right"/>
              <w:rPr>
                <w:color w:val="000000"/>
                <w:sz w:val="18"/>
                <w:szCs w:val="18"/>
                <w:lang w:eastAsia="sk-SK"/>
              </w:rPr>
            </w:pPr>
            <w:r w:rsidRPr="00775D1A">
              <w:rPr>
                <w:color w:val="000000"/>
                <w:sz w:val="18"/>
                <w:szCs w:val="18"/>
                <w:lang w:eastAsia="sk-SK"/>
              </w:rPr>
              <w:t>1 174 727</w:t>
            </w:r>
          </w:p>
        </w:tc>
        <w:tc>
          <w:tcPr>
            <w:tcW w:w="938" w:type="dxa"/>
            <w:tcBorders>
              <w:top w:val="nil"/>
              <w:left w:val="nil"/>
              <w:bottom w:val="nil"/>
              <w:right w:val="nil"/>
            </w:tcBorders>
            <w:shd w:val="clear" w:color="auto" w:fill="auto"/>
            <w:vAlign w:val="center"/>
            <w:hideMark/>
          </w:tcPr>
          <w:p w14:paraId="0F764695" w14:textId="77777777" w:rsidR="00960A87" w:rsidRPr="00775D1A" w:rsidRDefault="00960A87" w:rsidP="00550751">
            <w:pPr>
              <w:spacing w:after="0" w:line="240" w:lineRule="auto"/>
              <w:jc w:val="right"/>
              <w:rPr>
                <w:color w:val="000000"/>
                <w:sz w:val="18"/>
                <w:szCs w:val="18"/>
                <w:lang w:eastAsia="sk-SK"/>
              </w:rPr>
            </w:pPr>
            <w:r w:rsidRPr="00775D1A">
              <w:rPr>
                <w:color w:val="000000"/>
                <w:sz w:val="18"/>
                <w:szCs w:val="18"/>
                <w:lang w:eastAsia="sk-SK"/>
              </w:rPr>
              <w:t>1 166 299</w:t>
            </w:r>
          </w:p>
        </w:tc>
        <w:tc>
          <w:tcPr>
            <w:tcW w:w="938" w:type="dxa"/>
            <w:tcBorders>
              <w:top w:val="nil"/>
              <w:left w:val="nil"/>
              <w:bottom w:val="nil"/>
              <w:right w:val="nil"/>
            </w:tcBorders>
            <w:shd w:val="clear" w:color="auto" w:fill="auto"/>
            <w:vAlign w:val="center"/>
            <w:hideMark/>
          </w:tcPr>
          <w:p w14:paraId="477E8531" w14:textId="77777777" w:rsidR="00960A87" w:rsidRPr="00775D1A" w:rsidRDefault="00960A87" w:rsidP="00550751">
            <w:pPr>
              <w:spacing w:after="0" w:line="240" w:lineRule="auto"/>
              <w:jc w:val="right"/>
              <w:rPr>
                <w:color w:val="000000"/>
                <w:sz w:val="18"/>
                <w:szCs w:val="18"/>
                <w:lang w:eastAsia="sk-SK"/>
              </w:rPr>
            </w:pPr>
            <w:r w:rsidRPr="00775D1A">
              <w:rPr>
                <w:color w:val="000000"/>
                <w:sz w:val="18"/>
                <w:szCs w:val="18"/>
                <w:lang w:eastAsia="sk-SK"/>
              </w:rPr>
              <w:t>1 150 919</w:t>
            </w:r>
          </w:p>
        </w:tc>
        <w:tc>
          <w:tcPr>
            <w:tcW w:w="1055" w:type="dxa"/>
            <w:tcBorders>
              <w:top w:val="nil"/>
              <w:left w:val="nil"/>
              <w:bottom w:val="nil"/>
              <w:right w:val="nil"/>
            </w:tcBorders>
            <w:shd w:val="clear" w:color="000000" w:fill="BFBFBF"/>
            <w:vAlign w:val="center"/>
            <w:hideMark/>
          </w:tcPr>
          <w:p w14:paraId="5BC87214" w14:textId="77777777" w:rsidR="00960A87" w:rsidRPr="00775D1A" w:rsidRDefault="00960A87" w:rsidP="00550751">
            <w:pPr>
              <w:spacing w:after="0" w:line="240" w:lineRule="auto"/>
              <w:jc w:val="right"/>
              <w:rPr>
                <w:color w:val="000000"/>
                <w:sz w:val="18"/>
                <w:szCs w:val="18"/>
                <w:lang w:eastAsia="sk-SK"/>
              </w:rPr>
            </w:pPr>
            <w:r w:rsidRPr="00775D1A">
              <w:rPr>
                <w:color w:val="000000"/>
                <w:sz w:val="18"/>
                <w:szCs w:val="18"/>
                <w:lang w:eastAsia="sk-SK"/>
              </w:rPr>
              <w:t>1 134 322</w:t>
            </w:r>
          </w:p>
        </w:tc>
        <w:tc>
          <w:tcPr>
            <w:tcW w:w="938" w:type="dxa"/>
            <w:tcBorders>
              <w:top w:val="nil"/>
              <w:left w:val="nil"/>
              <w:bottom w:val="nil"/>
              <w:right w:val="nil"/>
            </w:tcBorders>
            <w:shd w:val="clear" w:color="auto" w:fill="auto"/>
            <w:vAlign w:val="center"/>
            <w:hideMark/>
          </w:tcPr>
          <w:p w14:paraId="33CD5BD5" w14:textId="77777777" w:rsidR="00960A87" w:rsidRPr="00775D1A" w:rsidRDefault="00960A87" w:rsidP="00550751">
            <w:pPr>
              <w:spacing w:after="0" w:line="240" w:lineRule="auto"/>
              <w:jc w:val="right"/>
              <w:rPr>
                <w:color w:val="000000"/>
                <w:sz w:val="18"/>
                <w:szCs w:val="18"/>
                <w:lang w:eastAsia="sk-SK"/>
              </w:rPr>
            </w:pPr>
            <w:r w:rsidRPr="00775D1A">
              <w:rPr>
                <w:color w:val="000000"/>
                <w:sz w:val="18"/>
                <w:szCs w:val="18"/>
                <w:lang w:eastAsia="sk-SK"/>
              </w:rPr>
              <w:t>-16 597</w:t>
            </w:r>
          </w:p>
        </w:tc>
        <w:tc>
          <w:tcPr>
            <w:tcW w:w="953" w:type="dxa"/>
            <w:tcBorders>
              <w:top w:val="nil"/>
              <w:left w:val="nil"/>
              <w:bottom w:val="nil"/>
              <w:right w:val="nil"/>
            </w:tcBorders>
            <w:shd w:val="clear" w:color="auto" w:fill="auto"/>
            <w:vAlign w:val="center"/>
            <w:hideMark/>
          </w:tcPr>
          <w:p w14:paraId="6848C9CD" w14:textId="77777777" w:rsidR="00960A87" w:rsidRPr="00775D1A" w:rsidRDefault="00960A87" w:rsidP="00550751">
            <w:pPr>
              <w:spacing w:after="0" w:line="240" w:lineRule="auto"/>
              <w:jc w:val="right"/>
              <w:rPr>
                <w:color w:val="000000"/>
                <w:sz w:val="18"/>
                <w:szCs w:val="18"/>
                <w:lang w:eastAsia="sk-SK"/>
              </w:rPr>
            </w:pPr>
            <w:r w:rsidRPr="00775D1A">
              <w:rPr>
                <w:color w:val="000000"/>
                <w:sz w:val="18"/>
                <w:szCs w:val="18"/>
                <w:lang w:eastAsia="sk-SK"/>
              </w:rPr>
              <w:t>-1,4</w:t>
            </w:r>
          </w:p>
        </w:tc>
      </w:tr>
      <w:tr w:rsidR="00960A87" w:rsidRPr="00775D1A" w14:paraId="1FBF2DF1" w14:textId="77777777" w:rsidTr="00331568">
        <w:trPr>
          <w:trHeight w:val="273"/>
        </w:trPr>
        <w:tc>
          <w:tcPr>
            <w:tcW w:w="2735" w:type="dxa"/>
            <w:tcBorders>
              <w:top w:val="nil"/>
              <w:left w:val="nil"/>
              <w:bottom w:val="single" w:sz="8" w:space="0" w:color="auto"/>
              <w:right w:val="nil"/>
            </w:tcBorders>
            <w:shd w:val="clear" w:color="auto" w:fill="auto"/>
            <w:noWrap/>
            <w:vAlign w:val="center"/>
            <w:hideMark/>
          </w:tcPr>
          <w:p w14:paraId="093D060B" w14:textId="77777777" w:rsidR="00960A87" w:rsidRPr="00775D1A" w:rsidRDefault="00960A87" w:rsidP="00550751">
            <w:pPr>
              <w:spacing w:after="0" w:line="240" w:lineRule="auto"/>
              <w:rPr>
                <w:color w:val="000000"/>
                <w:sz w:val="18"/>
                <w:szCs w:val="18"/>
                <w:lang w:eastAsia="sk-SK"/>
              </w:rPr>
            </w:pPr>
            <w:r w:rsidRPr="00775D1A">
              <w:rPr>
                <w:color w:val="000000"/>
                <w:sz w:val="18"/>
                <w:szCs w:val="18"/>
                <w:lang w:eastAsia="sk-SK"/>
              </w:rPr>
              <w:t>manipulačné poplatky</w:t>
            </w:r>
          </w:p>
        </w:tc>
        <w:tc>
          <w:tcPr>
            <w:tcW w:w="938" w:type="dxa"/>
            <w:tcBorders>
              <w:top w:val="nil"/>
              <w:left w:val="nil"/>
              <w:bottom w:val="single" w:sz="8" w:space="0" w:color="auto"/>
              <w:right w:val="nil"/>
            </w:tcBorders>
            <w:shd w:val="clear" w:color="auto" w:fill="auto"/>
            <w:vAlign w:val="center"/>
            <w:hideMark/>
          </w:tcPr>
          <w:p w14:paraId="051D9483" w14:textId="77777777" w:rsidR="00960A87" w:rsidRPr="00775D1A" w:rsidRDefault="00960A87" w:rsidP="00550751">
            <w:pPr>
              <w:spacing w:after="0" w:line="240" w:lineRule="auto"/>
              <w:jc w:val="right"/>
              <w:rPr>
                <w:color w:val="000000"/>
                <w:sz w:val="18"/>
                <w:szCs w:val="18"/>
                <w:lang w:eastAsia="sk-SK"/>
              </w:rPr>
            </w:pPr>
            <w:r w:rsidRPr="00775D1A">
              <w:rPr>
                <w:color w:val="000000"/>
                <w:sz w:val="18"/>
                <w:szCs w:val="18"/>
                <w:lang w:eastAsia="sk-SK"/>
              </w:rPr>
              <w:t>270</w:t>
            </w:r>
          </w:p>
        </w:tc>
        <w:tc>
          <w:tcPr>
            <w:tcW w:w="938" w:type="dxa"/>
            <w:tcBorders>
              <w:top w:val="nil"/>
              <w:left w:val="nil"/>
              <w:bottom w:val="single" w:sz="8" w:space="0" w:color="auto"/>
              <w:right w:val="nil"/>
            </w:tcBorders>
            <w:shd w:val="clear" w:color="auto" w:fill="auto"/>
            <w:vAlign w:val="center"/>
            <w:hideMark/>
          </w:tcPr>
          <w:p w14:paraId="5AD72820" w14:textId="77777777" w:rsidR="00960A87" w:rsidRPr="00775D1A" w:rsidRDefault="00960A87" w:rsidP="00550751">
            <w:pPr>
              <w:spacing w:after="0" w:line="240" w:lineRule="auto"/>
              <w:jc w:val="right"/>
              <w:rPr>
                <w:color w:val="000000"/>
                <w:sz w:val="18"/>
                <w:szCs w:val="18"/>
                <w:lang w:eastAsia="sk-SK"/>
              </w:rPr>
            </w:pPr>
            <w:r w:rsidRPr="00775D1A">
              <w:rPr>
                <w:color w:val="000000"/>
                <w:sz w:val="18"/>
                <w:szCs w:val="18"/>
                <w:lang w:eastAsia="sk-SK"/>
              </w:rPr>
              <w:t>270</w:t>
            </w:r>
          </w:p>
        </w:tc>
        <w:tc>
          <w:tcPr>
            <w:tcW w:w="938" w:type="dxa"/>
            <w:tcBorders>
              <w:top w:val="nil"/>
              <w:left w:val="nil"/>
              <w:bottom w:val="single" w:sz="8" w:space="0" w:color="auto"/>
              <w:right w:val="nil"/>
            </w:tcBorders>
            <w:shd w:val="clear" w:color="auto" w:fill="auto"/>
            <w:vAlign w:val="center"/>
            <w:hideMark/>
          </w:tcPr>
          <w:p w14:paraId="0B2B38DB" w14:textId="77777777" w:rsidR="00960A87" w:rsidRPr="00775D1A" w:rsidRDefault="00960A87" w:rsidP="00550751">
            <w:pPr>
              <w:spacing w:after="0" w:line="240" w:lineRule="auto"/>
              <w:jc w:val="right"/>
              <w:rPr>
                <w:color w:val="000000"/>
                <w:sz w:val="18"/>
                <w:szCs w:val="18"/>
                <w:lang w:eastAsia="sk-SK"/>
              </w:rPr>
            </w:pPr>
            <w:r w:rsidRPr="00775D1A">
              <w:rPr>
                <w:color w:val="000000"/>
                <w:sz w:val="18"/>
                <w:szCs w:val="18"/>
                <w:lang w:eastAsia="sk-SK"/>
              </w:rPr>
              <w:t>270</w:t>
            </w:r>
          </w:p>
        </w:tc>
        <w:tc>
          <w:tcPr>
            <w:tcW w:w="1055" w:type="dxa"/>
            <w:tcBorders>
              <w:top w:val="nil"/>
              <w:left w:val="nil"/>
              <w:bottom w:val="single" w:sz="8" w:space="0" w:color="auto"/>
              <w:right w:val="nil"/>
            </w:tcBorders>
            <w:shd w:val="clear" w:color="000000" w:fill="BFBFBF"/>
            <w:vAlign w:val="center"/>
            <w:hideMark/>
          </w:tcPr>
          <w:p w14:paraId="1430EC3F" w14:textId="77777777" w:rsidR="00960A87" w:rsidRPr="00775D1A" w:rsidRDefault="00960A87" w:rsidP="00550751">
            <w:pPr>
              <w:spacing w:after="0" w:line="240" w:lineRule="auto"/>
              <w:jc w:val="right"/>
              <w:rPr>
                <w:color w:val="000000"/>
                <w:sz w:val="18"/>
                <w:szCs w:val="18"/>
                <w:lang w:eastAsia="sk-SK"/>
              </w:rPr>
            </w:pPr>
            <w:r w:rsidRPr="00775D1A">
              <w:rPr>
                <w:color w:val="000000"/>
                <w:sz w:val="18"/>
                <w:szCs w:val="18"/>
                <w:lang w:eastAsia="sk-SK"/>
              </w:rPr>
              <w:t>270</w:t>
            </w:r>
          </w:p>
        </w:tc>
        <w:tc>
          <w:tcPr>
            <w:tcW w:w="938" w:type="dxa"/>
            <w:tcBorders>
              <w:top w:val="nil"/>
              <w:left w:val="nil"/>
              <w:bottom w:val="single" w:sz="8" w:space="0" w:color="auto"/>
              <w:right w:val="nil"/>
            </w:tcBorders>
            <w:shd w:val="clear" w:color="auto" w:fill="auto"/>
            <w:vAlign w:val="center"/>
            <w:hideMark/>
          </w:tcPr>
          <w:p w14:paraId="33E3F9B0" w14:textId="77777777" w:rsidR="00960A87" w:rsidRPr="00775D1A" w:rsidRDefault="00960A87" w:rsidP="00550751">
            <w:pPr>
              <w:spacing w:after="0" w:line="240" w:lineRule="auto"/>
              <w:jc w:val="right"/>
              <w:rPr>
                <w:color w:val="000000"/>
                <w:sz w:val="18"/>
                <w:szCs w:val="18"/>
                <w:lang w:eastAsia="sk-SK"/>
              </w:rPr>
            </w:pPr>
            <w:r w:rsidRPr="00775D1A">
              <w:rPr>
                <w:color w:val="000000"/>
                <w:sz w:val="18"/>
                <w:szCs w:val="18"/>
                <w:lang w:eastAsia="sk-SK"/>
              </w:rPr>
              <w:t>0</w:t>
            </w:r>
          </w:p>
        </w:tc>
        <w:tc>
          <w:tcPr>
            <w:tcW w:w="953" w:type="dxa"/>
            <w:tcBorders>
              <w:top w:val="nil"/>
              <w:left w:val="nil"/>
              <w:bottom w:val="single" w:sz="8" w:space="0" w:color="auto"/>
              <w:right w:val="nil"/>
            </w:tcBorders>
            <w:shd w:val="clear" w:color="auto" w:fill="auto"/>
            <w:vAlign w:val="center"/>
            <w:hideMark/>
          </w:tcPr>
          <w:p w14:paraId="4BEEB5BF" w14:textId="77777777" w:rsidR="00960A87" w:rsidRPr="00775D1A" w:rsidRDefault="00960A87" w:rsidP="00550751">
            <w:pPr>
              <w:spacing w:after="0" w:line="240" w:lineRule="auto"/>
              <w:jc w:val="right"/>
              <w:rPr>
                <w:color w:val="000000"/>
                <w:sz w:val="18"/>
                <w:szCs w:val="18"/>
                <w:lang w:eastAsia="sk-SK"/>
              </w:rPr>
            </w:pPr>
            <w:r w:rsidRPr="00775D1A">
              <w:rPr>
                <w:color w:val="000000"/>
                <w:sz w:val="18"/>
                <w:szCs w:val="18"/>
                <w:lang w:eastAsia="sk-SK"/>
              </w:rPr>
              <w:t>0,0</w:t>
            </w:r>
          </w:p>
        </w:tc>
      </w:tr>
      <w:tr w:rsidR="00960A87" w:rsidRPr="00775D1A" w14:paraId="6A626C42" w14:textId="77777777" w:rsidTr="00331568">
        <w:trPr>
          <w:trHeight w:val="273"/>
        </w:trPr>
        <w:tc>
          <w:tcPr>
            <w:tcW w:w="2735" w:type="dxa"/>
            <w:tcBorders>
              <w:top w:val="nil"/>
              <w:left w:val="nil"/>
              <w:bottom w:val="single" w:sz="8" w:space="0" w:color="auto"/>
              <w:right w:val="nil"/>
            </w:tcBorders>
            <w:shd w:val="clear" w:color="000000" w:fill="FFFFFF"/>
            <w:vAlign w:val="center"/>
            <w:hideMark/>
          </w:tcPr>
          <w:p w14:paraId="045229F5" w14:textId="77777777" w:rsidR="00960A87" w:rsidRPr="00775D1A" w:rsidRDefault="00960A87" w:rsidP="00550751">
            <w:pPr>
              <w:spacing w:after="0" w:line="240" w:lineRule="auto"/>
              <w:jc w:val="left"/>
              <w:rPr>
                <w:b/>
                <w:bCs/>
                <w:color w:val="000000"/>
                <w:sz w:val="18"/>
                <w:szCs w:val="18"/>
                <w:lang w:eastAsia="sk-SK"/>
              </w:rPr>
            </w:pPr>
            <w:r w:rsidRPr="00775D1A">
              <w:rPr>
                <w:b/>
                <w:bCs/>
                <w:color w:val="000000"/>
                <w:sz w:val="18"/>
                <w:szCs w:val="18"/>
                <w:lang w:eastAsia="sk-SK"/>
              </w:rPr>
              <w:t>Celkom štátny dlh</w:t>
            </w:r>
          </w:p>
        </w:tc>
        <w:tc>
          <w:tcPr>
            <w:tcW w:w="938" w:type="dxa"/>
            <w:tcBorders>
              <w:top w:val="nil"/>
              <w:left w:val="nil"/>
              <w:bottom w:val="single" w:sz="8" w:space="0" w:color="auto"/>
              <w:right w:val="nil"/>
            </w:tcBorders>
            <w:shd w:val="clear" w:color="auto" w:fill="auto"/>
            <w:vAlign w:val="center"/>
            <w:hideMark/>
          </w:tcPr>
          <w:p w14:paraId="5F204058" w14:textId="77777777" w:rsidR="00960A87" w:rsidRPr="00775D1A" w:rsidRDefault="00960A87" w:rsidP="00550751">
            <w:pPr>
              <w:spacing w:after="0" w:line="240" w:lineRule="auto"/>
              <w:jc w:val="right"/>
              <w:rPr>
                <w:b/>
                <w:bCs/>
                <w:color w:val="000000"/>
                <w:sz w:val="18"/>
                <w:szCs w:val="18"/>
                <w:lang w:eastAsia="sk-SK"/>
              </w:rPr>
            </w:pPr>
            <w:r w:rsidRPr="00775D1A">
              <w:rPr>
                <w:b/>
                <w:bCs/>
                <w:color w:val="000000"/>
                <w:sz w:val="18"/>
                <w:szCs w:val="18"/>
                <w:lang w:eastAsia="sk-SK"/>
              </w:rPr>
              <w:t>1 174 997</w:t>
            </w:r>
          </w:p>
        </w:tc>
        <w:tc>
          <w:tcPr>
            <w:tcW w:w="938" w:type="dxa"/>
            <w:tcBorders>
              <w:top w:val="nil"/>
              <w:left w:val="nil"/>
              <w:bottom w:val="single" w:sz="8" w:space="0" w:color="auto"/>
              <w:right w:val="nil"/>
            </w:tcBorders>
            <w:shd w:val="clear" w:color="auto" w:fill="auto"/>
            <w:vAlign w:val="center"/>
            <w:hideMark/>
          </w:tcPr>
          <w:p w14:paraId="73514D7A" w14:textId="77777777" w:rsidR="00960A87" w:rsidRPr="00775D1A" w:rsidRDefault="00960A87" w:rsidP="00550751">
            <w:pPr>
              <w:spacing w:after="0" w:line="240" w:lineRule="auto"/>
              <w:jc w:val="right"/>
              <w:rPr>
                <w:b/>
                <w:bCs/>
                <w:color w:val="000000"/>
                <w:sz w:val="18"/>
                <w:szCs w:val="18"/>
                <w:lang w:eastAsia="sk-SK"/>
              </w:rPr>
            </w:pPr>
            <w:r w:rsidRPr="00775D1A">
              <w:rPr>
                <w:b/>
                <w:bCs/>
                <w:color w:val="000000"/>
                <w:sz w:val="18"/>
                <w:szCs w:val="18"/>
                <w:lang w:eastAsia="sk-SK"/>
              </w:rPr>
              <w:t>1 166 569</w:t>
            </w:r>
          </w:p>
        </w:tc>
        <w:tc>
          <w:tcPr>
            <w:tcW w:w="938" w:type="dxa"/>
            <w:tcBorders>
              <w:top w:val="nil"/>
              <w:left w:val="nil"/>
              <w:bottom w:val="single" w:sz="8" w:space="0" w:color="auto"/>
              <w:right w:val="nil"/>
            </w:tcBorders>
            <w:shd w:val="clear" w:color="auto" w:fill="auto"/>
            <w:vAlign w:val="center"/>
            <w:hideMark/>
          </w:tcPr>
          <w:p w14:paraId="1116358A" w14:textId="77777777" w:rsidR="00960A87" w:rsidRPr="00775D1A" w:rsidRDefault="00960A87" w:rsidP="00550751">
            <w:pPr>
              <w:spacing w:after="0" w:line="240" w:lineRule="auto"/>
              <w:jc w:val="right"/>
              <w:rPr>
                <w:b/>
                <w:bCs/>
                <w:color w:val="000000"/>
                <w:sz w:val="18"/>
                <w:szCs w:val="18"/>
                <w:lang w:eastAsia="sk-SK"/>
              </w:rPr>
            </w:pPr>
            <w:r w:rsidRPr="00775D1A">
              <w:rPr>
                <w:b/>
                <w:bCs/>
                <w:color w:val="000000"/>
                <w:sz w:val="18"/>
                <w:szCs w:val="18"/>
                <w:lang w:eastAsia="sk-SK"/>
              </w:rPr>
              <w:t>1 151 189</w:t>
            </w:r>
          </w:p>
        </w:tc>
        <w:tc>
          <w:tcPr>
            <w:tcW w:w="1055" w:type="dxa"/>
            <w:tcBorders>
              <w:top w:val="nil"/>
              <w:left w:val="nil"/>
              <w:bottom w:val="single" w:sz="8" w:space="0" w:color="auto"/>
              <w:right w:val="nil"/>
            </w:tcBorders>
            <w:shd w:val="clear" w:color="000000" w:fill="BFBFBF"/>
            <w:vAlign w:val="center"/>
            <w:hideMark/>
          </w:tcPr>
          <w:p w14:paraId="1C10981F" w14:textId="77777777" w:rsidR="00960A87" w:rsidRPr="00775D1A" w:rsidRDefault="00960A87" w:rsidP="00550751">
            <w:pPr>
              <w:spacing w:after="0" w:line="240" w:lineRule="auto"/>
              <w:jc w:val="right"/>
              <w:rPr>
                <w:b/>
                <w:bCs/>
                <w:color w:val="000000"/>
                <w:sz w:val="18"/>
                <w:szCs w:val="18"/>
                <w:lang w:eastAsia="sk-SK"/>
              </w:rPr>
            </w:pPr>
            <w:r w:rsidRPr="00775D1A">
              <w:rPr>
                <w:b/>
                <w:bCs/>
                <w:color w:val="000000"/>
                <w:sz w:val="18"/>
                <w:szCs w:val="18"/>
                <w:lang w:eastAsia="sk-SK"/>
              </w:rPr>
              <w:t>1 134 592</w:t>
            </w:r>
          </w:p>
        </w:tc>
        <w:tc>
          <w:tcPr>
            <w:tcW w:w="938" w:type="dxa"/>
            <w:tcBorders>
              <w:top w:val="nil"/>
              <w:left w:val="nil"/>
              <w:bottom w:val="single" w:sz="8" w:space="0" w:color="auto"/>
              <w:right w:val="nil"/>
            </w:tcBorders>
            <w:shd w:val="clear" w:color="auto" w:fill="auto"/>
            <w:vAlign w:val="center"/>
            <w:hideMark/>
          </w:tcPr>
          <w:p w14:paraId="43A89E73" w14:textId="77777777" w:rsidR="00960A87" w:rsidRPr="00775D1A" w:rsidRDefault="00960A87" w:rsidP="00550751">
            <w:pPr>
              <w:spacing w:after="0" w:line="240" w:lineRule="auto"/>
              <w:jc w:val="right"/>
              <w:rPr>
                <w:b/>
                <w:bCs/>
                <w:color w:val="000000"/>
                <w:sz w:val="18"/>
                <w:szCs w:val="18"/>
                <w:lang w:eastAsia="sk-SK"/>
              </w:rPr>
            </w:pPr>
            <w:r w:rsidRPr="00775D1A">
              <w:rPr>
                <w:b/>
                <w:bCs/>
                <w:color w:val="000000"/>
                <w:sz w:val="18"/>
                <w:szCs w:val="18"/>
                <w:lang w:eastAsia="sk-SK"/>
              </w:rPr>
              <w:t>-16 597</w:t>
            </w:r>
          </w:p>
        </w:tc>
        <w:tc>
          <w:tcPr>
            <w:tcW w:w="953" w:type="dxa"/>
            <w:tcBorders>
              <w:top w:val="nil"/>
              <w:left w:val="nil"/>
              <w:bottom w:val="single" w:sz="8" w:space="0" w:color="auto"/>
              <w:right w:val="nil"/>
            </w:tcBorders>
            <w:shd w:val="clear" w:color="auto" w:fill="auto"/>
            <w:vAlign w:val="center"/>
            <w:hideMark/>
          </w:tcPr>
          <w:p w14:paraId="36D37CAB" w14:textId="77777777" w:rsidR="00960A87" w:rsidRPr="00775D1A" w:rsidRDefault="00960A87" w:rsidP="00550751">
            <w:pPr>
              <w:spacing w:after="0" w:line="240" w:lineRule="auto"/>
              <w:jc w:val="right"/>
              <w:rPr>
                <w:color w:val="000000"/>
                <w:sz w:val="18"/>
                <w:szCs w:val="18"/>
                <w:lang w:eastAsia="sk-SK"/>
              </w:rPr>
            </w:pPr>
            <w:r w:rsidRPr="00775D1A">
              <w:rPr>
                <w:color w:val="000000"/>
                <w:sz w:val="18"/>
                <w:szCs w:val="18"/>
                <w:lang w:eastAsia="sk-SK"/>
              </w:rPr>
              <w:t>-1,4</w:t>
            </w:r>
          </w:p>
        </w:tc>
      </w:tr>
    </w:tbl>
    <w:p w14:paraId="61831500" w14:textId="32FC6AF0" w:rsidR="001D59C7" w:rsidRDefault="00F96B84" w:rsidP="00331568">
      <w:pPr>
        <w:shd w:val="clear" w:color="auto" w:fill="FFFFFF" w:themeFill="background1"/>
        <w:ind w:left="7080"/>
        <w:jc w:val="right"/>
        <w:rPr>
          <w:shd w:val="clear" w:color="auto" w:fill="FFFFFF" w:themeFill="background1"/>
        </w:rPr>
      </w:pPr>
      <w:r w:rsidRPr="00775D1A">
        <w:rPr>
          <w:sz w:val="18"/>
          <w:szCs w:val="18"/>
        </w:rPr>
        <w:t>Zdroj: MF SR</w:t>
      </w:r>
    </w:p>
    <w:p w14:paraId="5CE00C65" w14:textId="711851A6" w:rsidR="00411F2A" w:rsidRDefault="001D59C7" w:rsidP="00F96B84">
      <w:pPr>
        <w:shd w:val="clear" w:color="auto" w:fill="FFFFFF" w:themeFill="background1"/>
      </w:pPr>
      <w:r w:rsidRPr="00D272B3">
        <w:rPr>
          <w:shd w:val="clear" w:color="auto" w:fill="FFFFFF" w:themeFill="background1"/>
        </w:rPr>
        <w:t>V hotovostnom rozpočte štátneho dlhu v roku 2018 sa podarilo ušetriť 16 597 tis. eur.</w:t>
      </w:r>
      <w:r w:rsidRPr="00404C07">
        <w:rPr>
          <w:shd w:val="clear" w:color="auto" w:fill="FFFFFF" w:themeFill="background1"/>
        </w:rPr>
        <w:t xml:space="preserve"> </w:t>
      </w:r>
      <w:r w:rsidRPr="003A5A4B">
        <w:rPr>
          <w:shd w:val="clear" w:color="auto" w:fill="FFFFFF" w:themeFill="background1"/>
        </w:rPr>
        <w:t>Pozitívnym vplyvom bolo zotrvávanie úrokových sadzieb na nízkych úrovniach. Významn</w:t>
      </w:r>
      <w:r>
        <w:rPr>
          <w:shd w:val="clear" w:color="auto" w:fill="FFFFFF" w:themeFill="background1"/>
        </w:rPr>
        <w:t xml:space="preserve">ým faktorom boli aj </w:t>
      </w:r>
      <w:r w:rsidRPr="003A5A4B">
        <w:rPr>
          <w:shd w:val="clear" w:color="auto" w:fill="FFFFFF" w:themeFill="background1"/>
        </w:rPr>
        <w:t>nákupy slovenských štátnych dlhopisov zo strany ECB (NBS) v rámci kvantitatívne</w:t>
      </w:r>
      <w:r w:rsidR="002379D7">
        <w:rPr>
          <w:shd w:val="clear" w:color="auto" w:fill="FFFFFF" w:themeFill="background1"/>
        </w:rPr>
        <w:t xml:space="preserve">ho uvoľňovania (program PSPP – </w:t>
      </w:r>
      <w:proofErr w:type="spellStart"/>
      <w:r w:rsidR="002379D7">
        <w:rPr>
          <w:shd w:val="clear" w:color="auto" w:fill="FFFFFF" w:themeFill="background1"/>
        </w:rPr>
        <w:t>The</w:t>
      </w:r>
      <w:proofErr w:type="spellEnd"/>
      <w:r w:rsidR="002379D7">
        <w:rPr>
          <w:shd w:val="clear" w:color="auto" w:fill="FFFFFF" w:themeFill="background1"/>
        </w:rPr>
        <w:t> </w:t>
      </w:r>
      <w:proofErr w:type="spellStart"/>
      <w:r w:rsidR="002379D7">
        <w:rPr>
          <w:shd w:val="clear" w:color="auto" w:fill="FFFFFF" w:themeFill="background1"/>
        </w:rPr>
        <w:t>Public</w:t>
      </w:r>
      <w:proofErr w:type="spellEnd"/>
      <w:r w:rsidR="002379D7">
        <w:rPr>
          <w:shd w:val="clear" w:color="auto" w:fill="FFFFFF" w:themeFill="background1"/>
        </w:rPr>
        <w:t xml:space="preserve"> </w:t>
      </w:r>
      <w:proofErr w:type="spellStart"/>
      <w:r w:rsidR="002379D7">
        <w:rPr>
          <w:shd w:val="clear" w:color="auto" w:fill="FFFFFF" w:themeFill="background1"/>
        </w:rPr>
        <w:t>Sector</w:t>
      </w:r>
      <w:proofErr w:type="spellEnd"/>
      <w:r w:rsidR="002379D7">
        <w:rPr>
          <w:shd w:val="clear" w:color="auto" w:fill="FFFFFF" w:themeFill="background1"/>
        </w:rPr>
        <w:t xml:space="preserve"> </w:t>
      </w:r>
      <w:proofErr w:type="spellStart"/>
      <w:r w:rsidR="002379D7">
        <w:rPr>
          <w:shd w:val="clear" w:color="auto" w:fill="FFFFFF" w:themeFill="background1"/>
        </w:rPr>
        <w:t>Purchase</w:t>
      </w:r>
      <w:proofErr w:type="spellEnd"/>
      <w:r w:rsidR="002379D7">
        <w:rPr>
          <w:shd w:val="clear" w:color="auto" w:fill="FFFFFF" w:themeFill="background1"/>
        </w:rPr>
        <w:t xml:space="preserve"> </w:t>
      </w:r>
      <w:proofErr w:type="spellStart"/>
      <w:r w:rsidR="002379D7">
        <w:rPr>
          <w:shd w:val="clear" w:color="auto" w:fill="FFFFFF" w:themeFill="background1"/>
        </w:rPr>
        <w:t>P</w:t>
      </w:r>
      <w:r w:rsidRPr="003A5A4B">
        <w:rPr>
          <w:shd w:val="clear" w:color="auto" w:fill="FFFFFF" w:themeFill="background1"/>
        </w:rPr>
        <w:t>rogramme</w:t>
      </w:r>
      <w:proofErr w:type="spellEnd"/>
      <w:r w:rsidRPr="003A5A4B">
        <w:rPr>
          <w:shd w:val="clear" w:color="auto" w:fill="FFFFFF" w:themeFill="background1"/>
        </w:rPr>
        <w:t>) a špekulácie o jeho možnom postupnom ukončovaní. Pokles úrokových sadzieb v situácii, kedy sa predávajú dlhopisy s vysokými úrokovými sadzbami kupónov v porovnaní s výnosom do splatnosti, spôsobil vysoké prijaté prémie a teda zodpovedajúce úspory na nákladoch dlhu. Vývoj úrokových sadzieb na finančných trhoch a aktívna správa portfólia sa prejavili v poklese priemernej váženej úrokovej sadzby záväzkov štátu z úrovne 2,</w:t>
      </w:r>
      <w:r>
        <w:rPr>
          <w:shd w:val="clear" w:color="auto" w:fill="FFFFFF" w:themeFill="background1"/>
        </w:rPr>
        <w:t>31 </w:t>
      </w:r>
      <w:r w:rsidRPr="003A5A4B">
        <w:rPr>
          <w:shd w:val="clear" w:color="auto" w:fill="FFFFFF" w:themeFill="background1"/>
        </w:rPr>
        <w:t>% p. a. v roku 201</w:t>
      </w:r>
      <w:r>
        <w:rPr>
          <w:shd w:val="clear" w:color="auto" w:fill="FFFFFF" w:themeFill="background1"/>
        </w:rPr>
        <w:t>7</w:t>
      </w:r>
      <w:r w:rsidRPr="003A5A4B">
        <w:rPr>
          <w:shd w:val="clear" w:color="auto" w:fill="FFFFFF" w:themeFill="background1"/>
        </w:rPr>
        <w:t xml:space="preserve"> na úroveň 2,</w:t>
      </w:r>
      <w:r>
        <w:rPr>
          <w:shd w:val="clear" w:color="auto" w:fill="FFFFFF" w:themeFill="background1"/>
        </w:rPr>
        <w:t>25</w:t>
      </w:r>
      <w:r w:rsidRPr="003A5A4B">
        <w:rPr>
          <w:shd w:val="clear" w:color="auto" w:fill="FFFFFF" w:themeFill="background1"/>
        </w:rPr>
        <w:t xml:space="preserve"> % p. a. na konci roka 201</w:t>
      </w:r>
      <w:r>
        <w:rPr>
          <w:shd w:val="clear" w:color="auto" w:fill="FFFFFF" w:themeFill="background1"/>
        </w:rPr>
        <w:t>8</w:t>
      </w:r>
      <w:r w:rsidRPr="003A5A4B">
        <w:rPr>
          <w:shd w:val="clear" w:color="auto" w:fill="FFFFFF" w:themeFill="background1"/>
        </w:rPr>
        <w:t>. Na správu Štátneho</w:t>
      </w:r>
      <w:r w:rsidRPr="00AD13E4">
        <w:t xml:space="preserve"> </w:t>
      </w:r>
      <w:r w:rsidRPr="003A5A4B">
        <w:t>dlhu výrazne vplýval aj vývoj štátneho rozpočtu v priebehu roka</w:t>
      </w:r>
      <w:r w:rsidRPr="00D272B3">
        <w:t>. Zákonom bol schválený hotovostný deficit na rok 2018 v hodnote 1 972 905 tis. eur, v skutočnosti dosiahol k 31.12.2018 hodnotu 1 182 242 tis. eur, t. j.</w:t>
      </w:r>
      <w:r>
        <w:t> </w:t>
      </w:r>
      <w:r w:rsidRPr="00D272B3">
        <w:t>59,92 % schváleného rozpočtového deficitu pre rok 2018. Priaznivý</w:t>
      </w:r>
      <w:r w:rsidRPr="003A5A4B">
        <w:t xml:space="preserve"> vplyv na vývoj výdavkov mal aj fungujúci systém Štátnej pokladnice, ktorý zabezpečil okrem centralizácie finančných zdrojov verejného sektora aj zlepšenú pozíciu štátu voči medzibankovému </w:t>
      </w:r>
      <w:r w:rsidRPr="00D351AB">
        <w:t>trhu.</w:t>
      </w:r>
    </w:p>
    <w:p w14:paraId="793825E5" w14:textId="77777777" w:rsidR="00411F2A" w:rsidRDefault="00411F2A">
      <w:pPr>
        <w:spacing w:after="160" w:line="259" w:lineRule="auto"/>
        <w:jc w:val="left"/>
      </w:pPr>
      <w:r>
        <w:br w:type="page"/>
      </w:r>
    </w:p>
    <w:tbl>
      <w:tblPr>
        <w:tblW w:w="8450" w:type="dxa"/>
        <w:tblInd w:w="55" w:type="dxa"/>
        <w:tblCellMar>
          <w:left w:w="70" w:type="dxa"/>
          <w:right w:w="70" w:type="dxa"/>
        </w:tblCellMar>
        <w:tblLook w:val="04A0" w:firstRow="1" w:lastRow="0" w:firstColumn="1" w:lastColumn="0" w:noHBand="0" w:noVBand="1"/>
      </w:tblPr>
      <w:tblGrid>
        <w:gridCol w:w="3952"/>
        <w:gridCol w:w="1513"/>
        <w:gridCol w:w="1568"/>
        <w:gridCol w:w="1417"/>
      </w:tblGrid>
      <w:tr w:rsidR="00DD5D4A" w:rsidRPr="00DD5D4A" w14:paraId="27C3EB15" w14:textId="77777777" w:rsidTr="006B3718">
        <w:trPr>
          <w:trHeight w:val="352"/>
        </w:trPr>
        <w:tc>
          <w:tcPr>
            <w:tcW w:w="8450" w:type="dxa"/>
            <w:gridSpan w:val="4"/>
            <w:tcBorders>
              <w:top w:val="nil"/>
              <w:left w:val="nil"/>
              <w:bottom w:val="nil"/>
              <w:right w:val="nil"/>
            </w:tcBorders>
            <w:shd w:val="clear" w:color="000000" w:fill="000000"/>
            <w:vAlign w:val="center"/>
            <w:hideMark/>
          </w:tcPr>
          <w:p w14:paraId="38D6E960" w14:textId="394A4CBD" w:rsidR="00DD5D4A" w:rsidRPr="00DD5D4A" w:rsidRDefault="00DD5D4A" w:rsidP="00BF5D19">
            <w:pPr>
              <w:spacing w:line="240" w:lineRule="auto"/>
              <w:jc w:val="left"/>
              <w:rPr>
                <w:sz w:val="18"/>
                <w:szCs w:val="18"/>
              </w:rPr>
            </w:pPr>
            <w:r w:rsidRPr="00DD5D4A">
              <w:rPr>
                <w:b/>
                <w:sz w:val="18"/>
                <w:szCs w:val="18"/>
              </w:rPr>
              <w:t xml:space="preserve">Prehľad príjmov a výdavkov na saldo účte Štátneho dlhu                </w:t>
            </w:r>
            <w:r w:rsidRPr="00DD5D4A">
              <w:rPr>
                <w:sz w:val="18"/>
                <w:szCs w:val="18"/>
              </w:rPr>
              <w:t xml:space="preserve">                                           </w:t>
            </w:r>
            <w:r w:rsidR="00BF5D19">
              <w:rPr>
                <w:sz w:val="18"/>
                <w:szCs w:val="18"/>
              </w:rPr>
              <w:t xml:space="preserve">             </w:t>
            </w:r>
            <w:r w:rsidRPr="00DD5D4A">
              <w:rPr>
                <w:b/>
                <w:sz w:val="18"/>
                <w:szCs w:val="18"/>
              </w:rPr>
              <w:t> tis. eur</w:t>
            </w:r>
          </w:p>
        </w:tc>
      </w:tr>
      <w:tr w:rsidR="00DD5D4A" w:rsidRPr="00DD5D4A" w14:paraId="5F6FC585" w14:textId="77777777" w:rsidTr="001B148C">
        <w:trPr>
          <w:trHeight w:val="213"/>
        </w:trPr>
        <w:tc>
          <w:tcPr>
            <w:tcW w:w="3952" w:type="dxa"/>
            <w:vMerge w:val="restart"/>
            <w:tcBorders>
              <w:top w:val="nil"/>
              <w:left w:val="nil"/>
              <w:bottom w:val="single" w:sz="8" w:space="0" w:color="000000"/>
              <w:right w:val="nil"/>
            </w:tcBorders>
            <w:shd w:val="clear" w:color="000000" w:fill="BFBFBF"/>
            <w:noWrap/>
            <w:vAlign w:val="center"/>
            <w:hideMark/>
          </w:tcPr>
          <w:p w14:paraId="221E4AFD" w14:textId="77777777" w:rsidR="00DD5D4A" w:rsidRPr="00DD5D4A" w:rsidRDefault="00DD5D4A" w:rsidP="00550751">
            <w:pPr>
              <w:spacing w:line="240" w:lineRule="auto"/>
              <w:rPr>
                <w:sz w:val="18"/>
                <w:szCs w:val="18"/>
              </w:rPr>
            </w:pPr>
          </w:p>
        </w:tc>
        <w:tc>
          <w:tcPr>
            <w:tcW w:w="4498" w:type="dxa"/>
            <w:gridSpan w:val="3"/>
            <w:tcBorders>
              <w:top w:val="nil"/>
              <w:left w:val="nil"/>
              <w:bottom w:val="nil"/>
              <w:right w:val="nil"/>
            </w:tcBorders>
            <w:shd w:val="clear" w:color="000000" w:fill="BFBFBF"/>
            <w:vAlign w:val="center"/>
            <w:hideMark/>
          </w:tcPr>
          <w:p w14:paraId="7F2F94E3" w14:textId="77777777" w:rsidR="00DD5D4A" w:rsidRPr="00DD5D4A" w:rsidRDefault="00DD5D4A" w:rsidP="00550751">
            <w:pPr>
              <w:spacing w:line="240" w:lineRule="auto"/>
              <w:jc w:val="center"/>
              <w:rPr>
                <w:b/>
                <w:sz w:val="18"/>
                <w:szCs w:val="18"/>
              </w:rPr>
            </w:pPr>
            <w:r w:rsidRPr="00DD5D4A">
              <w:rPr>
                <w:b/>
                <w:sz w:val="18"/>
                <w:szCs w:val="18"/>
              </w:rPr>
              <w:t>Skutočnosť</w:t>
            </w:r>
          </w:p>
        </w:tc>
      </w:tr>
      <w:tr w:rsidR="00DD5D4A" w:rsidRPr="00DD5D4A" w14:paraId="444A2C9D" w14:textId="77777777" w:rsidTr="001B148C">
        <w:trPr>
          <w:trHeight w:val="126"/>
        </w:trPr>
        <w:tc>
          <w:tcPr>
            <w:tcW w:w="3952" w:type="dxa"/>
            <w:vMerge/>
            <w:tcBorders>
              <w:top w:val="nil"/>
              <w:left w:val="nil"/>
              <w:bottom w:val="single" w:sz="8" w:space="0" w:color="000000"/>
              <w:right w:val="nil"/>
            </w:tcBorders>
            <w:vAlign w:val="center"/>
            <w:hideMark/>
          </w:tcPr>
          <w:p w14:paraId="5DF95F4C" w14:textId="77777777" w:rsidR="00DD5D4A" w:rsidRPr="00DD5D4A" w:rsidRDefault="00DD5D4A" w:rsidP="00550751">
            <w:pPr>
              <w:spacing w:line="240" w:lineRule="auto"/>
              <w:rPr>
                <w:sz w:val="18"/>
                <w:szCs w:val="18"/>
              </w:rPr>
            </w:pPr>
          </w:p>
        </w:tc>
        <w:tc>
          <w:tcPr>
            <w:tcW w:w="1513" w:type="dxa"/>
            <w:tcBorders>
              <w:top w:val="nil"/>
              <w:left w:val="nil"/>
              <w:bottom w:val="single" w:sz="8" w:space="0" w:color="auto"/>
              <w:right w:val="nil"/>
            </w:tcBorders>
            <w:shd w:val="clear" w:color="000000" w:fill="BFBFBF"/>
            <w:vAlign w:val="center"/>
            <w:hideMark/>
          </w:tcPr>
          <w:p w14:paraId="42C9DA99" w14:textId="0E3D4D82" w:rsidR="00DD5D4A" w:rsidRPr="00DD5D4A" w:rsidRDefault="006B3718" w:rsidP="00550751">
            <w:pPr>
              <w:spacing w:line="240" w:lineRule="auto"/>
              <w:ind w:left="-81" w:right="-179"/>
              <w:jc w:val="center"/>
              <w:rPr>
                <w:b/>
                <w:sz w:val="18"/>
                <w:szCs w:val="18"/>
              </w:rPr>
            </w:pPr>
            <w:r>
              <w:rPr>
                <w:b/>
                <w:sz w:val="18"/>
                <w:szCs w:val="18"/>
              </w:rPr>
              <w:t xml:space="preserve">             </w:t>
            </w:r>
            <w:r w:rsidR="00DD5D4A" w:rsidRPr="00DD5D4A">
              <w:rPr>
                <w:b/>
                <w:sz w:val="18"/>
                <w:szCs w:val="18"/>
              </w:rPr>
              <w:t>2016</w:t>
            </w:r>
          </w:p>
        </w:tc>
        <w:tc>
          <w:tcPr>
            <w:tcW w:w="1568" w:type="dxa"/>
            <w:tcBorders>
              <w:top w:val="nil"/>
              <w:left w:val="nil"/>
              <w:bottom w:val="single" w:sz="8" w:space="0" w:color="auto"/>
              <w:right w:val="nil"/>
            </w:tcBorders>
            <w:shd w:val="clear" w:color="000000" w:fill="BFBFBF"/>
            <w:vAlign w:val="center"/>
            <w:hideMark/>
          </w:tcPr>
          <w:p w14:paraId="54D40050" w14:textId="60D333D7" w:rsidR="00DD5D4A" w:rsidRPr="00DD5D4A" w:rsidRDefault="006B3718" w:rsidP="006B3718">
            <w:pPr>
              <w:spacing w:line="240" w:lineRule="auto"/>
              <w:jc w:val="center"/>
              <w:rPr>
                <w:b/>
                <w:sz w:val="18"/>
                <w:szCs w:val="18"/>
              </w:rPr>
            </w:pPr>
            <w:r>
              <w:rPr>
                <w:b/>
                <w:sz w:val="18"/>
                <w:szCs w:val="18"/>
              </w:rPr>
              <w:t xml:space="preserve">              </w:t>
            </w:r>
            <w:r w:rsidR="00DD5D4A" w:rsidRPr="00DD5D4A">
              <w:rPr>
                <w:b/>
                <w:sz w:val="18"/>
                <w:szCs w:val="18"/>
              </w:rPr>
              <w:t>2017</w:t>
            </w:r>
          </w:p>
        </w:tc>
        <w:tc>
          <w:tcPr>
            <w:tcW w:w="1417" w:type="dxa"/>
            <w:tcBorders>
              <w:top w:val="nil"/>
              <w:left w:val="nil"/>
              <w:bottom w:val="single" w:sz="8" w:space="0" w:color="auto"/>
              <w:right w:val="nil"/>
            </w:tcBorders>
            <w:shd w:val="clear" w:color="000000" w:fill="BFBFBF"/>
            <w:vAlign w:val="center"/>
            <w:hideMark/>
          </w:tcPr>
          <w:p w14:paraId="641CEA02" w14:textId="77C59093" w:rsidR="00DD5D4A" w:rsidRPr="00DD5D4A" w:rsidRDefault="00DD5D4A" w:rsidP="00550751">
            <w:pPr>
              <w:spacing w:line="240" w:lineRule="auto"/>
              <w:jc w:val="center"/>
              <w:rPr>
                <w:b/>
                <w:sz w:val="18"/>
                <w:szCs w:val="18"/>
              </w:rPr>
            </w:pPr>
            <w:r w:rsidRPr="00DD5D4A">
              <w:rPr>
                <w:b/>
                <w:sz w:val="18"/>
                <w:szCs w:val="18"/>
              </w:rPr>
              <w:t>2018</w:t>
            </w:r>
          </w:p>
        </w:tc>
      </w:tr>
      <w:tr w:rsidR="00DD5D4A" w:rsidRPr="00DD5D4A" w14:paraId="23348615" w14:textId="77777777" w:rsidTr="006B3718">
        <w:trPr>
          <w:trHeight w:val="352"/>
        </w:trPr>
        <w:tc>
          <w:tcPr>
            <w:tcW w:w="3952" w:type="dxa"/>
            <w:tcBorders>
              <w:top w:val="nil"/>
              <w:left w:val="nil"/>
              <w:bottom w:val="nil"/>
              <w:right w:val="nil"/>
            </w:tcBorders>
            <w:shd w:val="clear" w:color="auto" w:fill="auto"/>
            <w:noWrap/>
            <w:vAlign w:val="center"/>
            <w:hideMark/>
          </w:tcPr>
          <w:p w14:paraId="6C9E4D5D" w14:textId="77777777" w:rsidR="00DD5D4A" w:rsidRPr="00DD5D4A" w:rsidRDefault="00DD5D4A" w:rsidP="00550751">
            <w:pPr>
              <w:spacing w:line="240" w:lineRule="auto"/>
              <w:rPr>
                <w:b/>
                <w:sz w:val="18"/>
                <w:szCs w:val="18"/>
              </w:rPr>
            </w:pPr>
            <w:r w:rsidRPr="00DD5D4A">
              <w:rPr>
                <w:b/>
                <w:sz w:val="18"/>
                <w:szCs w:val="18"/>
              </w:rPr>
              <w:t>Príjmy</w:t>
            </w:r>
          </w:p>
        </w:tc>
        <w:tc>
          <w:tcPr>
            <w:tcW w:w="1513" w:type="dxa"/>
            <w:tcBorders>
              <w:top w:val="nil"/>
              <w:left w:val="nil"/>
              <w:bottom w:val="nil"/>
              <w:right w:val="nil"/>
            </w:tcBorders>
            <w:shd w:val="clear" w:color="auto" w:fill="auto"/>
            <w:vAlign w:val="center"/>
            <w:hideMark/>
          </w:tcPr>
          <w:p w14:paraId="100AC9D2" w14:textId="77777777" w:rsidR="00DD5D4A" w:rsidRPr="00DD5D4A" w:rsidRDefault="00DD5D4A" w:rsidP="00550751">
            <w:pPr>
              <w:spacing w:line="240" w:lineRule="auto"/>
              <w:jc w:val="right"/>
              <w:rPr>
                <w:b/>
                <w:sz w:val="18"/>
                <w:szCs w:val="18"/>
              </w:rPr>
            </w:pPr>
            <w:r w:rsidRPr="00DD5D4A">
              <w:rPr>
                <w:b/>
                <w:sz w:val="18"/>
                <w:szCs w:val="18"/>
              </w:rPr>
              <w:t>382 116</w:t>
            </w:r>
          </w:p>
        </w:tc>
        <w:tc>
          <w:tcPr>
            <w:tcW w:w="1568" w:type="dxa"/>
            <w:tcBorders>
              <w:top w:val="nil"/>
              <w:left w:val="nil"/>
              <w:bottom w:val="nil"/>
              <w:right w:val="nil"/>
            </w:tcBorders>
            <w:shd w:val="clear" w:color="auto" w:fill="auto"/>
            <w:vAlign w:val="center"/>
            <w:hideMark/>
          </w:tcPr>
          <w:p w14:paraId="08ED3976" w14:textId="77777777" w:rsidR="00DD5D4A" w:rsidRPr="00DD5D4A" w:rsidRDefault="00DD5D4A" w:rsidP="00550751">
            <w:pPr>
              <w:spacing w:line="240" w:lineRule="auto"/>
              <w:jc w:val="right"/>
              <w:rPr>
                <w:b/>
                <w:sz w:val="18"/>
                <w:szCs w:val="18"/>
              </w:rPr>
            </w:pPr>
            <w:r w:rsidRPr="00DD5D4A">
              <w:rPr>
                <w:b/>
                <w:sz w:val="18"/>
                <w:szCs w:val="18"/>
              </w:rPr>
              <w:t>294 253</w:t>
            </w:r>
          </w:p>
        </w:tc>
        <w:tc>
          <w:tcPr>
            <w:tcW w:w="1417" w:type="dxa"/>
            <w:tcBorders>
              <w:top w:val="nil"/>
              <w:left w:val="nil"/>
              <w:bottom w:val="nil"/>
              <w:right w:val="nil"/>
            </w:tcBorders>
            <w:shd w:val="clear" w:color="000000" w:fill="BFBFBF"/>
            <w:vAlign w:val="center"/>
            <w:hideMark/>
          </w:tcPr>
          <w:p w14:paraId="0FC211E0" w14:textId="77777777" w:rsidR="00DD5D4A" w:rsidRPr="00DD5D4A" w:rsidRDefault="00DD5D4A" w:rsidP="00550751">
            <w:pPr>
              <w:spacing w:line="240" w:lineRule="auto"/>
              <w:jc w:val="right"/>
              <w:rPr>
                <w:b/>
                <w:sz w:val="18"/>
                <w:szCs w:val="18"/>
              </w:rPr>
            </w:pPr>
            <w:r w:rsidRPr="00DD5D4A">
              <w:rPr>
                <w:b/>
                <w:sz w:val="18"/>
                <w:szCs w:val="18"/>
              </w:rPr>
              <w:t>179 245</w:t>
            </w:r>
          </w:p>
        </w:tc>
      </w:tr>
      <w:tr w:rsidR="00DD5D4A" w:rsidRPr="00DD5D4A" w14:paraId="108C0491" w14:textId="77777777" w:rsidTr="006B3718">
        <w:trPr>
          <w:trHeight w:val="352"/>
        </w:trPr>
        <w:tc>
          <w:tcPr>
            <w:tcW w:w="3952" w:type="dxa"/>
            <w:tcBorders>
              <w:top w:val="nil"/>
              <w:left w:val="nil"/>
              <w:bottom w:val="nil"/>
              <w:right w:val="nil"/>
            </w:tcBorders>
            <w:shd w:val="clear" w:color="auto" w:fill="auto"/>
            <w:noWrap/>
            <w:vAlign w:val="center"/>
            <w:hideMark/>
          </w:tcPr>
          <w:p w14:paraId="3108A6F3" w14:textId="77777777" w:rsidR="00DD5D4A" w:rsidRPr="00DD5D4A" w:rsidRDefault="00DD5D4A" w:rsidP="00550751">
            <w:pPr>
              <w:spacing w:line="240" w:lineRule="auto"/>
              <w:rPr>
                <w:b/>
                <w:sz w:val="18"/>
                <w:szCs w:val="18"/>
              </w:rPr>
            </w:pPr>
            <w:r w:rsidRPr="00DD5D4A">
              <w:rPr>
                <w:b/>
                <w:sz w:val="18"/>
                <w:szCs w:val="18"/>
              </w:rPr>
              <w:t>Výdavky spolu</w:t>
            </w:r>
          </w:p>
        </w:tc>
        <w:tc>
          <w:tcPr>
            <w:tcW w:w="1513" w:type="dxa"/>
            <w:tcBorders>
              <w:top w:val="nil"/>
              <w:left w:val="nil"/>
              <w:bottom w:val="nil"/>
              <w:right w:val="nil"/>
            </w:tcBorders>
            <w:shd w:val="clear" w:color="auto" w:fill="auto"/>
            <w:vAlign w:val="center"/>
            <w:hideMark/>
          </w:tcPr>
          <w:p w14:paraId="33F99185" w14:textId="77777777" w:rsidR="00DD5D4A" w:rsidRPr="00DD5D4A" w:rsidRDefault="00DD5D4A" w:rsidP="00550751">
            <w:pPr>
              <w:spacing w:line="240" w:lineRule="auto"/>
              <w:jc w:val="right"/>
              <w:rPr>
                <w:b/>
                <w:sz w:val="18"/>
                <w:szCs w:val="18"/>
              </w:rPr>
            </w:pPr>
            <w:r w:rsidRPr="00DD5D4A">
              <w:rPr>
                <w:b/>
                <w:sz w:val="18"/>
                <w:szCs w:val="18"/>
              </w:rPr>
              <w:t>1 556 843</w:t>
            </w:r>
          </w:p>
        </w:tc>
        <w:tc>
          <w:tcPr>
            <w:tcW w:w="1568" w:type="dxa"/>
            <w:tcBorders>
              <w:top w:val="nil"/>
              <w:left w:val="nil"/>
              <w:bottom w:val="nil"/>
              <w:right w:val="nil"/>
            </w:tcBorders>
            <w:shd w:val="clear" w:color="auto" w:fill="auto"/>
            <w:vAlign w:val="center"/>
            <w:hideMark/>
          </w:tcPr>
          <w:p w14:paraId="08505B9C" w14:textId="77777777" w:rsidR="00DD5D4A" w:rsidRPr="00DD5D4A" w:rsidRDefault="00DD5D4A" w:rsidP="00550751">
            <w:pPr>
              <w:spacing w:line="240" w:lineRule="auto"/>
              <w:jc w:val="right"/>
              <w:rPr>
                <w:b/>
                <w:sz w:val="18"/>
                <w:szCs w:val="18"/>
              </w:rPr>
            </w:pPr>
            <w:r w:rsidRPr="00DD5D4A">
              <w:rPr>
                <w:b/>
                <w:sz w:val="18"/>
                <w:szCs w:val="18"/>
              </w:rPr>
              <w:t>1 460 552</w:t>
            </w:r>
          </w:p>
        </w:tc>
        <w:tc>
          <w:tcPr>
            <w:tcW w:w="1417" w:type="dxa"/>
            <w:tcBorders>
              <w:top w:val="nil"/>
              <w:left w:val="nil"/>
              <w:bottom w:val="nil"/>
              <w:right w:val="nil"/>
            </w:tcBorders>
            <w:shd w:val="clear" w:color="000000" w:fill="BFBFBF"/>
            <w:vAlign w:val="center"/>
            <w:hideMark/>
          </w:tcPr>
          <w:p w14:paraId="0DD71D4E" w14:textId="77777777" w:rsidR="00DD5D4A" w:rsidRPr="00DD5D4A" w:rsidRDefault="00DD5D4A" w:rsidP="00550751">
            <w:pPr>
              <w:spacing w:line="240" w:lineRule="auto"/>
              <w:jc w:val="right"/>
              <w:rPr>
                <w:b/>
                <w:sz w:val="18"/>
                <w:szCs w:val="18"/>
              </w:rPr>
            </w:pPr>
            <w:r w:rsidRPr="00DD5D4A">
              <w:rPr>
                <w:b/>
                <w:sz w:val="18"/>
                <w:szCs w:val="18"/>
              </w:rPr>
              <w:t>1 313 567</w:t>
            </w:r>
          </w:p>
        </w:tc>
      </w:tr>
      <w:tr w:rsidR="00DD5D4A" w:rsidRPr="00DD5D4A" w14:paraId="5CD2AADA" w14:textId="77777777" w:rsidTr="006B3718">
        <w:trPr>
          <w:trHeight w:val="352"/>
        </w:trPr>
        <w:tc>
          <w:tcPr>
            <w:tcW w:w="3952" w:type="dxa"/>
            <w:tcBorders>
              <w:top w:val="nil"/>
              <w:left w:val="nil"/>
              <w:bottom w:val="nil"/>
              <w:right w:val="nil"/>
            </w:tcBorders>
            <w:shd w:val="clear" w:color="auto" w:fill="auto"/>
            <w:noWrap/>
            <w:vAlign w:val="center"/>
            <w:hideMark/>
          </w:tcPr>
          <w:p w14:paraId="6697F03C" w14:textId="77777777" w:rsidR="00DD5D4A" w:rsidRPr="00DD5D4A" w:rsidRDefault="00DD5D4A" w:rsidP="00550751">
            <w:pPr>
              <w:spacing w:line="240" w:lineRule="auto"/>
              <w:rPr>
                <w:sz w:val="18"/>
                <w:szCs w:val="18"/>
              </w:rPr>
            </w:pPr>
            <w:r w:rsidRPr="00DD5D4A">
              <w:rPr>
                <w:sz w:val="18"/>
                <w:szCs w:val="18"/>
              </w:rPr>
              <w:t xml:space="preserve">v tom: </w:t>
            </w:r>
          </w:p>
        </w:tc>
        <w:tc>
          <w:tcPr>
            <w:tcW w:w="1513" w:type="dxa"/>
            <w:tcBorders>
              <w:top w:val="nil"/>
              <w:left w:val="nil"/>
              <w:bottom w:val="nil"/>
              <w:right w:val="nil"/>
            </w:tcBorders>
            <w:shd w:val="clear" w:color="auto" w:fill="auto"/>
            <w:noWrap/>
            <w:vAlign w:val="center"/>
            <w:hideMark/>
          </w:tcPr>
          <w:p w14:paraId="6DE82B86" w14:textId="77777777" w:rsidR="00DD5D4A" w:rsidRPr="00DD5D4A" w:rsidRDefault="00DD5D4A" w:rsidP="00550751">
            <w:pPr>
              <w:spacing w:line="240" w:lineRule="auto"/>
              <w:rPr>
                <w:sz w:val="18"/>
                <w:szCs w:val="18"/>
              </w:rPr>
            </w:pPr>
          </w:p>
        </w:tc>
        <w:tc>
          <w:tcPr>
            <w:tcW w:w="1568" w:type="dxa"/>
            <w:tcBorders>
              <w:top w:val="nil"/>
              <w:left w:val="nil"/>
              <w:bottom w:val="nil"/>
              <w:right w:val="nil"/>
            </w:tcBorders>
            <w:shd w:val="clear" w:color="auto" w:fill="auto"/>
            <w:vAlign w:val="center"/>
            <w:hideMark/>
          </w:tcPr>
          <w:p w14:paraId="7EDAABF0" w14:textId="77777777" w:rsidR="00DD5D4A" w:rsidRPr="00DD5D4A" w:rsidRDefault="00DD5D4A" w:rsidP="00550751">
            <w:pPr>
              <w:spacing w:line="240" w:lineRule="auto"/>
              <w:rPr>
                <w:sz w:val="18"/>
                <w:szCs w:val="18"/>
              </w:rPr>
            </w:pPr>
          </w:p>
        </w:tc>
        <w:tc>
          <w:tcPr>
            <w:tcW w:w="1417" w:type="dxa"/>
            <w:tcBorders>
              <w:top w:val="nil"/>
              <w:left w:val="nil"/>
              <w:bottom w:val="nil"/>
              <w:right w:val="nil"/>
            </w:tcBorders>
            <w:shd w:val="clear" w:color="000000" w:fill="BFBFBF"/>
            <w:vAlign w:val="center"/>
            <w:hideMark/>
          </w:tcPr>
          <w:p w14:paraId="2603048F" w14:textId="77777777" w:rsidR="00DD5D4A" w:rsidRPr="00DD5D4A" w:rsidRDefault="00DD5D4A" w:rsidP="00550751">
            <w:pPr>
              <w:spacing w:line="240" w:lineRule="auto"/>
              <w:rPr>
                <w:sz w:val="18"/>
                <w:szCs w:val="18"/>
              </w:rPr>
            </w:pPr>
          </w:p>
        </w:tc>
      </w:tr>
      <w:tr w:rsidR="00DD5D4A" w:rsidRPr="00DD5D4A" w14:paraId="1166D5E7" w14:textId="77777777" w:rsidTr="006B3718">
        <w:trPr>
          <w:trHeight w:val="352"/>
        </w:trPr>
        <w:tc>
          <w:tcPr>
            <w:tcW w:w="3952" w:type="dxa"/>
            <w:tcBorders>
              <w:top w:val="nil"/>
              <w:left w:val="nil"/>
              <w:bottom w:val="nil"/>
              <w:right w:val="nil"/>
            </w:tcBorders>
            <w:shd w:val="clear" w:color="auto" w:fill="auto"/>
            <w:noWrap/>
            <w:vAlign w:val="center"/>
          </w:tcPr>
          <w:p w14:paraId="18F16349" w14:textId="77777777" w:rsidR="00DD5D4A" w:rsidRPr="0005259F" w:rsidRDefault="00DD5D4A" w:rsidP="00550751">
            <w:pPr>
              <w:spacing w:line="240" w:lineRule="auto"/>
              <w:rPr>
                <w:sz w:val="18"/>
                <w:szCs w:val="18"/>
              </w:rPr>
            </w:pPr>
            <w:r w:rsidRPr="0005259F">
              <w:rPr>
                <w:sz w:val="18"/>
                <w:szCs w:val="18"/>
              </w:rPr>
              <w:t xml:space="preserve">   úroky zo štátnych dlhopisov + obchodov + úverov</w:t>
            </w:r>
          </w:p>
        </w:tc>
        <w:tc>
          <w:tcPr>
            <w:tcW w:w="1513" w:type="dxa"/>
            <w:tcBorders>
              <w:top w:val="nil"/>
              <w:left w:val="nil"/>
              <w:bottom w:val="nil"/>
              <w:right w:val="nil"/>
            </w:tcBorders>
            <w:shd w:val="clear" w:color="auto" w:fill="auto"/>
            <w:noWrap/>
            <w:vAlign w:val="center"/>
          </w:tcPr>
          <w:p w14:paraId="7F7AA52F" w14:textId="77777777" w:rsidR="00DD5D4A" w:rsidRPr="0005259F" w:rsidRDefault="00DD5D4A" w:rsidP="00550751">
            <w:pPr>
              <w:spacing w:line="240" w:lineRule="auto"/>
              <w:jc w:val="right"/>
              <w:rPr>
                <w:sz w:val="18"/>
                <w:szCs w:val="18"/>
              </w:rPr>
            </w:pPr>
            <w:r w:rsidRPr="0005259F">
              <w:rPr>
                <w:sz w:val="18"/>
                <w:szCs w:val="18"/>
              </w:rPr>
              <w:t>1 437 878</w:t>
            </w:r>
          </w:p>
        </w:tc>
        <w:tc>
          <w:tcPr>
            <w:tcW w:w="1568" w:type="dxa"/>
            <w:tcBorders>
              <w:top w:val="nil"/>
              <w:left w:val="nil"/>
              <w:bottom w:val="nil"/>
              <w:right w:val="nil"/>
            </w:tcBorders>
            <w:shd w:val="clear" w:color="auto" w:fill="auto"/>
            <w:vAlign w:val="center"/>
          </w:tcPr>
          <w:p w14:paraId="1F1FE8B9" w14:textId="77777777" w:rsidR="00DD5D4A" w:rsidRPr="0005259F" w:rsidRDefault="00DD5D4A" w:rsidP="00550751">
            <w:pPr>
              <w:spacing w:line="240" w:lineRule="auto"/>
              <w:jc w:val="right"/>
              <w:rPr>
                <w:sz w:val="18"/>
                <w:szCs w:val="18"/>
              </w:rPr>
            </w:pPr>
            <w:r w:rsidRPr="0005259F">
              <w:rPr>
                <w:sz w:val="18"/>
                <w:szCs w:val="18"/>
              </w:rPr>
              <w:t>1 342 029</w:t>
            </w:r>
          </w:p>
        </w:tc>
        <w:tc>
          <w:tcPr>
            <w:tcW w:w="1417" w:type="dxa"/>
            <w:tcBorders>
              <w:top w:val="nil"/>
              <w:left w:val="nil"/>
              <w:bottom w:val="nil"/>
              <w:right w:val="nil"/>
            </w:tcBorders>
            <w:shd w:val="clear" w:color="000000" w:fill="BFBFBF"/>
            <w:vAlign w:val="center"/>
          </w:tcPr>
          <w:p w14:paraId="262FC35F" w14:textId="77777777" w:rsidR="00DD5D4A" w:rsidRPr="0005259F" w:rsidRDefault="00DD5D4A" w:rsidP="00550751">
            <w:pPr>
              <w:spacing w:line="240" w:lineRule="auto"/>
              <w:jc w:val="right"/>
              <w:rPr>
                <w:sz w:val="18"/>
                <w:szCs w:val="18"/>
              </w:rPr>
            </w:pPr>
            <w:r w:rsidRPr="0005259F">
              <w:rPr>
                <w:sz w:val="18"/>
                <w:szCs w:val="18"/>
              </w:rPr>
              <w:t>1 249 841</w:t>
            </w:r>
          </w:p>
        </w:tc>
      </w:tr>
      <w:tr w:rsidR="00DD5D4A" w:rsidRPr="00DD5D4A" w14:paraId="38180713" w14:textId="77777777" w:rsidTr="006B3718">
        <w:trPr>
          <w:trHeight w:val="352"/>
        </w:trPr>
        <w:tc>
          <w:tcPr>
            <w:tcW w:w="3952" w:type="dxa"/>
            <w:tcBorders>
              <w:top w:val="nil"/>
              <w:left w:val="nil"/>
              <w:bottom w:val="nil"/>
              <w:right w:val="nil"/>
            </w:tcBorders>
            <w:shd w:val="clear" w:color="auto" w:fill="auto"/>
            <w:noWrap/>
            <w:vAlign w:val="center"/>
            <w:hideMark/>
          </w:tcPr>
          <w:p w14:paraId="3128AFD9" w14:textId="77777777" w:rsidR="00DD5D4A" w:rsidRPr="0005259F" w:rsidRDefault="00DD5D4A" w:rsidP="00550751">
            <w:pPr>
              <w:spacing w:line="240" w:lineRule="auto"/>
              <w:rPr>
                <w:sz w:val="18"/>
                <w:szCs w:val="18"/>
              </w:rPr>
            </w:pPr>
            <w:r w:rsidRPr="0005259F">
              <w:rPr>
                <w:sz w:val="18"/>
                <w:szCs w:val="18"/>
              </w:rPr>
              <w:t xml:space="preserve">   úroky z refinančného systému - ŠP</w:t>
            </w:r>
          </w:p>
        </w:tc>
        <w:tc>
          <w:tcPr>
            <w:tcW w:w="1513" w:type="dxa"/>
            <w:tcBorders>
              <w:top w:val="nil"/>
              <w:left w:val="nil"/>
              <w:bottom w:val="nil"/>
              <w:right w:val="nil"/>
            </w:tcBorders>
            <w:shd w:val="clear" w:color="auto" w:fill="auto"/>
            <w:noWrap/>
            <w:vAlign w:val="center"/>
            <w:hideMark/>
          </w:tcPr>
          <w:p w14:paraId="00EEE2C4" w14:textId="77777777" w:rsidR="00DD5D4A" w:rsidRPr="0005259F" w:rsidRDefault="00DD5D4A" w:rsidP="00550751">
            <w:pPr>
              <w:spacing w:line="240" w:lineRule="auto"/>
              <w:jc w:val="right"/>
              <w:rPr>
                <w:sz w:val="18"/>
                <w:szCs w:val="18"/>
              </w:rPr>
            </w:pPr>
            <w:r w:rsidRPr="0005259F">
              <w:rPr>
                <w:sz w:val="18"/>
                <w:szCs w:val="18"/>
              </w:rPr>
              <w:t>48 459</w:t>
            </w:r>
          </w:p>
        </w:tc>
        <w:tc>
          <w:tcPr>
            <w:tcW w:w="1568" w:type="dxa"/>
            <w:tcBorders>
              <w:top w:val="nil"/>
              <w:left w:val="nil"/>
              <w:bottom w:val="nil"/>
              <w:right w:val="nil"/>
            </w:tcBorders>
            <w:shd w:val="clear" w:color="auto" w:fill="auto"/>
            <w:vAlign w:val="center"/>
            <w:hideMark/>
          </w:tcPr>
          <w:p w14:paraId="677E1EE4" w14:textId="77777777" w:rsidR="00DD5D4A" w:rsidRPr="0005259F" w:rsidRDefault="00DD5D4A" w:rsidP="00550751">
            <w:pPr>
              <w:spacing w:line="240" w:lineRule="auto"/>
              <w:jc w:val="right"/>
              <w:rPr>
                <w:sz w:val="18"/>
                <w:szCs w:val="18"/>
              </w:rPr>
            </w:pPr>
            <w:r w:rsidRPr="0005259F">
              <w:rPr>
                <w:sz w:val="18"/>
                <w:szCs w:val="18"/>
              </w:rPr>
              <w:t>48 259</w:t>
            </w:r>
          </w:p>
        </w:tc>
        <w:tc>
          <w:tcPr>
            <w:tcW w:w="1417" w:type="dxa"/>
            <w:tcBorders>
              <w:top w:val="nil"/>
              <w:left w:val="nil"/>
              <w:bottom w:val="nil"/>
              <w:right w:val="nil"/>
            </w:tcBorders>
            <w:shd w:val="clear" w:color="000000" w:fill="BFBFBF"/>
            <w:vAlign w:val="center"/>
            <w:hideMark/>
          </w:tcPr>
          <w:p w14:paraId="6C73F8AD" w14:textId="77777777" w:rsidR="00DD5D4A" w:rsidRPr="0005259F" w:rsidRDefault="00DD5D4A" w:rsidP="00550751">
            <w:pPr>
              <w:spacing w:line="240" w:lineRule="auto"/>
              <w:jc w:val="right"/>
              <w:rPr>
                <w:sz w:val="18"/>
                <w:szCs w:val="18"/>
              </w:rPr>
            </w:pPr>
            <w:r w:rsidRPr="0005259F">
              <w:rPr>
                <w:sz w:val="18"/>
                <w:szCs w:val="18"/>
              </w:rPr>
              <w:t>51 806</w:t>
            </w:r>
          </w:p>
        </w:tc>
      </w:tr>
      <w:tr w:rsidR="00DD5D4A" w:rsidRPr="00DD5D4A" w14:paraId="5B2EEB40" w14:textId="77777777" w:rsidTr="006B3718">
        <w:trPr>
          <w:trHeight w:val="352"/>
        </w:trPr>
        <w:tc>
          <w:tcPr>
            <w:tcW w:w="3952" w:type="dxa"/>
            <w:tcBorders>
              <w:top w:val="nil"/>
              <w:left w:val="nil"/>
              <w:bottom w:val="nil"/>
              <w:right w:val="nil"/>
            </w:tcBorders>
            <w:shd w:val="clear" w:color="auto" w:fill="auto"/>
            <w:noWrap/>
            <w:vAlign w:val="center"/>
            <w:hideMark/>
          </w:tcPr>
          <w:p w14:paraId="0CD4320E" w14:textId="77777777" w:rsidR="00DD5D4A" w:rsidRPr="0005259F" w:rsidRDefault="00DD5D4A" w:rsidP="00550751">
            <w:pPr>
              <w:spacing w:line="240" w:lineRule="auto"/>
              <w:rPr>
                <w:sz w:val="18"/>
                <w:szCs w:val="18"/>
              </w:rPr>
            </w:pPr>
            <w:r w:rsidRPr="0005259F">
              <w:rPr>
                <w:sz w:val="18"/>
                <w:szCs w:val="18"/>
              </w:rPr>
              <w:t xml:space="preserve">   </w:t>
            </w:r>
            <w:proofErr w:type="spellStart"/>
            <w:r w:rsidRPr="0005259F">
              <w:rPr>
                <w:sz w:val="18"/>
                <w:szCs w:val="18"/>
              </w:rPr>
              <w:t>disážio</w:t>
            </w:r>
            <w:proofErr w:type="spellEnd"/>
            <w:r w:rsidRPr="0005259F">
              <w:rPr>
                <w:sz w:val="18"/>
                <w:szCs w:val="18"/>
              </w:rPr>
              <w:t xml:space="preserve"> (diskont CP)</w:t>
            </w:r>
          </w:p>
        </w:tc>
        <w:tc>
          <w:tcPr>
            <w:tcW w:w="1513" w:type="dxa"/>
            <w:tcBorders>
              <w:top w:val="nil"/>
              <w:left w:val="nil"/>
              <w:bottom w:val="nil"/>
              <w:right w:val="nil"/>
            </w:tcBorders>
            <w:shd w:val="clear" w:color="auto" w:fill="auto"/>
            <w:noWrap/>
            <w:vAlign w:val="center"/>
            <w:hideMark/>
          </w:tcPr>
          <w:p w14:paraId="439107DF" w14:textId="77777777" w:rsidR="00DD5D4A" w:rsidRPr="0005259F" w:rsidRDefault="00DD5D4A" w:rsidP="00550751">
            <w:pPr>
              <w:spacing w:line="240" w:lineRule="auto"/>
              <w:jc w:val="right"/>
              <w:rPr>
                <w:sz w:val="18"/>
                <w:szCs w:val="18"/>
              </w:rPr>
            </w:pPr>
            <w:r w:rsidRPr="0005259F">
              <w:rPr>
                <w:sz w:val="18"/>
                <w:szCs w:val="18"/>
              </w:rPr>
              <w:t>65 028</w:t>
            </w:r>
          </w:p>
        </w:tc>
        <w:tc>
          <w:tcPr>
            <w:tcW w:w="1568" w:type="dxa"/>
            <w:tcBorders>
              <w:top w:val="nil"/>
              <w:left w:val="nil"/>
              <w:bottom w:val="nil"/>
              <w:right w:val="nil"/>
            </w:tcBorders>
            <w:shd w:val="clear" w:color="auto" w:fill="auto"/>
            <w:vAlign w:val="center"/>
            <w:hideMark/>
          </w:tcPr>
          <w:p w14:paraId="2DE7C61D" w14:textId="77777777" w:rsidR="00DD5D4A" w:rsidRPr="0005259F" w:rsidRDefault="00DD5D4A" w:rsidP="00550751">
            <w:pPr>
              <w:spacing w:line="240" w:lineRule="auto"/>
              <w:jc w:val="right"/>
              <w:rPr>
                <w:sz w:val="18"/>
                <w:szCs w:val="18"/>
              </w:rPr>
            </w:pPr>
            <w:r w:rsidRPr="0005259F">
              <w:rPr>
                <w:sz w:val="18"/>
                <w:szCs w:val="18"/>
              </w:rPr>
              <w:t>61 413</w:t>
            </w:r>
          </w:p>
        </w:tc>
        <w:tc>
          <w:tcPr>
            <w:tcW w:w="1417" w:type="dxa"/>
            <w:tcBorders>
              <w:top w:val="nil"/>
              <w:left w:val="nil"/>
              <w:bottom w:val="nil"/>
              <w:right w:val="nil"/>
            </w:tcBorders>
            <w:shd w:val="clear" w:color="000000" w:fill="BFBFBF"/>
            <w:vAlign w:val="center"/>
            <w:hideMark/>
          </w:tcPr>
          <w:p w14:paraId="2FA800AE" w14:textId="77777777" w:rsidR="00DD5D4A" w:rsidRPr="0005259F" w:rsidRDefault="00DD5D4A" w:rsidP="00550751">
            <w:pPr>
              <w:spacing w:line="240" w:lineRule="auto"/>
              <w:jc w:val="right"/>
              <w:rPr>
                <w:sz w:val="18"/>
                <w:szCs w:val="18"/>
              </w:rPr>
            </w:pPr>
            <w:r w:rsidRPr="0005259F">
              <w:rPr>
                <w:sz w:val="18"/>
                <w:szCs w:val="18"/>
              </w:rPr>
              <w:t>6 683</w:t>
            </w:r>
          </w:p>
        </w:tc>
      </w:tr>
      <w:tr w:rsidR="00DD5D4A" w:rsidRPr="00DD5D4A" w14:paraId="6022B05C" w14:textId="77777777" w:rsidTr="006B3718">
        <w:trPr>
          <w:trHeight w:val="352"/>
        </w:trPr>
        <w:tc>
          <w:tcPr>
            <w:tcW w:w="3952" w:type="dxa"/>
            <w:tcBorders>
              <w:top w:val="nil"/>
              <w:left w:val="nil"/>
              <w:bottom w:val="single" w:sz="4" w:space="0" w:color="auto"/>
              <w:right w:val="nil"/>
            </w:tcBorders>
            <w:shd w:val="clear" w:color="auto" w:fill="auto"/>
            <w:noWrap/>
            <w:vAlign w:val="center"/>
            <w:hideMark/>
          </w:tcPr>
          <w:p w14:paraId="3203E080" w14:textId="77777777" w:rsidR="00DD5D4A" w:rsidRPr="0005259F" w:rsidRDefault="00DD5D4A" w:rsidP="00550751">
            <w:pPr>
              <w:spacing w:line="240" w:lineRule="auto"/>
              <w:rPr>
                <w:sz w:val="18"/>
                <w:szCs w:val="18"/>
              </w:rPr>
            </w:pPr>
            <w:r w:rsidRPr="0005259F">
              <w:rPr>
                <w:sz w:val="18"/>
                <w:szCs w:val="18"/>
              </w:rPr>
              <w:t xml:space="preserve">   poplatky </w:t>
            </w:r>
          </w:p>
        </w:tc>
        <w:tc>
          <w:tcPr>
            <w:tcW w:w="1513" w:type="dxa"/>
            <w:tcBorders>
              <w:top w:val="nil"/>
              <w:left w:val="nil"/>
              <w:bottom w:val="single" w:sz="4" w:space="0" w:color="auto"/>
              <w:right w:val="nil"/>
            </w:tcBorders>
            <w:shd w:val="clear" w:color="auto" w:fill="auto"/>
            <w:noWrap/>
            <w:vAlign w:val="center"/>
            <w:hideMark/>
          </w:tcPr>
          <w:p w14:paraId="59C857B4" w14:textId="77777777" w:rsidR="00DD5D4A" w:rsidRPr="0005259F" w:rsidRDefault="00DD5D4A" w:rsidP="00550751">
            <w:pPr>
              <w:spacing w:line="240" w:lineRule="auto"/>
              <w:jc w:val="right"/>
              <w:rPr>
                <w:sz w:val="18"/>
                <w:szCs w:val="18"/>
              </w:rPr>
            </w:pPr>
            <w:r w:rsidRPr="0005259F">
              <w:rPr>
                <w:sz w:val="18"/>
                <w:szCs w:val="18"/>
              </w:rPr>
              <w:t>5 478</w:t>
            </w:r>
          </w:p>
        </w:tc>
        <w:tc>
          <w:tcPr>
            <w:tcW w:w="1568" w:type="dxa"/>
            <w:tcBorders>
              <w:top w:val="nil"/>
              <w:left w:val="nil"/>
              <w:bottom w:val="single" w:sz="4" w:space="0" w:color="auto"/>
              <w:right w:val="nil"/>
            </w:tcBorders>
            <w:shd w:val="clear" w:color="auto" w:fill="auto"/>
            <w:vAlign w:val="center"/>
            <w:hideMark/>
          </w:tcPr>
          <w:p w14:paraId="75D97FFC" w14:textId="77777777" w:rsidR="00DD5D4A" w:rsidRPr="0005259F" w:rsidRDefault="00DD5D4A" w:rsidP="00550751">
            <w:pPr>
              <w:spacing w:line="240" w:lineRule="auto"/>
              <w:jc w:val="right"/>
              <w:rPr>
                <w:sz w:val="18"/>
                <w:szCs w:val="18"/>
              </w:rPr>
            </w:pPr>
            <w:r w:rsidRPr="0005259F">
              <w:rPr>
                <w:sz w:val="18"/>
                <w:szCs w:val="18"/>
              </w:rPr>
              <w:t>8 851</w:t>
            </w:r>
          </w:p>
        </w:tc>
        <w:tc>
          <w:tcPr>
            <w:tcW w:w="1417" w:type="dxa"/>
            <w:tcBorders>
              <w:top w:val="nil"/>
              <w:left w:val="nil"/>
              <w:bottom w:val="single" w:sz="4" w:space="0" w:color="auto"/>
              <w:right w:val="nil"/>
            </w:tcBorders>
            <w:shd w:val="clear" w:color="000000" w:fill="BFBFBF"/>
            <w:vAlign w:val="center"/>
            <w:hideMark/>
          </w:tcPr>
          <w:p w14:paraId="340FE075" w14:textId="77777777" w:rsidR="00DD5D4A" w:rsidRPr="0005259F" w:rsidRDefault="00DD5D4A" w:rsidP="00550751">
            <w:pPr>
              <w:spacing w:line="240" w:lineRule="auto"/>
              <w:jc w:val="right"/>
              <w:rPr>
                <w:sz w:val="18"/>
                <w:szCs w:val="18"/>
              </w:rPr>
            </w:pPr>
            <w:r w:rsidRPr="0005259F">
              <w:rPr>
                <w:sz w:val="18"/>
                <w:szCs w:val="18"/>
              </w:rPr>
              <w:t>5 237</w:t>
            </w:r>
          </w:p>
        </w:tc>
      </w:tr>
      <w:tr w:rsidR="00DD5D4A" w:rsidRPr="00DD5D4A" w14:paraId="7433C6ED" w14:textId="77777777" w:rsidTr="006B3718">
        <w:trPr>
          <w:trHeight w:val="368"/>
        </w:trPr>
        <w:tc>
          <w:tcPr>
            <w:tcW w:w="3952" w:type="dxa"/>
            <w:tcBorders>
              <w:top w:val="single" w:sz="4" w:space="0" w:color="auto"/>
              <w:left w:val="nil"/>
              <w:bottom w:val="single" w:sz="8" w:space="0" w:color="auto"/>
              <w:right w:val="nil"/>
            </w:tcBorders>
            <w:shd w:val="clear" w:color="auto" w:fill="auto"/>
            <w:noWrap/>
            <w:vAlign w:val="center"/>
            <w:hideMark/>
          </w:tcPr>
          <w:p w14:paraId="2DD49AAE" w14:textId="77777777" w:rsidR="00DD5D4A" w:rsidRPr="00DD5D4A" w:rsidRDefault="00DD5D4A" w:rsidP="00550751">
            <w:pPr>
              <w:spacing w:line="240" w:lineRule="auto"/>
              <w:rPr>
                <w:b/>
                <w:sz w:val="18"/>
                <w:szCs w:val="18"/>
              </w:rPr>
            </w:pPr>
            <w:r w:rsidRPr="00DD5D4A">
              <w:rPr>
                <w:b/>
                <w:sz w:val="18"/>
                <w:szCs w:val="18"/>
              </w:rPr>
              <w:t>Spolu saldo</w:t>
            </w:r>
          </w:p>
        </w:tc>
        <w:tc>
          <w:tcPr>
            <w:tcW w:w="1513" w:type="dxa"/>
            <w:tcBorders>
              <w:top w:val="single" w:sz="4" w:space="0" w:color="auto"/>
              <w:left w:val="nil"/>
              <w:bottom w:val="single" w:sz="8" w:space="0" w:color="auto"/>
              <w:right w:val="nil"/>
            </w:tcBorders>
            <w:shd w:val="clear" w:color="auto" w:fill="auto"/>
            <w:vAlign w:val="center"/>
            <w:hideMark/>
          </w:tcPr>
          <w:p w14:paraId="503ED635" w14:textId="77777777" w:rsidR="00DD5D4A" w:rsidRPr="00DD5D4A" w:rsidRDefault="00DD5D4A" w:rsidP="00550751">
            <w:pPr>
              <w:spacing w:line="240" w:lineRule="auto"/>
              <w:jc w:val="right"/>
              <w:rPr>
                <w:b/>
                <w:sz w:val="18"/>
                <w:szCs w:val="18"/>
              </w:rPr>
            </w:pPr>
            <w:r w:rsidRPr="00DD5D4A">
              <w:rPr>
                <w:b/>
                <w:sz w:val="18"/>
                <w:szCs w:val="18"/>
              </w:rPr>
              <w:t>1 174 727</w:t>
            </w:r>
          </w:p>
        </w:tc>
        <w:tc>
          <w:tcPr>
            <w:tcW w:w="1568" w:type="dxa"/>
            <w:tcBorders>
              <w:top w:val="single" w:sz="4" w:space="0" w:color="auto"/>
              <w:left w:val="nil"/>
              <w:bottom w:val="single" w:sz="8" w:space="0" w:color="auto"/>
              <w:right w:val="nil"/>
            </w:tcBorders>
            <w:shd w:val="clear" w:color="auto" w:fill="auto"/>
            <w:vAlign w:val="center"/>
            <w:hideMark/>
          </w:tcPr>
          <w:p w14:paraId="15AC96A8" w14:textId="77777777" w:rsidR="00DD5D4A" w:rsidRPr="00DD5D4A" w:rsidRDefault="00DD5D4A" w:rsidP="00550751">
            <w:pPr>
              <w:spacing w:line="240" w:lineRule="auto"/>
              <w:jc w:val="right"/>
              <w:rPr>
                <w:b/>
                <w:sz w:val="18"/>
                <w:szCs w:val="18"/>
              </w:rPr>
            </w:pPr>
            <w:r w:rsidRPr="00DD5D4A">
              <w:rPr>
                <w:b/>
                <w:sz w:val="18"/>
                <w:szCs w:val="18"/>
              </w:rPr>
              <w:t>1 166 299</w:t>
            </w:r>
          </w:p>
        </w:tc>
        <w:tc>
          <w:tcPr>
            <w:tcW w:w="1417" w:type="dxa"/>
            <w:tcBorders>
              <w:top w:val="single" w:sz="4" w:space="0" w:color="auto"/>
              <w:left w:val="nil"/>
              <w:bottom w:val="single" w:sz="8" w:space="0" w:color="auto"/>
              <w:right w:val="nil"/>
            </w:tcBorders>
            <w:shd w:val="clear" w:color="000000" w:fill="BFBFBF"/>
            <w:vAlign w:val="center"/>
            <w:hideMark/>
          </w:tcPr>
          <w:p w14:paraId="191C77FC" w14:textId="77777777" w:rsidR="00DD5D4A" w:rsidRPr="00DD5D4A" w:rsidRDefault="00DD5D4A" w:rsidP="00550751">
            <w:pPr>
              <w:spacing w:line="240" w:lineRule="auto"/>
              <w:jc w:val="right"/>
              <w:rPr>
                <w:b/>
                <w:sz w:val="18"/>
                <w:szCs w:val="18"/>
              </w:rPr>
            </w:pPr>
            <w:r w:rsidRPr="00DD5D4A">
              <w:rPr>
                <w:b/>
                <w:sz w:val="18"/>
                <w:szCs w:val="18"/>
              </w:rPr>
              <w:t>1 134 322</w:t>
            </w:r>
          </w:p>
        </w:tc>
      </w:tr>
    </w:tbl>
    <w:p w14:paraId="7028F16F" w14:textId="77777777" w:rsidR="00B31223" w:rsidRPr="00775D1A" w:rsidRDefault="00B31223" w:rsidP="00B31223">
      <w:pPr>
        <w:tabs>
          <w:tab w:val="left" w:pos="284"/>
        </w:tabs>
        <w:jc w:val="right"/>
        <w:rPr>
          <w:sz w:val="18"/>
          <w:szCs w:val="18"/>
        </w:rPr>
      </w:pPr>
      <w:r w:rsidRPr="00775D1A">
        <w:rPr>
          <w:sz w:val="18"/>
          <w:szCs w:val="18"/>
        </w:rPr>
        <w:t>Zdroj: MF SR</w:t>
      </w:r>
    </w:p>
    <w:p w14:paraId="2AB87E36" w14:textId="77777777" w:rsidR="005347D5" w:rsidRDefault="003B68F5" w:rsidP="005347D5">
      <w:pPr>
        <w:pStyle w:val="Odsekzoznamu"/>
        <w:spacing w:after="120" w:line="336" w:lineRule="auto"/>
        <w:ind w:left="0"/>
        <w:jc w:val="both"/>
        <w:rPr>
          <w:rFonts w:ascii="Times New Roman" w:hAnsi="Times New Roman"/>
          <w:color w:val="000000"/>
        </w:rPr>
      </w:pPr>
      <w:r w:rsidRPr="00C657BC">
        <w:rPr>
          <w:rFonts w:ascii="Times New Roman" w:hAnsi="Times New Roman"/>
        </w:rPr>
        <w:t xml:space="preserve">Na </w:t>
      </w:r>
      <w:r w:rsidRPr="003B68F5">
        <w:rPr>
          <w:rFonts w:ascii="Times New Roman" w:hAnsi="Times New Roman"/>
          <w:i/>
          <w:u w:val="single"/>
        </w:rPr>
        <w:t>transfery obciam</w:t>
      </w:r>
      <w:r w:rsidRPr="00E807EC">
        <w:rPr>
          <w:rFonts w:ascii="Times New Roman" w:hAnsi="Times New Roman"/>
          <w:i/>
        </w:rPr>
        <w:t xml:space="preserve"> </w:t>
      </w:r>
      <w:r>
        <w:rPr>
          <w:rFonts w:ascii="Times New Roman" w:hAnsi="Times New Roman"/>
        </w:rPr>
        <w:t xml:space="preserve">bolo vynaložených spolu 994 246 tis. eur, z toho </w:t>
      </w:r>
      <w:r w:rsidRPr="00E807EC">
        <w:rPr>
          <w:rFonts w:ascii="Times New Roman" w:hAnsi="Times New Roman"/>
          <w:i/>
        </w:rPr>
        <w:t>na úhradu nákladov preneseného výkonu štátnej správy</w:t>
      </w:r>
      <w:r w:rsidR="00411F2A">
        <w:rPr>
          <w:rStyle w:val="Odkaznapoznmkupodiarou"/>
          <w:rFonts w:ascii="Times New Roman" w:hAnsi="Times New Roman"/>
          <w:i/>
        </w:rPr>
        <w:footnoteReference w:id="21"/>
      </w:r>
      <w:r w:rsidRPr="00C657BC">
        <w:rPr>
          <w:rFonts w:ascii="Times New Roman" w:hAnsi="Times New Roman"/>
          <w:b/>
        </w:rPr>
        <w:t xml:space="preserve"> </w:t>
      </w:r>
      <w:r w:rsidRPr="00C657BC">
        <w:rPr>
          <w:rFonts w:ascii="Times New Roman" w:hAnsi="Times New Roman"/>
        </w:rPr>
        <w:t>sa vyčerpalo 892 678 tis. eur (2017: 851 764</w:t>
      </w:r>
      <w:r>
        <w:rPr>
          <w:rFonts w:ascii="Times New Roman" w:hAnsi="Times New Roman"/>
        </w:rPr>
        <w:t> tis. eur)</w:t>
      </w:r>
      <w:r w:rsidR="00BD02D9">
        <w:rPr>
          <w:rFonts w:ascii="Times New Roman" w:hAnsi="Times New Roman"/>
        </w:rPr>
        <w:t xml:space="preserve"> </w:t>
      </w:r>
      <w:r w:rsidR="00FC34D1">
        <w:rPr>
          <w:rFonts w:ascii="Times New Roman" w:hAnsi="Times New Roman"/>
        </w:rPr>
        <w:t>Prenesený výkon štátnej správy je krytý najmä zo zdrojov štátneho rozpočtu</w:t>
      </w:r>
      <w:r w:rsidR="003B4DC9">
        <w:rPr>
          <w:rFonts w:ascii="Times New Roman" w:hAnsi="Times New Roman"/>
        </w:rPr>
        <w:t>,</w:t>
      </w:r>
      <w:r w:rsidR="00FC34D1">
        <w:rPr>
          <w:rFonts w:ascii="Times New Roman" w:hAnsi="Times New Roman"/>
        </w:rPr>
        <w:t xml:space="preserve"> a to prostredníctvom kapitoly </w:t>
      </w:r>
      <w:r w:rsidR="00FC34D1" w:rsidRPr="00BD240E">
        <w:rPr>
          <w:rFonts w:ascii="Times New Roman" w:hAnsi="Times New Roman"/>
        </w:rPr>
        <w:t>Ministerstva vnútra SR (885 247 tis. eur)</w:t>
      </w:r>
      <w:r w:rsidR="00E25D99" w:rsidRPr="00BD240E">
        <w:rPr>
          <w:rFonts w:ascii="Times New Roman" w:hAnsi="Times New Roman"/>
        </w:rPr>
        <w:t>,</w:t>
      </w:r>
      <w:r w:rsidR="00BD240E" w:rsidRPr="00BD240E">
        <w:rPr>
          <w:rFonts w:ascii="Times New Roman" w:hAnsi="Times New Roman"/>
          <w:color w:val="000000"/>
        </w:rPr>
        <w:t xml:space="preserve"> </w:t>
      </w:r>
      <w:r w:rsidR="00BD240E">
        <w:rPr>
          <w:rFonts w:ascii="Times New Roman" w:hAnsi="Times New Roman"/>
          <w:color w:val="000000"/>
        </w:rPr>
        <w:t>ktoré tieto finančné prostrie</w:t>
      </w:r>
      <w:r w:rsidR="007A5A77">
        <w:rPr>
          <w:rFonts w:ascii="Times New Roman" w:hAnsi="Times New Roman"/>
          <w:color w:val="000000"/>
        </w:rPr>
        <w:t xml:space="preserve">dky použilo na úseku školstva </w:t>
      </w:r>
      <w:r w:rsidR="00BD240E">
        <w:rPr>
          <w:rFonts w:ascii="Times New Roman" w:hAnsi="Times New Roman"/>
          <w:color w:val="000000"/>
        </w:rPr>
        <w:t>najmä v rámci programu Výchova a vzdelávanie mládeže na úhradu nákladov na poskytovanie výchovy, na vzdelávacie poukazy, na asistentov učiteľa, na úhradu nákladov na havárie, na dopravné, na príspevok pre materské školy, na</w:t>
      </w:r>
      <w:r w:rsidR="00066627">
        <w:rPr>
          <w:rFonts w:ascii="Times New Roman" w:hAnsi="Times New Roman"/>
          <w:color w:val="000000"/>
        </w:rPr>
        <w:t> </w:t>
      </w:r>
      <w:r w:rsidR="00BD240E">
        <w:rPr>
          <w:rFonts w:ascii="Times New Roman" w:hAnsi="Times New Roman"/>
          <w:color w:val="000000"/>
        </w:rPr>
        <w:t xml:space="preserve">lyžiarske kurzy a iné. </w:t>
      </w:r>
      <w:r w:rsidR="00FC34D1" w:rsidRPr="003555C9">
        <w:rPr>
          <w:rFonts w:ascii="Times New Roman" w:hAnsi="Times New Roman"/>
        </w:rPr>
        <w:t>Ministerstv</w:t>
      </w:r>
      <w:r w:rsidR="00BD240E" w:rsidRPr="003555C9">
        <w:rPr>
          <w:rFonts w:ascii="Times New Roman" w:hAnsi="Times New Roman"/>
        </w:rPr>
        <w:t>o</w:t>
      </w:r>
      <w:r w:rsidR="00FC34D1" w:rsidRPr="003555C9">
        <w:rPr>
          <w:rFonts w:ascii="Times New Roman" w:hAnsi="Times New Roman"/>
        </w:rPr>
        <w:t xml:space="preserve"> dopravy a výstavby SR </w:t>
      </w:r>
      <w:r w:rsidR="003555C9" w:rsidRPr="003555C9">
        <w:rPr>
          <w:rFonts w:ascii="Times New Roman" w:hAnsi="Times New Roman"/>
        </w:rPr>
        <w:t xml:space="preserve">čerpalo </w:t>
      </w:r>
      <w:r w:rsidR="003555C9">
        <w:rPr>
          <w:rFonts w:ascii="Times New Roman" w:hAnsi="Times New Roman"/>
          <w:color w:val="000000"/>
        </w:rPr>
        <w:t>v</w:t>
      </w:r>
      <w:r w:rsidR="00BD240E" w:rsidRPr="00BD240E">
        <w:rPr>
          <w:rFonts w:ascii="Times New Roman" w:hAnsi="Times New Roman"/>
          <w:color w:val="000000"/>
        </w:rPr>
        <w:t>ýdavky na zabezpečenie preneseného výkonu pôsobnosti štátnej správy na obce na úseku stavebného poriadku a na úseku bývania a cestnej dopravy</w:t>
      </w:r>
      <w:r w:rsidR="003555C9">
        <w:rPr>
          <w:rFonts w:ascii="Times New Roman" w:hAnsi="Times New Roman"/>
          <w:color w:val="000000"/>
        </w:rPr>
        <w:t xml:space="preserve"> (</w:t>
      </w:r>
      <w:r w:rsidR="003B4DC9">
        <w:rPr>
          <w:rFonts w:ascii="Times New Roman" w:hAnsi="Times New Roman"/>
        </w:rPr>
        <w:t>7 431 tis. </w:t>
      </w:r>
      <w:r w:rsidR="003555C9" w:rsidRPr="003555C9">
        <w:rPr>
          <w:rFonts w:ascii="Times New Roman" w:hAnsi="Times New Roman"/>
        </w:rPr>
        <w:t>eur)</w:t>
      </w:r>
      <w:r w:rsidR="003555C9">
        <w:rPr>
          <w:rFonts w:ascii="Times New Roman" w:hAnsi="Times New Roman"/>
          <w:color w:val="000000"/>
        </w:rPr>
        <w:t xml:space="preserve">. </w:t>
      </w:r>
      <w:r w:rsidR="00BD240E">
        <w:rPr>
          <w:rFonts w:ascii="Times New Roman" w:hAnsi="Times New Roman"/>
        </w:rPr>
        <w:t xml:space="preserve">Na </w:t>
      </w:r>
      <w:r w:rsidR="00BD240E" w:rsidRPr="00FC34D1">
        <w:rPr>
          <w:rFonts w:ascii="Times New Roman" w:hAnsi="Times New Roman"/>
          <w:i/>
        </w:rPr>
        <w:t>ostatné transfery</w:t>
      </w:r>
      <w:r w:rsidR="00BD240E">
        <w:rPr>
          <w:rFonts w:ascii="Times New Roman" w:hAnsi="Times New Roman"/>
        </w:rPr>
        <w:t xml:space="preserve"> (na krytie ostatných nákladov) sa použilo 101 568 tis.</w:t>
      </w:r>
      <w:r w:rsidR="003B4DC9">
        <w:rPr>
          <w:rFonts w:ascii="Times New Roman" w:hAnsi="Times New Roman"/>
        </w:rPr>
        <w:t> </w:t>
      </w:r>
      <w:r w:rsidR="00BD240E">
        <w:rPr>
          <w:rFonts w:ascii="Times New Roman" w:hAnsi="Times New Roman"/>
        </w:rPr>
        <w:t xml:space="preserve">eur (2017: 77 043 tis. eur), </w:t>
      </w:r>
      <w:r w:rsidR="00FC34D1">
        <w:rPr>
          <w:rFonts w:ascii="Times New Roman" w:hAnsi="Times New Roman"/>
        </w:rPr>
        <w:t xml:space="preserve">najmä </w:t>
      </w:r>
      <w:r w:rsidR="00BD240E">
        <w:rPr>
          <w:rFonts w:ascii="Times New Roman" w:hAnsi="Times New Roman"/>
        </w:rPr>
        <w:t>prostredníctvom</w:t>
      </w:r>
      <w:r w:rsidR="0071379D">
        <w:rPr>
          <w:rFonts w:ascii="Times New Roman" w:hAnsi="Times New Roman"/>
        </w:rPr>
        <w:t xml:space="preserve"> kapitoly </w:t>
      </w:r>
      <w:r w:rsidRPr="0071379D">
        <w:rPr>
          <w:rFonts w:ascii="Times New Roman" w:hAnsi="Times New Roman"/>
        </w:rPr>
        <w:t xml:space="preserve">Ministerstva práce, sociálnych vecí a rodiny SR </w:t>
      </w:r>
      <w:r w:rsidR="0071379D">
        <w:rPr>
          <w:rFonts w:ascii="Times New Roman" w:hAnsi="Times New Roman"/>
        </w:rPr>
        <w:t>(</w:t>
      </w:r>
      <w:r w:rsidRPr="0071379D">
        <w:rPr>
          <w:rFonts w:ascii="Times New Roman" w:hAnsi="Times New Roman"/>
        </w:rPr>
        <w:t>65 382 tis. eur</w:t>
      </w:r>
      <w:r w:rsidR="0071379D">
        <w:rPr>
          <w:rFonts w:ascii="Times New Roman" w:hAnsi="Times New Roman"/>
        </w:rPr>
        <w:t>), z</w:t>
      </w:r>
      <w:r w:rsidRPr="0071379D">
        <w:rPr>
          <w:rFonts w:ascii="Times New Roman" w:hAnsi="Times New Roman"/>
          <w:color w:val="000000"/>
        </w:rPr>
        <w:t> toho čiastka 45 460 tis. eur predstavovala príspevok mestám a obciam na spolufinancovanie sociálnych služieb pre zariadenia sociálnych služieb.</w:t>
      </w:r>
    </w:p>
    <w:p w14:paraId="4F01F971" w14:textId="77777777" w:rsidR="005347D5" w:rsidRDefault="005347D5" w:rsidP="005347D5">
      <w:pPr>
        <w:pStyle w:val="Odsekzoznamu"/>
        <w:spacing w:after="120" w:line="336" w:lineRule="auto"/>
        <w:ind w:left="0"/>
        <w:jc w:val="both"/>
        <w:rPr>
          <w:rFonts w:ascii="Times New Roman" w:hAnsi="Times New Roman"/>
          <w:color w:val="000000"/>
        </w:rPr>
      </w:pPr>
    </w:p>
    <w:p w14:paraId="35A9D0E1" w14:textId="02CEB4FD" w:rsidR="00872F0C" w:rsidRPr="000C71F6" w:rsidRDefault="00872F0C" w:rsidP="005347D5">
      <w:pPr>
        <w:pStyle w:val="Odsekzoznamu"/>
        <w:spacing w:after="120" w:line="336" w:lineRule="auto"/>
        <w:ind w:left="0"/>
        <w:jc w:val="both"/>
        <w:rPr>
          <w:rFonts w:ascii="Times New Roman" w:hAnsi="Times New Roman"/>
          <w:color w:val="000000"/>
        </w:rPr>
      </w:pPr>
      <w:r w:rsidRPr="003E2C66">
        <w:rPr>
          <w:rFonts w:ascii="Times New Roman" w:hAnsi="Times New Roman"/>
          <w:i/>
          <w:u w:val="single"/>
        </w:rPr>
        <w:t>Verejným vysokým školám</w:t>
      </w:r>
      <w:r w:rsidRPr="00715F59">
        <w:rPr>
          <w:rFonts w:ascii="Times New Roman" w:hAnsi="Times New Roman"/>
        </w:rPr>
        <w:t xml:space="preserve"> boli poskytnuté</w:t>
      </w:r>
      <w:r>
        <w:rPr>
          <w:rFonts w:ascii="Times New Roman" w:hAnsi="Times New Roman"/>
        </w:rPr>
        <w:t xml:space="preserve"> finančné prostriedky</w:t>
      </w:r>
      <w:r w:rsidRPr="00715F59">
        <w:rPr>
          <w:rFonts w:ascii="Times New Roman" w:hAnsi="Times New Roman"/>
        </w:rPr>
        <w:t xml:space="preserve"> v sume 530 365 tis. eur (2017: 505 349 tis. eur), a to predovšetkým </w:t>
      </w:r>
      <w:r w:rsidR="00F165E6">
        <w:rPr>
          <w:rFonts w:ascii="Times New Roman" w:hAnsi="Times New Roman"/>
        </w:rPr>
        <w:t xml:space="preserve">prostredníctvom </w:t>
      </w:r>
      <w:r w:rsidRPr="00715F59">
        <w:rPr>
          <w:rFonts w:ascii="Times New Roman" w:hAnsi="Times New Roman"/>
        </w:rPr>
        <w:t>rezort</w:t>
      </w:r>
      <w:r w:rsidR="00F165E6">
        <w:rPr>
          <w:rFonts w:ascii="Times New Roman" w:hAnsi="Times New Roman"/>
        </w:rPr>
        <w:t>u</w:t>
      </w:r>
      <w:r w:rsidRPr="00715F59">
        <w:rPr>
          <w:rFonts w:ascii="Times New Roman" w:hAnsi="Times New Roman"/>
        </w:rPr>
        <w:t xml:space="preserve"> Ministerstva školstva, vedy, výskumu a športu SR </w:t>
      </w:r>
      <w:r>
        <w:rPr>
          <w:rFonts w:ascii="Times New Roman" w:hAnsi="Times New Roman"/>
        </w:rPr>
        <w:t xml:space="preserve">v sume </w:t>
      </w:r>
      <w:r w:rsidRPr="00715F59">
        <w:rPr>
          <w:rFonts w:ascii="Times New Roman" w:hAnsi="Times New Roman"/>
        </w:rPr>
        <w:t>5</w:t>
      </w:r>
      <w:r w:rsidR="00C8173C">
        <w:rPr>
          <w:rFonts w:ascii="Times New Roman" w:hAnsi="Times New Roman"/>
        </w:rPr>
        <w:t>2</w:t>
      </w:r>
      <w:r w:rsidRPr="00715F59">
        <w:rPr>
          <w:rFonts w:ascii="Times New Roman" w:hAnsi="Times New Roman"/>
        </w:rPr>
        <w:t>8 317 t</w:t>
      </w:r>
      <w:r>
        <w:rPr>
          <w:rFonts w:ascii="Times New Roman" w:hAnsi="Times New Roman"/>
        </w:rPr>
        <w:t>is. </w:t>
      </w:r>
      <w:r w:rsidRPr="00715F59">
        <w:rPr>
          <w:rFonts w:ascii="Times New Roman" w:hAnsi="Times New Roman"/>
        </w:rPr>
        <w:t>eur</w:t>
      </w:r>
      <w:r>
        <w:rPr>
          <w:rFonts w:ascii="Times New Roman" w:hAnsi="Times New Roman"/>
        </w:rPr>
        <w:t>.</w:t>
      </w:r>
      <w:r w:rsidRPr="00715F59">
        <w:rPr>
          <w:rFonts w:ascii="Times New Roman" w:hAnsi="Times New Roman"/>
        </w:rPr>
        <w:t xml:space="preserve"> </w:t>
      </w:r>
      <w:r>
        <w:rPr>
          <w:rFonts w:ascii="Times New Roman" w:hAnsi="Times New Roman"/>
        </w:rPr>
        <w:t xml:space="preserve">Z toho v rámci programu </w:t>
      </w:r>
      <w:r w:rsidRPr="00715F59">
        <w:rPr>
          <w:rFonts w:ascii="Times New Roman" w:hAnsi="Times New Roman"/>
        </w:rPr>
        <w:t>Vysokoškolské vzdelávanie a veda, sociálna p</w:t>
      </w:r>
      <w:r>
        <w:rPr>
          <w:rFonts w:ascii="Times New Roman" w:hAnsi="Times New Roman"/>
        </w:rPr>
        <w:t xml:space="preserve">odpora študentov vysokých škôl bola poskytnutá suma 501 594 tis. eur na uskutočňovanie akreditovaných študijných programov, na výskumnú vývojovú alebo umeleckú činnosť, na rozvoj škôl a sociálnu podporu študentov. </w:t>
      </w:r>
      <w:r w:rsidR="00D351AB">
        <w:rPr>
          <w:rFonts w:ascii="Times New Roman" w:hAnsi="Times New Roman"/>
        </w:rPr>
        <w:t>V </w:t>
      </w:r>
      <w:r w:rsidRPr="004026B4">
        <w:rPr>
          <w:rFonts w:ascii="Times New Roman" w:hAnsi="Times New Roman"/>
        </w:rPr>
        <w:t>rámci medzirezortného programu Oficiálna rozvojová pomoc na</w:t>
      </w:r>
      <w:r>
        <w:rPr>
          <w:rFonts w:ascii="Times New Roman" w:hAnsi="Times New Roman"/>
        </w:rPr>
        <w:t> </w:t>
      </w:r>
      <w:r w:rsidRPr="004026B4">
        <w:rPr>
          <w:rFonts w:ascii="Times New Roman" w:hAnsi="Times New Roman"/>
        </w:rPr>
        <w:t xml:space="preserve">štipendiá pre štipendistov bola poskytnutá čiastka 1 941 tis. eur. </w:t>
      </w:r>
      <w:r>
        <w:rPr>
          <w:rFonts w:ascii="Times New Roman" w:hAnsi="Times New Roman"/>
        </w:rPr>
        <w:t>V</w:t>
      </w:r>
      <w:r w:rsidRPr="00E7603C">
        <w:rPr>
          <w:rFonts w:ascii="Times New Roman" w:hAnsi="Times New Roman"/>
        </w:rPr>
        <w:t> rámci programu Národný program rozvoja vedy a</w:t>
      </w:r>
      <w:r>
        <w:rPr>
          <w:rFonts w:ascii="Times New Roman" w:hAnsi="Times New Roman"/>
        </w:rPr>
        <w:t> </w:t>
      </w:r>
      <w:r w:rsidRPr="00E7603C">
        <w:rPr>
          <w:rFonts w:ascii="Times New Roman" w:hAnsi="Times New Roman"/>
        </w:rPr>
        <w:t>techniky</w:t>
      </w:r>
      <w:r>
        <w:rPr>
          <w:rFonts w:ascii="Times New Roman" w:hAnsi="Times New Roman"/>
        </w:rPr>
        <w:t xml:space="preserve"> bolo poskytnutých 21 887 tis. eur.</w:t>
      </w:r>
    </w:p>
    <w:p w14:paraId="461767EC" w14:textId="77777777" w:rsidR="00796B6C" w:rsidRDefault="00796B6C">
      <w:pPr>
        <w:spacing w:after="160" w:line="259" w:lineRule="auto"/>
        <w:jc w:val="left"/>
        <w:rPr>
          <w:i/>
          <w:u w:val="single"/>
        </w:rPr>
      </w:pPr>
      <w:r>
        <w:rPr>
          <w:i/>
          <w:u w:val="single"/>
        </w:rPr>
        <w:br w:type="page"/>
      </w:r>
    </w:p>
    <w:p w14:paraId="744C464A" w14:textId="031272A7" w:rsidR="00D20476" w:rsidRPr="002A1325" w:rsidRDefault="00ED2943" w:rsidP="00ED2943">
      <w:pPr>
        <w:spacing w:line="360" w:lineRule="auto"/>
        <w:rPr>
          <w:color w:val="000000"/>
          <w:lang w:eastAsia="sk-SK"/>
        </w:rPr>
      </w:pPr>
      <w:r>
        <w:rPr>
          <w:i/>
          <w:u w:val="single"/>
        </w:rPr>
        <w:t>Transfery v</w:t>
      </w:r>
      <w:r w:rsidR="00D20476" w:rsidRPr="003E2C66">
        <w:rPr>
          <w:i/>
          <w:u w:val="single"/>
        </w:rPr>
        <w:t xml:space="preserve">yšším územným celkom </w:t>
      </w:r>
      <w:r>
        <w:t>dosiahli úhrnom 435 142 tis. eur, z toho</w:t>
      </w:r>
      <w:r w:rsidRPr="00ED2943">
        <w:t xml:space="preserve"> </w:t>
      </w:r>
      <w:r w:rsidR="00D20476" w:rsidRPr="00ED2943">
        <w:rPr>
          <w:i/>
        </w:rPr>
        <w:t>na úhradu nákladov preneseného výkonu štátnej správy</w:t>
      </w:r>
      <w:r w:rsidR="00D20476" w:rsidRPr="001F1F4E">
        <w:rPr>
          <w:b/>
        </w:rPr>
        <w:t xml:space="preserve"> </w:t>
      </w:r>
      <w:r w:rsidR="00D20476" w:rsidRPr="001F1F4E">
        <w:t>boli poskytnuté transfery vo výške 429 774 tis. eur (2017: 424 272 tis. eur)</w:t>
      </w:r>
      <w:r>
        <w:t xml:space="preserve"> a na </w:t>
      </w:r>
      <w:r w:rsidRPr="00ED2943">
        <w:rPr>
          <w:i/>
        </w:rPr>
        <w:t>ostatné transfery</w:t>
      </w:r>
      <w:r>
        <w:t xml:space="preserve"> (na krytie ostatných nákladov) sa použilo </w:t>
      </w:r>
      <w:r w:rsidRPr="00456609">
        <w:t>5 368 tis. eur.</w:t>
      </w:r>
      <w:r>
        <w:t xml:space="preserve"> Z prenesených kompetencií štátu na vyššie územné celky je financovaná hlavne oblasť školstva (429 411 tis. eur), pričom ide o</w:t>
      </w:r>
      <w:r w:rsidRPr="001F1F4E">
        <w:rPr>
          <w:color w:val="000000" w:themeColor="text1"/>
        </w:rPr>
        <w:t xml:space="preserve"> </w:t>
      </w:r>
      <w:r w:rsidR="00D20476" w:rsidRPr="001F1F4E">
        <w:rPr>
          <w:color w:val="000000" w:themeColor="text1"/>
        </w:rPr>
        <w:t>normatívne a nenormatívne finančné prostriedky školám v zriaďovateľskej pôsobnosti vyšších územných celkov</w:t>
      </w:r>
      <w:r>
        <w:rPr>
          <w:rStyle w:val="Odkaznapoznmkupodiarou"/>
          <w:color w:val="000000" w:themeColor="text1"/>
        </w:rPr>
        <w:footnoteReference w:id="22"/>
      </w:r>
      <w:r>
        <w:rPr>
          <w:color w:val="000000" w:themeColor="text1"/>
        </w:rPr>
        <w:t>.</w:t>
      </w:r>
      <w:r w:rsidR="00D20476" w:rsidRPr="001F1F4E">
        <w:rPr>
          <w:color w:val="000000" w:themeColor="text1"/>
        </w:rPr>
        <w:t xml:space="preserve"> Normatívne finančné prostriedky v sume 419 174 tis. eur boli poskytnuté na zabezpečenie miezd, platov, služobných príjmov a ostatných osobných vyrovnaní vrátane poistného a príspevkov do poisťovní, prevádzky a modernizácie učebných pomôcok, špeciálnych učebných pomôcok a na riešenie havarijných situácií. Nenormatívne finančné prostriedky v celkovej sume 10 237 tis. eur boli poskytnuté na</w:t>
      </w:r>
      <w:r w:rsidR="00066627">
        <w:rPr>
          <w:color w:val="000000" w:themeColor="text1"/>
        </w:rPr>
        <w:t> </w:t>
      </w:r>
      <w:r w:rsidR="00D20476" w:rsidRPr="001F1F4E">
        <w:rPr>
          <w:color w:val="000000" w:themeColor="text1"/>
        </w:rPr>
        <w:t>odchodné, skvalitnenie podmienok na výchovu a</w:t>
      </w:r>
      <w:r w:rsidR="003B4DC9">
        <w:rPr>
          <w:color w:val="000000" w:themeColor="text1"/>
        </w:rPr>
        <w:t xml:space="preserve"> </w:t>
      </w:r>
      <w:r w:rsidR="00D20476" w:rsidRPr="001F1F4E">
        <w:rPr>
          <w:color w:val="000000" w:themeColor="text1"/>
        </w:rPr>
        <w:t xml:space="preserve">vzdelávanie žiakov zo sociálne znevýhodneného prostredia, osobné náklady asistentov učiteľa pre žiakov so zdravotným znevýhodnením, dopravu žiakov, záujmovú činnosť prostredníctvom vzdelávacích poukazov, kurzy pohybových aktivít v prírode a iné. </w:t>
      </w:r>
    </w:p>
    <w:p w14:paraId="23F2337B" w14:textId="77777777" w:rsidR="00184143" w:rsidRDefault="00D20476" w:rsidP="001F4330">
      <w:r w:rsidRPr="00F113DA">
        <w:rPr>
          <w:i/>
          <w:u w:val="single"/>
        </w:rPr>
        <w:t>Príspevkovým organizáciám</w:t>
      </w:r>
      <w:r w:rsidRPr="00F113DA">
        <w:t xml:space="preserve"> sa poukázali rozpočtové prostriedky vo výške 375 348 tis. eur (2017: 333 946 tis. eur),</w:t>
      </w:r>
      <w:r w:rsidR="003C5ADA" w:rsidRPr="00F113DA">
        <w:t xml:space="preserve"> pričom ide o čerpanie prostriedkov najmä príspevkových organizácií ústrednej správy, ktoré sú v gescii jednotlivých rezortných ministerstiev. Bežnými transfermi sa spolufinancuje činnosť štátnych príspevkových organizácií v oblasti kultúry, školstva, vedy a výskumu či </w:t>
      </w:r>
      <w:r w:rsidR="003C5ADA" w:rsidRPr="00796B6C">
        <w:t>zdravotníctva</w:t>
      </w:r>
      <w:r w:rsidR="003C5ADA" w:rsidRPr="00F113DA">
        <w:t xml:space="preserve">. </w:t>
      </w:r>
      <w:r w:rsidR="00B3489C" w:rsidRPr="00F113DA">
        <w:t xml:space="preserve">Skutočné čerpanie transferov príspevkovým organizáciám bolo oproti schválenému rozpočtu vyššie o 151 395 tis. eur, na čom </w:t>
      </w:r>
      <w:r w:rsidR="00172AA1" w:rsidRPr="00F113DA">
        <w:t xml:space="preserve">sa </w:t>
      </w:r>
      <w:r w:rsidR="00B3489C" w:rsidRPr="00F113DA">
        <w:t>najviac podieľalo Ministerstvo životného prostredia SR</w:t>
      </w:r>
      <w:r w:rsidR="00FA6037" w:rsidRPr="00F113DA">
        <w:t xml:space="preserve"> (o 42 224 tis. eur)</w:t>
      </w:r>
      <w:r w:rsidR="00172AA1" w:rsidRPr="00F113DA">
        <w:t xml:space="preserve">, </w:t>
      </w:r>
      <w:r w:rsidR="00FA6037" w:rsidRPr="00F113DA">
        <w:t>Ministerstvo školstva, vedy, výskumu a</w:t>
      </w:r>
      <w:r w:rsidR="00172AA1" w:rsidRPr="00F113DA">
        <w:t> </w:t>
      </w:r>
      <w:r w:rsidR="00FA6037" w:rsidRPr="00F113DA">
        <w:t>športu</w:t>
      </w:r>
      <w:r w:rsidR="00172AA1" w:rsidRPr="00F113DA">
        <w:t> </w:t>
      </w:r>
      <w:r w:rsidR="00FA6037" w:rsidRPr="00F113DA">
        <w:t>SR</w:t>
      </w:r>
      <w:r w:rsidR="003B4DC9">
        <w:t xml:space="preserve"> (</w:t>
      </w:r>
      <w:r w:rsidR="00FA6037" w:rsidRPr="00F113DA">
        <w:t>o 31 993 tis. eur)</w:t>
      </w:r>
      <w:r w:rsidR="00605987" w:rsidRPr="00F113DA">
        <w:t>, Úrad vlády SR (o 21 984 tis. eur) a Ministerstvo pôdohospodárstva a rozvoja vidieka SR (o 15 562 tis. eur).</w:t>
      </w:r>
      <w:r w:rsidR="00172AA1" w:rsidRPr="00F113DA">
        <w:t xml:space="preserve"> </w:t>
      </w:r>
      <w:r w:rsidR="00605987" w:rsidRPr="00F113DA">
        <w:t>Vyššie čerpanie vyplynulo najmä z potreby dofinancovania činností vyplývajúcich z plánov hlavných úloh, finančného zabezpečenia povinností vyplývajúcich z osobitných predpisov, ako aj zo zmlúv o poskytnutí nenávratného finančného príspevku v rámci operačných programov a tiež z medzinárodných záväzkov SR.</w:t>
      </w:r>
    </w:p>
    <w:p w14:paraId="17F48139" w14:textId="77777777" w:rsidR="00184143" w:rsidRDefault="003C5ADA" w:rsidP="001F4330">
      <w:r w:rsidRPr="00F113DA">
        <w:t>V</w:t>
      </w:r>
      <w:r w:rsidR="00D20476" w:rsidRPr="00F113DA">
        <w:t>ýznamn</w:t>
      </w:r>
      <w:r w:rsidRPr="00F113DA">
        <w:t>ou</w:t>
      </w:r>
      <w:r w:rsidR="00D20476" w:rsidRPr="00F113DA">
        <w:t xml:space="preserve"> </w:t>
      </w:r>
      <w:r w:rsidRPr="00F113DA">
        <w:t xml:space="preserve">hodnotou na čerpaní týchto transferov sa podieľala </w:t>
      </w:r>
      <w:r w:rsidR="00D20476" w:rsidRPr="00F113DA">
        <w:t>kapitola Ministerstva kultúry SR (89 719 tis. eur), ktorá použila prostriedky najmä na činnosť 24 príspevkových organizácií vo svojej zriaďovateľskej pôsobnosti. Podstatn</w:t>
      </w:r>
      <w:r w:rsidR="00AF065B" w:rsidRPr="00F113DA">
        <w:t>á</w:t>
      </w:r>
      <w:r w:rsidR="00D20476" w:rsidRPr="00F113DA">
        <w:t xml:space="preserve"> časť prostriedkov </w:t>
      </w:r>
      <w:r w:rsidRPr="00F113DA">
        <w:t>(</w:t>
      </w:r>
      <w:r w:rsidR="00D20476" w:rsidRPr="00F113DA">
        <w:t>77 744 tis. eur</w:t>
      </w:r>
      <w:r w:rsidRPr="00F113DA">
        <w:t>)</w:t>
      </w:r>
      <w:r w:rsidR="00D20476" w:rsidRPr="00F113DA">
        <w:t xml:space="preserve"> bol</w:t>
      </w:r>
      <w:r w:rsidR="00AF065B" w:rsidRPr="00F113DA">
        <w:t>a</w:t>
      </w:r>
      <w:r w:rsidR="00D20476" w:rsidRPr="00F113DA">
        <w:t xml:space="preserve"> použit</w:t>
      </w:r>
      <w:r w:rsidR="00AF065B" w:rsidRPr="00F113DA">
        <w:t>á</w:t>
      </w:r>
      <w:r w:rsidR="00D20476" w:rsidRPr="00F113DA">
        <w:t xml:space="preserve"> na tvorbu, šírenie, ochranu a</w:t>
      </w:r>
      <w:r w:rsidR="00184143">
        <w:t> prezentáciu kultúrnych hodnôt.</w:t>
      </w:r>
    </w:p>
    <w:p w14:paraId="75B6580C" w14:textId="1A0E32B7" w:rsidR="00D20476" w:rsidRPr="00F113DA" w:rsidRDefault="001F4330" w:rsidP="001F4330">
      <w:pPr>
        <w:rPr>
          <w:sz w:val="24"/>
          <w:szCs w:val="24"/>
        </w:rPr>
      </w:pPr>
      <w:r w:rsidRPr="00F113DA">
        <w:t>K</w:t>
      </w:r>
      <w:r w:rsidR="00D20476" w:rsidRPr="00F113DA">
        <w:t xml:space="preserve">apitola Ministerstva životného prostredia SR </w:t>
      </w:r>
      <w:r w:rsidRPr="00F113DA">
        <w:t xml:space="preserve">použila </w:t>
      </w:r>
      <w:r w:rsidR="00D20476" w:rsidRPr="00F113DA">
        <w:t>67 533 tis. eur, a to na činnosť ôsmych príspevkových organizácií v jej pôsobnosti</w:t>
      </w:r>
      <w:r w:rsidRPr="00F113DA">
        <w:t>,</w:t>
      </w:r>
      <w:r w:rsidR="00D20476" w:rsidRPr="00F113DA">
        <w:t xml:space="preserve"> predovšetkým na udržateľnosť projektov</w:t>
      </w:r>
      <w:r w:rsidR="00D20476" w:rsidRPr="00792CCF">
        <w:t xml:space="preserve"> financov</w:t>
      </w:r>
      <w:r w:rsidR="00D20476">
        <w:t xml:space="preserve">aných </w:t>
      </w:r>
      <w:r w:rsidR="00D20476" w:rsidRPr="00792CCF">
        <w:t>z európskych štrukturálnych a investičných fondov, na osobné výdavky v súvislosti s úpravou stupníc platových taríf zamestnancov pri výkone práce vo verejnom záujme, na spracovanie plánov prác na</w:t>
      </w:r>
      <w:r w:rsidR="00066627">
        <w:t> </w:t>
      </w:r>
      <w:r w:rsidR="00D20476" w:rsidRPr="00792CCF">
        <w:t>odstraňovanie environmentálnych záťaží</w:t>
      </w:r>
      <w:r>
        <w:t>,</w:t>
      </w:r>
      <w:r w:rsidR="00D20476" w:rsidRPr="00792CCF">
        <w:t xml:space="preserve"> ako aj na zabezpečenia EIA procesov</w:t>
      </w:r>
      <w:r w:rsidR="00BF5D19">
        <w:t xml:space="preserve"> </w:t>
      </w:r>
      <w:r w:rsidR="00D20476" w:rsidRPr="00DE70EB">
        <w:t xml:space="preserve">(proces posudzovania vplyvov na životné prostredie – </w:t>
      </w:r>
      <w:proofErr w:type="spellStart"/>
      <w:r w:rsidR="00D20476" w:rsidRPr="00DE70EB">
        <w:t>Environmental</w:t>
      </w:r>
      <w:proofErr w:type="spellEnd"/>
      <w:r w:rsidR="00D20476" w:rsidRPr="00DE70EB">
        <w:t xml:space="preserve"> </w:t>
      </w:r>
      <w:proofErr w:type="spellStart"/>
      <w:r w:rsidR="00D20476" w:rsidRPr="00DE70EB">
        <w:t>Impact</w:t>
      </w:r>
      <w:proofErr w:type="spellEnd"/>
      <w:r w:rsidR="00D20476" w:rsidRPr="00DE70EB">
        <w:t xml:space="preserve"> </w:t>
      </w:r>
      <w:proofErr w:type="spellStart"/>
      <w:r w:rsidR="00D20476" w:rsidRPr="00DE70EB">
        <w:t>Assessment</w:t>
      </w:r>
      <w:proofErr w:type="spellEnd"/>
      <w:r w:rsidR="00D20476" w:rsidRPr="00DE70EB">
        <w:t>)</w:t>
      </w:r>
      <w:r w:rsidR="00CA3ABE">
        <w:t xml:space="preserve"> a ďalšej agendy v rezorte životného prostredia.</w:t>
      </w:r>
      <w:r w:rsidR="00D20476" w:rsidRPr="00792CCF">
        <w:t xml:space="preserve"> </w:t>
      </w:r>
    </w:p>
    <w:p w14:paraId="6F5CC4EF" w14:textId="2BC99F7E" w:rsidR="00D20476" w:rsidRPr="00B42472" w:rsidRDefault="00D20476" w:rsidP="00D20476">
      <w:pPr>
        <w:spacing w:before="120"/>
      </w:pPr>
      <w:r w:rsidRPr="00946B17">
        <w:t>Ministerstvo zdravotníctva SR</w:t>
      </w:r>
      <w:r w:rsidRPr="001A1C6E">
        <w:rPr>
          <w:b/>
        </w:rPr>
        <w:t xml:space="preserve"> </w:t>
      </w:r>
      <w:r>
        <w:t>poukázalo príspevkovým organizáciám sumu 46 429 tis. eur</w:t>
      </w:r>
      <w:r w:rsidR="00A22355">
        <w:t>, napríklad</w:t>
      </w:r>
      <w:r>
        <w:t xml:space="preserve"> pre Národné centrum zdravotníckych informácií, Operačné stredisko záchrannej zdravotnej služby SR, Národnú transplantačnú organizáciu, Slovenskú zdravotnícku univerzitu a Centrum pre liečbu drogových závislostí v</w:t>
      </w:r>
      <w:r w:rsidR="00A22355">
        <w:t> </w:t>
      </w:r>
      <w:r>
        <w:t>Bratislave</w:t>
      </w:r>
      <w:r w:rsidR="00A22355">
        <w:t>. Išlo o</w:t>
      </w:r>
      <w:r>
        <w:t xml:space="preserve"> činnosť výučbovej základne,</w:t>
      </w:r>
      <w:r w:rsidRPr="00B42472">
        <w:t xml:space="preserve"> činnosť Národných referenčných centier a</w:t>
      </w:r>
      <w:r>
        <w:t xml:space="preserve"> </w:t>
      </w:r>
      <w:r w:rsidRPr="00B42472">
        <w:t>Slovenského ústredia radiačnej a</w:t>
      </w:r>
      <w:r>
        <w:t xml:space="preserve"> </w:t>
      </w:r>
      <w:r w:rsidRPr="00B42472">
        <w:t>monitorovacej siete</w:t>
      </w:r>
      <w:r w:rsidR="00A22355">
        <w:t>. Taktiež bola</w:t>
      </w:r>
      <w:r>
        <w:t xml:space="preserve"> </w:t>
      </w:r>
      <w:r w:rsidR="00A22355">
        <w:t>financovaná</w:t>
      </w:r>
      <w:r w:rsidRPr="00B42472">
        <w:t xml:space="preserve"> informatizáci</w:t>
      </w:r>
      <w:r w:rsidR="00A22355">
        <w:t>a</w:t>
      </w:r>
      <w:r w:rsidRPr="00B42472">
        <w:t xml:space="preserve"> zdravotníctva, správ</w:t>
      </w:r>
      <w:r w:rsidR="00A22355">
        <w:t>a</w:t>
      </w:r>
      <w:r w:rsidRPr="00B42472">
        <w:t xml:space="preserve"> národného zdravotníckeho informačného systému, štandardizáci</w:t>
      </w:r>
      <w:r w:rsidR="00A22355">
        <w:t>a</w:t>
      </w:r>
      <w:r w:rsidRPr="00B42472">
        <w:t xml:space="preserve"> zdravotníckej informatiky</w:t>
      </w:r>
      <w:r w:rsidR="00A22355">
        <w:t xml:space="preserve"> a</w:t>
      </w:r>
      <w:r w:rsidRPr="00B42472">
        <w:t xml:space="preserve"> zdravotníckej štatistiky</w:t>
      </w:r>
      <w:r w:rsidR="00A22355">
        <w:t>,</w:t>
      </w:r>
      <w:r w:rsidRPr="00B42472">
        <w:t xml:space="preserve"> poskytovanie knižnično-informačných služieb z oblasti lekárskych vied a zdravotníctva.</w:t>
      </w:r>
    </w:p>
    <w:p w14:paraId="4EBF2B05" w14:textId="16C853F1" w:rsidR="00872F0C" w:rsidRPr="00A265D6" w:rsidRDefault="00D20476" w:rsidP="00004436">
      <w:r w:rsidRPr="00946B17">
        <w:t>Ministerstv</w:t>
      </w:r>
      <w:r w:rsidR="00153857">
        <w:t>o</w:t>
      </w:r>
      <w:r w:rsidRPr="00946B17">
        <w:t xml:space="preserve"> školstva, vedy, výskumu a športu SR </w:t>
      </w:r>
      <w:r w:rsidR="00153857">
        <w:t xml:space="preserve">financovalo </w:t>
      </w:r>
      <w:r w:rsidR="00153857" w:rsidRPr="00946B17">
        <w:t>v objeme 45 103 tis. eur</w:t>
      </w:r>
      <w:r w:rsidR="00153857">
        <w:t xml:space="preserve"> činnosť siedmych </w:t>
      </w:r>
      <w:r w:rsidR="00153857" w:rsidRPr="00A265D6">
        <w:t>priamo riadených príspevkových organizácií</w:t>
      </w:r>
      <w:r w:rsidR="00184143" w:rsidRPr="00A265D6">
        <w:t>. Zároveň podporilo riešenie projektov, na ktorých sa podieľali</w:t>
      </w:r>
      <w:r w:rsidR="00153857" w:rsidRPr="00A265D6">
        <w:t xml:space="preserve"> </w:t>
      </w:r>
      <w:proofErr w:type="spellStart"/>
      <w:r w:rsidRPr="00A265D6">
        <w:t>Neuroimunologick</w:t>
      </w:r>
      <w:r w:rsidR="009E1846" w:rsidRPr="00A265D6">
        <w:t>ý</w:t>
      </w:r>
      <w:proofErr w:type="spellEnd"/>
      <w:r w:rsidRPr="00A265D6">
        <w:t xml:space="preserve"> ústav SAV, Ústav experimentálnej fyziky SAV a Fyzikáln</w:t>
      </w:r>
      <w:r w:rsidR="009E1846" w:rsidRPr="00A265D6">
        <w:t>y</w:t>
      </w:r>
      <w:r w:rsidRPr="00A265D6">
        <w:t xml:space="preserve"> ústav SAV. Ďalšie finančné prostriedky boli poukázané prostredníctvom Agentúry na podporu výskumu a vývoja najmä príspevkovým organizáciám Slovenskej akadémie vied.</w:t>
      </w:r>
    </w:p>
    <w:p w14:paraId="6774FF66" w14:textId="60635454" w:rsidR="00373A75" w:rsidRPr="00A265D6" w:rsidRDefault="00373A75" w:rsidP="00373A75">
      <w:r w:rsidRPr="00A265D6">
        <w:t xml:space="preserve">Kapitola Ministerstva dopravy a výstavby SR poskytla transfery </w:t>
      </w:r>
      <w:r w:rsidRPr="00A265D6">
        <w:rPr>
          <w:i/>
        </w:rPr>
        <w:t>Železniciam SR</w:t>
      </w:r>
      <w:r w:rsidRPr="00A265D6">
        <w:rPr>
          <w:b/>
        </w:rPr>
        <w:t xml:space="preserve"> </w:t>
      </w:r>
      <w:r w:rsidRPr="00A265D6">
        <w:t>v sume 296 686 tis. eur, na zabezpečenie zmluvy o prevádzkovaní železničnej infraštruktúry na roky 2017-2021 (270 000 tis. eur), na zabezpečenie kompenzácie finančných dopadov súvisiacich so</w:t>
      </w:r>
      <w:r w:rsidR="00066627" w:rsidRPr="00A265D6">
        <w:t> </w:t>
      </w:r>
      <w:r w:rsidRPr="00A265D6">
        <w:t>znížením úhrad za prístup k železničnej infraštruktúre pre železničných nákladných dopravcov (26 479 tis. eur), na výdavky spojené s údržbou železničnej infraštruktúry a údržbou vozňového parku v rámci programu Dopravná a telekomunikačná podpora (178 tis. eur) a na úhradu výdavkov vynaložených na vykonávanie povodňových záchranných prác (28 tis. eur).</w:t>
      </w:r>
    </w:p>
    <w:p w14:paraId="0A93E997" w14:textId="2319F6D5" w:rsidR="00373A75" w:rsidRPr="00A265D6" w:rsidRDefault="00373A75" w:rsidP="00373A75">
      <w:r w:rsidRPr="00A265D6">
        <w:t xml:space="preserve">Ďalej boli poskytnuté bežné transfery </w:t>
      </w:r>
      <w:r w:rsidRPr="00A265D6">
        <w:rPr>
          <w:i/>
        </w:rPr>
        <w:t>Železničnej spoločnosti Slovensko, a. s.,</w:t>
      </w:r>
      <w:r w:rsidRPr="00A265D6">
        <w:t xml:space="preserve"> v sume 258 949 tis. eur, čo je o 49 390 tis. eur v</w:t>
      </w:r>
      <w:r w:rsidR="00F01693" w:rsidRPr="00A265D6">
        <w:t>iac oproti schválenému rozpočtu.</w:t>
      </w:r>
      <w:r w:rsidRPr="00A265D6">
        <w:t xml:space="preserve"> </w:t>
      </w:r>
      <w:r w:rsidR="00F01693" w:rsidRPr="00A265D6">
        <w:t xml:space="preserve">Navýšenie finančných prostriedkov sa realizovalo rozpočtovým opatrením Ministerstva financií SR, ako aj vnútorným presunom výdavkov v rámci kapitoly Ministerstva dopravy a výstavby SR. </w:t>
      </w:r>
      <w:r w:rsidRPr="00A265D6">
        <w:t>Tieto finančné prostriedky boli použité na úhradu ekonomicky oprávnených nákladov za poskytovanie dopravných služieb vo verejnom záujme (224 559 tis. eur) a na vysporiadanie záväzkov v súvislosti s plnením Zmluvy o dopravných službách vo verejnom záujme (34 390 tis. eur).</w:t>
      </w:r>
    </w:p>
    <w:p w14:paraId="45AC265E" w14:textId="34C8FA11" w:rsidR="00D003A5" w:rsidRPr="00D003A5" w:rsidRDefault="00D20476" w:rsidP="00D003A5">
      <w:r w:rsidRPr="00A265D6">
        <w:t xml:space="preserve">Na transfery </w:t>
      </w:r>
      <w:r w:rsidRPr="00A265D6">
        <w:rPr>
          <w:i/>
        </w:rPr>
        <w:t>štátnym účelovým fondom</w:t>
      </w:r>
      <w:r w:rsidRPr="00A265D6">
        <w:t xml:space="preserve"> sa vyčerpalo 152 081 ti</w:t>
      </w:r>
      <w:r w:rsidR="00C56741" w:rsidRPr="00A265D6">
        <w:t xml:space="preserve">s. eur (2017: 120 478 tis. eur), z toho </w:t>
      </w:r>
      <w:r w:rsidRPr="00A265D6">
        <w:rPr>
          <w:color w:val="000000" w:themeColor="text1"/>
        </w:rPr>
        <w:t>Ministerstvo pôdohospodárstva a rozvoja vidieka SR</w:t>
      </w:r>
      <w:r w:rsidRPr="00A265D6">
        <w:rPr>
          <w:color w:val="FF0000"/>
        </w:rPr>
        <w:t xml:space="preserve"> </w:t>
      </w:r>
      <w:r w:rsidRPr="00A265D6">
        <w:rPr>
          <w:color w:val="000000" w:themeColor="text1"/>
        </w:rPr>
        <w:t xml:space="preserve">poukázalo </w:t>
      </w:r>
      <w:r w:rsidR="0070481D" w:rsidRPr="00A265D6">
        <w:rPr>
          <w:color w:val="000000" w:themeColor="text1"/>
        </w:rPr>
        <w:t xml:space="preserve">v rámci Integrovaného regionálneho OP sumu </w:t>
      </w:r>
      <w:r w:rsidRPr="00A265D6">
        <w:rPr>
          <w:color w:val="000000" w:themeColor="text1"/>
        </w:rPr>
        <w:t>69 562 tis. eur</w:t>
      </w:r>
      <w:r w:rsidR="0070481D" w:rsidRPr="00A265D6">
        <w:rPr>
          <w:color w:val="000000" w:themeColor="text1"/>
        </w:rPr>
        <w:t xml:space="preserve"> (2017: 34 812 tis. eur)</w:t>
      </w:r>
      <w:r w:rsidRPr="00A265D6">
        <w:rPr>
          <w:color w:val="000000" w:themeColor="text1"/>
        </w:rPr>
        <w:t xml:space="preserve"> pre Štátny fond rozvoja bývania na zlepšenie kvality života v regiónoch s dôrazom na životné prostredie</w:t>
      </w:r>
      <w:r w:rsidRPr="00D43C90">
        <w:rPr>
          <w:color w:val="000000" w:themeColor="text1"/>
        </w:rPr>
        <w:t>, s cieľom zvýšenia energetic</w:t>
      </w:r>
      <w:r w:rsidR="00C56741">
        <w:rPr>
          <w:color w:val="000000" w:themeColor="text1"/>
        </w:rPr>
        <w:t xml:space="preserve">kej efektívnosti bytových domov, </w:t>
      </w:r>
      <w:r w:rsidRPr="0007170C">
        <w:t xml:space="preserve">Ministerstvo hospodárstva </w:t>
      </w:r>
      <w:r w:rsidRPr="000156A6">
        <w:t xml:space="preserve">SR poukázalo </w:t>
      </w:r>
      <w:r w:rsidRPr="0007170C">
        <w:rPr>
          <w:color w:val="000000" w:themeColor="text1"/>
        </w:rPr>
        <w:t>Národnému jadrovému fondu sumu 57 155 tis.</w:t>
      </w:r>
      <w:r>
        <w:rPr>
          <w:color w:val="000000" w:themeColor="text1"/>
        </w:rPr>
        <w:t> </w:t>
      </w:r>
      <w:r w:rsidRPr="0007170C">
        <w:rPr>
          <w:color w:val="000000" w:themeColor="text1"/>
        </w:rPr>
        <w:t>eur</w:t>
      </w:r>
      <w:r>
        <w:rPr>
          <w:color w:val="000000" w:themeColor="text1"/>
        </w:rPr>
        <w:t xml:space="preserve"> z odvodov od prevádzkovateľov prenosových a distribučných sústav</w:t>
      </w:r>
      <w:r w:rsidR="00C56741">
        <w:rPr>
          <w:color w:val="000000" w:themeColor="text1"/>
        </w:rPr>
        <w:t xml:space="preserve"> a </w:t>
      </w:r>
      <w:r w:rsidRPr="00FF155B">
        <w:rPr>
          <w:color w:val="000000" w:themeColor="text1"/>
        </w:rPr>
        <w:t xml:space="preserve">Ministerstva dopravy a výstavby SR </w:t>
      </w:r>
      <w:r w:rsidR="00C56741">
        <w:rPr>
          <w:color w:val="000000" w:themeColor="text1"/>
        </w:rPr>
        <w:t xml:space="preserve">poskytlo </w:t>
      </w:r>
      <w:r w:rsidRPr="00FF155B">
        <w:rPr>
          <w:color w:val="000000" w:themeColor="text1"/>
        </w:rPr>
        <w:t xml:space="preserve">Štátnemu fondu rozvoja bývania </w:t>
      </w:r>
      <w:r w:rsidR="00C56741">
        <w:rPr>
          <w:color w:val="000000" w:themeColor="text1"/>
        </w:rPr>
        <w:t>25 000 tis. eur</w:t>
      </w:r>
      <w:r w:rsidR="00FD1EBD">
        <w:rPr>
          <w:color w:val="000000" w:themeColor="text1"/>
        </w:rPr>
        <w:t>, ktorý tieto finančné prostriedky použil</w:t>
      </w:r>
      <w:r w:rsidR="00C56741">
        <w:rPr>
          <w:color w:val="000000" w:themeColor="text1"/>
        </w:rPr>
        <w:t xml:space="preserve"> </w:t>
      </w:r>
      <w:r w:rsidRPr="00FD1EBD">
        <w:rPr>
          <w:color w:val="000000" w:themeColor="text1"/>
        </w:rPr>
        <w:t>na základe zákona č. 150/2013 Z. z. o Štátnom fonde rozvoje bývania a §5 zákona o rozpočtových pravidlách a</w:t>
      </w:r>
      <w:r w:rsidR="00066627">
        <w:rPr>
          <w:color w:val="000000" w:themeColor="text1"/>
        </w:rPr>
        <w:t> </w:t>
      </w:r>
      <w:r w:rsidRPr="00FD1EBD">
        <w:rPr>
          <w:color w:val="000000" w:themeColor="text1"/>
        </w:rPr>
        <w:t>v</w:t>
      </w:r>
      <w:r w:rsidR="00066627">
        <w:rPr>
          <w:color w:val="000000" w:themeColor="text1"/>
        </w:rPr>
        <w:t> </w:t>
      </w:r>
      <w:r w:rsidRPr="00FD1EBD">
        <w:rPr>
          <w:color w:val="000000" w:themeColor="text1"/>
        </w:rPr>
        <w:t>súlade so zákonom o štátnom rozpočte na rok 2018</w:t>
      </w:r>
      <w:r w:rsidR="00B44585" w:rsidRPr="00D003A5">
        <w:t>,</w:t>
      </w:r>
      <w:r w:rsidR="00FD1EBD" w:rsidRPr="00D003A5">
        <w:t xml:space="preserve"> </w:t>
      </w:r>
      <w:r w:rsidR="00D003A5" w:rsidRPr="00D003A5">
        <w:t xml:space="preserve">najmä </w:t>
      </w:r>
      <w:r w:rsidR="00FD1EBD" w:rsidRPr="00D003A5">
        <w:t xml:space="preserve">na financovanie </w:t>
      </w:r>
      <w:r w:rsidR="00D003A5" w:rsidRPr="00D003A5">
        <w:t>zvýšenia energetickej efektívnosti bytových domov a zlepšenie kvality života v regiónoch, s dôrazom na</w:t>
      </w:r>
      <w:r w:rsidR="00066627">
        <w:t> </w:t>
      </w:r>
      <w:r w:rsidR="00D003A5" w:rsidRPr="00D003A5">
        <w:t>životné prostredie. </w:t>
      </w:r>
      <w:r w:rsidR="00091942" w:rsidRPr="00D003A5">
        <w:t xml:space="preserve">Nárast oproti rozpočtu v sume </w:t>
      </w:r>
      <w:r w:rsidR="003559E4" w:rsidRPr="00D003A5">
        <w:t xml:space="preserve">68 401 tis. eur </w:t>
      </w:r>
      <w:r w:rsidR="00091942" w:rsidRPr="00D003A5">
        <w:t>bol ovplyvnený tým, že finančné prostriedky Ministerstva pôdohospodárstva a rozvoja vidieka SR neboli rozpočtované v</w:t>
      </w:r>
      <w:r w:rsidR="003559E4" w:rsidRPr="00D003A5">
        <w:t> </w:t>
      </w:r>
      <w:r w:rsidR="00091942" w:rsidRPr="00D003A5">
        <w:t>schválenom ro</w:t>
      </w:r>
      <w:r w:rsidR="00D003A5" w:rsidRPr="00D003A5">
        <w:t>zpočte, nakoľko žiadosti o platbu (finančné nástroje) boli uhradené po</w:t>
      </w:r>
      <w:r w:rsidR="00F113DA">
        <w:t> </w:t>
      </w:r>
      <w:r w:rsidR="00D003A5" w:rsidRPr="00D003A5">
        <w:t xml:space="preserve">zúčtovaní 1. tranže </w:t>
      </w:r>
      <w:r w:rsidR="00E3655B">
        <w:t xml:space="preserve">v mesiaci december </w:t>
      </w:r>
      <w:r w:rsidR="00D003A5" w:rsidRPr="00D003A5">
        <w:t>2018.</w:t>
      </w:r>
    </w:p>
    <w:p w14:paraId="723D8BD0" w14:textId="029F77AE" w:rsidR="0040343C" w:rsidRDefault="00872F0C" w:rsidP="0040343C">
      <w:pPr>
        <w:rPr>
          <w:color w:val="1F497D"/>
        </w:rPr>
      </w:pPr>
      <w:r w:rsidRPr="00E807EC">
        <w:rPr>
          <w:i/>
        </w:rPr>
        <w:t xml:space="preserve">Sociálnej poisťovni a zdravotným poisťovniam </w:t>
      </w:r>
      <w:r w:rsidRPr="00E807EC">
        <w:t>bola poskytnutá</w:t>
      </w:r>
      <w:r>
        <w:rPr>
          <w:b/>
        </w:rPr>
        <w:t xml:space="preserve"> </w:t>
      </w:r>
      <w:r w:rsidRPr="004E5E1C">
        <w:t>sum</w:t>
      </w:r>
      <w:r>
        <w:t>a</w:t>
      </w:r>
      <w:r w:rsidRPr="004E5E1C">
        <w:t xml:space="preserve"> 106 452 tis. eur (2017: 415 342 tis. eur)</w:t>
      </w:r>
      <w:r w:rsidR="003B4DC9">
        <w:t xml:space="preserve">, </w:t>
      </w:r>
      <w:r w:rsidRPr="00EA0AE5">
        <w:t>a</w:t>
      </w:r>
      <w:r w:rsidR="00004436">
        <w:t xml:space="preserve"> </w:t>
      </w:r>
      <w:r w:rsidRPr="00EA0AE5">
        <w:t>to najmä na zabezpečenie platobnej schopnosti Sociálnej poisťovne,</w:t>
      </w:r>
      <w:r w:rsidR="003B4DC9">
        <w:t xml:space="preserve"> </w:t>
      </w:r>
      <w:r w:rsidRPr="00EA0AE5">
        <w:t>a.</w:t>
      </w:r>
      <w:r w:rsidR="00981019">
        <w:t> </w:t>
      </w:r>
      <w:r w:rsidRPr="00EA0AE5">
        <w:t xml:space="preserve">s. </w:t>
      </w:r>
      <w:r w:rsidR="00313879">
        <w:t>vo výške 106</w:t>
      </w:r>
      <w:r w:rsidR="0040343C">
        <w:t> </w:t>
      </w:r>
      <w:r w:rsidR="00313879">
        <w:t>413</w:t>
      </w:r>
      <w:r w:rsidR="0040343C">
        <w:t xml:space="preserve"> tis. eur </w:t>
      </w:r>
      <w:r w:rsidR="00313879">
        <w:t>z rozpočtu kapitoly Všeobecnej pokladničnej správy. Medziročný pokles skutočne použitých prostriedkov</w:t>
      </w:r>
      <w:r w:rsidR="0040343C">
        <w:t xml:space="preserve"> </w:t>
      </w:r>
      <w:r w:rsidR="00066627">
        <w:t>o</w:t>
      </w:r>
      <w:r w:rsidR="0040343C">
        <w:t xml:space="preserve"> 308 929 tis. eur</w:t>
      </w:r>
      <w:r w:rsidR="00313879">
        <w:t xml:space="preserve"> bol </w:t>
      </w:r>
      <w:r w:rsidR="00313879" w:rsidRPr="0040343C">
        <w:t>z</w:t>
      </w:r>
      <w:r w:rsidR="0040343C" w:rsidRPr="0040343C">
        <w:t> </w:t>
      </w:r>
      <w:r w:rsidR="00313879" w:rsidRPr="0040343C">
        <w:t>dôvodu</w:t>
      </w:r>
      <w:r w:rsidR="0040343C" w:rsidRPr="0040343C">
        <w:rPr>
          <w:color w:val="1F497D"/>
        </w:rPr>
        <w:t>,</w:t>
      </w:r>
      <w:r w:rsidR="0040343C">
        <w:rPr>
          <w:color w:val="1F497D"/>
        </w:rPr>
        <w:t xml:space="preserve"> </w:t>
      </w:r>
      <w:r w:rsidR="0040343C" w:rsidRPr="0040343C">
        <w:t>že Ministerstvo zdravotníctva SR realizovalo Koncepciu oddlženia vo vzťahu k Sociá</w:t>
      </w:r>
      <w:r w:rsidR="0040343C">
        <w:t>lnej poisťovni. Na základe toho</w:t>
      </w:r>
      <w:r w:rsidR="0040343C" w:rsidRPr="0040343C">
        <w:t xml:space="preserve"> nebolo potrebné realizovať platobný poukaz </w:t>
      </w:r>
      <w:r w:rsidR="00554654">
        <w:t xml:space="preserve">zo štátneho rozpočtu </w:t>
      </w:r>
      <w:r w:rsidR="0040343C" w:rsidRPr="0040343C">
        <w:t>voči Sociálnej poisťovni</w:t>
      </w:r>
      <w:r w:rsidR="0040343C">
        <w:t xml:space="preserve"> </w:t>
      </w:r>
      <w:r w:rsidR="00CE5F98">
        <w:t>v obdobnej výške ako v roku 2017</w:t>
      </w:r>
      <w:r w:rsidR="0040343C" w:rsidRPr="0040343C">
        <w:t>.</w:t>
      </w:r>
      <w:r w:rsidR="0040343C">
        <w:rPr>
          <w:color w:val="1F497D"/>
        </w:rPr>
        <w:t xml:space="preserve"> </w:t>
      </w:r>
    </w:p>
    <w:p w14:paraId="764BB151" w14:textId="3E298C6B" w:rsidR="00872F0C" w:rsidRPr="0040343C" w:rsidRDefault="00872F0C" w:rsidP="0040343C">
      <w:pPr>
        <w:rPr>
          <w:color w:val="1F497D"/>
        </w:rPr>
      </w:pPr>
      <w:r w:rsidRPr="00BF6153">
        <w:t>Pre položku</w:t>
      </w:r>
      <w:r w:rsidRPr="00BF6153">
        <w:rPr>
          <w:b/>
          <w:i/>
        </w:rPr>
        <w:t xml:space="preserve"> </w:t>
      </w:r>
      <w:r w:rsidRPr="003E1502">
        <w:rPr>
          <w:b/>
        </w:rPr>
        <w:t>transfery jednotlivcom a</w:t>
      </w:r>
      <w:r w:rsidR="00D351AB" w:rsidRPr="003E1502">
        <w:rPr>
          <w:b/>
        </w:rPr>
        <w:t xml:space="preserve"> </w:t>
      </w:r>
      <w:r w:rsidRPr="003E1502">
        <w:rPr>
          <w:b/>
        </w:rPr>
        <w:t>neziskovým právnickým osobám</w:t>
      </w:r>
      <w:r w:rsidRPr="00BF6153">
        <w:rPr>
          <w:b/>
        </w:rPr>
        <w:t xml:space="preserve"> </w:t>
      </w:r>
      <w:r w:rsidRPr="00E128C4">
        <w:t>bolo rozpočtovaných 3 836 459 tis. eur a</w:t>
      </w:r>
      <w:r>
        <w:t xml:space="preserve"> i</w:t>
      </w:r>
      <w:r w:rsidRPr="00E128C4">
        <w:t>ch skutočné čerpanie predstavovalo 3 757 414 tis. eur</w:t>
      </w:r>
      <w:r>
        <w:t>, a</w:t>
      </w:r>
      <w:r w:rsidR="00A8128C">
        <w:t xml:space="preserve"> </w:t>
      </w:r>
      <w:r>
        <w:t xml:space="preserve">to najmä </w:t>
      </w:r>
      <w:r w:rsidRPr="00E128C4">
        <w:t>na platby vo forme príspevkov, dávok, dô</w:t>
      </w:r>
      <w:r w:rsidR="002E591A">
        <w:t xml:space="preserve">chodkov, odstupného, členského a </w:t>
      </w:r>
      <w:r w:rsidRPr="00E128C4">
        <w:t>štipendií.</w:t>
      </w:r>
      <w:r w:rsidRPr="00D3669F">
        <w:t xml:space="preserve"> </w:t>
      </w:r>
    </w:p>
    <w:tbl>
      <w:tblPr>
        <w:tblW w:w="8789" w:type="dxa"/>
        <w:tblLayout w:type="fixed"/>
        <w:tblCellMar>
          <w:left w:w="70" w:type="dxa"/>
          <w:right w:w="70" w:type="dxa"/>
        </w:tblCellMar>
        <w:tblLook w:val="04A0" w:firstRow="1" w:lastRow="0" w:firstColumn="1" w:lastColumn="0" w:noHBand="0" w:noVBand="1"/>
      </w:tblPr>
      <w:tblGrid>
        <w:gridCol w:w="3544"/>
        <w:gridCol w:w="992"/>
        <w:gridCol w:w="993"/>
        <w:gridCol w:w="959"/>
        <w:gridCol w:w="1025"/>
        <w:gridCol w:w="709"/>
        <w:gridCol w:w="567"/>
      </w:tblGrid>
      <w:tr w:rsidR="00C37509" w:rsidRPr="00C37509" w14:paraId="56C7A6D6" w14:textId="77777777" w:rsidTr="00640A02">
        <w:trPr>
          <w:trHeight w:val="363"/>
        </w:trPr>
        <w:tc>
          <w:tcPr>
            <w:tcW w:w="8789" w:type="dxa"/>
            <w:gridSpan w:val="7"/>
            <w:tcBorders>
              <w:top w:val="nil"/>
              <w:left w:val="nil"/>
              <w:bottom w:val="nil"/>
              <w:right w:val="nil"/>
            </w:tcBorders>
            <w:shd w:val="clear" w:color="000000" w:fill="000000"/>
            <w:vAlign w:val="center"/>
            <w:hideMark/>
          </w:tcPr>
          <w:p w14:paraId="187B8C72" w14:textId="69A6C9C2" w:rsidR="00C37509" w:rsidRPr="00C37509" w:rsidRDefault="00C37509" w:rsidP="00640A02">
            <w:pPr>
              <w:spacing w:after="0" w:line="240" w:lineRule="auto"/>
              <w:jc w:val="left"/>
              <w:rPr>
                <w:rFonts w:eastAsia="Times New Roman" w:cs="Times New Roman"/>
                <w:b/>
                <w:bCs/>
                <w:color w:val="FFFFFF"/>
                <w:sz w:val="18"/>
                <w:szCs w:val="18"/>
                <w:lang w:eastAsia="sk-SK"/>
              </w:rPr>
            </w:pPr>
            <w:r w:rsidRPr="00C37509">
              <w:rPr>
                <w:rFonts w:eastAsia="Times New Roman" w:cs="Times New Roman"/>
                <w:b/>
                <w:bCs/>
                <w:color w:val="FFFFFF"/>
                <w:sz w:val="18"/>
                <w:szCs w:val="18"/>
                <w:lang w:eastAsia="sk-SK"/>
              </w:rPr>
              <w:t xml:space="preserve">Transfery jednotlivcom a neziskovým právnickým osobám                                                                            v tis. eur </w:t>
            </w:r>
          </w:p>
        </w:tc>
      </w:tr>
      <w:tr w:rsidR="00C37509" w:rsidRPr="00C37509" w14:paraId="35DDC666" w14:textId="77777777" w:rsidTr="00335449">
        <w:trPr>
          <w:trHeight w:val="330"/>
        </w:trPr>
        <w:tc>
          <w:tcPr>
            <w:tcW w:w="3544" w:type="dxa"/>
            <w:vMerge w:val="restart"/>
            <w:tcBorders>
              <w:top w:val="nil"/>
              <w:left w:val="nil"/>
              <w:bottom w:val="nil"/>
            </w:tcBorders>
            <w:shd w:val="clear" w:color="auto" w:fill="BFBFBF" w:themeFill="background1" w:themeFillShade="BF"/>
            <w:vAlign w:val="center"/>
            <w:hideMark/>
          </w:tcPr>
          <w:p w14:paraId="44584D23" w14:textId="77777777" w:rsidR="00C37509" w:rsidRPr="00DC3EBD" w:rsidRDefault="00C37509" w:rsidP="00C37509">
            <w:pPr>
              <w:spacing w:after="0" w:line="240" w:lineRule="auto"/>
              <w:jc w:val="center"/>
              <w:rPr>
                <w:rFonts w:eastAsia="Times New Roman" w:cs="Times New Roman"/>
                <w:b/>
                <w:bCs/>
                <w:color w:val="000000"/>
                <w:sz w:val="18"/>
                <w:szCs w:val="18"/>
                <w:highlight w:val="lightGray"/>
                <w:lang w:eastAsia="sk-SK"/>
              </w:rPr>
            </w:pPr>
            <w:r w:rsidRPr="00DC3EBD">
              <w:rPr>
                <w:rFonts w:eastAsia="Times New Roman" w:cs="Times New Roman"/>
                <w:b/>
                <w:bCs/>
                <w:color w:val="000000"/>
                <w:sz w:val="18"/>
                <w:szCs w:val="18"/>
                <w:highlight w:val="lightGray"/>
                <w:lang w:eastAsia="sk-SK"/>
              </w:rPr>
              <w:t xml:space="preserve"> </w:t>
            </w:r>
          </w:p>
        </w:tc>
        <w:tc>
          <w:tcPr>
            <w:tcW w:w="1985" w:type="dxa"/>
            <w:gridSpan w:val="2"/>
            <w:tcBorders>
              <w:top w:val="nil"/>
              <w:bottom w:val="nil"/>
              <w:right w:val="nil"/>
            </w:tcBorders>
            <w:shd w:val="clear" w:color="auto" w:fill="BFBFBF" w:themeFill="background1" w:themeFillShade="BF"/>
            <w:noWrap/>
            <w:vAlign w:val="center"/>
            <w:hideMark/>
          </w:tcPr>
          <w:p w14:paraId="0A94190D" w14:textId="77777777" w:rsidR="00C37509" w:rsidRPr="003B4DC9" w:rsidRDefault="00C37509" w:rsidP="00C37509">
            <w:pPr>
              <w:spacing w:after="0" w:line="240" w:lineRule="auto"/>
              <w:jc w:val="center"/>
              <w:rPr>
                <w:rFonts w:eastAsia="Times New Roman" w:cs="Times New Roman"/>
                <w:b/>
                <w:bCs/>
                <w:color w:val="000000"/>
                <w:sz w:val="18"/>
                <w:szCs w:val="18"/>
                <w:lang w:eastAsia="sk-SK"/>
              </w:rPr>
            </w:pPr>
            <w:r w:rsidRPr="003B4DC9">
              <w:rPr>
                <w:rFonts w:eastAsia="Times New Roman" w:cs="Times New Roman"/>
                <w:b/>
                <w:bCs/>
                <w:color w:val="000000"/>
                <w:sz w:val="18"/>
                <w:szCs w:val="18"/>
                <w:lang w:eastAsia="sk-SK"/>
              </w:rPr>
              <w:t>Skutočnosť</w:t>
            </w:r>
          </w:p>
        </w:tc>
        <w:tc>
          <w:tcPr>
            <w:tcW w:w="959" w:type="dxa"/>
            <w:tcBorders>
              <w:top w:val="nil"/>
              <w:left w:val="nil"/>
              <w:bottom w:val="nil"/>
              <w:right w:val="nil"/>
            </w:tcBorders>
            <w:shd w:val="clear" w:color="000000" w:fill="BFBFBF"/>
            <w:noWrap/>
            <w:vAlign w:val="center"/>
            <w:hideMark/>
          </w:tcPr>
          <w:p w14:paraId="6E91B953" w14:textId="77777777" w:rsidR="00C37509" w:rsidRPr="00C37509" w:rsidRDefault="00C37509" w:rsidP="00C37509">
            <w:pPr>
              <w:spacing w:after="0" w:line="240" w:lineRule="auto"/>
              <w:jc w:val="center"/>
              <w:rPr>
                <w:rFonts w:eastAsia="Times New Roman" w:cs="Times New Roman"/>
                <w:b/>
                <w:bCs/>
                <w:color w:val="000000"/>
                <w:sz w:val="18"/>
                <w:szCs w:val="18"/>
                <w:lang w:eastAsia="sk-SK"/>
              </w:rPr>
            </w:pPr>
            <w:r w:rsidRPr="00C37509">
              <w:rPr>
                <w:rFonts w:eastAsia="Times New Roman" w:cs="Times New Roman"/>
                <w:b/>
                <w:bCs/>
                <w:color w:val="000000"/>
                <w:sz w:val="18"/>
                <w:szCs w:val="18"/>
                <w:lang w:eastAsia="sk-SK"/>
              </w:rPr>
              <w:t>Rozpočet</w:t>
            </w:r>
          </w:p>
        </w:tc>
        <w:tc>
          <w:tcPr>
            <w:tcW w:w="1025" w:type="dxa"/>
            <w:tcBorders>
              <w:top w:val="nil"/>
              <w:left w:val="nil"/>
              <w:bottom w:val="nil"/>
              <w:right w:val="nil"/>
            </w:tcBorders>
            <w:shd w:val="clear" w:color="000000" w:fill="BFBFBF"/>
            <w:noWrap/>
            <w:vAlign w:val="center"/>
            <w:hideMark/>
          </w:tcPr>
          <w:p w14:paraId="677F886E" w14:textId="77777777" w:rsidR="00C37509" w:rsidRPr="00C37509" w:rsidRDefault="00C37509" w:rsidP="00C37509">
            <w:pPr>
              <w:spacing w:after="0" w:line="240" w:lineRule="auto"/>
              <w:jc w:val="center"/>
              <w:rPr>
                <w:rFonts w:eastAsia="Times New Roman" w:cs="Times New Roman"/>
                <w:b/>
                <w:bCs/>
                <w:color w:val="000000"/>
                <w:sz w:val="18"/>
                <w:szCs w:val="18"/>
                <w:lang w:eastAsia="sk-SK"/>
              </w:rPr>
            </w:pPr>
            <w:r w:rsidRPr="00C37509">
              <w:rPr>
                <w:rFonts w:eastAsia="Times New Roman" w:cs="Times New Roman"/>
                <w:b/>
                <w:bCs/>
                <w:color w:val="000000"/>
                <w:sz w:val="18"/>
                <w:szCs w:val="18"/>
                <w:lang w:eastAsia="sk-SK"/>
              </w:rPr>
              <w:t>Skutočnosť</w:t>
            </w:r>
          </w:p>
        </w:tc>
        <w:tc>
          <w:tcPr>
            <w:tcW w:w="1276" w:type="dxa"/>
            <w:gridSpan w:val="2"/>
            <w:tcBorders>
              <w:top w:val="nil"/>
              <w:left w:val="nil"/>
              <w:bottom w:val="nil"/>
              <w:right w:val="nil"/>
            </w:tcBorders>
            <w:shd w:val="clear" w:color="000000" w:fill="BFBFBF"/>
            <w:noWrap/>
            <w:vAlign w:val="center"/>
            <w:hideMark/>
          </w:tcPr>
          <w:p w14:paraId="22A1D7BA" w14:textId="77777777" w:rsidR="00C37509" w:rsidRPr="00C37509" w:rsidRDefault="00C37509" w:rsidP="00C37509">
            <w:pPr>
              <w:spacing w:after="0" w:line="240" w:lineRule="auto"/>
              <w:jc w:val="center"/>
              <w:rPr>
                <w:rFonts w:eastAsia="Times New Roman" w:cs="Times New Roman"/>
                <w:b/>
                <w:bCs/>
                <w:color w:val="000000"/>
                <w:sz w:val="18"/>
                <w:szCs w:val="18"/>
                <w:lang w:eastAsia="sk-SK"/>
              </w:rPr>
            </w:pPr>
            <w:r w:rsidRPr="00C37509">
              <w:rPr>
                <w:rFonts w:eastAsia="Times New Roman" w:cs="Times New Roman"/>
                <w:b/>
                <w:bCs/>
                <w:color w:val="000000"/>
                <w:sz w:val="18"/>
                <w:szCs w:val="18"/>
                <w:lang w:eastAsia="sk-SK"/>
              </w:rPr>
              <w:t>Rozdiel</w:t>
            </w:r>
          </w:p>
        </w:tc>
      </w:tr>
      <w:tr w:rsidR="00C37509" w:rsidRPr="00C37509" w14:paraId="3D6B1644" w14:textId="77777777" w:rsidTr="00335449">
        <w:trPr>
          <w:trHeight w:val="330"/>
        </w:trPr>
        <w:tc>
          <w:tcPr>
            <w:tcW w:w="3544" w:type="dxa"/>
            <w:vMerge/>
            <w:tcBorders>
              <w:top w:val="nil"/>
              <w:left w:val="nil"/>
              <w:bottom w:val="nil"/>
            </w:tcBorders>
            <w:shd w:val="clear" w:color="auto" w:fill="BFBFBF" w:themeFill="background1" w:themeFillShade="BF"/>
            <w:vAlign w:val="center"/>
            <w:hideMark/>
          </w:tcPr>
          <w:p w14:paraId="18110A01" w14:textId="77777777" w:rsidR="00C37509" w:rsidRPr="00DC3EBD" w:rsidRDefault="00C37509" w:rsidP="00C37509">
            <w:pPr>
              <w:spacing w:after="0" w:line="240" w:lineRule="auto"/>
              <w:jc w:val="left"/>
              <w:rPr>
                <w:rFonts w:eastAsia="Times New Roman" w:cs="Times New Roman"/>
                <w:b/>
                <w:bCs/>
                <w:color w:val="000000"/>
                <w:sz w:val="18"/>
                <w:szCs w:val="18"/>
                <w:highlight w:val="lightGray"/>
                <w:lang w:eastAsia="sk-SK"/>
              </w:rPr>
            </w:pPr>
          </w:p>
        </w:tc>
        <w:tc>
          <w:tcPr>
            <w:tcW w:w="992" w:type="dxa"/>
            <w:tcBorders>
              <w:top w:val="nil"/>
              <w:bottom w:val="nil"/>
            </w:tcBorders>
            <w:shd w:val="clear" w:color="auto" w:fill="BFBFBF" w:themeFill="background1" w:themeFillShade="BF"/>
            <w:noWrap/>
            <w:vAlign w:val="center"/>
            <w:hideMark/>
          </w:tcPr>
          <w:p w14:paraId="60B97EC2" w14:textId="77777777" w:rsidR="00C37509" w:rsidRPr="003B4DC9" w:rsidRDefault="00C37509" w:rsidP="00C37509">
            <w:pPr>
              <w:spacing w:after="0" w:line="240" w:lineRule="auto"/>
              <w:jc w:val="center"/>
              <w:rPr>
                <w:rFonts w:eastAsia="Times New Roman" w:cs="Times New Roman"/>
                <w:b/>
                <w:bCs/>
                <w:color w:val="000000"/>
                <w:sz w:val="18"/>
                <w:szCs w:val="18"/>
                <w:lang w:eastAsia="sk-SK"/>
              </w:rPr>
            </w:pPr>
            <w:r w:rsidRPr="003B4DC9">
              <w:rPr>
                <w:rFonts w:eastAsia="Times New Roman" w:cs="Times New Roman"/>
                <w:b/>
                <w:bCs/>
                <w:color w:val="000000"/>
                <w:sz w:val="18"/>
                <w:szCs w:val="18"/>
                <w:lang w:eastAsia="sk-SK"/>
              </w:rPr>
              <w:t>2016</w:t>
            </w:r>
          </w:p>
        </w:tc>
        <w:tc>
          <w:tcPr>
            <w:tcW w:w="993" w:type="dxa"/>
            <w:tcBorders>
              <w:top w:val="nil"/>
              <w:bottom w:val="nil"/>
              <w:right w:val="nil"/>
            </w:tcBorders>
            <w:shd w:val="clear" w:color="auto" w:fill="BFBFBF" w:themeFill="background1" w:themeFillShade="BF"/>
            <w:noWrap/>
            <w:vAlign w:val="center"/>
            <w:hideMark/>
          </w:tcPr>
          <w:p w14:paraId="4740D3BC" w14:textId="77777777" w:rsidR="00C37509" w:rsidRPr="00C37509" w:rsidRDefault="00C37509" w:rsidP="00C37509">
            <w:pPr>
              <w:spacing w:after="0" w:line="240" w:lineRule="auto"/>
              <w:jc w:val="center"/>
              <w:rPr>
                <w:rFonts w:eastAsia="Times New Roman" w:cs="Times New Roman"/>
                <w:b/>
                <w:bCs/>
                <w:color w:val="000000"/>
                <w:sz w:val="18"/>
                <w:szCs w:val="18"/>
                <w:lang w:eastAsia="sk-SK"/>
              </w:rPr>
            </w:pPr>
            <w:r w:rsidRPr="00C37509">
              <w:rPr>
                <w:rFonts w:eastAsia="Times New Roman" w:cs="Times New Roman"/>
                <w:b/>
                <w:bCs/>
                <w:color w:val="000000"/>
                <w:sz w:val="18"/>
                <w:szCs w:val="18"/>
                <w:lang w:eastAsia="sk-SK"/>
              </w:rPr>
              <w:t>2017</w:t>
            </w:r>
          </w:p>
        </w:tc>
        <w:tc>
          <w:tcPr>
            <w:tcW w:w="959" w:type="dxa"/>
            <w:tcBorders>
              <w:top w:val="nil"/>
              <w:left w:val="nil"/>
              <w:bottom w:val="nil"/>
              <w:right w:val="nil"/>
            </w:tcBorders>
            <w:shd w:val="clear" w:color="000000" w:fill="BFBFBF"/>
            <w:noWrap/>
            <w:vAlign w:val="center"/>
            <w:hideMark/>
          </w:tcPr>
          <w:p w14:paraId="1D07A56C" w14:textId="77777777" w:rsidR="00C37509" w:rsidRPr="00C37509" w:rsidRDefault="00C37509" w:rsidP="00C37509">
            <w:pPr>
              <w:spacing w:after="0" w:line="240" w:lineRule="auto"/>
              <w:jc w:val="center"/>
              <w:rPr>
                <w:rFonts w:eastAsia="Times New Roman" w:cs="Times New Roman"/>
                <w:b/>
                <w:bCs/>
                <w:color w:val="000000"/>
                <w:sz w:val="18"/>
                <w:szCs w:val="18"/>
                <w:lang w:eastAsia="sk-SK"/>
              </w:rPr>
            </w:pPr>
            <w:r w:rsidRPr="00C37509">
              <w:rPr>
                <w:rFonts w:eastAsia="Times New Roman" w:cs="Times New Roman"/>
                <w:b/>
                <w:bCs/>
                <w:color w:val="000000"/>
                <w:sz w:val="18"/>
                <w:szCs w:val="18"/>
                <w:lang w:eastAsia="sk-SK"/>
              </w:rPr>
              <w:t>2018</w:t>
            </w:r>
          </w:p>
        </w:tc>
        <w:tc>
          <w:tcPr>
            <w:tcW w:w="1025" w:type="dxa"/>
            <w:tcBorders>
              <w:top w:val="nil"/>
              <w:left w:val="nil"/>
              <w:bottom w:val="nil"/>
              <w:right w:val="nil"/>
            </w:tcBorders>
            <w:shd w:val="clear" w:color="000000" w:fill="BFBFBF"/>
            <w:noWrap/>
            <w:vAlign w:val="center"/>
            <w:hideMark/>
          </w:tcPr>
          <w:p w14:paraId="4961D6B5" w14:textId="77777777" w:rsidR="00C37509" w:rsidRPr="00C37509" w:rsidRDefault="00C37509" w:rsidP="00C37509">
            <w:pPr>
              <w:spacing w:after="0" w:line="240" w:lineRule="auto"/>
              <w:jc w:val="center"/>
              <w:rPr>
                <w:rFonts w:eastAsia="Times New Roman" w:cs="Times New Roman"/>
                <w:b/>
                <w:bCs/>
                <w:color w:val="000000"/>
                <w:sz w:val="18"/>
                <w:szCs w:val="18"/>
                <w:lang w:eastAsia="sk-SK"/>
              </w:rPr>
            </w:pPr>
            <w:r w:rsidRPr="00C37509">
              <w:rPr>
                <w:rFonts w:eastAsia="Times New Roman" w:cs="Times New Roman"/>
                <w:b/>
                <w:bCs/>
                <w:color w:val="000000"/>
                <w:sz w:val="18"/>
                <w:szCs w:val="18"/>
                <w:lang w:eastAsia="sk-SK"/>
              </w:rPr>
              <w:t>2018</w:t>
            </w:r>
          </w:p>
        </w:tc>
        <w:tc>
          <w:tcPr>
            <w:tcW w:w="709" w:type="dxa"/>
            <w:tcBorders>
              <w:top w:val="nil"/>
              <w:left w:val="nil"/>
              <w:bottom w:val="nil"/>
              <w:right w:val="nil"/>
            </w:tcBorders>
            <w:shd w:val="clear" w:color="000000" w:fill="BFBFBF"/>
            <w:noWrap/>
            <w:vAlign w:val="center"/>
            <w:hideMark/>
          </w:tcPr>
          <w:p w14:paraId="4976B99E" w14:textId="77777777" w:rsidR="00C37509" w:rsidRPr="00C37509" w:rsidRDefault="00C37509" w:rsidP="00C37509">
            <w:pPr>
              <w:spacing w:after="0" w:line="240" w:lineRule="auto"/>
              <w:jc w:val="center"/>
              <w:rPr>
                <w:rFonts w:eastAsia="Times New Roman" w:cs="Times New Roman"/>
                <w:b/>
                <w:bCs/>
                <w:color w:val="000000"/>
                <w:sz w:val="18"/>
                <w:szCs w:val="18"/>
                <w:lang w:eastAsia="sk-SK"/>
              </w:rPr>
            </w:pPr>
            <w:r w:rsidRPr="00C37509">
              <w:rPr>
                <w:rFonts w:eastAsia="Times New Roman" w:cs="Times New Roman"/>
                <w:b/>
                <w:bCs/>
                <w:color w:val="000000"/>
                <w:sz w:val="18"/>
                <w:szCs w:val="18"/>
                <w:lang w:eastAsia="sk-SK"/>
              </w:rPr>
              <w:t>v tis. eur</w:t>
            </w:r>
          </w:p>
        </w:tc>
        <w:tc>
          <w:tcPr>
            <w:tcW w:w="567" w:type="dxa"/>
            <w:tcBorders>
              <w:top w:val="nil"/>
              <w:left w:val="nil"/>
              <w:bottom w:val="nil"/>
              <w:right w:val="nil"/>
            </w:tcBorders>
            <w:shd w:val="clear" w:color="000000" w:fill="BFBFBF"/>
            <w:noWrap/>
            <w:vAlign w:val="center"/>
            <w:hideMark/>
          </w:tcPr>
          <w:p w14:paraId="6ABBB066" w14:textId="77777777" w:rsidR="00C37509" w:rsidRPr="00C37509" w:rsidRDefault="00C37509" w:rsidP="00C37509">
            <w:pPr>
              <w:spacing w:after="0" w:line="240" w:lineRule="auto"/>
              <w:jc w:val="center"/>
              <w:rPr>
                <w:rFonts w:eastAsia="Times New Roman" w:cs="Times New Roman"/>
                <w:b/>
                <w:bCs/>
                <w:color w:val="000000"/>
                <w:sz w:val="18"/>
                <w:szCs w:val="18"/>
                <w:lang w:eastAsia="sk-SK"/>
              </w:rPr>
            </w:pPr>
            <w:r w:rsidRPr="00C37509">
              <w:rPr>
                <w:rFonts w:eastAsia="Times New Roman" w:cs="Times New Roman"/>
                <w:b/>
                <w:bCs/>
                <w:color w:val="000000"/>
                <w:sz w:val="18"/>
                <w:szCs w:val="18"/>
                <w:lang w:eastAsia="sk-SK"/>
              </w:rPr>
              <w:t>v %</w:t>
            </w:r>
          </w:p>
        </w:tc>
      </w:tr>
      <w:tr w:rsidR="00C37509" w:rsidRPr="00C37509" w14:paraId="7B444358" w14:textId="77777777" w:rsidTr="00335449">
        <w:trPr>
          <w:trHeight w:val="345"/>
        </w:trPr>
        <w:tc>
          <w:tcPr>
            <w:tcW w:w="3544" w:type="dxa"/>
            <w:tcBorders>
              <w:top w:val="nil"/>
              <w:left w:val="nil"/>
              <w:bottom w:val="single" w:sz="8" w:space="0" w:color="auto"/>
            </w:tcBorders>
            <w:shd w:val="clear" w:color="auto" w:fill="BFBFBF" w:themeFill="background1" w:themeFillShade="BF"/>
            <w:vAlign w:val="center"/>
            <w:hideMark/>
          </w:tcPr>
          <w:p w14:paraId="5042070B" w14:textId="77777777" w:rsidR="00C37509" w:rsidRPr="003B4DC9" w:rsidRDefault="00C37509" w:rsidP="00C37509">
            <w:pPr>
              <w:spacing w:after="0" w:line="240" w:lineRule="auto"/>
              <w:jc w:val="center"/>
              <w:rPr>
                <w:rFonts w:eastAsia="Times New Roman" w:cs="Times New Roman"/>
                <w:b/>
                <w:bCs/>
                <w:color w:val="000000"/>
                <w:sz w:val="18"/>
                <w:szCs w:val="18"/>
                <w:lang w:eastAsia="sk-SK"/>
              </w:rPr>
            </w:pPr>
            <w:r w:rsidRPr="003B4DC9">
              <w:rPr>
                <w:rFonts w:eastAsia="Times New Roman" w:cs="Times New Roman"/>
                <w:b/>
                <w:bCs/>
                <w:color w:val="000000"/>
                <w:sz w:val="18"/>
                <w:szCs w:val="18"/>
                <w:lang w:eastAsia="sk-SK"/>
              </w:rPr>
              <w:t> </w:t>
            </w:r>
          </w:p>
        </w:tc>
        <w:tc>
          <w:tcPr>
            <w:tcW w:w="992" w:type="dxa"/>
            <w:tcBorders>
              <w:top w:val="nil"/>
              <w:bottom w:val="single" w:sz="8" w:space="0" w:color="auto"/>
            </w:tcBorders>
            <w:shd w:val="clear" w:color="auto" w:fill="BFBFBF" w:themeFill="background1" w:themeFillShade="BF"/>
            <w:noWrap/>
            <w:vAlign w:val="center"/>
            <w:hideMark/>
          </w:tcPr>
          <w:p w14:paraId="101510C2" w14:textId="77777777" w:rsidR="00C37509" w:rsidRPr="003B4DC9" w:rsidRDefault="00C37509" w:rsidP="00C37509">
            <w:pPr>
              <w:spacing w:after="0" w:line="240" w:lineRule="auto"/>
              <w:jc w:val="center"/>
              <w:rPr>
                <w:rFonts w:eastAsia="Times New Roman" w:cs="Times New Roman"/>
                <w:b/>
                <w:bCs/>
                <w:color w:val="000000"/>
                <w:sz w:val="18"/>
                <w:szCs w:val="18"/>
                <w:lang w:eastAsia="sk-SK"/>
              </w:rPr>
            </w:pPr>
            <w:r w:rsidRPr="003B4DC9">
              <w:rPr>
                <w:rFonts w:eastAsia="Times New Roman" w:cs="Times New Roman"/>
                <w:b/>
                <w:bCs/>
                <w:color w:val="000000"/>
                <w:sz w:val="18"/>
                <w:szCs w:val="18"/>
                <w:lang w:eastAsia="sk-SK"/>
              </w:rPr>
              <w:t>2</w:t>
            </w:r>
          </w:p>
        </w:tc>
        <w:tc>
          <w:tcPr>
            <w:tcW w:w="993" w:type="dxa"/>
            <w:tcBorders>
              <w:top w:val="nil"/>
              <w:bottom w:val="single" w:sz="8" w:space="0" w:color="auto"/>
              <w:right w:val="nil"/>
            </w:tcBorders>
            <w:shd w:val="clear" w:color="auto" w:fill="BFBFBF" w:themeFill="background1" w:themeFillShade="BF"/>
            <w:noWrap/>
            <w:vAlign w:val="center"/>
            <w:hideMark/>
          </w:tcPr>
          <w:p w14:paraId="13309B33" w14:textId="77777777" w:rsidR="00C37509" w:rsidRPr="00C37509" w:rsidRDefault="00C37509" w:rsidP="00C37509">
            <w:pPr>
              <w:spacing w:after="0" w:line="240" w:lineRule="auto"/>
              <w:jc w:val="center"/>
              <w:rPr>
                <w:rFonts w:eastAsia="Times New Roman" w:cs="Times New Roman"/>
                <w:b/>
                <w:bCs/>
                <w:color w:val="000000"/>
                <w:sz w:val="18"/>
                <w:szCs w:val="18"/>
                <w:lang w:eastAsia="sk-SK"/>
              </w:rPr>
            </w:pPr>
            <w:r w:rsidRPr="00C37509">
              <w:rPr>
                <w:rFonts w:eastAsia="Times New Roman" w:cs="Times New Roman"/>
                <w:b/>
                <w:bCs/>
                <w:color w:val="000000"/>
                <w:sz w:val="18"/>
                <w:szCs w:val="18"/>
                <w:lang w:eastAsia="sk-SK"/>
              </w:rPr>
              <w:t>4</w:t>
            </w:r>
          </w:p>
        </w:tc>
        <w:tc>
          <w:tcPr>
            <w:tcW w:w="959" w:type="dxa"/>
            <w:tcBorders>
              <w:top w:val="nil"/>
              <w:left w:val="nil"/>
              <w:bottom w:val="single" w:sz="8" w:space="0" w:color="auto"/>
              <w:right w:val="nil"/>
            </w:tcBorders>
            <w:shd w:val="clear" w:color="000000" w:fill="BFBFBF"/>
            <w:noWrap/>
            <w:vAlign w:val="center"/>
            <w:hideMark/>
          </w:tcPr>
          <w:p w14:paraId="4ABEBA42" w14:textId="77777777" w:rsidR="00C37509" w:rsidRPr="00C37509" w:rsidRDefault="00C37509" w:rsidP="00C37509">
            <w:pPr>
              <w:spacing w:after="0" w:line="240" w:lineRule="auto"/>
              <w:jc w:val="center"/>
              <w:rPr>
                <w:rFonts w:eastAsia="Times New Roman" w:cs="Times New Roman"/>
                <w:b/>
                <w:bCs/>
                <w:color w:val="000000"/>
                <w:sz w:val="18"/>
                <w:szCs w:val="18"/>
                <w:lang w:eastAsia="sk-SK"/>
              </w:rPr>
            </w:pPr>
            <w:r w:rsidRPr="00C37509">
              <w:rPr>
                <w:rFonts w:eastAsia="Times New Roman" w:cs="Times New Roman"/>
                <w:b/>
                <w:bCs/>
                <w:color w:val="000000"/>
                <w:sz w:val="18"/>
                <w:szCs w:val="18"/>
                <w:lang w:eastAsia="sk-SK"/>
              </w:rPr>
              <w:t>3</w:t>
            </w:r>
          </w:p>
        </w:tc>
        <w:tc>
          <w:tcPr>
            <w:tcW w:w="1025" w:type="dxa"/>
            <w:tcBorders>
              <w:top w:val="nil"/>
              <w:left w:val="nil"/>
              <w:bottom w:val="single" w:sz="8" w:space="0" w:color="auto"/>
              <w:right w:val="nil"/>
            </w:tcBorders>
            <w:shd w:val="clear" w:color="000000" w:fill="BFBFBF"/>
            <w:noWrap/>
            <w:vAlign w:val="center"/>
            <w:hideMark/>
          </w:tcPr>
          <w:p w14:paraId="11FC61CD" w14:textId="77777777" w:rsidR="00C37509" w:rsidRPr="00C37509" w:rsidRDefault="00C37509" w:rsidP="00C37509">
            <w:pPr>
              <w:spacing w:after="0" w:line="240" w:lineRule="auto"/>
              <w:jc w:val="center"/>
              <w:rPr>
                <w:rFonts w:eastAsia="Times New Roman" w:cs="Times New Roman"/>
                <w:b/>
                <w:bCs/>
                <w:color w:val="000000"/>
                <w:sz w:val="18"/>
                <w:szCs w:val="18"/>
                <w:lang w:eastAsia="sk-SK"/>
              </w:rPr>
            </w:pPr>
            <w:r w:rsidRPr="00C37509">
              <w:rPr>
                <w:rFonts w:eastAsia="Times New Roman" w:cs="Times New Roman"/>
                <w:b/>
                <w:bCs/>
                <w:color w:val="000000"/>
                <w:sz w:val="18"/>
                <w:szCs w:val="18"/>
                <w:lang w:eastAsia="sk-SK"/>
              </w:rPr>
              <w:t>4</w:t>
            </w:r>
          </w:p>
        </w:tc>
        <w:tc>
          <w:tcPr>
            <w:tcW w:w="709" w:type="dxa"/>
            <w:tcBorders>
              <w:top w:val="nil"/>
              <w:left w:val="nil"/>
              <w:bottom w:val="single" w:sz="8" w:space="0" w:color="auto"/>
              <w:right w:val="nil"/>
            </w:tcBorders>
            <w:shd w:val="clear" w:color="000000" w:fill="BFBFBF"/>
            <w:noWrap/>
            <w:vAlign w:val="center"/>
            <w:hideMark/>
          </w:tcPr>
          <w:p w14:paraId="1A40B790" w14:textId="77777777" w:rsidR="00C37509" w:rsidRPr="00C37509" w:rsidRDefault="00C37509" w:rsidP="00C37509">
            <w:pPr>
              <w:spacing w:after="0" w:line="240" w:lineRule="auto"/>
              <w:jc w:val="center"/>
              <w:rPr>
                <w:rFonts w:eastAsia="Times New Roman" w:cs="Times New Roman"/>
                <w:b/>
                <w:bCs/>
                <w:color w:val="000000"/>
                <w:sz w:val="18"/>
                <w:szCs w:val="18"/>
                <w:lang w:eastAsia="sk-SK"/>
              </w:rPr>
            </w:pPr>
            <w:r w:rsidRPr="00C37509">
              <w:rPr>
                <w:rFonts w:eastAsia="Times New Roman" w:cs="Times New Roman"/>
                <w:b/>
                <w:bCs/>
                <w:color w:val="000000"/>
                <w:sz w:val="18"/>
                <w:szCs w:val="18"/>
                <w:lang w:eastAsia="sk-SK"/>
              </w:rPr>
              <w:t>5=4-3</w:t>
            </w:r>
          </w:p>
        </w:tc>
        <w:tc>
          <w:tcPr>
            <w:tcW w:w="567" w:type="dxa"/>
            <w:tcBorders>
              <w:top w:val="nil"/>
              <w:left w:val="nil"/>
              <w:bottom w:val="single" w:sz="8" w:space="0" w:color="auto"/>
              <w:right w:val="nil"/>
            </w:tcBorders>
            <w:shd w:val="clear" w:color="000000" w:fill="BFBFBF"/>
            <w:noWrap/>
            <w:vAlign w:val="center"/>
            <w:hideMark/>
          </w:tcPr>
          <w:p w14:paraId="3FCECABB" w14:textId="77777777" w:rsidR="00C37509" w:rsidRPr="00C37509" w:rsidRDefault="00C37509" w:rsidP="00C37509">
            <w:pPr>
              <w:spacing w:after="0" w:line="240" w:lineRule="auto"/>
              <w:jc w:val="center"/>
              <w:rPr>
                <w:rFonts w:eastAsia="Times New Roman" w:cs="Times New Roman"/>
                <w:b/>
                <w:bCs/>
                <w:color w:val="000000"/>
                <w:sz w:val="18"/>
                <w:szCs w:val="18"/>
                <w:lang w:eastAsia="sk-SK"/>
              </w:rPr>
            </w:pPr>
            <w:r w:rsidRPr="00C37509">
              <w:rPr>
                <w:rFonts w:eastAsia="Times New Roman" w:cs="Times New Roman"/>
                <w:b/>
                <w:bCs/>
                <w:color w:val="000000"/>
                <w:sz w:val="18"/>
                <w:szCs w:val="18"/>
                <w:lang w:eastAsia="sk-SK"/>
              </w:rPr>
              <w:t>6=4-3</w:t>
            </w:r>
          </w:p>
        </w:tc>
      </w:tr>
      <w:tr w:rsidR="00C37509" w:rsidRPr="00C37509" w14:paraId="6B427A98" w14:textId="77777777" w:rsidTr="00335449">
        <w:trPr>
          <w:trHeight w:val="780"/>
        </w:trPr>
        <w:tc>
          <w:tcPr>
            <w:tcW w:w="3544" w:type="dxa"/>
            <w:tcBorders>
              <w:top w:val="nil"/>
              <w:left w:val="nil"/>
              <w:bottom w:val="nil"/>
              <w:right w:val="nil"/>
            </w:tcBorders>
            <w:shd w:val="clear" w:color="auto" w:fill="auto"/>
            <w:vAlign w:val="center"/>
            <w:hideMark/>
          </w:tcPr>
          <w:p w14:paraId="04D877E4" w14:textId="2D971C78" w:rsidR="00C37509" w:rsidRPr="00C37509" w:rsidRDefault="00C37509" w:rsidP="00171ABF">
            <w:pPr>
              <w:spacing w:after="0" w:line="240" w:lineRule="auto"/>
              <w:rPr>
                <w:rFonts w:eastAsia="Times New Roman" w:cs="Times New Roman"/>
                <w:color w:val="000000"/>
                <w:sz w:val="18"/>
                <w:szCs w:val="18"/>
                <w:lang w:eastAsia="sk-SK"/>
              </w:rPr>
            </w:pPr>
            <w:r w:rsidRPr="00C37509">
              <w:rPr>
                <w:rFonts w:eastAsia="Times New Roman" w:cs="Times New Roman"/>
                <w:color w:val="000000"/>
                <w:sz w:val="18"/>
                <w:szCs w:val="18"/>
                <w:lang w:eastAsia="sk-SK"/>
              </w:rPr>
              <w:t>Transfery na platené poistné za s</w:t>
            </w:r>
            <w:r w:rsidR="00171ABF">
              <w:rPr>
                <w:rFonts w:eastAsia="Times New Roman" w:cs="Times New Roman"/>
                <w:color w:val="000000"/>
                <w:sz w:val="18"/>
                <w:szCs w:val="18"/>
                <w:lang w:eastAsia="sk-SK"/>
              </w:rPr>
              <w:t>kupiny osôb ustanovené zákonom</w:t>
            </w:r>
          </w:p>
        </w:tc>
        <w:tc>
          <w:tcPr>
            <w:tcW w:w="992" w:type="dxa"/>
            <w:tcBorders>
              <w:top w:val="nil"/>
              <w:left w:val="nil"/>
              <w:bottom w:val="nil"/>
              <w:right w:val="nil"/>
            </w:tcBorders>
            <w:shd w:val="clear" w:color="auto" w:fill="auto"/>
            <w:vAlign w:val="center"/>
            <w:hideMark/>
          </w:tcPr>
          <w:p w14:paraId="7F7C0F1C" w14:textId="77777777" w:rsidR="00C37509" w:rsidRPr="00C37509" w:rsidRDefault="00C37509" w:rsidP="00C37509">
            <w:pPr>
              <w:spacing w:after="0" w:line="240" w:lineRule="auto"/>
              <w:jc w:val="right"/>
              <w:rPr>
                <w:rFonts w:eastAsia="Times New Roman" w:cs="Times New Roman"/>
                <w:color w:val="000000"/>
                <w:sz w:val="18"/>
                <w:szCs w:val="18"/>
                <w:lang w:eastAsia="sk-SK"/>
              </w:rPr>
            </w:pPr>
            <w:r w:rsidRPr="00C37509">
              <w:rPr>
                <w:rFonts w:eastAsia="Times New Roman" w:cs="Times New Roman"/>
                <w:color w:val="000000"/>
                <w:sz w:val="18"/>
                <w:szCs w:val="18"/>
                <w:lang w:eastAsia="sk-SK"/>
              </w:rPr>
              <w:t>1 623 596</w:t>
            </w:r>
          </w:p>
        </w:tc>
        <w:tc>
          <w:tcPr>
            <w:tcW w:w="993" w:type="dxa"/>
            <w:tcBorders>
              <w:top w:val="nil"/>
              <w:left w:val="nil"/>
              <w:bottom w:val="nil"/>
              <w:right w:val="nil"/>
            </w:tcBorders>
            <w:shd w:val="clear" w:color="auto" w:fill="auto"/>
            <w:vAlign w:val="center"/>
            <w:hideMark/>
          </w:tcPr>
          <w:p w14:paraId="555CA898" w14:textId="77777777" w:rsidR="00C37509" w:rsidRPr="00C37509" w:rsidRDefault="00C37509" w:rsidP="00C37509">
            <w:pPr>
              <w:spacing w:after="0" w:line="240" w:lineRule="auto"/>
              <w:jc w:val="right"/>
              <w:rPr>
                <w:rFonts w:eastAsia="Times New Roman" w:cs="Times New Roman"/>
                <w:color w:val="000000"/>
                <w:sz w:val="18"/>
                <w:szCs w:val="18"/>
                <w:lang w:eastAsia="sk-SK"/>
              </w:rPr>
            </w:pPr>
            <w:r w:rsidRPr="00C37509">
              <w:rPr>
                <w:rFonts w:eastAsia="Times New Roman" w:cs="Times New Roman"/>
                <w:color w:val="000000"/>
                <w:sz w:val="18"/>
                <w:szCs w:val="18"/>
                <w:lang w:eastAsia="sk-SK"/>
              </w:rPr>
              <w:t>1 543 050</w:t>
            </w:r>
          </w:p>
        </w:tc>
        <w:tc>
          <w:tcPr>
            <w:tcW w:w="959" w:type="dxa"/>
            <w:tcBorders>
              <w:top w:val="nil"/>
              <w:left w:val="nil"/>
              <w:bottom w:val="nil"/>
              <w:right w:val="nil"/>
            </w:tcBorders>
            <w:shd w:val="clear" w:color="auto" w:fill="auto"/>
            <w:vAlign w:val="center"/>
            <w:hideMark/>
          </w:tcPr>
          <w:p w14:paraId="5EBCC022" w14:textId="77777777" w:rsidR="00C37509" w:rsidRPr="00C37509" w:rsidRDefault="00C37509" w:rsidP="00C37509">
            <w:pPr>
              <w:spacing w:after="0" w:line="240" w:lineRule="auto"/>
              <w:jc w:val="right"/>
              <w:rPr>
                <w:rFonts w:eastAsia="Times New Roman" w:cs="Times New Roman"/>
                <w:color w:val="000000"/>
                <w:sz w:val="18"/>
                <w:szCs w:val="18"/>
                <w:lang w:eastAsia="sk-SK"/>
              </w:rPr>
            </w:pPr>
            <w:r w:rsidRPr="00C37509">
              <w:rPr>
                <w:rFonts w:eastAsia="Times New Roman" w:cs="Times New Roman"/>
                <w:color w:val="000000"/>
                <w:sz w:val="18"/>
                <w:szCs w:val="18"/>
                <w:lang w:eastAsia="sk-SK"/>
              </w:rPr>
              <w:t>1 546 251</w:t>
            </w:r>
          </w:p>
        </w:tc>
        <w:tc>
          <w:tcPr>
            <w:tcW w:w="1025" w:type="dxa"/>
            <w:tcBorders>
              <w:top w:val="nil"/>
              <w:left w:val="nil"/>
              <w:bottom w:val="nil"/>
              <w:right w:val="nil"/>
            </w:tcBorders>
            <w:shd w:val="clear" w:color="000000" w:fill="BFBFBF"/>
            <w:vAlign w:val="center"/>
            <w:hideMark/>
          </w:tcPr>
          <w:p w14:paraId="0A23CE4B" w14:textId="77777777" w:rsidR="00C37509" w:rsidRPr="00C37509" w:rsidRDefault="00C37509" w:rsidP="00C37509">
            <w:pPr>
              <w:spacing w:after="0" w:line="240" w:lineRule="auto"/>
              <w:jc w:val="right"/>
              <w:rPr>
                <w:rFonts w:eastAsia="Times New Roman" w:cs="Times New Roman"/>
                <w:color w:val="000000"/>
                <w:sz w:val="18"/>
                <w:szCs w:val="18"/>
                <w:lang w:eastAsia="sk-SK"/>
              </w:rPr>
            </w:pPr>
            <w:r w:rsidRPr="00C37509">
              <w:rPr>
                <w:rFonts w:eastAsia="Times New Roman" w:cs="Times New Roman"/>
                <w:color w:val="000000"/>
                <w:sz w:val="18"/>
                <w:szCs w:val="18"/>
                <w:lang w:eastAsia="sk-SK"/>
              </w:rPr>
              <w:t>1 484 358</w:t>
            </w:r>
          </w:p>
        </w:tc>
        <w:tc>
          <w:tcPr>
            <w:tcW w:w="709" w:type="dxa"/>
            <w:tcBorders>
              <w:top w:val="nil"/>
              <w:left w:val="nil"/>
              <w:bottom w:val="nil"/>
              <w:right w:val="nil"/>
            </w:tcBorders>
            <w:shd w:val="clear" w:color="auto" w:fill="auto"/>
            <w:vAlign w:val="center"/>
            <w:hideMark/>
          </w:tcPr>
          <w:p w14:paraId="1AADC2FA" w14:textId="77777777" w:rsidR="00C37509" w:rsidRPr="00C37509" w:rsidRDefault="00C37509" w:rsidP="00C37509">
            <w:pPr>
              <w:spacing w:after="0" w:line="240" w:lineRule="auto"/>
              <w:jc w:val="right"/>
              <w:rPr>
                <w:rFonts w:eastAsia="Times New Roman" w:cs="Times New Roman"/>
                <w:color w:val="000000"/>
                <w:sz w:val="18"/>
                <w:szCs w:val="18"/>
                <w:lang w:eastAsia="sk-SK"/>
              </w:rPr>
            </w:pPr>
            <w:r w:rsidRPr="00C37509">
              <w:rPr>
                <w:rFonts w:eastAsia="Times New Roman" w:cs="Times New Roman"/>
                <w:color w:val="000000"/>
                <w:sz w:val="18"/>
                <w:szCs w:val="18"/>
                <w:lang w:eastAsia="sk-SK"/>
              </w:rPr>
              <w:t>-61 893</w:t>
            </w:r>
          </w:p>
        </w:tc>
        <w:tc>
          <w:tcPr>
            <w:tcW w:w="567" w:type="dxa"/>
            <w:tcBorders>
              <w:top w:val="nil"/>
              <w:left w:val="nil"/>
              <w:bottom w:val="nil"/>
              <w:right w:val="nil"/>
            </w:tcBorders>
            <w:shd w:val="clear" w:color="auto" w:fill="auto"/>
            <w:vAlign w:val="center"/>
            <w:hideMark/>
          </w:tcPr>
          <w:p w14:paraId="171DBF59" w14:textId="77777777" w:rsidR="00C37509" w:rsidRPr="00C37509" w:rsidRDefault="00C37509" w:rsidP="00C37509">
            <w:pPr>
              <w:spacing w:after="0" w:line="240" w:lineRule="auto"/>
              <w:jc w:val="right"/>
              <w:rPr>
                <w:rFonts w:eastAsia="Times New Roman" w:cs="Times New Roman"/>
                <w:color w:val="000000"/>
                <w:sz w:val="18"/>
                <w:szCs w:val="18"/>
                <w:lang w:eastAsia="sk-SK"/>
              </w:rPr>
            </w:pPr>
            <w:r w:rsidRPr="00C37509">
              <w:rPr>
                <w:rFonts w:eastAsia="Times New Roman" w:cs="Times New Roman"/>
                <w:color w:val="000000"/>
                <w:sz w:val="18"/>
                <w:szCs w:val="18"/>
                <w:lang w:eastAsia="sk-SK"/>
              </w:rPr>
              <w:t>-4,0</w:t>
            </w:r>
          </w:p>
        </w:tc>
      </w:tr>
      <w:tr w:rsidR="00C37509" w:rsidRPr="00C37509" w14:paraId="03351264" w14:textId="77777777" w:rsidTr="00335449">
        <w:trPr>
          <w:trHeight w:val="405"/>
        </w:trPr>
        <w:tc>
          <w:tcPr>
            <w:tcW w:w="3544" w:type="dxa"/>
            <w:tcBorders>
              <w:top w:val="nil"/>
              <w:left w:val="nil"/>
              <w:bottom w:val="nil"/>
              <w:right w:val="nil"/>
            </w:tcBorders>
            <w:shd w:val="clear" w:color="auto" w:fill="auto"/>
            <w:vAlign w:val="center"/>
            <w:hideMark/>
          </w:tcPr>
          <w:p w14:paraId="7065FB13" w14:textId="77777777" w:rsidR="00C37509" w:rsidRPr="00C37509" w:rsidRDefault="00C37509" w:rsidP="00C37509">
            <w:pPr>
              <w:spacing w:after="0" w:line="240" w:lineRule="auto"/>
              <w:rPr>
                <w:rFonts w:eastAsia="Times New Roman" w:cs="Times New Roman"/>
                <w:color w:val="000000"/>
                <w:sz w:val="18"/>
                <w:szCs w:val="18"/>
                <w:lang w:eastAsia="sk-SK"/>
              </w:rPr>
            </w:pPr>
            <w:r w:rsidRPr="00C37509">
              <w:rPr>
                <w:rFonts w:eastAsia="Times New Roman" w:cs="Times New Roman"/>
                <w:color w:val="000000"/>
                <w:sz w:val="18"/>
                <w:szCs w:val="18"/>
                <w:lang w:eastAsia="sk-SK"/>
              </w:rPr>
              <w:t>Sociálne dávky</w:t>
            </w:r>
          </w:p>
        </w:tc>
        <w:tc>
          <w:tcPr>
            <w:tcW w:w="992" w:type="dxa"/>
            <w:tcBorders>
              <w:top w:val="nil"/>
              <w:left w:val="nil"/>
              <w:bottom w:val="nil"/>
              <w:right w:val="nil"/>
            </w:tcBorders>
            <w:shd w:val="clear" w:color="auto" w:fill="auto"/>
            <w:vAlign w:val="center"/>
            <w:hideMark/>
          </w:tcPr>
          <w:p w14:paraId="135DEA70" w14:textId="77777777" w:rsidR="00C37509" w:rsidRPr="00C37509" w:rsidRDefault="00C37509" w:rsidP="00C37509">
            <w:pPr>
              <w:spacing w:after="0" w:line="240" w:lineRule="auto"/>
              <w:jc w:val="right"/>
              <w:rPr>
                <w:rFonts w:eastAsia="Times New Roman" w:cs="Times New Roman"/>
                <w:color w:val="000000"/>
                <w:sz w:val="18"/>
                <w:szCs w:val="18"/>
                <w:lang w:eastAsia="sk-SK"/>
              </w:rPr>
            </w:pPr>
            <w:r w:rsidRPr="00C37509">
              <w:rPr>
                <w:rFonts w:eastAsia="Times New Roman" w:cs="Times New Roman"/>
                <w:color w:val="000000"/>
                <w:sz w:val="18"/>
                <w:szCs w:val="18"/>
                <w:lang w:eastAsia="sk-SK"/>
              </w:rPr>
              <w:t>1 319 098</w:t>
            </w:r>
          </w:p>
        </w:tc>
        <w:tc>
          <w:tcPr>
            <w:tcW w:w="993" w:type="dxa"/>
            <w:tcBorders>
              <w:top w:val="nil"/>
              <w:left w:val="nil"/>
              <w:bottom w:val="nil"/>
              <w:right w:val="nil"/>
            </w:tcBorders>
            <w:shd w:val="clear" w:color="auto" w:fill="auto"/>
            <w:vAlign w:val="center"/>
            <w:hideMark/>
          </w:tcPr>
          <w:p w14:paraId="14F778C5" w14:textId="77777777" w:rsidR="00C37509" w:rsidRPr="00C37509" w:rsidRDefault="00C37509" w:rsidP="00C37509">
            <w:pPr>
              <w:spacing w:after="0" w:line="240" w:lineRule="auto"/>
              <w:jc w:val="right"/>
              <w:rPr>
                <w:rFonts w:eastAsia="Times New Roman" w:cs="Times New Roman"/>
                <w:color w:val="000000"/>
                <w:sz w:val="18"/>
                <w:szCs w:val="18"/>
                <w:lang w:eastAsia="sk-SK"/>
              </w:rPr>
            </w:pPr>
            <w:r w:rsidRPr="00C37509">
              <w:rPr>
                <w:rFonts w:eastAsia="Times New Roman" w:cs="Times New Roman"/>
                <w:color w:val="000000"/>
                <w:sz w:val="18"/>
                <w:szCs w:val="18"/>
                <w:lang w:eastAsia="sk-SK"/>
              </w:rPr>
              <w:t>1 316 774</w:t>
            </w:r>
          </w:p>
        </w:tc>
        <w:tc>
          <w:tcPr>
            <w:tcW w:w="959" w:type="dxa"/>
            <w:tcBorders>
              <w:top w:val="nil"/>
              <w:left w:val="nil"/>
              <w:bottom w:val="nil"/>
              <w:right w:val="nil"/>
            </w:tcBorders>
            <w:shd w:val="clear" w:color="auto" w:fill="auto"/>
            <w:vAlign w:val="center"/>
            <w:hideMark/>
          </w:tcPr>
          <w:p w14:paraId="74E0EC3D" w14:textId="77777777" w:rsidR="00C37509" w:rsidRPr="00C37509" w:rsidRDefault="00C37509" w:rsidP="00C37509">
            <w:pPr>
              <w:spacing w:after="0" w:line="240" w:lineRule="auto"/>
              <w:jc w:val="right"/>
              <w:rPr>
                <w:rFonts w:eastAsia="Times New Roman" w:cs="Times New Roman"/>
                <w:color w:val="000000"/>
                <w:sz w:val="18"/>
                <w:szCs w:val="18"/>
                <w:lang w:eastAsia="sk-SK"/>
              </w:rPr>
            </w:pPr>
            <w:r w:rsidRPr="00C37509">
              <w:rPr>
                <w:rFonts w:eastAsia="Times New Roman" w:cs="Times New Roman"/>
                <w:color w:val="000000"/>
                <w:sz w:val="18"/>
                <w:szCs w:val="18"/>
                <w:lang w:eastAsia="sk-SK"/>
              </w:rPr>
              <w:t>1 337 774</w:t>
            </w:r>
          </w:p>
        </w:tc>
        <w:tc>
          <w:tcPr>
            <w:tcW w:w="1025" w:type="dxa"/>
            <w:tcBorders>
              <w:top w:val="nil"/>
              <w:left w:val="nil"/>
              <w:bottom w:val="nil"/>
              <w:right w:val="nil"/>
            </w:tcBorders>
            <w:shd w:val="clear" w:color="000000" w:fill="BFBFBF"/>
            <w:vAlign w:val="center"/>
            <w:hideMark/>
          </w:tcPr>
          <w:p w14:paraId="73D3D5B8" w14:textId="77777777" w:rsidR="00C37509" w:rsidRPr="00C37509" w:rsidRDefault="00C37509" w:rsidP="00C37509">
            <w:pPr>
              <w:spacing w:after="0" w:line="240" w:lineRule="auto"/>
              <w:jc w:val="right"/>
              <w:rPr>
                <w:rFonts w:eastAsia="Times New Roman" w:cs="Times New Roman"/>
                <w:color w:val="000000"/>
                <w:sz w:val="18"/>
                <w:szCs w:val="18"/>
                <w:lang w:eastAsia="sk-SK"/>
              </w:rPr>
            </w:pPr>
            <w:r w:rsidRPr="00C37509">
              <w:rPr>
                <w:rFonts w:eastAsia="Times New Roman" w:cs="Times New Roman"/>
                <w:color w:val="000000"/>
                <w:sz w:val="18"/>
                <w:szCs w:val="18"/>
                <w:lang w:eastAsia="sk-SK"/>
              </w:rPr>
              <w:t>1 349 189</w:t>
            </w:r>
          </w:p>
        </w:tc>
        <w:tc>
          <w:tcPr>
            <w:tcW w:w="709" w:type="dxa"/>
            <w:tcBorders>
              <w:top w:val="nil"/>
              <w:left w:val="nil"/>
              <w:bottom w:val="nil"/>
              <w:right w:val="nil"/>
            </w:tcBorders>
            <w:shd w:val="clear" w:color="auto" w:fill="auto"/>
            <w:vAlign w:val="center"/>
            <w:hideMark/>
          </w:tcPr>
          <w:p w14:paraId="20BAF3E6" w14:textId="77777777" w:rsidR="00C37509" w:rsidRPr="00C37509" w:rsidRDefault="00C37509" w:rsidP="00C37509">
            <w:pPr>
              <w:spacing w:after="0" w:line="240" w:lineRule="auto"/>
              <w:jc w:val="right"/>
              <w:rPr>
                <w:rFonts w:eastAsia="Times New Roman" w:cs="Times New Roman"/>
                <w:color w:val="000000"/>
                <w:sz w:val="18"/>
                <w:szCs w:val="18"/>
                <w:lang w:eastAsia="sk-SK"/>
              </w:rPr>
            </w:pPr>
            <w:r w:rsidRPr="00C37509">
              <w:rPr>
                <w:rFonts w:eastAsia="Times New Roman" w:cs="Times New Roman"/>
                <w:color w:val="000000"/>
                <w:sz w:val="18"/>
                <w:szCs w:val="18"/>
                <w:lang w:eastAsia="sk-SK"/>
              </w:rPr>
              <w:t>11 415</w:t>
            </w:r>
          </w:p>
        </w:tc>
        <w:tc>
          <w:tcPr>
            <w:tcW w:w="567" w:type="dxa"/>
            <w:tcBorders>
              <w:top w:val="nil"/>
              <w:left w:val="nil"/>
              <w:bottom w:val="nil"/>
              <w:right w:val="nil"/>
            </w:tcBorders>
            <w:shd w:val="clear" w:color="auto" w:fill="auto"/>
            <w:vAlign w:val="center"/>
            <w:hideMark/>
          </w:tcPr>
          <w:p w14:paraId="3F2B825D" w14:textId="77777777" w:rsidR="00C37509" w:rsidRPr="00C37509" w:rsidRDefault="00C37509" w:rsidP="00C37509">
            <w:pPr>
              <w:spacing w:after="0" w:line="240" w:lineRule="auto"/>
              <w:jc w:val="right"/>
              <w:rPr>
                <w:rFonts w:eastAsia="Times New Roman" w:cs="Times New Roman"/>
                <w:color w:val="000000"/>
                <w:sz w:val="18"/>
                <w:szCs w:val="18"/>
                <w:lang w:eastAsia="sk-SK"/>
              </w:rPr>
            </w:pPr>
            <w:r w:rsidRPr="00C37509">
              <w:rPr>
                <w:rFonts w:eastAsia="Times New Roman" w:cs="Times New Roman"/>
                <w:color w:val="000000"/>
                <w:sz w:val="18"/>
                <w:szCs w:val="18"/>
                <w:lang w:eastAsia="sk-SK"/>
              </w:rPr>
              <w:t>0,9</w:t>
            </w:r>
          </w:p>
        </w:tc>
      </w:tr>
      <w:tr w:rsidR="00C37509" w:rsidRPr="00C37509" w14:paraId="3EBCF248" w14:textId="77777777" w:rsidTr="00335449">
        <w:trPr>
          <w:trHeight w:val="1086"/>
        </w:trPr>
        <w:tc>
          <w:tcPr>
            <w:tcW w:w="3544" w:type="dxa"/>
            <w:tcBorders>
              <w:top w:val="nil"/>
              <w:left w:val="nil"/>
              <w:bottom w:val="nil"/>
              <w:right w:val="nil"/>
            </w:tcBorders>
            <w:shd w:val="clear" w:color="auto" w:fill="auto"/>
            <w:vAlign w:val="center"/>
            <w:hideMark/>
          </w:tcPr>
          <w:p w14:paraId="260F2952" w14:textId="77777777" w:rsidR="00C37509" w:rsidRPr="00C37509" w:rsidRDefault="00C37509" w:rsidP="00C37509">
            <w:pPr>
              <w:spacing w:after="0" w:line="240" w:lineRule="auto"/>
              <w:rPr>
                <w:rFonts w:eastAsia="Times New Roman" w:cs="Times New Roman"/>
                <w:color w:val="000000"/>
                <w:sz w:val="18"/>
                <w:szCs w:val="18"/>
                <w:lang w:eastAsia="sk-SK"/>
              </w:rPr>
            </w:pPr>
            <w:r w:rsidRPr="00C37509">
              <w:rPr>
                <w:rFonts w:eastAsia="Times New Roman" w:cs="Times New Roman"/>
                <w:color w:val="000000"/>
                <w:sz w:val="18"/>
                <w:szCs w:val="18"/>
                <w:lang w:eastAsia="sk-SK"/>
              </w:rPr>
              <w:t>Transfery OZ, nadáciám, neziskovým organizáciám, polit. stranám a hnutiam, odborovým organizáciám, cirkev. a </w:t>
            </w:r>
            <w:proofErr w:type="spellStart"/>
            <w:r w:rsidRPr="00C37509">
              <w:rPr>
                <w:rFonts w:eastAsia="Times New Roman" w:cs="Times New Roman"/>
                <w:color w:val="000000"/>
                <w:sz w:val="18"/>
                <w:szCs w:val="18"/>
                <w:lang w:eastAsia="sk-SK"/>
              </w:rPr>
              <w:t>súkrom.školám</w:t>
            </w:r>
            <w:proofErr w:type="spellEnd"/>
            <w:r w:rsidRPr="00C37509">
              <w:rPr>
                <w:rFonts w:eastAsia="Times New Roman" w:cs="Times New Roman"/>
                <w:color w:val="000000"/>
                <w:sz w:val="18"/>
                <w:szCs w:val="18"/>
                <w:lang w:eastAsia="sk-SK"/>
              </w:rPr>
              <w:t>, cirkvám, náboženským spoločnostiam...</w:t>
            </w:r>
          </w:p>
        </w:tc>
        <w:tc>
          <w:tcPr>
            <w:tcW w:w="992" w:type="dxa"/>
            <w:tcBorders>
              <w:top w:val="nil"/>
              <w:left w:val="nil"/>
              <w:bottom w:val="nil"/>
              <w:right w:val="nil"/>
            </w:tcBorders>
            <w:shd w:val="clear" w:color="auto" w:fill="auto"/>
            <w:vAlign w:val="center"/>
            <w:hideMark/>
          </w:tcPr>
          <w:p w14:paraId="2EB101F7" w14:textId="77777777" w:rsidR="00C37509" w:rsidRPr="00C37509" w:rsidRDefault="00C37509" w:rsidP="00C37509">
            <w:pPr>
              <w:spacing w:after="0" w:line="240" w:lineRule="auto"/>
              <w:jc w:val="right"/>
              <w:rPr>
                <w:rFonts w:eastAsia="Times New Roman" w:cs="Times New Roman"/>
                <w:color w:val="000000"/>
                <w:sz w:val="18"/>
                <w:szCs w:val="18"/>
                <w:lang w:eastAsia="sk-SK"/>
              </w:rPr>
            </w:pPr>
            <w:r w:rsidRPr="00C37509">
              <w:rPr>
                <w:rFonts w:eastAsia="Times New Roman" w:cs="Times New Roman"/>
                <w:color w:val="000000"/>
                <w:sz w:val="18"/>
                <w:szCs w:val="18"/>
                <w:lang w:eastAsia="sk-SK"/>
              </w:rPr>
              <w:t>331 797</w:t>
            </w:r>
          </w:p>
        </w:tc>
        <w:tc>
          <w:tcPr>
            <w:tcW w:w="993" w:type="dxa"/>
            <w:tcBorders>
              <w:top w:val="nil"/>
              <w:left w:val="nil"/>
              <w:bottom w:val="nil"/>
              <w:right w:val="nil"/>
            </w:tcBorders>
            <w:shd w:val="clear" w:color="auto" w:fill="auto"/>
            <w:vAlign w:val="center"/>
            <w:hideMark/>
          </w:tcPr>
          <w:p w14:paraId="57A51CAC" w14:textId="77777777" w:rsidR="00C37509" w:rsidRPr="00C37509" w:rsidRDefault="00C37509" w:rsidP="00C37509">
            <w:pPr>
              <w:spacing w:after="0" w:line="240" w:lineRule="auto"/>
              <w:jc w:val="right"/>
              <w:rPr>
                <w:rFonts w:eastAsia="Times New Roman" w:cs="Times New Roman"/>
                <w:color w:val="000000"/>
                <w:sz w:val="18"/>
                <w:szCs w:val="18"/>
                <w:lang w:eastAsia="sk-SK"/>
              </w:rPr>
            </w:pPr>
            <w:r w:rsidRPr="00C37509">
              <w:rPr>
                <w:rFonts w:eastAsia="Times New Roman" w:cs="Times New Roman"/>
                <w:color w:val="000000"/>
                <w:sz w:val="18"/>
                <w:szCs w:val="18"/>
                <w:lang w:eastAsia="sk-SK"/>
              </w:rPr>
              <w:t>372 296</w:t>
            </w:r>
          </w:p>
        </w:tc>
        <w:tc>
          <w:tcPr>
            <w:tcW w:w="959" w:type="dxa"/>
            <w:tcBorders>
              <w:top w:val="nil"/>
              <w:left w:val="nil"/>
              <w:bottom w:val="nil"/>
              <w:right w:val="nil"/>
            </w:tcBorders>
            <w:shd w:val="clear" w:color="auto" w:fill="auto"/>
            <w:vAlign w:val="center"/>
            <w:hideMark/>
          </w:tcPr>
          <w:p w14:paraId="7449D84F" w14:textId="77777777" w:rsidR="00C37509" w:rsidRPr="00C37509" w:rsidRDefault="00C37509" w:rsidP="00C37509">
            <w:pPr>
              <w:spacing w:after="0" w:line="240" w:lineRule="auto"/>
              <w:jc w:val="right"/>
              <w:rPr>
                <w:rFonts w:eastAsia="Times New Roman" w:cs="Times New Roman"/>
                <w:color w:val="000000"/>
                <w:sz w:val="18"/>
                <w:szCs w:val="18"/>
                <w:lang w:eastAsia="sk-SK"/>
              </w:rPr>
            </w:pPr>
            <w:r w:rsidRPr="00C37509">
              <w:rPr>
                <w:rFonts w:eastAsia="Times New Roman" w:cs="Times New Roman"/>
                <w:color w:val="000000"/>
                <w:sz w:val="18"/>
                <w:szCs w:val="18"/>
                <w:lang w:eastAsia="sk-SK"/>
              </w:rPr>
              <w:t>372 204</w:t>
            </w:r>
          </w:p>
        </w:tc>
        <w:tc>
          <w:tcPr>
            <w:tcW w:w="1025" w:type="dxa"/>
            <w:tcBorders>
              <w:top w:val="nil"/>
              <w:left w:val="nil"/>
              <w:bottom w:val="nil"/>
              <w:right w:val="nil"/>
            </w:tcBorders>
            <w:shd w:val="clear" w:color="000000" w:fill="BFBFBF"/>
            <w:vAlign w:val="center"/>
            <w:hideMark/>
          </w:tcPr>
          <w:p w14:paraId="4FFC4922" w14:textId="77777777" w:rsidR="00C37509" w:rsidRPr="00C37509" w:rsidRDefault="00C37509" w:rsidP="00C37509">
            <w:pPr>
              <w:spacing w:after="0" w:line="240" w:lineRule="auto"/>
              <w:jc w:val="right"/>
              <w:rPr>
                <w:rFonts w:eastAsia="Times New Roman" w:cs="Times New Roman"/>
                <w:color w:val="000000"/>
                <w:sz w:val="18"/>
                <w:szCs w:val="18"/>
                <w:lang w:eastAsia="sk-SK"/>
              </w:rPr>
            </w:pPr>
            <w:r w:rsidRPr="00C37509">
              <w:rPr>
                <w:rFonts w:eastAsia="Times New Roman" w:cs="Times New Roman"/>
                <w:color w:val="000000"/>
                <w:sz w:val="18"/>
                <w:szCs w:val="18"/>
                <w:lang w:eastAsia="sk-SK"/>
              </w:rPr>
              <w:t>429 280</w:t>
            </w:r>
          </w:p>
        </w:tc>
        <w:tc>
          <w:tcPr>
            <w:tcW w:w="709" w:type="dxa"/>
            <w:tcBorders>
              <w:top w:val="nil"/>
              <w:left w:val="nil"/>
              <w:bottom w:val="nil"/>
              <w:right w:val="nil"/>
            </w:tcBorders>
            <w:shd w:val="clear" w:color="auto" w:fill="auto"/>
            <w:vAlign w:val="center"/>
            <w:hideMark/>
          </w:tcPr>
          <w:p w14:paraId="1C8E6FB3" w14:textId="77777777" w:rsidR="00C37509" w:rsidRPr="00C37509" w:rsidRDefault="00C37509" w:rsidP="00C37509">
            <w:pPr>
              <w:spacing w:after="0" w:line="240" w:lineRule="auto"/>
              <w:jc w:val="right"/>
              <w:rPr>
                <w:rFonts w:eastAsia="Times New Roman" w:cs="Times New Roman"/>
                <w:color w:val="000000"/>
                <w:sz w:val="18"/>
                <w:szCs w:val="18"/>
                <w:lang w:eastAsia="sk-SK"/>
              </w:rPr>
            </w:pPr>
            <w:r w:rsidRPr="00C37509">
              <w:rPr>
                <w:rFonts w:eastAsia="Times New Roman" w:cs="Times New Roman"/>
                <w:color w:val="000000"/>
                <w:sz w:val="18"/>
                <w:szCs w:val="18"/>
                <w:lang w:eastAsia="sk-SK"/>
              </w:rPr>
              <w:t>57 076</w:t>
            </w:r>
          </w:p>
        </w:tc>
        <w:tc>
          <w:tcPr>
            <w:tcW w:w="567" w:type="dxa"/>
            <w:tcBorders>
              <w:top w:val="nil"/>
              <w:left w:val="nil"/>
              <w:bottom w:val="nil"/>
              <w:right w:val="nil"/>
            </w:tcBorders>
            <w:shd w:val="clear" w:color="auto" w:fill="auto"/>
            <w:vAlign w:val="center"/>
            <w:hideMark/>
          </w:tcPr>
          <w:p w14:paraId="1F5FF168" w14:textId="77777777" w:rsidR="00C37509" w:rsidRPr="00C37509" w:rsidRDefault="00C37509" w:rsidP="00C37509">
            <w:pPr>
              <w:spacing w:after="0" w:line="240" w:lineRule="auto"/>
              <w:jc w:val="right"/>
              <w:rPr>
                <w:rFonts w:eastAsia="Times New Roman" w:cs="Times New Roman"/>
                <w:color w:val="000000"/>
                <w:sz w:val="18"/>
                <w:szCs w:val="18"/>
                <w:lang w:eastAsia="sk-SK"/>
              </w:rPr>
            </w:pPr>
            <w:r w:rsidRPr="00C37509">
              <w:rPr>
                <w:rFonts w:eastAsia="Times New Roman" w:cs="Times New Roman"/>
                <w:color w:val="000000"/>
                <w:sz w:val="18"/>
                <w:szCs w:val="18"/>
                <w:lang w:eastAsia="sk-SK"/>
              </w:rPr>
              <w:t>15,3</w:t>
            </w:r>
          </w:p>
        </w:tc>
      </w:tr>
      <w:tr w:rsidR="007A778D" w:rsidRPr="00C37509" w14:paraId="490DD676" w14:textId="77777777" w:rsidTr="00335449">
        <w:trPr>
          <w:trHeight w:val="97"/>
        </w:trPr>
        <w:tc>
          <w:tcPr>
            <w:tcW w:w="3544" w:type="dxa"/>
            <w:tcBorders>
              <w:top w:val="nil"/>
              <w:left w:val="nil"/>
              <w:bottom w:val="nil"/>
              <w:right w:val="nil"/>
            </w:tcBorders>
            <w:shd w:val="clear" w:color="auto" w:fill="auto"/>
            <w:vAlign w:val="center"/>
            <w:hideMark/>
          </w:tcPr>
          <w:p w14:paraId="704DBDA4" w14:textId="77777777" w:rsidR="007A778D" w:rsidRPr="00C37509" w:rsidRDefault="007A778D" w:rsidP="00550751">
            <w:pPr>
              <w:spacing w:after="0" w:line="240" w:lineRule="auto"/>
              <w:rPr>
                <w:rFonts w:eastAsia="Times New Roman" w:cs="Times New Roman"/>
                <w:color w:val="000000"/>
                <w:sz w:val="18"/>
                <w:szCs w:val="18"/>
                <w:lang w:eastAsia="sk-SK"/>
              </w:rPr>
            </w:pPr>
            <w:r w:rsidRPr="00C37509">
              <w:rPr>
                <w:rFonts w:eastAsia="Times New Roman" w:cs="Times New Roman"/>
                <w:color w:val="000000"/>
                <w:sz w:val="18"/>
                <w:szCs w:val="18"/>
                <w:lang w:eastAsia="sk-SK"/>
              </w:rPr>
              <w:t>Na aktívne opatrenia trhu práce</w:t>
            </w:r>
          </w:p>
        </w:tc>
        <w:tc>
          <w:tcPr>
            <w:tcW w:w="992" w:type="dxa"/>
            <w:tcBorders>
              <w:top w:val="nil"/>
              <w:left w:val="nil"/>
              <w:bottom w:val="nil"/>
              <w:right w:val="nil"/>
            </w:tcBorders>
            <w:shd w:val="clear" w:color="auto" w:fill="auto"/>
            <w:vAlign w:val="center"/>
            <w:hideMark/>
          </w:tcPr>
          <w:p w14:paraId="71712147" w14:textId="77777777" w:rsidR="007A778D" w:rsidRPr="00C37509" w:rsidRDefault="007A778D" w:rsidP="00550751">
            <w:pPr>
              <w:spacing w:after="0" w:line="240" w:lineRule="auto"/>
              <w:jc w:val="right"/>
              <w:rPr>
                <w:rFonts w:eastAsia="Times New Roman" w:cs="Times New Roman"/>
                <w:color w:val="000000"/>
                <w:sz w:val="18"/>
                <w:szCs w:val="18"/>
                <w:lang w:eastAsia="sk-SK"/>
              </w:rPr>
            </w:pPr>
            <w:r w:rsidRPr="00C37509">
              <w:rPr>
                <w:rFonts w:eastAsia="Times New Roman" w:cs="Times New Roman"/>
                <w:color w:val="000000"/>
                <w:sz w:val="18"/>
                <w:szCs w:val="18"/>
                <w:lang w:eastAsia="sk-SK"/>
              </w:rPr>
              <w:t>171 594</w:t>
            </w:r>
          </w:p>
        </w:tc>
        <w:tc>
          <w:tcPr>
            <w:tcW w:w="993" w:type="dxa"/>
            <w:tcBorders>
              <w:top w:val="nil"/>
              <w:left w:val="nil"/>
              <w:bottom w:val="nil"/>
              <w:right w:val="nil"/>
            </w:tcBorders>
            <w:shd w:val="clear" w:color="auto" w:fill="auto"/>
            <w:vAlign w:val="center"/>
            <w:hideMark/>
          </w:tcPr>
          <w:p w14:paraId="1C16A5CB" w14:textId="77777777" w:rsidR="007A778D" w:rsidRPr="00C37509" w:rsidRDefault="007A778D" w:rsidP="00550751">
            <w:pPr>
              <w:spacing w:after="0" w:line="240" w:lineRule="auto"/>
              <w:jc w:val="right"/>
              <w:rPr>
                <w:rFonts w:eastAsia="Times New Roman" w:cs="Times New Roman"/>
                <w:color w:val="000000"/>
                <w:sz w:val="18"/>
                <w:szCs w:val="18"/>
                <w:lang w:eastAsia="sk-SK"/>
              </w:rPr>
            </w:pPr>
            <w:r w:rsidRPr="00C37509">
              <w:rPr>
                <w:rFonts w:eastAsia="Times New Roman" w:cs="Times New Roman"/>
                <w:color w:val="000000"/>
                <w:sz w:val="18"/>
                <w:szCs w:val="18"/>
                <w:lang w:eastAsia="sk-SK"/>
              </w:rPr>
              <w:t>165 085</w:t>
            </w:r>
          </w:p>
        </w:tc>
        <w:tc>
          <w:tcPr>
            <w:tcW w:w="959" w:type="dxa"/>
            <w:tcBorders>
              <w:top w:val="nil"/>
              <w:left w:val="nil"/>
              <w:bottom w:val="nil"/>
              <w:right w:val="nil"/>
            </w:tcBorders>
            <w:shd w:val="clear" w:color="auto" w:fill="auto"/>
            <w:vAlign w:val="center"/>
            <w:hideMark/>
          </w:tcPr>
          <w:p w14:paraId="2BE3201C" w14:textId="77777777" w:rsidR="007A778D" w:rsidRPr="00C37509" w:rsidRDefault="007A778D" w:rsidP="00550751">
            <w:pPr>
              <w:spacing w:after="0" w:line="240" w:lineRule="auto"/>
              <w:jc w:val="right"/>
              <w:rPr>
                <w:rFonts w:eastAsia="Times New Roman" w:cs="Times New Roman"/>
                <w:color w:val="000000"/>
                <w:sz w:val="18"/>
                <w:szCs w:val="18"/>
                <w:lang w:eastAsia="sk-SK"/>
              </w:rPr>
            </w:pPr>
            <w:r w:rsidRPr="00C37509">
              <w:rPr>
                <w:rFonts w:eastAsia="Times New Roman" w:cs="Times New Roman"/>
                <w:color w:val="000000"/>
                <w:sz w:val="18"/>
                <w:szCs w:val="18"/>
                <w:lang w:eastAsia="sk-SK"/>
              </w:rPr>
              <w:t>180 215</w:t>
            </w:r>
          </w:p>
        </w:tc>
        <w:tc>
          <w:tcPr>
            <w:tcW w:w="1025" w:type="dxa"/>
            <w:tcBorders>
              <w:top w:val="nil"/>
              <w:left w:val="nil"/>
              <w:bottom w:val="nil"/>
              <w:right w:val="nil"/>
            </w:tcBorders>
            <w:shd w:val="clear" w:color="000000" w:fill="BFBFBF"/>
            <w:vAlign w:val="center"/>
            <w:hideMark/>
          </w:tcPr>
          <w:p w14:paraId="435390F6" w14:textId="77777777" w:rsidR="007A778D" w:rsidRPr="00C37509" w:rsidRDefault="007A778D" w:rsidP="00550751">
            <w:pPr>
              <w:spacing w:after="0" w:line="240" w:lineRule="auto"/>
              <w:jc w:val="right"/>
              <w:rPr>
                <w:rFonts w:eastAsia="Times New Roman" w:cs="Times New Roman"/>
                <w:color w:val="000000"/>
                <w:sz w:val="18"/>
                <w:szCs w:val="18"/>
                <w:lang w:eastAsia="sk-SK"/>
              </w:rPr>
            </w:pPr>
            <w:r w:rsidRPr="00C37509">
              <w:rPr>
                <w:rFonts w:eastAsia="Times New Roman" w:cs="Times New Roman"/>
                <w:color w:val="000000"/>
                <w:sz w:val="18"/>
                <w:szCs w:val="18"/>
                <w:lang w:eastAsia="sk-SK"/>
              </w:rPr>
              <w:t>191 432</w:t>
            </w:r>
          </w:p>
        </w:tc>
        <w:tc>
          <w:tcPr>
            <w:tcW w:w="709" w:type="dxa"/>
            <w:tcBorders>
              <w:top w:val="nil"/>
              <w:left w:val="nil"/>
              <w:bottom w:val="nil"/>
              <w:right w:val="nil"/>
            </w:tcBorders>
            <w:shd w:val="clear" w:color="auto" w:fill="auto"/>
            <w:vAlign w:val="center"/>
            <w:hideMark/>
          </w:tcPr>
          <w:p w14:paraId="77ED0F72" w14:textId="77777777" w:rsidR="007A778D" w:rsidRPr="00C37509" w:rsidRDefault="007A778D" w:rsidP="00550751">
            <w:pPr>
              <w:spacing w:after="0" w:line="240" w:lineRule="auto"/>
              <w:jc w:val="right"/>
              <w:rPr>
                <w:rFonts w:eastAsia="Times New Roman" w:cs="Times New Roman"/>
                <w:color w:val="000000"/>
                <w:sz w:val="18"/>
                <w:szCs w:val="18"/>
                <w:lang w:eastAsia="sk-SK"/>
              </w:rPr>
            </w:pPr>
            <w:r w:rsidRPr="00C37509">
              <w:rPr>
                <w:rFonts w:eastAsia="Times New Roman" w:cs="Times New Roman"/>
                <w:color w:val="000000"/>
                <w:sz w:val="18"/>
                <w:szCs w:val="18"/>
                <w:lang w:eastAsia="sk-SK"/>
              </w:rPr>
              <w:t>11 217</w:t>
            </w:r>
          </w:p>
        </w:tc>
        <w:tc>
          <w:tcPr>
            <w:tcW w:w="567" w:type="dxa"/>
            <w:tcBorders>
              <w:top w:val="nil"/>
              <w:left w:val="nil"/>
              <w:bottom w:val="nil"/>
              <w:right w:val="nil"/>
            </w:tcBorders>
            <w:shd w:val="clear" w:color="auto" w:fill="auto"/>
            <w:vAlign w:val="center"/>
            <w:hideMark/>
          </w:tcPr>
          <w:p w14:paraId="5C767FB3" w14:textId="77777777" w:rsidR="007A778D" w:rsidRPr="00C37509" w:rsidRDefault="007A778D" w:rsidP="00550751">
            <w:pPr>
              <w:spacing w:after="0" w:line="240" w:lineRule="auto"/>
              <w:jc w:val="right"/>
              <w:rPr>
                <w:rFonts w:eastAsia="Times New Roman" w:cs="Times New Roman"/>
                <w:color w:val="000000"/>
                <w:sz w:val="18"/>
                <w:szCs w:val="18"/>
                <w:lang w:eastAsia="sk-SK"/>
              </w:rPr>
            </w:pPr>
            <w:r w:rsidRPr="00C37509">
              <w:rPr>
                <w:rFonts w:eastAsia="Times New Roman" w:cs="Times New Roman"/>
                <w:color w:val="000000"/>
                <w:sz w:val="18"/>
                <w:szCs w:val="18"/>
                <w:lang w:eastAsia="sk-SK"/>
              </w:rPr>
              <w:t>6,2</w:t>
            </w:r>
          </w:p>
        </w:tc>
      </w:tr>
      <w:tr w:rsidR="00C37509" w:rsidRPr="00C37509" w14:paraId="12A52F4E" w14:textId="77777777" w:rsidTr="00335449">
        <w:trPr>
          <w:trHeight w:val="420"/>
        </w:trPr>
        <w:tc>
          <w:tcPr>
            <w:tcW w:w="3544" w:type="dxa"/>
            <w:tcBorders>
              <w:top w:val="nil"/>
              <w:left w:val="nil"/>
              <w:bottom w:val="nil"/>
              <w:right w:val="nil"/>
            </w:tcBorders>
            <w:shd w:val="clear" w:color="auto" w:fill="auto"/>
            <w:vAlign w:val="center"/>
            <w:hideMark/>
          </w:tcPr>
          <w:p w14:paraId="71A78347" w14:textId="77777777" w:rsidR="00C37509" w:rsidRPr="00C37509" w:rsidRDefault="00C37509" w:rsidP="00C37509">
            <w:pPr>
              <w:spacing w:after="0" w:line="240" w:lineRule="auto"/>
              <w:rPr>
                <w:rFonts w:eastAsia="Times New Roman" w:cs="Times New Roman"/>
                <w:color w:val="000000"/>
                <w:sz w:val="18"/>
                <w:szCs w:val="18"/>
                <w:lang w:eastAsia="sk-SK"/>
              </w:rPr>
            </w:pPr>
            <w:r w:rsidRPr="00C37509">
              <w:rPr>
                <w:rFonts w:eastAsia="Times New Roman" w:cs="Times New Roman"/>
                <w:color w:val="000000"/>
                <w:sz w:val="18"/>
                <w:szCs w:val="18"/>
                <w:lang w:eastAsia="sk-SK"/>
              </w:rPr>
              <w:t>Príspevok na osobitný účet</w:t>
            </w:r>
          </w:p>
        </w:tc>
        <w:tc>
          <w:tcPr>
            <w:tcW w:w="992" w:type="dxa"/>
            <w:tcBorders>
              <w:top w:val="nil"/>
              <w:left w:val="nil"/>
              <w:bottom w:val="nil"/>
              <w:right w:val="nil"/>
            </w:tcBorders>
            <w:shd w:val="clear" w:color="auto" w:fill="auto"/>
            <w:vAlign w:val="center"/>
            <w:hideMark/>
          </w:tcPr>
          <w:p w14:paraId="426433CD" w14:textId="77777777" w:rsidR="00C37509" w:rsidRPr="00C37509" w:rsidRDefault="00C37509" w:rsidP="00C37509">
            <w:pPr>
              <w:spacing w:after="0" w:line="240" w:lineRule="auto"/>
              <w:jc w:val="right"/>
              <w:rPr>
                <w:rFonts w:eastAsia="Times New Roman" w:cs="Times New Roman"/>
                <w:color w:val="000000"/>
                <w:sz w:val="18"/>
                <w:szCs w:val="18"/>
                <w:lang w:eastAsia="sk-SK"/>
              </w:rPr>
            </w:pPr>
            <w:r w:rsidRPr="00C37509">
              <w:rPr>
                <w:rFonts w:eastAsia="Times New Roman" w:cs="Times New Roman"/>
                <w:color w:val="000000"/>
                <w:sz w:val="18"/>
                <w:szCs w:val="18"/>
                <w:lang w:eastAsia="sk-SK"/>
              </w:rPr>
              <w:t>94 158</w:t>
            </w:r>
          </w:p>
        </w:tc>
        <w:tc>
          <w:tcPr>
            <w:tcW w:w="993" w:type="dxa"/>
            <w:tcBorders>
              <w:top w:val="nil"/>
              <w:left w:val="nil"/>
              <w:bottom w:val="nil"/>
              <w:right w:val="nil"/>
            </w:tcBorders>
            <w:shd w:val="clear" w:color="auto" w:fill="auto"/>
            <w:vAlign w:val="center"/>
            <w:hideMark/>
          </w:tcPr>
          <w:p w14:paraId="192426CD" w14:textId="77777777" w:rsidR="00C37509" w:rsidRPr="00C37509" w:rsidRDefault="00C37509" w:rsidP="00C37509">
            <w:pPr>
              <w:spacing w:after="0" w:line="240" w:lineRule="auto"/>
              <w:jc w:val="right"/>
              <w:rPr>
                <w:rFonts w:eastAsia="Times New Roman" w:cs="Times New Roman"/>
                <w:color w:val="000000"/>
                <w:sz w:val="18"/>
                <w:szCs w:val="18"/>
                <w:lang w:eastAsia="sk-SK"/>
              </w:rPr>
            </w:pPr>
            <w:r w:rsidRPr="00C37509">
              <w:rPr>
                <w:rFonts w:eastAsia="Times New Roman" w:cs="Times New Roman"/>
                <w:color w:val="000000"/>
                <w:sz w:val="18"/>
                <w:szCs w:val="18"/>
                <w:lang w:eastAsia="sk-SK"/>
              </w:rPr>
              <w:t>93 713</w:t>
            </w:r>
          </w:p>
        </w:tc>
        <w:tc>
          <w:tcPr>
            <w:tcW w:w="959" w:type="dxa"/>
            <w:tcBorders>
              <w:top w:val="nil"/>
              <w:left w:val="nil"/>
              <w:bottom w:val="nil"/>
              <w:right w:val="nil"/>
            </w:tcBorders>
            <w:shd w:val="clear" w:color="auto" w:fill="auto"/>
            <w:vAlign w:val="center"/>
            <w:hideMark/>
          </w:tcPr>
          <w:p w14:paraId="1AF14C75" w14:textId="77777777" w:rsidR="00C37509" w:rsidRPr="00C37509" w:rsidRDefault="00C37509" w:rsidP="00C37509">
            <w:pPr>
              <w:spacing w:after="0" w:line="240" w:lineRule="auto"/>
              <w:jc w:val="right"/>
              <w:rPr>
                <w:rFonts w:eastAsia="Times New Roman" w:cs="Times New Roman"/>
                <w:color w:val="000000"/>
                <w:sz w:val="18"/>
                <w:szCs w:val="18"/>
                <w:lang w:eastAsia="sk-SK"/>
              </w:rPr>
            </w:pPr>
            <w:r w:rsidRPr="00C37509">
              <w:rPr>
                <w:rFonts w:eastAsia="Times New Roman" w:cs="Times New Roman"/>
                <w:color w:val="000000"/>
                <w:sz w:val="18"/>
                <w:szCs w:val="18"/>
                <w:lang w:eastAsia="sk-SK"/>
              </w:rPr>
              <w:t>97 840</w:t>
            </w:r>
          </w:p>
        </w:tc>
        <w:tc>
          <w:tcPr>
            <w:tcW w:w="1025" w:type="dxa"/>
            <w:tcBorders>
              <w:top w:val="nil"/>
              <w:left w:val="nil"/>
              <w:bottom w:val="nil"/>
              <w:right w:val="nil"/>
            </w:tcBorders>
            <w:shd w:val="clear" w:color="000000" w:fill="BFBFBF"/>
            <w:vAlign w:val="center"/>
            <w:hideMark/>
          </w:tcPr>
          <w:p w14:paraId="360EF102" w14:textId="77777777" w:rsidR="00C37509" w:rsidRPr="00C37509" w:rsidRDefault="00C37509" w:rsidP="00C37509">
            <w:pPr>
              <w:spacing w:after="0" w:line="240" w:lineRule="auto"/>
              <w:jc w:val="right"/>
              <w:rPr>
                <w:rFonts w:eastAsia="Times New Roman" w:cs="Times New Roman"/>
                <w:color w:val="000000"/>
                <w:sz w:val="18"/>
                <w:szCs w:val="18"/>
                <w:lang w:eastAsia="sk-SK"/>
              </w:rPr>
            </w:pPr>
            <w:r w:rsidRPr="00C37509">
              <w:rPr>
                <w:rFonts w:eastAsia="Times New Roman" w:cs="Times New Roman"/>
                <w:color w:val="000000"/>
                <w:sz w:val="18"/>
                <w:szCs w:val="18"/>
                <w:lang w:eastAsia="sk-SK"/>
              </w:rPr>
              <w:t>90 123</w:t>
            </w:r>
          </w:p>
        </w:tc>
        <w:tc>
          <w:tcPr>
            <w:tcW w:w="709" w:type="dxa"/>
            <w:tcBorders>
              <w:top w:val="nil"/>
              <w:left w:val="nil"/>
              <w:bottom w:val="nil"/>
              <w:right w:val="nil"/>
            </w:tcBorders>
            <w:shd w:val="clear" w:color="auto" w:fill="auto"/>
            <w:vAlign w:val="center"/>
            <w:hideMark/>
          </w:tcPr>
          <w:p w14:paraId="76409EA8" w14:textId="77777777" w:rsidR="00C37509" w:rsidRPr="00C37509" w:rsidRDefault="00C37509" w:rsidP="00C37509">
            <w:pPr>
              <w:spacing w:after="0" w:line="240" w:lineRule="auto"/>
              <w:jc w:val="right"/>
              <w:rPr>
                <w:rFonts w:eastAsia="Times New Roman" w:cs="Times New Roman"/>
                <w:color w:val="000000"/>
                <w:sz w:val="18"/>
                <w:szCs w:val="18"/>
                <w:lang w:eastAsia="sk-SK"/>
              </w:rPr>
            </w:pPr>
            <w:r w:rsidRPr="00C37509">
              <w:rPr>
                <w:rFonts w:eastAsia="Times New Roman" w:cs="Times New Roman"/>
                <w:color w:val="000000"/>
                <w:sz w:val="18"/>
                <w:szCs w:val="18"/>
                <w:lang w:eastAsia="sk-SK"/>
              </w:rPr>
              <w:t>-7 717</w:t>
            </w:r>
          </w:p>
        </w:tc>
        <w:tc>
          <w:tcPr>
            <w:tcW w:w="567" w:type="dxa"/>
            <w:tcBorders>
              <w:top w:val="nil"/>
              <w:left w:val="nil"/>
              <w:bottom w:val="nil"/>
              <w:right w:val="nil"/>
            </w:tcBorders>
            <w:shd w:val="clear" w:color="auto" w:fill="auto"/>
            <w:vAlign w:val="center"/>
            <w:hideMark/>
          </w:tcPr>
          <w:p w14:paraId="2813976E" w14:textId="77777777" w:rsidR="00C37509" w:rsidRPr="00C37509" w:rsidRDefault="00C37509" w:rsidP="00C37509">
            <w:pPr>
              <w:spacing w:after="0" w:line="240" w:lineRule="auto"/>
              <w:jc w:val="right"/>
              <w:rPr>
                <w:rFonts w:eastAsia="Times New Roman" w:cs="Times New Roman"/>
                <w:color w:val="000000"/>
                <w:sz w:val="18"/>
                <w:szCs w:val="18"/>
                <w:lang w:eastAsia="sk-SK"/>
              </w:rPr>
            </w:pPr>
            <w:r w:rsidRPr="00C37509">
              <w:rPr>
                <w:rFonts w:eastAsia="Times New Roman" w:cs="Times New Roman"/>
                <w:color w:val="000000"/>
                <w:sz w:val="18"/>
                <w:szCs w:val="18"/>
                <w:lang w:eastAsia="sk-SK"/>
              </w:rPr>
              <w:t>-7,9</w:t>
            </w:r>
          </w:p>
        </w:tc>
      </w:tr>
      <w:tr w:rsidR="00C37509" w:rsidRPr="00C37509" w14:paraId="6C1E84DB" w14:textId="77777777" w:rsidTr="00335449">
        <w:trPr>
          <w:trHeight w:val="349"/>
        </w:trPr>
        <w:tc>
          <w:tcPr>
            <w:tcW w:w="3544" w:type="dxa"/>
            <w:tcBorders>
              <w:top w:val="nil"/>
              <w:left w:val="nil"/>
              <w:bottom w:val="nil"/>
              <w:right w:val="nil"/>
            </w:tcBorders>
            <w:shd w:val="clear" w:color="auto" w:fill="auto"/>
            <w:vAlign w:val="center"/>
            <w:hideMark/>
          </w:tcPr>
          <w:p w14:paraId="66147CBB" w14:textId="77777777" w:rsidR="00C37509" w:rsidRPr="00C37509" w:rsidRDefault="00C37509" w:rsidP="00C37509">
            <w:pPr>
              <w:spacing w:after="0" w:line="240" w:lineRule="auto"/>
              <w:rPr>
                <w:rFonts w:eastAsia="Times New Roman" w:cs="Times New Roman"/>
                <w:color w:val="000000"/>
                <w:sz w:val="18"/>
                <w:szCs w:val="18"/>
                <w:lang w:eastAsia="sk-SK"/>
              </w:rPr>
            </w:pPr>
            <w:r w:rsidRPr="00C37509">
              <w:rPr>
                <w:rFonts w:eastAsia="Times New Roman" w:cs="Times New Roman"/>
                <w:color w:val="000000"/>
                <w:sz w:val="18"/>
                <w:szCs w:val="18"/>
                <w:lang w:eastAsia="sk-SK"/>
              </w:rPr>
              <w:t>Jednotlivcom</w:t>
            </w:r>
          </w:p>
        </w:tc>
        <w:tc>
          <w:tcPr>
            <w:tcW w:w="992" w:type="dxa"/>
            <w:tcBorders>
              <w:top w:val="nil"/>
              <w:left w:val="nil"/>
              <w:bottom w:val="nil"/>
              <w:right w:val="nil"/>
            </w:tcBorders>
            <w:shd w:val="clear" w:color="auto" w:fill="auto"/>
            <w:vAlign w:val="center"/>
            <w:hideMark/>
          </w:tcPr>
          <w:p w14:paraId="3B01F105" w14:textId="77777777" w:rsidR="00C37509" w:rsidRPr="00C37509" w:rsidRDefault="00C37509" w:rsidP="00C37509">
            <w:pPr>
              <w:spacing w:after="0" w:line="240" w:lineRule="auto"/>
              <w:jc w:val="right"/>
              <w:rPr>
                <w:rFonts w:eastAsia="Times New Roman" w:cs="Times New Roman"/>
                <w:color w:val="000000"/>
                <w:sz w:val="18"/>
                <w:szCs w:val="18"/>
                <w:lang w:eastAsia="sk-SK"/>
              </w:rPr>
            </w:pPr>
            <w:r w:rsidRPr="00C37509">
              <w:rPr>
                <w:rFonts w:eastAsia="Times New Roman" w:cs="Times New Roman"/>
                <w:color w:val="000000"/>
                <w:sz w:val="18"/>
                <w:szCs w:val="18"/>
                <w:lang w:eastAsia="sk-SK"/>
              </w:rPr>
              <w:t>114 898</w:t>
            </w:r>
          </w:p>
        </w:tc>
        <w:tc>
          <w:tcPr>
            <w:tcW w:w="993" w:type="dxa"/>
            <w:tcBorders>
              <w:top w:val="nil"/>
              <w:left w:val="nil"/>
              <w:bottom w:val="nil"/>
              <w:right w:val="nil"/>
            </w:tcBorders>
            <w:shd w:val="clear" w:color="auto" w:fill="auto"/>
            <w:vAlign w:val="center"/>
            <w:hideMark/>
          </w:tcPr>
          <w:p w14:paraId="5488138C" w14:textId="77777777" w:rsidR="00C37509" w:rsidRPr="00C37509" w:rsidRDefault="00C37509" w:rsidP="00C37509">
            <w:pPr>
              <w:spacing w:after="0" w:line="240" w:lineRule="auto"/>
              <w:jc w:val="right"/>
              <w:rPr>
                <w:rFonts w:eastAsia="Times New Roman" w:cs="Times New Roman"/>
                <w:color w:val="000000"/>
                <w:sz w:val="18"/>
                <w:szCs w:val="18"/>
                <w:lang w:eastAsia="sk-SK"/>
              </w:rPr>
            </w:pPr>
            <w:r w:rsidRPr="00C37509">
              <w:rPr>
                <w:rFonts w:eastAsia="Times New Roman" w:cs="Times New Roman"/>
                <w:color w:val="000000"/>
                <w:sz w:val="18"/>
                <w:szCs w:val="18"/>
                <w:lang w:eastAsia="sk-SK"/>
              </w:rPr>
              <w:t>71 607</w:t>
            </w:r>
          </w:p>
        </w:tc>
        <w:tc>
          <w:tcPr>
            <w:tcW w:w="959" w:type="dxa"/>
            <w:tcBorders>
              <w:top w:val="nil"/>
              <w:left w:val="nil"/>
              <w:bottom w:val="nil"/>
              <w:right w:val="nil"/>
            </w:tcBorders>
            <w:shd w:val="clear" w:color="auto" w:fill="auto"/>
            <w:vAlign w:val="center"/>
            <w:hideMark/>
          </w:tcPr>
          <w:p w14:paraId="0362CDAF" w14:textId="77777777" w:rsidR="00C37509" w:rsidRPr="00C37509" w:rsidRDefault="00C37509" w:rsidP="00C37509">
            <w:pPr>
              <w:spacing w:after="0" w:line="240" w:lineRule="auto"/>
              <w:jc w:val="right"/>
              <w:rPr>
                <w:rFonts w:eastAsia="Times New Roman" w:cs="Times New Roman"/>
                <w:color w:val="000000"/>
                <w:sz w:val="18"/>
                <w:szCs w:val="18"/>
                <w:lang w:eastAsia="sk-SK"/>
              </w:rPr>
            </w:pPr>
            <w:r w:rsidRPr="00C37509">
              <w:rPr>
                <w:rFonts w:eastAsia="Times New Roman" w:cs="Times New Roman"/>
                <w:color w:val="000000"/>
                <w:sz w:val="18"/>
                <w:szCs w:val="18"/>
                <w:lang w:eastAsia="sk-SK"/>
              </w:rPr>
              <w:t>71 243</w:t>
            </w:r>
          </w:p>
        </w:tc>
        <w:tc>
          <w:tcPr>
            <w:tcW w:w="1025" w:type="dxa"/>
            <w:tcBorders>
              <w:top w:val="nil"/>
              <w:left w:val="nil"/>
              <w:bottom w:val="nil"/>
              <w:right w:val="nil"/>
            </w:tcBorders>
            <w:shd w:val="clear" w:color="000000" w:fill="BFBFBF"/>
            <w:vAlign w:val="center"/>
            <w:hideMark/>
          </w:tcPr>
          <w:p w14:paraId="007974AA" w14:textId="77777777" w:rsidR="00C37509" w:rsidRPr="00C37509" w:rsidRDefault="00C37509" w:rsidP="00C37509">
            <w:pPr>
              <w:spacing w:after="0" w:line="240" w:lineRule="auto"/>
              <w:jc w:val="right"/>
              <w:rPr>
                <w:rFonts w:eastAsia="Times New Roman" w:cs="Times New Roman"/>
                <w:color w:val="000000"/>
                <w:sz w:val="18"/>
                <w:szCs w:val="18"/>
                <w:lang w:eastAsia="sk-SK"/>
              </w:rPr>
            </w:pPr>
            <w:r w:rsidRPr="00C37509">
              <w:rPr>
                <w:rFonts w:eastAsia="Times New Roman" w:cs="Times New Roman"/>
                <w:color w:val="000000"/>
                <w:sz w:val="18"/>
                <w:szCs w:val="18"/>
                <w:lang w:eastAsia="sk-SK"/>
              </w:rPr>
              <w:t>67 504</w:t>
            </w:r>
          </w:p>
        </w:tc>
        <w:tc>
          <w:tcPr>
            <w:tcW w:w="709" w:type="dxa"/>
            <w:tcBorders>
              <w:top w:val="nil"/>
              <w:left w:val="nil"/>
              <w:bottom w:val="nil"/>
              <w:right w:val="nil"/>
            </w:tcBorders>
            <w:shd w:val="clear" w:color="auto" w:fill="auto"/>
            <w:vAlign w:val="center"/>
            <w:hideMark/>
          </w:tcPr>
          <w:p w14:paraId="4E7D592D" w14:textId="77777777" w:rsidR="00C37509" w:rsidRPr="00C37509" w:rsidRDefault="00C37509" w:rsidP="00C37509">
            <w:pPr>
              <w:spacing w:after="0" w:line="240" w:lineRule="auto"/>
              <w:jc w:val="right"/>
              <w:rPr>
                <w:rFonts w:eastAsia="Times New Roman" w:cs="Times New Roman"/>
                <w:color w:val="000000"/>
                <w:sz w:val="18"/>
                <w:szCs w:val="18"/>
                <w:lang w:eastAsia="sk-SK"/>
              </w:rPr>
            </w:pPr>
            <w:r w:rsidRPr="00C37509">
              <w:rPr>
                <w:rFonts w:eastAsia="Times New Roman" w:cs="Times New Roman"/>
                <w:color w:val="000000"/>
                <w:sz w:val="18"/>
                <w:szCs w:val="18"/>
                <w:lang w:eastAsia="sk-SK"/>
              </w:rPr>
              <w:t>-3 739</w:t>
            </w:r>
          </w:p>
        </w:tc>
        <w:tc>
          <w:tcPr>
            <w:tcW w:w="567" w:type="dxa"/>
            <w:tcBorders>
              <w:top w:val="nil"/>
              <w:left w:val="nil"/>
              <w:bottom w:val="nil"/>
              <w:right w:val="nil"/>
            </w:tcBorders>
            <w:shd w:val="clear" w:color="auto" w:fill="auto"/>
            <w:vAlign w:val="center"/>
            <w:hideMark/>
          </w:tcPr>
          <w:p w14:paraId="39D2EEC3" w14:textId="77777777" w:rsidR="00C37509" w:rsidRPr="00C37509" w:rsidRDefault="00C37509" w:rsidP="00C37509">
            <w:pPr>
              <w:spacing w:after="0" w:line="240" w:lineRule="auto"/>
              <w:jc w:val="right"/>
              <w:rPr>
                <w:rFonts w:eastAsia="Times New Roman" w:cs="Times New Roman"/>
                <w:color w:val="000000"/>
                <w:sz w:val="18"/>
                <w:szCs w:val="18"/>
                <w:lang w:eastAsia="sk-SK"/>
              </w:rPr>
            </w:pPr>
            <w:r w:rsidRPr="00C37509">
              <w:rPr>
                <w:rFonts w:eastAsia="Times New Roman" w:cs="Times New Roman"/>
                <w:color w:val="000000"/>
                <w:sz w:val="18"/>
                <w:szCs w:val="18"/>
                <w:lang w:eastAsia="sk-SK"/>
              </w:rPr>
              <w:t>-5,2</w:t>
            </w:r>
          </w:p>
        </w:tc>
      </w:tr>
      <w:tr w:rsidR="00C37509" w:rsidRPr="00C37509" w14:paraId="6EA896C9" w14:textId="77777777" w:rsidTr="00335449">
        <w:trPr>
          <w:trHeight w:val="349"/>
        </w:trPr>
        <w:tc>
          <w:tcPr>
            <w:tcW w:w="3544" w:type="dxa"/>
            <w:tcBorders>
              <w:top w:val="nil"/>
              <w:left w:val="nil"/>
              <w:bottom w:val="single" w:sz="8" w:space="0" w:color="auto"/>
              <w:right w:val="nil"/>
            </w:tcBorders>
            <w:shd w:val="clear" w:color="auto" w:fill="auto"/>
            <w:vAlign w:val="center"/>
            <w:hideMark/>
          </w:tcPr>
          <w:p w14:paraId="670F29AE" w14:textId="77777777" w:rsidR="00C37509" w:rsidRPr="00C37509" w:rsidRDefault="00C37509" w:rsidP="00C37509">
            <w:pPr>
              <w:spacing w:after="0" w:line="240" w:lineRule="auto"/>
              <w:rPr>
                <w:rFonts w:eastAsia="Times New Roman" w:cs="Times New Roman"/>
                <w:color w:val="000000"/>
                <w:sz w:val="18"/>
                <w:szCs w:val="18"/>
                <w:lang w:eastAsia="sk-SK"/>
              </w:rPr>
            </w:pPr>
            <w:r w:rsidRPr="00C37509">
              <w:rPr>
                <w:rFonts w:eastAsia="Times New Roman" w:cs="Times New Roman"/>
                <w:color w:val="000000"/>
                <w:sz w:val="18"/>
                <w:szCs w:val="18"/>
                <w:lang w:eastAsia="sk-SK"/>
              </w:rPr>
              <w:t>Ostatné transfery</w:t>
            </w:r>
          </w:p>
        </w:tc>
        <w:tc>
          <w:tcPr>
            <w:tcW w:w="992" w:type="dxa"/>
            <w:tcBorders>
              <w:top w:val="nil"/>
              <w:left w:val="nil"/>
              <w:bottom w:val="single" w:sz="8" w:space="0" w:color="auto"/>
              <w:right w:val="nil"/>
            </w:tcBorders>
            <w:shd w:val="clear" w:color="auto" w:fill="auto"/>
            <w:vAlign w:val="center"/>
            <w:hideMark/>
          </w:tcPr>
          <w:p w14:paraId="4BBEF1AB" w14:textId="77777777" w:rsidR="00C37509" w:rsidRPr="00C37509" w:rsidRDefault="00C37509" w:rsidP="00C37509">
            <w:pPr>
              <w:spacing w:after="0" w:line="240" w:lineRule="auto"/>
              <w:jc w:val="right"/>
              <w:rPr>
                <w:rFonts w:eastAsia="Times New Roman" w:cs="Times New Roman"/>
                <w:color w:val="000000"/>
                <w:sz w:val="18"/>
                <w:szCs w:val="18"/>
                <w:lang w:eastAsia="sk-SK"/>
              </w:rPr>
            </w:pPr>
            <w:r w:rsidRPr="00C37509">
              <w:rPr>
                <w:rFonts w:eastAsia="Times New Roman" w:cs="Times New Roman"/>
                <w:color w:val="000000"/>
                <w:sz w:val="18"/>
                <w:szCs w:val="18"/>
                <w:lang w:eastAsia="sk-SK"/>
              </w:rPr>
              <w:t>154 733</w:t>
            </w:r>
          </w:p>
        </w:tc>
        <w:tc>
          <w:tcPr>
            <w:tcW w:w="993" w:type="dxa"/>
            <w:tcBorders>
              <w:top w:val="nil"/>
              <w:left w:val="nil"/>
              <w:bottom w:val="single" w:sz="8" w:space="0" w:color="auto"/>
              <w:right w:val="nil"/>
            </w:tcBorders>
            <w:shd w:val="clear" w:color="auto" w:fill="auto"/>
            <w:vAlign w:val="center"/>
            <w:hideMark/>
          </w:tcPr>
          <w:p w14:paraId="774A17D1" w14:textId="77777777" w:rsidR="00C37509" w:rsidRPr="00C37509" w:rsidRDefault="00C37509" w:rsidP="00C37509">
            <w:pPr>
              <w:spacing w:after="0" w:line="240" w:lineRule="auto"/>
              <w:jc w:val="right"/>
              <w:rPr>
                <w:rFonts w:eastAsia="Times New Roman" w:cs="Times New Roman"/>
                <w:color w:val="000000"/>
                <w:sz w:val="18"/>
                <w:szCs w:val="18"/>
                <w:lang w:eastAsia="sk-SK"/>
              </w:rPr>
            </w:pPr>
            <w:r w:rsidRPr="00C37509">
              <w:rPr>
                <w:rFonts w:eastAsia="Times New Roman" w:cs="Times New Roman"/>
                <w:color w:val="000000"/>
                <w:sz w:val="18"/>
                <w:szCs w:val="18"/>
                <w:lang w:eastAsia="sk-SK"/>
              </w:rPr>
              <w:t>133 736</w:t>
            </w:r>
          </w:p>
        </w:tc>
        <w:tc>
          <w:tcPr>
            <w:tcW w:w="959" w:type="dxa"/>
            <w:tcBorders>
              <w:top w:val="nil"/>
              <w:left w:val="nil"/>
              <w:bottom w:val="single" w:sz="8" w:space="0" w:color="auto"/>
              <w:right w:val="nil"/>
            </w:tcBorders>
            <w:shd w:val="clear" w:color="auto" w:fill="auto"/>
            <w:vAlign w:val="center"/>
            <w:hideMark/>
          </w:tcPr>
          <w:p w14:paraId="70809FF0" w14:textId="77777777" w:rsidR="00C37509" w:rsidRPr="00C37509" w:rsidRDefault="00C37509" w:rsidP="00C37509">
            <w:pPr>
              <w:spacing w:after="0" w:line="240" w:lineRule="auto"/>
              <w:jc w:val="right"/>
              <w:rPr>
                <w:rFonts w:eastAsia="Times New Roman" w:cs="Times New Roman"/>
                <w:color w:val="000000"/>
                <w:sz w:val="18"/>
                <w:szCs w:val="18"/>
                <w:lang w:eastAsia="sk-SK"/>
              </w:rPr>
            </w:pPr>
            <w:r w:rsidRPr="00C37509">
              <w:rPr>
                <w:rFonts w:eastAsia="Times New Roman" w:cs="Times New Roman"/>
                <w:color w:val="000000"/>
                <w:sz w:val="18"/>
                <w:szCs w:val="18"/>
                <w:lang w:eastAsia="sk-SK"/>
              </w:rPr>
              <w:t>230 932</w:t>
            </w:r>
          </w:p>
        </w:tc>
        <w:tc>
          <w:tcPr>
            <w:tcW w:w="1025" w:type="dxa"/>
            <w:tcBorders>
              <w:top w:val="nil"/>
              <w:left w:val="nil"/>
              <w:bottom w:val="single" w:sz="8" w:space="0" w:color="auto"/>
              <w:right w:val="nil"/>
            </w:tcBorders>
            <w:shd w:val="clear" w:color="000000" w:fill="BFBFBF"/>
            <w:vAlign w:val="center"/>
            <w:hideMark/>
          </w:tcPr>
          <w:p w14:paraId="1184B380" w14:textId="77777777" w:rsidR="00C37509" w:rsidRPr="00C37509" w:rsidRDefault="00C37509" w:rsidP="00C37509">
            <w:pPr>
              <w:spacing w:after="0" w:line="240" w:lineRule="auto"/>
              <w:jc w:val="right"/>
              <w:rPr>
                <w:rFonts w:eastAsia="Times New Roman" w:cs="Times New Roman"/>
                <w:color w:val="000000"/>
                <w:sz w:val="18"/>
                <w:szCs w:val="18"/>
                <w:lang w:eastAsia="sk-SK"/>
              </w:rPr>
            </w:pPr>
            <w:r w:rsidRPr="00C37509">
              <w:rPr>
                <w:rFonts w:eastAsia="Times New Roman" w:cs="Times New Roman"/>
                <w:color w:val="000000"/>
                <w:sz w:val="18"/>
                <w:szCs w:val="18"/>
                <w:lang w:eastAsia="sk-SK"/>
              </w:rPr>
              <w:t>145 528</w:t>
            </w:r>
          </w:p>
        </w:tc>
        <w:tc>
          <w:tcPr>
            <w:tcW w:w="709" w:type="dxa"/>
            <w:tcBorders>
              <w:top w:val="nil"/>
              <w:left w:val="nil"/>
              <w:bottom w:val="single" w:sz="8" w:space="0" w:color="auto"/>
              <w:right w:val="nil"/>
            </w:tcBorders>
            <w:shd w:val="clear" w:color="auto" w:fill="auto"/>
            <w:vAlign w:val="center"/>
            <w:hideMark/>
          </w:tcPr>
          <w:p w14:paraId="2AE6EBF9" w14:textId="77777777" w:rsidR="00C37509" w:rsidRPr="00C37509" w:rsidRDefault="00C37509" w:rsidP="00C37509">
            <w:pPr>
              <w:spacing w:after="0" w:line="240" w:lineRule="auto"/>
              <w:jc w:val="right"/>
              <w:rPr>
                <w:rFonts w:eastAsia="Times New Roman" w:cs="Times New Roman"/>
                <w:color w:val="000000"/>
                <w:sz w:val="18"/>
                <w:szCs w:val="18"/>
                <w:lang w:eastAsia="sk-SK"/>
              </w:rPr>
            </w:pPr>
            <w:r w:rsidRPr="00C37509">
              <w:rPr>
                <w:rFonts w:eastAsia="Times New Roman" w:cs="Times New Roman"/>
                <w:color w:val="000000"/>
                <w:sz w:val="18"/>
                <w:szCs w:val="18"/>
                <w:lang w:eastAsia="sk-SK"/>
              </w:rPr>
              <w:t>-85 404</w:t>
            </w:r>
          </w:p>
        </w:tc>
        <w:tc>
          <w:tcPr>
            <w:tcW w:w="567" w:type="dxa"/>
            <w:tcBorders>
              <w:top w:val="nil"/>
              <w:left w:val="nil"/>
              <w:bottom w:val="single" w:sz="8" w:space="0" w:color="auto"/>
              <w:right w:val="nil"/>
            </w:tcBorders>
            <w:shd w:val="clear" w:color="auto" w:fill="auto"/>
            <w:vAlign w:val="center"/>
            <w:hideMark/>
          </w:tcPr>
          <w:p w14:paraId="77F78B51" w14:textId="77777777" w:rsidR="00C37509" w:rsidRPr="00C37509" w:rsidRDefault="00C37509" w:rsidP="00C37509">
            <w:pPr>
              <w:spacing w:after="0" w:line="240" w:lineRule="auto"/>
              <w:jc w:val="right"/>
              <w:rPr>
                <w:rFonts w:eastAsia="Times New Roman" w:cs="Times New Roman"/>
                <w:color w:val="000000"/>
                <w:sz w:val="18"/>
                <w:szCs w:val="18"/>
                <w:lang w:eastAsia="sk-SK"/>
              </w:rPr>
            </w:pPr>
            <w:r w:rsidRPr="00C37509">
              <w:rPr>
                <w:rFonts w:eastAsia="Times New Roman" w:cs="Times New Roman"/>
                <w:color w:val="000000"/>
                <w:sz w:val="18"/>
                <w:szCs w:val="18"/>
                <w:lang w:eastAsia="sk-SK"/>
              </w:rPr>
              <w:t>-37,0</w:t>
            </w:r>
          </w:p>
        </w:tc>
      </w:tr>
      <w:tr w:rsidR="00C37509" w:rsidRPr="00C37509" w14:paraId="151B5C93" w14:textId="77777777" w:rsidTr="00335449">
        <w:trPr>
          <w:trHeight w:val="345"/>
        </w:trPr>
        <w:tc>
          <w:tcPr>
            <w:tcW w:w="3544" w:type="dxa"/>
            <w:tcBorders>
              <w:top w:val="nil"/>
              <w:left w:val="nil"/>
              <w:bottom w:val="single" w:sz="8" w:space="0" w:color="auto"/>
              <w:right w:val="nil"/>
            </w:tcBorders>
            <w:shd w:val="clear" w:color="auto" w:fill="auto"/>
            <w:vAlign w:val="center"/>
            <w:hideMark/>
          </w:tcPr>
          <w:p w14:paraId="54ADA0AB" w14:textId="77777777" w:rsidR="00C37509" w:rsidRPr="00C37509" w:rsidRDefault="00C37509" w:rsidP="00C37509">
            <w:pPr>
              <w:spacing w:after="0" w:line="240" w:lineRule="auto"/>
              <w:jc w:val="left"/>
              <w:rPr>
                <w:rFonts w:eastAsia="Times New Roman" w:cs="Times New Roman"/>
                <w:b/>
                <w:bCs/>
                <w:color w:val="000000"/>
                <w:sz w:val="18"/>
                <w:szCs w:val="18"/>
                <w:lang w:eastAsia="sk-SK"/>
              </w:rPr>
            </w:pPr>
            <w:r w:rsidRPr="00C37509">
              <w:rPr>
                <w:rFonts w:eastAsia="Times New Roman" w:cs="Times New Roman"/>
                <w:b/>
                <w:bCs/>
                <w:color w:val="000000"/>
                <w:sz w:val="18"/>
                <w:szCs w:val="18"/>
                <w:lang w:eastAsia="sk-SK"/>
              </w:rPr>
              <w:t>Spolu</w:t>
            </w:r>
          </w:p>
        </w:tc>
        <w:tc>
          <w:tcPr>
            <w:tcW w:w="992" w:type="dxa"/>
            <w:tcBorders>
              <w:top w:val="nil"/>
              <w:left w:val="nil"/>
              <w:bottom w:val="single" w:sz="8" w:space="0" w:color="auto"/>
              <w:right w:val="nil"/>
            </w:tcBorders>
            <w:shd w:val="clear" w:color="auto" w:fill="auto"/>
            <w:vAlign w:val="center"/>
            <w:hideMark/>
          </w:tcPr>
          <w:p w14:paraId="23F99F82" w14:textId="77777777" w:rsidR="00C37509" w:rsidRPr="00C37509" w:rsidRDefault="00C37509" w:rsidP="00C37509">
            <w:pPr>
              <w:spacing w:after="0" w:line="240" w:lineRule="auto"/>
              <w:jc w:val="right"/>
              <w:rPr>
                <w:rFonts w:eastAsia="Times New Roman" w:cs="Times New Roman"/>
                <w:b/>
                <w:bCs/>
                <w:color w:val="000000"/>
                <w:sz w:val="18"/>
                <w:szCs w:val="18"/>
                <w:lang w:eastAsia="sk-SK"/>
              </w:rPr>
            </w:pPr>
            <w:r w:rsidRPr="00C37509">
              <w:rPr>
                <w:rFonts w:eastAsia="Times New Roman" w:cs="Times New Roman"/>
                <w:b/>
                <w:bCs/>
                <w:color w:val="000000"/>
                <w:sz w:val="18"/>
                <w:szCs w:val="18"/>
                <w:lang w:eastAsia="sk-SK"/>
              </w:rPr>
              <w:t>3 809 874</w:t>
            </w:r>
          </w:p>
        </w:tc>
        <w:tc>
          <w:tcPr>
            <w:tcW w:w="993" w:type="dxa"/>
            <w:tcBorders>
              <w:top w:val="nil"/>
              <w:left w:val="nil"/>
              <w:bottom w:val="single" w:sz="8" w:space="0" w:color="auto"/>
              <w:right w:val="nil"/>
            </w:tcBorders>
            <w:shd w:val="clear" w:color="auto" w:fill="auto"/>
            <w:vAlign w:val="center"/>
            <w:hideMark/>
          </w:tcPr>
          <w:p w14:paraId="3A68FA78" w14:textId="77777777" w:rsidR="00C37509" w:rsidRPr="00C37509" w:rsidRDefault="00C37509" w:rsidP="00C37509">
            <w:pPr>
              <w:spacing w:after="0" w:line="240" w:lineRule="auto"/>
              <w:jc w:val="right"/>
              <w:rPr>
                <w:rFonts w:eastAsia="Times New Roman" w:cs="Times New Roman"/>
                <w:b/>
                <w:bCs/>
                <w:color w:val="000000"/>
                <w:sz w:val="18"/>
                <w:szCs w:val="18"/>
                <w:lang w:eastAsia="sk-SK"/>
              </w:rPr>
            </w:pPr>
            <w:r w:rsidRPr="00C37509">
              <w:rPr>
                <w:rFonts w:eastAsia="Times New Roman" w:cs="Times New Roman"/>
                <w:b/>
                <w:bCs/>
                <w:color w:val="000000"/>
                <w:sz w:val="18"/>
                <w:szCs w:val="18"/>
                <w:lang w:eastAsia="sk-SK"/>
              </w:rPr>
              <w:t>3 696 261</w:t>
            </w:r>
          </w:p>
        </w:tc>
        <w:tc>
          <w:tcPr>
            <w:tcW w:w="959" w:type="dxa"/>
            <w:tcBorders>
              <w:top w:val="nil"/>
              <w:left w:val="nil"/>
              <w:bottom w:val="single" w:sz="8" w:space="0" w:color="auto"/>
              <w:right w:val="nil"/>
            </w:tcBorders>
            <w:shd w:val="clear" w:color="auto" w:fill="auto"/>
            <w:vAlign w:val="center"/>
            <w:hideMark/>
          </w:tcPr>
          <w:p w14:paraId="685DA8EE" w14:textId="77777777" w:rsidR="00C37509" w:rsidRPr="00C37509" w:rsidRDefault="00C37509" w:rsidP="00C37509">
            <w:pPr>
              <w:spacing w:after="0" w:line="240" w:lineRule="auto"/>
              <w:jc w:val="right"/>
              <w:rPr>
                <w:rFonts w:eastAsia="Times New Roman" w:cs="Times New Roman"/>
                <w:b/>
                <w:bCs/>
                <w:color w:val="000000"/>
                <w:sz w:val="18"/>
                <w:szCs w:val="18"/>
                <w:lang w:eastAsia="sk-SK"/>
              </w:rPr>
            </w:pPr>
            <w:r w:rsidRPr="00C37509">
              <w:rPr>
                <w:rFonts w:eastAsia="Times New Roman" w:cs="Times New Roman"/>
                <w:b/>
                <w:bCs/>
                <w:color w:val="000000"/>
                <w:sz w:val="18"/>
                <w:szCs w:val="18"/>
                <w:lang w:eastAsia="sk-SK"/>
              </w:rPr>
              <w:t>3 836 459</w:t>
            </w:r>
          </w:p>
        </w:tc>
        <w:tc>
          <w:tcPr>
            <w:tcW w:w="1025" w:type="dxa"/>
            <w:tcBorders>
              <w:top w:val="nil"/>
              <w:left w:val="nil"/>
              <w:bottom w:val="single" w:sz="8" w:space="0" w:color="auto"/>
              <w:right w:val="nil"/>
            </w:tcBorders>
            <w:shd w:val="clear" w:color="000000" w:fill="BFBFBF"/>
            <w:vAlign w:val="center"/>
            <w:hideMark/>
          </w:tcPr>
          <w:p w14:paraId="6C269C68" w14:textId="77777777" w:rsidR="00C37509" w:rsidRPr="00C37509" w:rsidRDefault="00C37509" w:rsidP="00C37509">
            <w:pPr>
              <w:spacing w:after="0" w:line="240" w:lineRule="auto"/>
              <w:jc w:val="right"/>
              <w:rPr>
                <w:rFonts w:eastAsia="Times New Roman" w:cs="Times New Roman"/>
                <w:b/>
                <w:bCs/>
                <w:color w:val="000000"/>
                <w:sz w:val="18"/>
                <w:szCs w:val="18"/>
                <w:lang w:eastAsia="sk-SK"/>
              </w:rPr>
            </w:pPr>
            <w:r w:rsidRPr="00C37509">
              <w:rPr>
                <w:rFonts w:eastAsia="Times New Roman" w:cs="Times New Roman"/>
                <w:b/>
                <w:bCs/>
                <w:color w:val="000000"/>
                <w:sz w:val="18"/>
                <w:szCs w:val="18"/>
                <w:lang w:eastAsia="sk-SK"/>
              </w:rPr>
              <w:t>3 757 414</w:t>
            </w:r>
          </w:p>
        </w:tc>
        <w:tc>
          <w:tcPr>
            <w:tcW w:w="709" w:type="dxa"/>
            <w:tcBorders>
              <w:top w:val="nil"/>
              <w:left w:val="nil"/>
              <w:bottom w:val="single" w:sz="8" w:space="0" w:color="auto"/>
              <w:right w:val="nil"/>
            </w:tcBorders>
            <w:shd w:val="clear" w:color="auto" w:fill="auto"/>
            <w:vAlign w:val="center"/>
            <w:hideMark/>
          </w:tcPr>
          <w:p w14:paraId="204B3BD7" w14:textId="77777777" w:rsidR="00C37509" w:rsidRPr="00C37509" w:rsidRDefault="00C37509" w:rsidP="00C37509">
            <w:pPr>
              <w:spacing w:after="0" w:line="240" w:lineRule="auto"/>
              <w:jc w:val="right"/>
              <w:rPr>
                <w:rFonts w:eastAsia="Times New Roman" w:cs="Times New Roman"/>
                <w:b/>
                <w:bCs/>
                <w:color w:val="000000"/>
                <w:sz w:val="18"/>
                <w:szCs w:val="18"/>
                <w:lang w:eastAsia="sk-SK"/>
              </w:rPr>
            </w:pPr>
            <w:r w:rsidRPr="00C37509">
              <w:rPr>
                <w:rFonts w:eastAsia="Times New Roman" w:cs="Times New Roman"/>
                <w:b/>
                <w:bCs/>
                <w:color w:val="000000"/>
                <w:sz w:val="18"/>
                <w:szCs w:val="18"/>
                <w:lang w:eastAsia="sk-SK"/>
              </w:rPr>
              <w:t>-79 045</w:t>
            </w:r>
          </w:p>
        </w:tc>
        <w:tc>
          <w:tcPr>
            <w:tcW w:w="567" w:type="dxa"/>
            <w:tcBorders>
              <w:top w:val="nil"/>
              <w:left w:val="nil"/>
              <w:bottom w:val="single" w:sz="8" w:space="0" w:color="auto"/>
              <w:right w:val="nil"/>
            </w:tcBorders>
            <w:shd w:val="clear" w:color="auto" w:fill="auto"/>
            <w:vAlign w:val="center"/>
            <w:hideMark/>
          </w:tcPr>
          <w:p w14:paraId="01437CE7" w14:textId="77777777" w:rsidR="00C37509" w:rsidRPr="00C37509" w:rsidRDefault="00C37509" w:rsidP="00C37509">
            <w:pPr>
              <w:spacing w:after="0" w:line="240" w:lineRule="auto"/>
              <w:jc w:val="right"/>
              <w:rPr>
                <w:rFonts w:eastAsia="Times New Roman" w:cs="Times New Roman"/>
                <w:color w:val="000000"/>
                <w:sz w:val="18"/>
                <w:szCs w:val="18"/>
                <w:lang w:eastAsia="sk-SK"/>
              </w:rPr>
            </w:pPr>
            <w:r w:rsidRPr="00C37509">
              <w:rPr>
                <w:rFonts w:eastAsia="Times New Roman" w:cs="Times New Roman"/>
                <w:color w:val="000000"/>
                <w:sz w:val="18"/>
                <w:szCs w:val="18"/>
                <w:lang w:eastAsia="sk-SK"/>
              </w:rPr>
              <w:t>-2,1</w:t>
            </w:r>
          </w:p>
        </w:tc>
      </w:tr>
    </w:tbl>
    <w:p w14:paraId="43E3F905" w14:textId="5ACE3F92" w:rsidR="00B13BEC" w:rsidRPr="005204A6" w:rsidRDefault="00B13BEC" w:rsidP="00B13BEC">
      <w:pPr>
        <w:jc w:val="right"/>
        <w:rPr>
          <w:sz w:val="18"/>
          <w:szCs w:val="18"/>
        </w:rPr>
      </w:pPr>
      <w:r w:rsidRPr="005204A6">
        <w:rPr>
          <w:sz w:val="18"/>
          <w:szCs w:val="18"/>
        </w:rPr>
        <w:t>Zdroj: MF SR</w:t>
      </w:r>
    </w:p>
    <w:p w14:paraId="63DC6BE8" w14:textId="453A2E0A" w:rsidR="00872F0C" w:rsidRPr="001F0570" w:rsidRDefault="00FC37F8" w:rsidP="00872F0C">
      <w:r w:rsidRPr="00FC37F8">
        <w:rPr>
          <w:i/>
          <w:u w:val="single"/>
        </w:rPr>
        <w:t>T</w:t>
      </w:r>
      <w:r w:rsidR="00872F0C" w:rsidRPr="00FC37F8">
        <w:rPr>
          <w:i/>
          <w:u w:val="single"/>
        </w:rPr>
        <w:t>ransfery na platené poistné za skupiny osôb ustanovené zákonom</w:t>
      </w:r>
      <w:r w:rsidR="00F52A91" w:rsidRPr="00FC37F8">
        <w:rPr>
          <w:rStyle w:val="Odkaznapoznmkupodiarou"/>
          <w:i/>
        </w:rPr>
        <w:footnoteReference w:id="23"/>
      </w:r>
      <w:r w:rsidR="00872F0C">
        <w:t xml:space="preserve"> </w:t>
      </w:r>
      <w:r>
        <w:t xml:space="preserve">dosiahli úhrnom </w:t>
      </w:r>
      <w:r w:rsidR="00872F0C" w:rsidRPr="008821BC">
        <w:t>1 484 358 tis. eur</w:t>
      </w:r>
      <w:r w:rsidR="00872F0C">
        <w:t>,</w:t>
      </w:r>
      <w:r w:rsidR="00872F0C" w:rsidRPr="00D13AF4">
        <w:t xml:space="preserve"> </w:t>
      </w:r>
      <w:r w:rsidR="00872F0C">
        <w:t>ktoré boli v prevažnej miere poskytované Ministerstvom zdravotníctva SR v sume 1 188 977 tis. eur, a</w:t>
      </w:r>
      <w:r w:rsidR="000156A6">
        <w:t xml:space="preserve"> </w:t>
      </w:r>
      <w:r w:rsidR="00872F0C">
        <w:t xml:space="preserve">to na </w:t>
      </w:r>
      <w:r w:rsidR="00872F0C" w:rsidRPr="001B69B3">
        <w:t>úhradu zdravotnej starostlivosti</w:t>
      </w:r>
      <w:r w:rsidR="00872F0C">
        <w:t xml:space="preserve"> </w:t>
      </w:r>
      <w:r w:rsidR="00872F0C" w:rsidRPr="00E60D84">
        <w:t>za poistencov štátu</w:t>
      </w:r>
      <w:r w:rsidR="00872F0C">
        <w:t xml:space="preserve"> v zmysle zákona </w:t>
      </w:r>
      <w:r w:rsidR="00872F0C" w:rsidRPr="00E60D84">
        <w:t>č.</w:t>
      </w:r>
      <w:r w:rsidR="00872F0C">
        <w:t> </w:t>
      </w:r>
      <w:r w:rsidR="00872F0C" w:rsidRPr="00E60D84">
        <w:t>580/2004</w:t>
      </w:r>
      <w:r w:rsidR="00872F0C">
        <w:t> </w:t>
      </w:r>
      <w:r w:rsidR="00872F0C" w:rsidRPr="00E60D84">
        <w:t>Z.</w:t>
      </w:r>
      <w:r w:rsidR="00872F0C">
        <w:t> </w:t>
      </w:r>
      <w:r w:rsidR="00D351AB">
        <w:t>z. o </w:t>
      </w:r>
      <w:r w:rsidR="00872F0C" w:rsidRPr="00E60D84">
        <w:t>zdravotnom poistení v znení neskorších predpisov</w:t>
      </w:r>
      <w:r w:rsidR="001F0570">
        <w:t xml:space="preserve">, za poistencov, </w:t>
      </w:r>
      <w:r w:rsidR="001F0570" w:rsidRPr="001F0570">
        <w:t xml:space="preserve">ktorí nie sú zamestnancami alebo samostatne zárobkovo činnými osobami a to napríklad nezaopatrené deti, fyzické osoby poberajúce dôchodok, fyzické osoby poberajúce rodičovský príspevok, fyzické osoby obvinené vo väzbe alebo vo výkone trestu odňatia slobody a iné. </w:t>
      </w:r>
    </w:p>
    <w:p w14:paraId="04F7DEE7" w14:textId="53B37426" w:rsidR="00872F0C" w:rsidRPr="00AF065B" w:rsidRDefault="001E7237" w:rsidP="00872F0C">
      <w:r w:rsidRPr="001E7237">
        <w:rPr>
          <w:i/>
          <w:u w:val="single"/>
        </w:rPr>
        <w:t>S</w:t>
      </w:r>
      <w:r w:rsidR="00872F0C" w:rsidRPr="001E7237">
        <w:rPr>
          <w:i/>
          <w:u w:val="single"/>
        </w:rPr>
        <w:t>ociálne dávky</w:t>
      </w:r>
      <w:r w:rsidRPr="001E7237">
        <w:rPr>
          <w:i/>
        </w:rPr>
        <w:t xml:space="preserve"> </w:t>
      </w:r>
      <w:r w:rsidR="00872F0C">
        <w:t xml:space="preserve">boli čerpané v objeme </w:t>
      </w:r>
      <w:r w:rsidR="00872F0C" w:rsidRPr="00A21573">
        <w:t>1 3</w:t>
      </w:r>
      <w:r w:rsidR="008771F8">
        <w:t>49</w:t>
      </w:r>
      <w:r w:rsidR="00872F0C" w:rsidRPr="00A21573">
        <w:t> </w:t>
      </w:r>
      <w:r w:rsidR="008771F8">
        <w:t>189</w:t>
      </w:r>
      <w:r w:rsidR="00872F0C" w:rsidRPr="00A21573">
        <w:t> tis. eur</w:t>
      </w:r>
      <w:r w:rsidR="000156A6">
        <w:t xml:space="preserve">. </w:t>
      </w:r>
      <w:r w:rsidR="00872F0C" w:rsidRPr="00FE2806">
        <w:t xml:space="preserve">Najväčší objem výdavkov v rámci </w:t>
      </w:r>
      <w:r w:rsidR="000C5B4E">
        <w:t xml:space="preserve">sociálnych dávok realizuje kapitola Ministerstva </w:t>
      </w:r>
      <w:r w:rsidR="000C5B4E" w:rsidRPr="00FE2806">
        <w:t xml:space="preserve">práce, sociálnych vecí a rodiny SR </w:t>
      </w:r>
      <w:r w:rsidR="000C5B4E">
        <w:t xml:space="preserve">napríklad </w:t>
      </w:r>
      <w:r w:rsidR="00872F0C" w:rsidRPr="00FE2806">
        <w:t>na</w:t>
      </w:r>
      <w:r w:rsidR="00066627">
        <w:t> </w:t>
      </w:r>
      <w:r w:rsidR="00872F0C" w:rsidRPr="009438FE">
        <w:t xml:space="preserve">rodičovský príspevok </w:t>
      </w:r>
      <w:r w:rsidR="000C5B4E">
        <w:t>(</w:t>
      </w:r>
      <w:r w:rsidR="00872F0C" w:rsidRPr="00FE2806">
        <w:t>368 688 tis. eur</w:t>
      </w:r>
      <w:r w:rsidR="000C5B4E">
        <w:t>),</w:t>
      </w:r>
      <w:r w:rsidR="00872F0C" w:rsidRPr="00FE2806">
        <w:t xml:space="preserve"> </w:t>
      </w:r>
      <w:r w:rsidR="00872F0C" w:rsidRPr="009438FE">
        <w:t>prídavok na dieťa</w:t>
      </w:r>
      <w:r w:rsidR="00872F0C" w:rsidRPr="00FE2806">
        <w:t xml:space="preserve"> </w:t>
      </w:r>
      <w:r w:rsidR="000C5B4E">
        <w:t>(</w:t>
      </w:r>
      <w:r w:rsidR="00872F0C" w:rsidRPr="00FE2806">
        <w:t>312 721 </w:t>
      </w:r>
      <w:r w:rsidR="00872F0C">
        <w:t>tis. eur</w:t>
      </w:r>
      <w:r w:rsidR="000C5B4E">
        <w:t>)</w:t>
      </w:r>
      <w:r w:rsidR="00872F0C">
        <w:t>,</w:t>
      </w:r>
      <w:r w:rsidR="000C5B4E">
        <w:t xml:space="preserve"> kompenzáciu</w:t>
      </w:r>
      <w:r w:rsidR="00872F0C" w:rsidRPr="002A6F76">
        <w:t xml:space="preserve"> sociálnych dôsledkov ťažkého zdravotného postihnutia</w:t>
      </w:r>
      <w:r w:rsidR="000C5B4E">
        <w:t xml:space="preserve"> (</w:t>
      </w:r>
      <w:r w:rsidR="00872F0C" w:rsidRPr="002A6F76">
        <w:t>292 862 tis. eur</w:t>
      </w:r>
      <w:r w:rsidR="000C5B4E">
        <w:t>)</w:t>
      </w:r>
      <w:r w:rsidR="00872F0C" w:rsidRPr="002A6F76">
        <w:t>.</w:t>
      </w:r>
      <w:r w:rsidR="00AF065B">
        <w:t xml:space="preserve"> </w:t>
      </w:r>
      <w:r w:rsidR="00872F0C">
        <w:t xml:space="preserve">V rámci týchto výdavkov ide </w:t>
      </w:r>
      <w:r w:rsidR="000C5B4E">
        <w:t xml:space="preserve">aj </w:t>
      </w:r>
      <w:r w:rsidR="00872F0C">
        <w:t>o </w:t>
      </w:r>
      <w:r w:rsidR="000C5B4E">
        <w:t>poskytovanie</w:t>
      </w:r>
      <w:r w:rsidR="00872F0C">
        <w:t xml:space="preserve"> peňažn</w:t>
      </w:r>
      <w:r w:rsidR="000C5B4E">
        <w:t>ého</w:t>
      </w:r>
      <w:r w:rsidR="00872F0C">
        <w:t xml:space="preserve"> príspevk</w:t>
      </w:r>
      <w:r w:rsidR="000C5B4E">
        <w:t>u na opatrovanie, ktoré</w:t>
      </w:r>
      <w:r w:rsidR="00872F0C">
        <w:t xml:space="preserve"> </w:t>
      </w:r>
      <w:r w:rsidR="00872F0C" w:rsidRPr="00E44305">
        <w:t>v</w:t>
      </w:r>
      <w:r w:rsidR="000C5B4E">
        <w:t xml:space="preserve"> porovnaní s rokom 2017 vzrástlo</w:t>
      </w:r>
      <w:r w:rsidR="00872F0C" w:rsidRPr="00E44305">
        <w:t xml:space="preserve"> o 49 051 tis. eur, najmä z dôvodu zákonného zvýšenia príspevku.</w:t>
      </w:r>
      <w:r w:rsidR="00492F18">
        <w:t xml:space="preserve"> </w:t>
      </w:r>
      <w:r w:rsidR="00872F0C">
        <w:t xml:space="preserve">Ďalšiu významnú časť </w:t>
      </w:r>
      <w:r w:rsidR="00872F0C" w:rsidRPr="00E44305">
        <w:t xml:space="preserve">sociálnych dávok tvorí </w:t>
      </w:r>
      <w:r w:rsidR="00872F0C">
        <w:t>d</w:t>
      </w:r>
      <w:r w:rsidR="00872F0C" w:rsidRPr="008F7E61">
        <w:t>ávka v hmotnej núdzi</w:t>
      </w:r>
      <w:r w:rsidR="00872F0C" w:rsidRPr="00E44305">
        <w:rPr>
          <w:i/>
        </w:rPr>
        <w:t xml:space="preserve"> </w:t>
      </w:r>
      <w:r w:rsidR="00872F0C">
        <w:t xml:space="preserve">a príspevky k dávke </w:t>
      </w:r>
      <w:r w:rsidR="00872F0C" w:rsidRPr="00E44305">
        <w:t>v sume 124 99</w:t>
      </w:r>
      <w:r w:rsidR="00872F0C">
        <w:t>9</w:t>
      </w:r>
      <w:r w:rsidR="00872F0C" w:rsidRPr="00E44305">
        <w:t> tis. eur</w:t>
      </w:r>
      <w:r w:rsidR="00872F0C">
        <w:t xml:space="preserve">, </w:t>
      </w:r>
      <w:r w:rsidR="00872F0C" w:rsidRPr="00D12E4B">
        <w:t>vyplácaná na základe zákona č. 417/2013 Z. z. o pomoci v hmotnej núdzi</w:t>
      </w:r>
      <w:r w:rsidR="00872F0C">
        <w:t>. Výdavky určené na</w:t>
      </w:r>
      <w:r w:rsidR="00066627">
        <w:t> </w:t>
      </w:r>
      <w:r w:rsidR="00872F0C">
        <w:t xml:space="preserve">dávku osobám v hmotnej núdzi zaznamenali medziročný pokles o 28 786 tis. eur. </w:t>
      </w:r>
      <w:r w:rsidR="007918CD">
        <w:rPr>
          <w:rFonts w:cs="Times New Roman"/>
        </w:rPr>
        <w:t>T</w:t>
      </w:r>
      <w:r w:rsidR="007918CD" w:rsidRPr="007918CD">
        <w:rPr>
          <w:rFonts w:cs="Times New Roman"/>
        </w:rPr>
        <w:t>ento pokles súvisí najmä s vývojom počtu poberateľov dávky v hmotnej núdzi. Zatiaľ čo v roku 2017 bol priemerný počet poberateľov 87</w:t>
      </w:r>
      <w:r w:rsidR="004B0C23">
        <w:rPr>
          <w:rFonts w:cs="Times New Roman"/>
        </w:rPr>
        <w:t> </w:t>
      </w:r>
      <w:r w:rsidR="007918CD" w:rsidRPr="007918CD">
        <w:rPr>
          <w:rFonts w:cs="Times New Roman"/>
        </w:rPr>
        <w:t>727, v roku 2018 bol len 72</w:t>
      </w:r>
      <w:r w:rsidR="004B0C23">
        <w:rPr>
          <w:rFonts w:cs="Times New Roman"/>
        </w:rPr>
        <w:t> </w:t>
      </w:r>
      <w:r w:rsidR="007918CD" w:rsidRPr="007918CD">
        <w:rPr>
          <w:rFonts w:cs="Times New Roman"/>
        </w:rPr>
        <w:t>024, čo je menej o</w:t>
      </w:r>
      <w:r w:rsidR="00C12647">
        <w:rPr>
          <w:rFonts w:cs="Times New Roman"/>
        </w:rPr>
        <w:t> 15 </w:t>
      </w:r>
      <w:r w:rsidR="007918CD">
        <w:rPr>
          <w:rFonts w:cs="Times New Roman"/>
        </w:rPr>
        <w:t>703 poberateľov. Táto skutočnosť</w:t>
      </w:r>
      <w:r w:rsidR="007918CD" w:rsidRPr="007918CD">
        <w:rPr>
          <w:rFonts w:cs="Times New Roman"/>
        </w:rPr>
        <w:t xml:space="preserve"> súvisí najmä s</w:t>
      </w:r>
      <w:r w:rsidR="00C12647">
        <w:rPr>
          <w:rFonts w:cs="Times New Roman"/>
        </w:rPr>
        <w:t> </w:t>
      </w:r>
      <w:r w:rsidR="007918CD" w:rsidRPr="007918CD">
        <w:rPr>
          <w:rFonts w:cs="Times New Roman"/>
        </w:rPr>
        <w:t>odmietnutím aktivácie cez aktivačné centrá, každoročnou valoriz</w:t>
      </w:r>
      <w:r w:rsidR="007918CD">
        <w:rPr>
          <w:rFonts w:cs="Times New Roman"/>
        </w:rPr>
        <w:t>áciou dôchodkových dávok a</w:t>
      </w:r>
      <w:r w:rsidR="007918CD" w:rsidRPr="007918CD">
        <w:rPr>
          <w:rFonts w:cs="Times New Roman"/>
        </w:rPr>
        <w:t xml:space="preserve"> odchodom zo systému z dôvodu vykonávania pracovnej činnosti.</w:t>
      </w:r>
    </w:p>
    <w:p w14:paraId="2067F5FF" w14:textId="53CE8049" w:rsidR="001E493B" w:rsidRPr="001E493B" w:rsidRDefault="006968EA" w:rsidP="00872F0C">
      <w:r>
        <w:t>V rámci ostatných</w:t>
      </w:r>
      <w:r w:rsidR="00872F0C" w:rsidRPr="003F0093">
        <w:rPr>
          <w:i/>
        </w:rPr>
        <w:t xml:space="preserve"> dáv</w:t>
      </w:r>
      <w:r>
        <w:rPr>
          <w:i/>
        </w:rPr>
        <w:t>o</w:t>
      </w:r>
      <w:r w:rsidR="00872F0C" w:rsidRPr="003F0093">
        <w:rPr>
          <w:i/>
        </w:rPr>
        <w:t>k poskytovan</w:t>
      </w:r>
      <w:r>
        <w:rPr>
          <w:i/>
        </w:rPr>
        <w:t>ých</w:t>
      </w:r>
      <w:r w:rsidR="00872F0C" w:rsidRPr="003F0093">
        <w:rPr>
          <w:i/>
        </w:rPr>
        <w:t xml:space="preserve"> štátom </w:t>
      </w:r>
      <w:r>
        <w:t xml:space="preserve">predstavovali významnú sumu prostriedky </w:t>
      </w:r>
      <w:r w:rsidR="00872F0C" w:rsidRPr="003F0093">
        <w:t xml:space="preserve">čerpané </w:t>
      </w:r>
      <w:r>
        <w:t xml:space="preserve">na </w:t>
      </w:r>
      <w:r w:rsidR="00C12647">
        <w:t xml:space="preserve">vianočný príspevok </w:t>
      </w:r>
      <w:r>
        <w:t xml:space="preserve">v </w:t>
      </w:r>
      <w:r w:rsidR="00C12647">
        <w:t>rok</w:t>
      </w:r>
      <w:r w:rsidR="00381820">
        <w:t>u</w:t>
      </w:r>
      <w:r w:rsidR="00C12647">
        <w:t xml:space="preserve"> 2018 </w:t>
      </w:r>
      <w:r>
        <w:t>(</w:t>
      </w:r>
      <w:r w:rsidR="00872F0C">
        <w:t>80 000 tis. eur</w:t>
      </w:r>
      <w:r>
        <w:t>)</w:t>
      </w:r>
      <w:r w:rsidR="0050153F">
        <w:t xml:space="preserve"> a výdavky </w:t>
      </w:r>
      <w:r w:rsidR="00872F0C">
        <w:t>na plnenia, ktoré</w:t>
      </w:r>
      <w:r w:rsidR="00872F0C" w:rsidRPr="00427320">
        <w:t xml:space="preserve"> </w:t>
      </w:r>
      <w:r w:rsidR="00872F0C">
        <w:t>uhrádza štát podľa § 82b, § 168a a § 285 zákona č. 461/2003 Z. z. o sociálnom poistení v znení neskorších predpisov</w:t>
      </w:r>
      <w:r w:rsidR="0050153F" w:rsidRPr="0002614C">
        <w:t xml:space="preserve"> </w:t>
      </w:r>
      <w:r w:rsidR="0050153F">
        <w:t>(</w:t>
      </w:r>
      <w:r w:rsidR="0050153F" w:rsidRPr="0002614C">
        <w:rPr>
          <w:bCs/>
        </w:rPr>
        <w:t>86 998 tis. eur</w:t>
      </w:r>
      <w:r w:rsidR="0050153F">
        <w:t>)</w:t>
      </w:r>
      <w:r w:rsidR="00872F0C">
        <w:t xml:space="preserve">. </w:t>
      </w:r>
    </w:p>
    <w:p w14:paraId="099366D5" w14:textId="4FEA58AD" w:rsidR="00872F0C" w:rsidRDefault="00872F0C" w:rsidP="00872F0C">
      <w:r w:rsidRPr="006E1848">
        <w:rPr>
          <w:i/>
          <w:u w:val="single"/>
        </w:rPr>
        <w:t>Transfery občianskym združeniam, nadáciám, neziskovým organizáciám, polit. stranám a hnutiam, odborovým organizáciám, cirkevným a súkromným školám, cirkvám, náboženským spoločnostiam a cirkevnej charite</w:t>
      </w:r>
      <w:r w:rsidRPr="00BF6153">
        <w:t xml:space="preserve"> </w:t>
      </w:r>
      <w:r w:rsidRPr="00E128C4">
        <w:t>boli poskytnuté vo výške 4</w:t>
      </w:r>
      <w:r w:rsidR="008771F8">
        <w:t>29</w:t>
      </w:r>
      <w:r w:rsidRPr="00E128C4">
        <w:t> </w:t>
      </w:r>
      <w:r w:rsidR="008771F8">
        <w:t>280</w:t>
      </w:r>
      <w:r w:rsidRPr="00E128C4">
        <w:t> tis. eur, čo je o </w:t>
      </w:r>
      <w:r w:rsidR="008771F8">
        <w:t>57</w:t>
      </w:r>
      <w:r w:rsidRPr="00E128C4">
        <w:t> 0</w:t>
      </w:r>
      <w:r w:rsidR="008771F8">
        <w:t>76</w:t>
      </w:r>
      <w:r w:rsidRPr="00E128C4">
        <w:t xml:space="preserve"> tis. eur viac ako bolo rozpočtované. </w:t>
      </w:r>
      <w:r w:rsidRPr="0017442A">
        <w:t xml:space="preserve">Z celkovej výšky transferov poskytnutých </w:t>
      </w:r>
      <w:r w:rsidRPr="007E0D9A">
        <w:t>občianskemu združeniu, nadácii a neinvestičnému fondu</w:t>
      </w:r>
      <w:r w:rsidRPr="0017442A">
        <w:t xml:space="preserve"> vo výške 110 900 tis. eur bolo vyčerpaných najviac v kapitole Ministerstva školstva, vedy, výskumu a</w:t>
      </w:r>
      <w:r w:rsidR="00A8128C">
        <w:t xml:space="preserve"> </w:t>
      </w:r>
      <w:r w:rsidRPr="0017442A">
        <w:t>športu SR, a</w:t>
      </w:r>
      <w:r w:rsidR="00A8128C">
        <w:t xml:space="preserve"> </w:t>
      </w:r>
      <w:r w:rsidRPr="0017442A">
        <w:t>to 66 662 tis. eur.</w:t>
      </w:r>
      <w:r w:rsidRPr="000E18CF">
        <w:rPr>
          <w:color w:val="FF0000"/>
        </w:rPr>
        <w:t xml:space="preserve"> </w:t>
      </w:r>
      <w:r w:rsidRPr="00C850D1">
        <w:t xml:space="preserve">Najväčšie </w:t>
      </w:r>
      <w:r w:rsidRPr="00342E8C">
        <w:t xml:space="preserve">sumy boli použité najmä </w:t>
      </w:r>
      <w:r w:rsidRPr="00C850D1">
        <w:t>v oblasti športu</w:t>
      </w:r>
      <w:r>
        <w:t>, v rámci</w:t>
      </w:r>
      <w:r w:rsidRPr="00C850D1">
        <w:t xml:space="preserve"> podprogram</w:t>
      </w:r>
      <w:r>
        <w:t>u</w:t>
      </w:r>
      <w:r w:rsidRPr="00C850D1">
        <w:t xml:space="preserve"> Uznané športy</w:t>
      </w:r>
      <w:r>
        <w:t xml:space="preserve"> v sume 43 774 tis. eur. U</w:t>
      </w:r>
      <w:r w:rsidRPr="00C850D1">
        <w:t>ž tradične</w:t>
      </w:r>
      <w:r>
        <w:t xml:space="preserve"> najviac</w:t>
      </w:r>
      <w:r w:rsidRPr="00C850D1">
        <w:t xml:space="preserve"> </w:t>
      </w:r>
      <w:r>
        <w:t xml:space="preserve">finančných prostriedkov bolo poskytnutých </w:t>
      </w:r>
      <w:r w:rsidRPr="00C850D1">
        <w:t>Slovenskému futbalovému zväzu, Slovenskému zväzu ľadového hokeja</w:t>
      </w:r>
      <w:r>
        <w:t xml:space="preserve"> a Slovenskému tenisovému zväzu. Ďalšie finančné prostriedky boli poskytnuté pre SAIA</w:t>
      </w:r>
      <w:r w:rsidRPr="00E97AFE">
        <w:t>, n. o.</w:t>
      </w:r>
      <w:r w:rsidR="00C12647" w:rsidRPr="00C12647">
        <w:rPr>
          <w:rFonts w:ascii="Arial" w:hAnsi="Arial" w:cs="Arial"/>
          <w:color w:val="222222"/>
        </w:rPr>
        <w:t xml:space="preserve"> </w:t>
      </w:r>
      <w:r w:rsidR="00C12647" w:rsidRPr="00C12647">
        <w:rPr>
          <w:rFonts w:cs="Times New Roman"/>
          <w:color w:val="222222"/>
        </w:rPr>
        <w:t>(Slovenská akademická informačná agentúra</w:t>
      </w:r>
      <w:r w:rsidR="00C12647">
        <w:rPr>
          <w:rFonts w:cs="Times New Roman"/>
          <w:color w:val="222222"/>
        </w:rPr>
        <w:t>),</w:t>
      </w:r>
      <w:r w:rsidRPr="00E97AFE">
        <w:t xml:space="preserve"> za</w:t>
      </w:r>
      <w:r>
        <w:t> </w:t>
      </w:r>
      <w:r w:rsidRPr="00E97AFE">
        <w:t>účelom poskytnutia štipendií v rámci Národného štipendijného programu</w:t>
      </w:r>
      <w:r>
        <w:t xml:space="preserve">, </w:t>
      </w:r>
      <w:r w:rsidRPr="00503C82">
        <w:t>na</w:t>
      </w:r>
      <w:r>
        <w:t> </w:t>
      </w:r>
      <w:r w:rsidRPr="00503C82">
        <w:t>zabezpečenie realizácie projektu SANET</w:t>
      </w:r>
      <w:r>
        <w:t xml:space="preserve">, na </w:t>
      </w:r>
      <w:r w:rsidRPr="005210B4">
        <w:t>dotácie občianskemu združeniu ADEVYK</w:t>
      </w:r>
      <w:r>
        <w:t>, ktorý zabezpečuje</w:t>
      </w:r>
      <w:r w:rsidRPr="005210B4">
        <w:t xml:space="preserve"> žiack</w:t>
      </w:r>
      <w:r>
        <w:t xml:space="preserve">u </w:t>
      </w:r>
      <w:r w:rsidRPr="005210B4">
        <w:t>anket</w:t>
      </w:r>
      <w:r>
        <w:t>u</w:t>
      </w:r>
      <w:r w:rsidRPr="005210B4">
        <w:t xml:space="preserve"> o najobľúbenejšieho</w:t>
      </w:r>
      <w:r>
        <w:t xml:space="preserve"> učiteľa/učiteľku „Zlatý Amos“, z</w:t>
      </w:r>
      <w:r w:rsidRPr="005210B4">
        <w:t xml:space="preserve">druženiu Maxa </w:t>
      </w:r>
      <w:proofErr w:type="spellStart"/>
      <w:r w:rsidRPr="005210B4">
        <w:t>Reinhardta</w:t>
      </w:r>
      <w:proofErr w:type="spellEnd"/>
      <w:r w:rsidRPr="005210B4">
        <w:t xml:space="preserve"> na zabezpečenie 16. ročníka Detskej Univerzity Komenského</w:t>
      </w:r>
      <w:r>
        <w:t xml:space="preserve"> a iným.</w:t>
      </w:r>
    </w:p>
    <w:p w14:paraId="76DCA8F5" w14:textId="5A48B0F5" w:rsidR="00872F0C" w:rsidRDefault="00872F0C" w:rsidP="00872F0C">
      <w:r w:rsidRPr="002A6F76">
        <w:t xml:space="preserve">Transfery </w:t>
      </w:r>
      <w:r w:rsidRPr="007E0D9A">
        <w:t>cirkevnej škole</w:t>
      </w:r>
      <w:r w:rsidRPr="002A6F76">
        <w:t xml:space="preserve"> v sume 64 442 tis. eur a </w:t>
      </w:r>
      <w:r w:rsidRPr="007E0D9A">
        <w:t>súkromnej škole</w:t>
      </w:r>
      <w:r w:rsidRPr="002A6F76">
        <w:t xml:space="preserve"> vo výške 79 955 tis. eur boli poskytnuté takmer výlučne Ministerstvom vnútra SR na zabezpečenie výchovy a vzdelávania mládeže v základných a stredných školách, na zabezpečenie prevádzky škôl, na financovanie normatívnych výdavkov a na úhradu nenormatívnych výdavkov škôl a školských zariadení (najmä na vzdelávacie poukazy, príspevky na asistentov učiteľov, na lyžiarske kurzy a školy v</w:t>
      </w:r>
      <w:r w:rsidR="00066627">
        <w:t> </w:t>
      </w:r>
      <w:r w:rsidRPr="002A6F76">
        <w:t>prírode, na dopravné, príspevok na výchovu a vzdelávanie detí materských škôl).</w:t>
      </w:r>
    </w:p>
    <w:p w14:paraId="0A4AA5F6" w14:textId="77777777" w:rsidR="00872F0C" w:rsidRDefault="00872F0C" w:rsidP="00872F0C">
      <w:r w:rsidRPr="00BF6153">
        <w:t xml:space="preserve">Z transferu </w:t>
      </w:r>
      <w:r w:rsidRPr="007E0D9A">
        <w:t>neziskovej organizácii poskytujúcej všeobecne prospešné služby</w:t>
      </w:r>
      <w:r w:rsidRPr="00BF6153">
        <w:t xml:space="preserve"> </w:t>
      </w:r>
      <w:r w:rsidRPr="0003157A">
        <w:t>boli poskytnuté žiadateľom (občianske združenia, cirkevné organizácie, obce, organizácie cestovného ruchu) prostriedky v celkovej výške</w:t>
      </w:r>
      <w:r w:rsidRPr="000E18CF">
        <w:rPr>
          <w:color w:val="FF0000"/>
        </w:rPr>
        <w:t xml:space="preserve"> </w:t>
      </w:r>
      <w:r w:rsidRPr="0003157A">
        <w:t>73 444 tis. eur, v prevažnej miere Ministerstvom práce, sociálnych vecí a rodiny SR</w:t>
      </w:r>
      <w:r>
        <w:t xml:space="preserve"> v sume 59 966 tis. eur</w:t>
      </w:r>
      <w:r w:rsidRPr="00585F47">
        <w:t xml:space="preserve">. </w:t>
      </w:r>
      <w:r w:rsidRPr="00585F47">
        <w:rPr>
          <w:lang w:eastAsia="sk-SK"/>
        </w:rPr>
        <w:t xml:space="preserve">Financoval sa z nich predovšetkým </w:t>
      </w:r>
      <w:r w:rsidRPr="00585F47">
        <w:t>finančný príspevok na spolufinancovanie sociálnych služieb v zmysle § 78a a 78aa zákona č. 448/2008 Z. z. o sociálnych službách v sume 49 986 tis. eur.</w:t>
      </w:r>
    </w:p>
    <w:p w14:paraId="6CCD71A8" w14:textId="300F7012" w:rsidR="00872F0C" w:rsidRDefault="00872F0C" w:rsidP="00872F0C">
      <w:r w:rsidRPr="0003157A">
        <w:t>Z</w:t>
      </w:r>
      <w:r w:rsidR="00362185">
        <w:t> </w:t>
      </w:r>
      <w:r w:rsidRPr="0003157A">
        <w:t>celkov</w:t>
      </w:r>
      <w:r w:rsidR="00362185">
        <w:t xml:space="preserve">ého </w:t>
      </w:r>
      <w:r w:rsidRPr="0003157A">
        <w:t xml:space="preserve">transferu </w:t>
      </w:r>
      <w:r w:rsidRPr="007E0D9A">
        <w:t>cirkvi, náboženskej spoločnosti a cirkevnej charite</w:t>
      </w:r>
      <w:r w:rsidRPr="000E18CF">
        <w:rPr>
          <w:color w:val="FF0000"/>
        </w:rPr>
        <w:t xml:space="preserve"> </w:t>
      </w:r>
      <w:r w:rsidR="00362185" w:rsidRPr="00362185">
        <w:t xml:space="preserve">vo výške </w:t>
      </w:r>
      <w:r w:rsidRPr="0003157A">
        <w:t>60 282 tis. eur boli v najväčšej miere poukázané prostriedky prostredníctvom kapitoly Ministerstva kultúry SR</w:t>
      </w:r>
      <w:r w:rsidR="00D351AB">
        <w:t>,</w:t>
      </w:r>
      <w:r>
        <w:rPr>
          <w:color w:val="FF0000"/>
        </w:rPr>
        <w:t xml:space="preserve"> </w:t>
      </w:r>
      <w:r w:rsidRPr="0003157A">
        <w:t xml:space="preserve">a to v sume 47 516 tis. eur na platy duchovných a zákonné odvody a prevádzku cirkví a náboženských spoločností. </w:t>
      </w:r>
    </w:p>
    <w:p w14:paraId="1331AA9B" w14:textId="3CE85A6B" w:rsidR="004B0C23" w:rsidRPr="00EA10E6" w:rsidRDefault="004B0C23" w:rsidP="004B0C23">
      <w:pPr>
        <w:spacing w:line="360" w:lineRule="auto"/>
        <w:rPr>
          <w:rFonts w:cs="Times New Roman"/>
        </w:rPr>
      </w:pPr>
      <w:r w:rsidRPr="00EA10E6">
        <w:rPr>
          <w:rFonts w:cs="Times New Roman"/>
        </w:rPr>
        <w:t xml:space="preserve">Výdavky na </w:t>
      </w:r>
      <w:r w:rsidRPr="006E1848">
        <w:rPr>
          <w:rFonts w:cs="Times New Roman"/>
          <w:i/>
          <w:u w:val="single"/>
        </w:rPr>
        <w:t>aktívne opatrenia trhu práce</w:t>
      </w:r>
      <w:r w:rsidRPr="00EA10E6">
        <w:rPr>
          <w:rFonts w:cs="Times New Roman"/>
        </w:rPr>
        <w:t xml:space="preserve"> boli čerpané v sume</w:t>
      </w:r>
      <w:r w:rsidRPr="00EA10E6">
        <w:rPr>
          <w:rFonts w:cs="Times New Roman"/>
          <w:color w:val="FF0000"/>
        </w:rPr>
        <w:t xml:space="preserve"> </w:t>
      </w:r>
      <w:r w:rsidRPr="00EA10E6">
        <w:rPr>
          <w:rFonts w:cs="Times New Roman"/>
        </w:rPr>
        <w:t xml:space="preserve">191 432 tis. eur, </w:t>
      </w:r>
      <w:r w:rsidRPr="00EA10E6">
        <w:rPr>
          <w:rFonts w:cs="Times New Roman"/>
          <w:lang w:eastAsia="sk-SK"/>
        </w:rPr>
        <w:t xml:space="preserve">najmä na </w:t>
      </w:r>
      <w:r w:rsidRPr="00EA10E6">
        <w:rPr>
          <w:rFonts w:cs="Times New Roman"/>
        </w:rPr>
        <w:t>národné projekty Operačného programu Ľudské zdroje</w:t>
      </w:r>
      <w:r w:rsidRPr="00EA10E6">
        <w:rPr>
          <w:rFonts w:cs="Times New Roman"/>
          <w:lang w:eastAsia="sk-SK"/>
        </w:rPr>
        <w:t xml:space="preserve"> v čiastke 142 492 tis. eur a na Iniciatívy na</w:t>
      </w:r>
      <w:r w:rsidR="00066627">
        <w:rPr>
          <w:rFonts w:cs="Times New Roman"/>
          <w:lang w:eastAsia="sk-SK"/>
        </w:rPr>
        <w:t> </w:t>
      </w:r>
      <w:r w:rsidRPr="00EA10E6">
        <w:rPr>
          <w:rFonts w:cs="Times New Roman"/>
          <w:lang w:eastAsia="sk-SK"/>
        </w:rPr>
        <w:t xml:space="preserve">podporu zamestnávania mladých vo výške 17 193 tis. eur. Išlo výlučne o výdavky </w:t>
      </w:r>
      <w:r w:rsidR="00CC2AE1">
        <w:rPr>
          <w:rFonts w:cs="Times New Roman"/>
          <w:lang w:eastAsia="sk-SK"/>
        </w:rPr>
        <w:t>Ú</w:t>
      </w:r>
      <w:r w:rsidRPr="00EA10E6">
        <w:rPr>
          <w:rFonts w:cs="Times New Roman"/>
          <w:lang w:eastAsia="sk-SK"/>
        </w:rPr>
        <w:t>radov práce,</w:t>
      </w:r>
      <w:r w:rsidRPr="00EA10E6">
        <w:rPr>
          <w:rFonts w:cs="Times New Roman"/>
          <w:b/>
          <w:bCs/>
          <w:lang w:eastAsia="sk-SK"/>
        </w:rPr>
        <w:t xml:space="preserve"> </w:t>
      </w:r>
      <w:r w:rsidRPr="00EA10E6">
        <w:rPr>
          <w:rFonts w:cs="Times New Roman"/>
          <w:lang w:eastAsia="sk-SK"/>
        </w:rPr>
        <w:t>sociálnych vecí a rodiny poskytované formou príspevkov v súlade so zákonom o službách zamestnanosti.</w:t>
      </w:r>
    </w:p>
    <w:p w14:paraId="5446AA1D" w14:textId="49C5BE48" w:rsidR="003F5C9A" w:rsidRDefault="003F5C9A" w:rsidP="003F5C9A">
      <w:r w:rsidRPr="00AA1EB9">
        <w:rPr>
          <w:i/>
          <w:u w:val="single"/>
        </w:rPr>
        <w:t>Transfer na príspevok na osobitný účet</w:t>
      </w:r>
      <w:r w:rsidRPr="005303DD">
        <w:t xml:space="preserve"> </w:t>
      </w:r>
      <w:r w:rsidRPr="003A74B9">
        <w:t xml:space="preserve">vo výške 90 123 tis. eur </w:t>
      </w:r>
      <w:r w:rsidR="00D52F29">
        <w:t>predstavuje</w:t>
      </w:r>
      <w:r w:rsidRPr="003A74B9">
        <w:t xml:space="preserve"> príspevok na úhradu rozdielov medzi príjmami a výdavkami osobitného účtu v zmysle § 94 od</w:t>
      </w:r>
      <w:r>
        <w:t>s. 4 zákona č. 328/2002 Z. z. o </w:t>
      </w:r>
      <w:r w:rsidRPr="003A74B9">
        <w:t>sociálnom zabezpečení policajtov a vojakov v znení neskorších predpisov vyplácaný v prevažnej miere Ministerstvom obrany SR v sume 87 160 tis. eur a Ministerstvom spravodlivosti SR vo výške 2 963 tis. eu</w:t>
      </w:r>
      <w:r>
        <w:t>r.</w:t>
      </w:r>
    </w:p>
    <w:p w14:paraId="208E2914" w14:textId="77777777" w:rsidR="00872F0C" w:rsidRPr="00DE70EB" w:rsidRDefault="00872F0C" w:rsidP="00872F0C">
      <w:r w:rsidRPr="00AA1EB9">
        <w:rPr>
          <w:i/>
          <w:u w:val="single"/>
        </w:rPr>
        <w:t>Transfery jednotlivcom</w:t>
      </w:r>
      <w:r w:rsidRPr="002A6F76">
        <w:t xml:space="preserve"> dosiahli sumu 67 504 tis. eur. Ide najmä o výdavky na príspevok na štátnu prémiu k stavebnému sporeniu v sume 22 132 tis. eur a výdavky na štátny príspevok k hypotekárnym úverom a štátneho príspevku pre mladých k hypotekárnym úverom, v úhrnnej sume 32 321 tis. eur.</w:t>
      </w:r>
    </w:p>
    <w:p w14:paraId="6C58D025" w14:textId="3569A97E" w:rsidR="00C12647" w:rsidRPr="00433CB1" w:rsidRDefault="00872F0C" w:rsidP="00872F0C">
      <w:r w:rsidRPr="00BF6153">
        <w:t xml:space="preserve">Na celkovú výšku </w:t>
      </w:r>
      <w:r w:rsidRPr="00AA1EB9">
        <w:rPr>
          <w:i/>
          <w:u w:val="single"/>
        </w:rPr>
        <w:t>ostatných transferov</w:t>
      </w:r>
      <w:r w:rsidRPr="00BF6153">
        <w:t xml:space="preserve"> </w:t>
      </w:r>
      <w:r w:rsidRPr="00DB6EA5">
        <w:t>1</w:t>
      </w:r>
      <w:r w:rsidR="00681EE0">
        <w:t>45</w:t>
      </w:r>
      <w:r w:rsidRPr="00DB6EA5">
        <w:t> </w:t>
      </w:r>
      <w:r w:rsidR="00681EE0">
        <w:t>52</w:t>
      </w:r>
      <w:r w:rsidR="00F200D7">
        <w:t>8</w:t>
      </w:r>
      <w:r w:rsidRPr="00DB6EA5">
        <w:t xml:space="preserve"> tis. eur mali podstatný vplyv </w:t>
      </w:r>
      <w:r w:rsidRPr="00DE70EB">
        <w:t xml:space="preserve">transfery </w:t>
      </w:r>
      <w:r w:rsidR="00D351AB" w:rsidRPr="000B75C0">
        <w:t>na </w:t>
      </w:r>
      <w:r w:rsidRPr="000B75C0">
        <w:t>peňažné náležitosti</w:t>
      </w:r>
      <w:r w:rsidRPr="00DE70EB">
        <w:t xml:space="preserve"> v ozbrojených silách</w:t>
      </w:r>
      <w:r w:rsidRPr="00DE70EB">
        <w:rPr>
          <w:color w:val="FF0000"/>
        </w:rPr>
        <w:t xml:space="preserve"> </w:t>
      </w:r>
      <w:r w:rsidRPr="00DB6EA5">
        <w:t>v sume 57 133 tis. eur čerpané najmä Ministerstvom obrany SR sumou 41 360 tis. eur</w:t>
      </w:r>
      <w:r>
        <w:t>, predovšetkým</w:t>
      </w:r>
      <w:r w:rsidRPr="00DB6EA5">
        <w:t xml:space="preserve"> na stabilizačný príspevok profesionálnym vojakom podľa § 190 zákona č. 281/2015 Z.</w:t>
      </w:r>
      <w:r>
        <w:t xml:space="preserve"> </w:t>
      </w:r>
      <w:r w:rsidRPr="00DB6EA5">
        <w:t xml:space="preserve">z. o štátnej službe profesionálnych vojakov a Ministerstvom vnútra SR </w:t>
      </w:r>
      <w:r>
        <w:t xml:space="preserve">vo výške 14 740 tis. eur najmä </w:t>
      </w:r>
      <w:r w:rsidRPr="00DB6EA5">
        <w:t>na príspevok na bývanie policajtov.</w:t>
      </w:r>
      <w:r w:rsidRPr="00DB6EA5">
        <w:rPr>
          <w:rStyle w:val="Odkaznapoznmkupodiarou"/>
        </w:rPr>
        <w:footnoteReference w:id="24"/>
      </w:r>
      <w:r w:rsidRPr="00DB6EA5">
        <w:t xml:space="preserve"> </w:t>
      </w:r>
      <w:r w:rsidRPr="007E62C9">
        <w:t xml:space="preserve">V zmysle zákona č. 73/1998 Z. z. ustanovenia § 141a bolo skutočné čerpanie oproti rozpočtu vyššie o sumu 12 400 tis. eur z dôvodu vyplatenia príspevku na bývanie pre príslušníkov Policajného zboru SR. </w:t>
      </w:r>
      <w:r w:rsidR="00433CB1" w:rsidRPr="00433CB1">
        <w:t>Na č</w:t>
      </w:r>
      <w:r w:rsidR="00C12647" w:rsidRPr="00433CB1">
        <w:t>lenské príspevky</w:t>
      </w:r>
      <w:r w:rsidR="00433CB1" w:rsidRPr="00433CB1">
        <w:t xml:space="preserve"> bolo čerpanie v sume 16 307 tis. eur, </w:t>
      </w:r>
      <w:r w:rsidR="00433CB1">
        <w:t>realizované v najvyššej miere</w:t>
      </w:r>
      <w:r w:rsidR="00433CB1" w:rsidRPr="00433CB1">
        <w:t xml:space="preserve"> Ministerstvom hospodárstva SR v sume 15 002 tis. eur, </w:t>
      </w:r>
      <w:r w:rsidR="00433CB1">
        <w:t xml:space="preserve">ktoré tieto prostriedky použilo </w:t>
      </w:r>
      <w:r w:rsidR="00433CB1" w:rsidRPr="00433CB1">
        <w:t xml:space="preserve">najmä </w:t>
      </w:r>
      <w:r w:rsidR="00433CB1" w:rsidRPr="00FF3F8C">
        <w:rPr>
          <w:rFonts w:cs="Times New Roman"/>
        </w:rPr>
        <w:t>na člensk</w:t>
      </w:r>
      <w:r w:rsidR="00433CB1">
        <w:rPr>
          <w:rFonts w:cs="Times New Roman"/>
        </w:rPr>
        <w:t>é</w:t>
      </w:r>
      <w:r w:rsidR="00433CB1" w:rsidRPr="00FF3F8C">
        <w:rPr>
          <w:rFonts w:cs="Times New Roman"/>
        </w:rPr>
        <w:t xml:space="preserve"> príspevk</w:t>
      </w:r>
      <w:r w:rsidR="00433CB1">
        <w:rPr>
          <w:rFonts w:cs="Times New Roman"/>
        </w:rPr>
        <w:t>y</w:t>
      </w:r>
      <w:r w:rsidR="00433CB1" w:rsidRPr="00FF3F8C">
        <w:rPr>
          <w:rFonts w:cs="Times New Roman"/>
        </w:rPr>
        <w:t xml:space="preserve"> pre Slovak Business </w:t>
      </w:r>
      <w:proofErr w:type="spellStart"/>
      <w:r w:rsidR="00433CB1" w:rsidRPr="00FF3F8C">
        <w:rPr>
          <w:rFonts w:cs="Times New Roman"/>
        </w:rPr>
        <w:t>Agency</w:t>
      </w:r>
      <w:proofErr w:type="spellEnd"/>
      <w:r w:rsidR="004E0FD1">
        <w:rPr>
          <w:rFonts w:cs="Times New Roman"/>
        </w:rPr>
        <w:t>, a to</w:t>
      </w:r>
      <w:r w:rsidR="00433CB1">
        <w:rPr>
          <w:rFonts w:cs="Times New Roman"/>
        </w:rPr>
        <w:t xml:space="preserve"> vo výške 15 000 tis.</w:t>
      </w:r>
      <w:r w:rsidR="004E0FD1">
        <w:rPr>
          <w:rFonts w:cs="Times New Roman"/>
        </w:rPr>
        <w:t> </w:t>
      </w:r>
      <w:r w:rsidR="00433CB1">
        <w:rPr>
          <w:rFonts w:cs="Times New Roman"/>
        </w:rPr>
        <w:t>eur.</w:t>
      </w:r>
    </w:p>
    <w:p w14:paraId="0C17F697" w14:textId="398CDD47" w:rsidR="00872F0C" w:rsidRPr="0059076D" w:rsidRDefault="00872F0C" w:rsidP="00872F0C">
      <w:r w:rsidRPr="00E42893">
        <w:rPr>
          <w:b/>
        </w:rPr>
        <w:t>Transfery nefinančným subjektom a transfery príspevkovým organizáciám nezaradeným vo verejnej správe SR</w:t>
      </w:r>
      <w:r w:rsidRPr="00BF6153">
        <w:t xml:space="preserve"> </w:t>
      </w:r>
      <w:r w:rsidRPr="0059076D">
        <w:t>boli rozpočtované vo výške 901 851 tis. eur a ich realizované čerpanie dosiahlo úroveň 713 871 tis. </w:t>
      </w:r>
      <w:r w:rsidR="00BF6FCF">
        <w:t>eur.</w:t>
      </w:r>
    </w:p>
    <w:tbl>
      <w:tblPr>
        <w:tblW w:w="8647" w:type="dxa"/>
        <w:tblLayout w:type="fixed"/>
        <w:tblCellMar>
          <w:left w:w="0" w:type="dxa"/>
          <w:right w:w="0" w:type="dxa"/>
        </w:tblCellMar>
        <w:tblLook w:val="04A0" w:firstRow="1" w:lastRow="0" w:firstColumn="1" w:lastColumn="0" w:noHBand="0" w:noVBand="1"/>
      </w:tblPr>
      <w:tblGrid>
        <w:gridCol w:w="3439"/>
        <w:gridCol w:w="873"/>
        <w:gridCol w:w="835"/>
        <w:gridCol w:w="916"/>
        <w:gridCol w:w="915"/>
        <w:gridCol w:w="954"/>
        <w:gridCol w:w="715"/>
      </w:tblGrid>
      <w:tr w:rsidR="00872F0C" w14:paraId="74B7493E" w14:textId="77777777" w:rsidTr="00D57FF9">
        <w:trPr>
          <w:trHeight w:val="600"/>
        </w:trPr>
        <w:tc>
          <w:tcPr>
            <w:tcW w:w="8647" w:type="dxa"/>
            <w:gridSpan w:val="7"/>
            <w:tcBorders>
              <w:top w:val="nil"/>
              <w:left w:val="nil"/>
              <w:right w:val="nil"/>
            </w:tcBorders>
            <w:shd w:val="clear" w:color="000000" w:fill="000000"/>
            <w:tcMar>
              <w:top w:w="15" w:type="dxa"/>
              <w:left w:w="15" w:type="dxa"/>
              <w:bottom w:w="0" w:type="dxa"/>
              <w:right w:w="15" w:type="dxa"/>
            </w:tcMar>
            <w:vAlign w:val="center"/>
            <w:hideMark/>
          </w:tcPr>
          <w:p w14:paraId="4E7C91EC" w14:textId="77777777" w:rsidR="00D57FF9" w:rsidRDefault="00872F0C" w:rsidP="00D57FF9">
            <w:pPr>
              <w:spacing w:after="0" w:line="240" w:lineRule="auto"/>
              <w:jc w:val="left"/>
              <w:rPr>
                <w:b/>
                <w:bCs/>
                <w:color w:val="FFFFFF"/>
                <w:sz w:val="18"/>
                <w:szCs w:val="18"/>
              </w:rPr>
            </w:pPr>
            <w:r>
              <w:rPr>
                <w:b/>
                <w:bCs/>
                <w:color w:val="FFFFFF"/>
                <w:sz w:val="18"/>
                <w:szCs w:val="18"/>
              </w:rPr>
              <w:t xml:space="preserve">Transfery </w:t>
            </w:r>
            <w:proofErr w:type="spellStart"/>
            <w:r>
              <w:rPr>
                <w:b/>
                <w:bCs/>
                <w:color w:val="FFFFFF"/>
                <w:sz w:val="18"/>
                <w:szCs w:val="18"/>
              </w:rPr>
              <w:t>nef</w:t>
            </w:r>
            <w:proofErr w:type="spellEnd"/>
            <w:r>
              <w:rPr>
                <w:b/>
                <w:bCs/>
                <w:color w:val="FFFFFF"/>
                <w:sz w:val="18"/>
                <w:szCs w:val="18"/>
              </w:rPr>
              <w:t xml:space="preserve">. subjektom a transfery príspevkovým organizáciám nezaradeným vo verejnej správe SR  </w:t>
            </w:r>
          </w:p>
          <w:p w14:paraId="71701A8B" w14:textId="38A193C8" w:rsidR="00872F0C" w:rsidRDefault="00D57FF9" w:rsidP="003B4DC9">
            <w:pPr>
              <w:spacing w:after="0" w:line="240" w:lineRule="auto"/>
              <w:jc w:val="left"/>
              <w:rPr>
                <w:b/>
                <w:bCs/>
                <w:color w:val="FFFFFF"/>
                <w:sz w:val="18"/>
                <w:szCs w:val="18"/>
              </w:rPr>
            </w:pPr>
            <w:r>
              <w:rPr>
                <w:b/>
                <w:bCs/>
                <w:color w:val="FFFFFF"/>
                <w:sz w:val="18"/>
                <w:szCs w:val="18"/>
              </w:rPr>
              <w:t xml:space="preserve">                                                                                                                                                                               </w:t>
            </w:r>
            <w:r w:rsidR="00872F0C">
              <w:rPr>
                <w:b/>
                <w:bCs/>
                <w:color w:val="FFFFFF"/>
                <w:sz w:val="18"/>
                <w:szCs w:val="18"/>
              </w:rPr>
              <w:t>v tis. eur</w:t>
            </w:r>
          </w:p>
        </w:tc>
      </w:tr>
      <w:tr w:rsidR="00872F0C" w14:paraId="01F1FF68" w14:textId="77777777" w:rsidTr="00D57FF9">
        <w:trPr>
          <w:trHeight w:val="196"/>
        </w:trPr>
        <w:tc>
          <w:tcPr>
            <w:tcW w:w="3439" w:type="dxa"/>
            <w:vMerge w:val="restart"/>
            <w:tcBorders>
              <w:top w:val="nil"/>
              <w:left w:val="nil"/>
              <w:bottom w:val="nil"/>
              <w:right w:val="nil"/>
            </w:tcBorders>
            <w:shd w:val="clear" w:color="000000" w:fill="BFBFBF"/>
            <w:tcMar>
              <w:top w:w="15" w:type="dxa"/>
              <w:left w:w="15" w:type="dxa"/>
              <w:bottom w:w="0" w:type="dxa"/>
              <w:right w:w="15" w:type="dxa"/>
            </w:tcMar>
            <w:vAlign w:val="center"/>
          </w:tcPr>
          <w:p w14:paraId="3681CE61" w14:textId="77777777" w:rsidR="00872F0C" w:rsidRDefault="00872F0C" w:rsidP="00872F0C">
            <w:pPr>
              <w:jc w:val="center"/>
              <w:rPr>
                <w:b/>
                <w:bCs/>
                <w:color w:val="000000"/>
                <w:sz w:val="18"/>
                <w:szCs w:val="18"/>
              </w:rPr>
            </w:pPr>
          </w:p>
        </w:tc>
        <w:tc>
          <w:tcPr>
            <w:tcW w:w="1708" w:type="dxa"/>
            <w:gridSpan w:val="2"/>
            <w:tcBorders>
              <w:top w:val="nil"/>
              <w:left w:val="nil"/>
              <w:bottom w:val="nil"/>
              <w:right w:val="nil"/>
            </w:tcBorders>
            <w:shd w:val="clear" w:color="000000" w:fill="BFBFBF"/>
            <w:noWrap/>
            <w:tcMar>
              <w:top w:w="15" w:type="dxa"/>
              <w:left w:w="15" w:type="dxa"/>
              <w:bottom w:w="0" w:type="dxa"/>
              <w:right w:w="15" w:type="dxa"/>
            </w:tcMar>
            <w:vAlign w:val="center"/>
            <w:hideMark/>
          </w:tcPr>
          <w:p w14:paraId="2CD726A5" w14:textId="77777777" w:rsidR="00872F0C" w:rsidRDefault="00872F0C" w:rsidP="00872F0C">
            <w:pPr>
              <w:jc w:val="center"/>
              <w:rPr>
                <w:b/>
                <w:bCs/>
                <w:color w:val="000000"/>
                <w:sz w:val="18"/>
                <w:szCs w:val="18"/>
              </w:rPr>
            </w:pPr>
            <w:r>
              <w:rPr>
                <w:b/>
                <w:bCs/>
                <w:color w:val="000000"/>
                <w:sz w:val="18"/>
                <w:szCs w:val="18"/>
              </w:rPr>
              <w:t>Skutočnosť</w:t>
            </w:r>
          </w:p>
        </w:tc>
        <w:tc>
          <w:tcPr>
            <w:tcW w:w="916" w:type="dxa"/>
            <w:tcBorders>
              <w:top w:val="nil"/>
              <w:left w:val="nil"/>
              <w:bottom w:val="nil"/>
              <w:right w:val="nil"/>
            </w:tcBorders>
            <w:shd w:val="clear" w:color="000000" w:fill="BFBFBF"/>
            <w:noWrap/>
            <w:tcMar>
              <w:top w:w="15" w:type="dxa"/>
              <w:left w:w="15" w:type="dxa"/>
              <w:bottom w:w="0" w:type="dxa"/>
              <w:right w:w="15" w:type="dxa"/>
            </w:tcMar>
            <w:vAlign w:val="center"/>
            <w:hideMark/>
          </w:tcPr>
          <w:p w14:paraId="54F265C0" w14:textId="77777777" w:rsidR="00872F0C" w:rsidRDefault="00872F0C" w:rsidP="00872F0C">
            <w:pPr>
              <w:jc w:val="center"/>
              <w:rPr>
                <w:b/>
                <w:bCs/>
                <w:color w:val="000000"/>
                <w:sz w:val="18"/>
                <w:szCs w:val="18"/>
              </w:rPr>
            </w:pPr>
            <w:r>
              <w:rPr>
                <w:b/>
                <w:bCs/>
                <w:color w:val="000000"/>
                <w:sz w:val="18"/>
                <w:szCs w:val="18"/>
              </w:rPr>
              <w:t>Rozpočet</w:t>
            </w:r>
          </w:p>
        </w:tc>
        <w:tc>
          <w:tcPr>
            <w:tcW w:w="915" w:type="dxa"/>
            <w:tcBorders>
              <w:top w:val="nil"/>
              <w:left w:val="nil"/>
              <w:bottom w:val="nil"/>
              <w:right w:val="nil"/>
            </w:tcBorders>
            <w:shd w:val="clear" w:color="000000" w:fill="BFBFBF"/>
            <w:noWrap/>
            <w:tcMar>
              <w:top w:w="15" w:type="dxa"/>
              <w:left w:w="15" w:type="dxa"/>
              <w:bottom w:w="0" w:type="dxa"/>
              <w:right w:w="15" w:type="dxa"/>
            </w:tcMar>
            <w:vAlign w:val="center"/>
            <w:hideMark/>
          </w:tcPr>
          <w:p w14:paraId="72366079" w14:textId="77777777" w:rsidR="00872F0C" w:rsidRDefault="00872F0C" w:rsidP="00872F0C">
            <w:pPr>
              <w:jc w:val="center"/>
              <w:rPr>
                <w:b/>
                <w:bCs/>
                <w:color w:val="000000"/>
                <w:sz w:val="18"/>
                <w:szCs w:val="18"/>
              </w:rPr>
            </w:pPr>
            <w:r>
              <w:rPr>
                <w:b/>
                <w:bCs/>
                <w:color w:val="000000"/>
                <w:sz w:val="18"/>
                <w:szCs w:val="18"/>
              </w:rPr>
              <w:t>Skutočnosť</w:t>
            </w:r>
          </w:p>
        </w:tc>
        <w:tc>
          <w:tcPr>
            <w:tcW w:w="1669" w:type="dxa"/>
            <w:gridSpan w:val="2"/>
            <w:tcBorders>
              <w:top w:val="nil"/>
              <w:left w:val="nil"/>
              <w:bottom w:val="nil"/>
              <w:right w:val="nil"/>
            </w:tcBorders>
            <w:shd w:val="clear" w:color="000000" w:fill="BFBFBF"/>
            <w:noWrap/>
            <w:tcMar>
              <w:top w:w="15" w:type="dxa"/>
              <w:left w:w="15" w:type="dxa"/>
              <w:bottom w:w="0" w:type="dxa"/>
              <w:right w:w="15" w:type="dxa"/>
            </w:tcMar>
            <w:vAlign w:val="center"/>
            <w:hideMark/>
          </w:tcPr>
          <w:p w14:paraId="2B1FE71D" w14:textId="77777777" w:rsidR="00872F0C" w:rsidRDefault="00872F0C" w:rsidP="00872F0C">
            <w:pPr>
              <w:jc w:val="center"/>
              <w:rPr>
                <w:b/>
                <w:bCs/>
                <w:color w:val="000000"/>
                <w:sz w:val="18"/>
                <w:szCs w:val="18"/>
              </w:rPr>
            </w:pPr>
            <w:r>
              <w:rPr>
                <w:b/>
                <w:bCs/>
                <w:color w:val="000000"/>
                <w:sz w:val="18"/>
                <w:szCs w:val="18"/>
              </w:rPr>
              <w:t>Rozdiel</w:t>
            </w:r>
          </w:p>
        </w:tc>
      </w:tr>
      <w:tr w:rsidR="00872F0C" w14:paraId="07F36B06" w14:textId="77777777" w:rsidTr="00D57FF9">
        <w:trPr>
          <w:trHeight w:val="189"/>
        </w:trPr>
        <w:tc>
          <w:tcPr>
            <w:tcW w:w="3439" w:type="dxa"/>
            <w:vMerge/>
            <w:tcBorders>
              <w:top w:val="nil"/>
              <w:left w:val="nil"/>
              <w:bottom w:val="nil"/>
              <w:right w:val="nil"/>
            </w:tcBorders>
            <w:vAlign w:val="center"/>
          </w:tcPr>
          <w:p w14:paraId="3BDFF147" w14:textId="77777777" w:rsidR="00872F0C" w:rsidRDefault="00872F0C" w:rsidP="00872F0C">
            <w:pPr>
              <w:rPr>
                <w:b/>
                <w:bCs/>
                <w:color w:val="000000"/>
                <w:sz w:val="18"/>
                <w:szCs w:val="18"/>
              </w:rPr>
            </w:pPr>
          </w:p>
        </w:tc>
        <w:tc>
          <w:tcPr>
            <w:tcW w:w="873" w:type="dxa"/>
            <w:tcBorders>
              <w:top w:val="nil"/>
              <w:left w:val="nil"/>
              <w:bottom w:val="nil"/>
              <w:right w:val="nil"/>
            </w:tcBorders>
            <w:shd w:val="clear" w:color="000000" w:fill="BFBFBF"/>
            <w:noWrap/>
            <w:tcMar>
              <w:top w:w="15" w:type="dxa"/>
              <w:left w:w="15" w:type="dxa"/>
              <w:bottom w:w="0" w:type="dxa"/>
              <w:right w:w="15" w:type="dxa"/>
            </w:tcMar>
            <w:vAlign w:val="center"/>
            <w:hideMark/>
          </w:tcPr>
          <w:p w14:paraId="193808FD" w14:textId="77777777" w:rsidR="00872F0C" w:rsidRDefault="00872F0C" w:rsidP="00872F0C">
            <w:pPr>
              <w:jc w:val="center"/>
              <w:rPr>
                <w:b/>
                <w:bCs/>
                <w:color w:val="000000"/>
                <w:sz w:val="18"/>
                <w:szCs w:val="18"/>
              </w:rPr>
            </w:pPr>
            <w:r>
              <w:rPr>
                <w:b/>
                <w:bCs/>
                <w:color w:val="000000"/>
                <w:sz w:val="18"/>
                <w:szCs w:val="18"/>
              </w:rPr>
              <w:t>2016</w:t>
            </w:r>
          </w:p>
        </w:tc>
        <w:tc>
          <w:tcPr>
            <w:tcW w:w="835" w:type="dxa"/>
            <w:tcBorders>
              <w:top w:val="nil"/>
              <w:left w:val="nil"/>
              <w:bottom w:val="nil"/>
              <w:right w:val="nil"/>
            </w:tcBorders>
            <w:shd w:val="clear" w:color="000000" w:fill="BFBFBF"/>
            <w:noWrap/>
            <w:tcMar>
              <w:top w:w="15" w:type="dxa"/>
              <w:left w:w="15" w:type="dxa"/>
              <w:bottom w:w="0" w:type="dxa"/>
              <w:right w:w="15" w:type="dxa"/>
            </w:tcMar>
            <w:vAlign w:val="center"/>
            <w:hideMark/>
          </w:tcPr>
          <w:p w14:paraId="15BD9460" w14:textId="77777777" w:rsidR="00872F0C" w:rsidRDefault="00872F0C" w:rsidP="00872F0C">
            <w:pPr>
              <w:jc w:val="center"/>
              <w:rPr>
                <w:b/>
                <w:bCs/>
                <w:color w:val="000000"/>
                <w:sz w:val="18"/>
                <w:szCs w:val="18"/>
              </w:rPr>
            </w:pPr>
            <w:r>
              <w:rPr>
                <w:b/>
                <w:bCs/>
                <w:color w:val="000000"/>
                <w:sz w:val="18"/>
                <w:szCs w:val="18"/>
              </w:rPr>
              <w:t>2017</w:t>
            </w:r>
          </w:p>
        </w:tc>
        <w:tc>
          <w:tcPr>
            <w:tcW w:w="916" w:type="dxa"/>
            <w:tcBorders>
              <w:top w:val="nil"/>
              <w:left w:val="nil"/>
              <w:bottom w:val="nil"/>
              <w:right w:val="nil"/>
            </w:tcBorders>
            <w:shd w:val="clear" w:color="000000" w:fill="BFBFBF"/>
            <w:noWrap/>
            <w:tcMar>
              <w:top w:w="15" w:type="dxa"/>
              <w:left w:w="15" w:type="dxa"/>
              <w:bottom w:w="0" w:type="dxa"/>
              <w:right w:w="15" w:type="dxa"/>
            </w:tcMar>
            <w:vAlign w:val="center"/>
            <w:hideMark/>
          </w:tcPr>
          <w:p w14:paraId="24F1DEC6" w14:textId="77777777" w:rsidR="00872F0C" w:rsidRDefault="00872F0C" w:rsidP="00872F0C">
            <w:pPr>
              <w:jc w:val="center"/>
              <w:rPr>
                <w:b/>
                <w:bCs/>
                <w:color w:val="000000"/>
                <w:sz w:val="18"/>
                <w:szCs w:val="18"/>
              </w:rPr>
            </w:pPr>
            <w:r>
              <w:rPr>
                <w:b/>
                <w:bCs/>
                <w:color w:val="000000"/>
                <w:sz w:val="18"/>
                <w:szCs w:val="18"/>
              </w:rPr>
              <w:t>2018</w:t>
            </w:r>
          </w:p>
        </w:tc>
        <w:tc>
          <w:tcPr>
            <w:tcW w:w="915" w:type="dxa"/>
            <w:tcBorders>
              <w:top w:val="nil"/>
              <w:left w:val="nil"/>
              <w:bottom w:val="nil"/>
              <w:right w:val="nil"/>
            </w:tcBorders>
            <w:shd w:val="clear" w:color="000000" w:fill="BFBFBF"/>
            <w:noWrap/>
            <w:tcMar>
              <w:top w:w="15" w:type="dxa"/>
              <w:left w:w="15" w:type="dxa"/>
              <w:bottom w:w="0" w:type="dxa"/>
              <w:right w:w="15" w:type="dxa"/>
            </w:tcMar>
            <w:vAlign w:val="center"/>
            <w:hideMark/>
          </w:tcPr>
          <w:p w14:paraId="6DFC18BC" w14:textId="77777777" w:rsidR="00872F0C" w:rsidRDefault="00872F0C" w:rsidP="00872F0C">
            <w:pPr>
              <w:jc w:val="center"/>
              <w:rPr>
                <w:b/>
                <w:bCs/>
                <w:color w:val="000000"/>
                <w:sz w:val="18"/>
                <w:szCs w:val="18"/>
              </w:rPr>
            </w:pPr>
            <w:r>
              <w:rPr>
                <w:b/>
                <w:bCs/>
                <w:color w:val="000000"/>
                <w:sz w:val="18"/>
                <w:szCs w:val="18"/>
              </w:rPr>
              <w:t>2018</w:t>
            </w:r>
          </w:p>
        </w:tc>
        <w:tc>
          <w:tcPr>
            <w:tcW w:w="954" w:type="dxa"/>
            <w:tcBorders>
              <w:top w:val="nil"/>
              <w:left w:val="nil"/>
              <w:bottom w:val="nil"/>
              <w:right w:val="nil"/>
            </w:tcBorders>
            <w:shd w:val="clear" w:color="000000" w:fill="BFBFBF"/>
            <w:noWrap/>
            <w:tcMar>
              <w:top w:w="15" w:type="dxa"/>
              <w:left w:w="15" w:type="dxa"/>
              <w:bottom w:w="0" w:type="dxa"/>
              <w:right w:w="15" w:type="dxa"/>
            </w:tcMar>
            <w:vAlign w:val="center"/>
            <w:hideMark/>
          </w:tcPr>
          <w:p w14:paraId="7B4DD715" w14:textId="77777777" w:rsidR="00872F0C" w:rsidRDefault="00872F0C" w:rsidP="00872F0C">
            <w:pPr>
              <w:jc w:val="center"/>
              <w:rPr>
                <w:b/>
                <w:bCs/>
                <w:color w:val="000000"/>
                <w:sz w:val="18"/>
                <w:szCs w:val="18"/>
              </w:rPr>
            </w:pPr>
            <w:r>
              <w:rPr>
                <w:b/>
                <w:bCs/>
                <w:color w:val="000000"/>
                <w:sz w:val="18"/>
                <w:szCs w:val="18"/>
              </w:rPr>
              <w:t>v tis. eur</w:t>
            </w:r>
          </w:p>
        </w:tc>
        <w:tc>
          <w:tcPr>
            <w:tcW w:w="715" w:type="dxa"/>
            <w:tcBorders>
              <w:top w:val="nil"/>
              <w:left w:val="nil"/>
              <w:bottom w:val="nil"/>
              <w:right w:val="nil"/>
            </w:tcBorders>
            <w:shd w:val="clear" w:color="000000" w:fill="BFBFBF"/>
            <w:noWrap/>
            <w:tcMar>
              <w:top w:w="15" w:type="dxa"/>
              <w:left w:w="15" w:type="dxa"/>
              <w:bottom w:w="0" w:type="dxa"/>
              <w:right w:w="15" w:type="dxa"/>
            </w:tcMar>
            <w:vAlign w:val="center"/>
            <w:hideMark/>
          </w:tcPr>
          <w:p w14:paraId="74414B51" w14:textId="77777777" w:rsidR="00872F0C" w:rsidRDefault="00872F0C" w:rsidP="00872F0C">
            <w:pPr>
              <w:jc w:val="center"/>
              <w:rPr>
                <w:b/>
                <w:bCs/>
                <w:color w:val="000000"/>
                <w:sz w:val="18"/>
                <w:szCs w:val="18"/>
              </w:rPr>
            </w:pPr>
            <w:r>
              <w:rPr>
                <w:b/>
                <w:bCs/>
                <w:color w:val="000000"/>
                <w:sz w:val="18"/>
                <w:szCs w:val="18"/>
              </w:rPr>
              <w:t>v %</w:t>
            </w:r>
          </w:p>
        </w:tc>
      </w:tr>
      <w:tr w:rsidR="00872F0C" w14:paraId="0600D9F6" w14:textId="77777777" w:rsidTr="00D57FF9">
        <w:trPr>
          <w:trHeight w:val="52"/>
        </w:trPr>
        <w:tc>
          <w:tcPr>
            <w:tcW w:w="3439" w:type="dxa"/>
            <w:tcBorders>
              <w:top w:val="nil"/>
              <w:left w:val="nil"/>
              <w:bottom w:val="single" w:sz="8" w:space="0" w:color="auto"/>
              <w:right w:val="nil"/>
            </w:tcBorders>
            <w:shd w:val="clear" w:color="000000" w:fill="BFBFBF"/>
            <w:tcMar>
              <w:top w:w="15" w:type="dxa"/>
              <w:left w:w="15" w:type="dxa"/>
              <w:bottom w:w="0" w:type="dxa"/>
              <w:right w:w="15" w:type="dxa"/>
            </w:tcMar>
            <w:vAlign w:val="center"/>
          </w:tcPr>
          <w:p w14:paraId="205D7DC1" w14:textId="77777777" w:rsidR="00872F0C" w:rsidRDefault="00872F0C" w:rsidP="00872F0C">
            <w:pPr>
              <w:jc w:val="center"/>
              <w:rPr>
                <w:b/>
                <w:bCs/>
                <w:color w:val="000000"/>
                <w:sz w:val="18"/>
                <w:szCs w:val="18"/>
              </w:rPr>
            </w:pPr>
          </w:p>
        </w:tc>
        <w:tc>
          <w:tcPr>
            <w:tcW w:w="873" w:type="dxa"/>
            <w:tcBorders>
              <w:top w:val="nil"/>
              <w:left w:val="nil"/>
              <w:bottom w:val="single" w:sz="8" w:space="0" w:color="auto"/>
              <w:right w:val="nil"/>
            </w:tcBorders>
            <w:shd w:val="clear" w:color="000000" w:fill="BFBFBF"/>
            <w:noWrap/>
            <w:tcMar>
              <w:top w:w="15" w:type="dxa"/>
              <w:left w:w="15" w:type="dxa"/>
              <w:bottom w:w="0" w:type="dxa"/>
              <w:right w:w="15" w:type="dxa"/>
            </w:tcMar>
            <w:vAlign w:val="center"/>
            <w:hideMark/>
          </w:tcPr>
          <w:p w14:paraId="3DAE0DE9" w14:textId="77777777" w:rsidR="00872F0C" w:rsidRDefault="00872F0C" w:rsidP="00872F0C">
            <w:pPr>
              <w:jc w:val="center"/>
              <w:rPr>
                <w:b/>
                <w:bCs/>
                <w:color w:val="000000"/>
                <w:sz w:val="18"/>
                <w:szCs w:val="18"/>
              </w:rPr>
            </w:pPr>
            <w:r>
              <w:rPr>
                <w:b/>
                <w:bCs/>
                <w:color w:val="000000"/>
                <w:sz w:val="18"/>
                <w:szCs w:val="18"/>
              </w:rPr>
              <w:t>1</w:t>
            </w:r>
          </w:p>
        </w:tc>
        <w:tc>
          <w:tcPr>
            <w:tcW w:w="835" w:type="dxa"/>
            <w:tcBorders>
              <w:top w:val="nil"/>
              <w:left w:val="nil"/>
              <w:bottom w:val="single" w:sz="8" w:space="0" w:color="auto"/>
              <w:right w:val="nil"/>
            </w:tcBorders>
            <w:shd w:val="clear" w:color="000000" w:fill="BFBFBF"/>
            <w:noWrap/>
            <w:tcMar>
              <w:top w:w="15" w:type="dxa"/>
              <w:left w:w="15" w:type="dxa"/>
              <w:bottom w:w="0" w:type="dxa"/>
              <w:right w:w="15" w:type="dxa"/>
            </w:tcMar>
            <w:vAlign w:val="center"/>
            <w:hideMark/>
          </w:tcPr>
          <w:p w14:paraId="59587158" w14:textId="77777777" w:rsidR="00872F0C" w:rsidRDefault="00872F0C" w:rsidP="00872F0C">
            <w:pPr>
              <w:jc w:val="center"/>
              <w:rPr>
                <w:b/>
                <w:bCs/>
                <w:color w:val="000000"/>
                <w:sz w:val="18"/>
                <w:szCs w:val="18"/>
              </w:rPr>
            </w:pPr>
            <w:r>
              <w:rPr>
                <w:b/>
                <w:bCs/>
                <w:color w:val="000000"/>
                <w:sz w:val="18"/>
                <w:szCs w:val="18"/>
              </w:rPr>
              <w:t>2</w:t>
            </w:r>
          </w:p>
        </w:tc>
        <w:tc>
          <w:tcPr>
            <w:tcW w:w="916" w:type="dxa"/>
            <w:tcBorders>
              <w:top w:val="nil"/>
              <w:left w:val="nil"/>
              <w:bottom w:val="single" w:sz="8" w:space="0" w:color="auto"/>
              <w:right w:val="nil"/>
            </w:tcBorders>
            <w:shd w:val="clear" w:color="000000" w:fill="BFBFBF"/>
            <w:noWrap/>
            <w:tcMar>
              <w:top w:w="15" w:type="dxa"/>
              <w:left w:w="15" w:type="dxa"/>
              <w:bottom w:w="0" w:type="dxa"/>
              <w:right w:w="15" w:type="dxa"/>
            </w:tcMar>
            <w:vAlign w:val="center"/>
            <w:hideMark/>
          </w:tcPr>
          <w:p w14:paraId="310124AC" w14:textId="77777777" w:rsidR="00872F0C" w:rsidRDefault="00872F0C" w:rsidP="00872F0C">
            <w:pPr>
              <w:jc w:val="center"/>
              <w:rPr>
                <w:b/>
                <w:bCs/>
                <w:color w:val="000000"/>
                <w:sz w:val="18"/>
                <w:szCs w:val="18"/>
              </w:rPr>
            </w:pPr>
            <w:r>
              <w:rPr>
                <w:b/>
                <w:bCs/>
                <w:color w:val="000000"/>
                <w:sz w:val="18"/>
                <w:szCs w:val="18"/>
              </w:rPr>
              <w:t>3</w:t>
            </w:r>
          </w:p>
        </w:tc>
        <w:tc>
          <w:tcPr>
            <w:tcW w:w="915" w:type="dxa"/>
            <w:tcBorders>
              <w:top w:val="nil"/>
              <w:left w:val="nil"/>
              <w:bottom w:val="single" w:sz="8" w:space="0" w:color="auto"/>
              <w:right w:val="nil"/>
            </w:tcBorders>
            <w:shd w:val="clear" w:color="000000" w:fill="BFBFBF"/>
            <w:noWrap/>
            <w:tcMar>
              <w:top w:w="15" w:type="dxa"/>
              <w:left w:w="15" w:type="dxa"/>
              <w:bottom w:w="0" w:type="dxa"/>
              <w:right w:w="15" w:type="dxa"/>
            </w:tcMar>
            <w:vAlign w:val="center"/>
            <w:hideMark/>
          </w:tcPr>
          <w:p w14:paraId="13E89CF3" w14:textId="77777777" w:rsidR="00872F0C" w:rsidRDefault="00872F0C" w:rsidP="00872F0C">
            <w:pPr>
              <w:jc w:val="center"/>
              <w:rPr>
                <w:b/>
                <w:bCs/>
                <w:color w:val="000000"/>
                <w:sz w:val="18"/>
                <w:szCs w:val="18"/>
              </w:rPr>
            </w:pPr>
            <w:r>
              <w:rPr>
                <w:b/>
                <w:bCs/>
                <w:color w:val="000000"/>
                <w:sz w:val="18"/>
                <w:szCs w:val="18"/>
              </w:rPr>
              <w:t>4</w:t>
            </w:r>
          </w:p>
        </w:tc>
        <w:tc>
          <w:tcPr>
            <w:tcW w:w="954" w:type="dxa"/>
            <w:tcBorders>
              <w:top w:val="nil"/>
              <w:left w:val="nil"/>
              <w:bottom w:val="single" w:sz="8" w:space="0" w:color="auto"/>
              <w:right w:val="nil"/>
            </w:tcBorders>
            <w:shd w:val="clear" w:color="000000" w:fill="BFBFBF"/>
            <w:noWrap/>
            <w:tcMar>
              <w:top w:w="15" w:type="dxa"/>
              <w:left w:w="15" w:type="dxa"/>
              <w:bottom w:w="0" w:type="dxa"/>
              <w:right w:w="15" w:type="dxa"/>
            </w:tcMar>
            <w:vAlign w:val="center"/>
            <w:hideMark/>
          </w:tcPr>
          <w:p w14:paraId="5DD9CE2C" w14:textId="77777777" w:rsidR="00872F0C" w:rsidRDefault="00872F0C" w:rsidP="00872F0C">
            <w:pPr>
              <w:jc w:val="center"/>
              <w:rPr>
                <w:b/>
                <w:bCs/>
                <w:color w:val="000000"/>
                <w:sz w:val="18"/>
                <w:szCs w:val="18"/>
              </w:rPr>
            </w:pPr>
            <w:r>
              <w:rPr>
                <w:b/>
                <w:bCs/>
                <w:color w:val="000000"/>
                <w:sz w:val="18"/>
                <w:szCs w:val="18"/>
              </w:rPr>
              <w:t>5=4-3</w:t>
            </w:r>
          </w:p>
        </w:tc>
        <w:tc>
          <w:tcPr>
            <w:tcW w:w="715" w:type="dxa"/>
            <w:tcBorders>
              <w:top w:val="nil"/>
              <w:left w:val="nil"/>
              <w:bottom w:val="single" w:sz="8" w:space="0" w:color="auto"/>
              <w:right w:val="nil"/>
            </w:tcBorders>
            <w:shd w:val="clear" w:color="000000" w:fill="BFBFBF"/>
            <w:noWrap/>
            <w:tcMar>
              <w:top w:w="15" w:type="dxa"/>
              <w:left w:w="15" w:type="dxa"/>
              <w:bottom w:w="0" w:type="dxa"/>
              <w:right w:w="15" w:type="dxa"/>
            </w:tcMar>
            <w:vAlign w:val="center"/>
            <w:hideMark/>
          </w:tcPr>
          <w:p w14:paraId="07C75B29" w14:textId="77777777" w:rsidR="00872F0C" w:rsidRDefault="00872F0C" w:rsidP="00872F0C">
            <w:pPr>
              <w:jc w:val="center"/>
              <w:rPr>
                <w:b/>
                <w:bCs/>
                <w:color w:val="000000"/>
                <w:sz w:val="18"/>
                <w:szCs w:val="18"/>
              </w:rPr>
            </w:pPr>
            <w:r>
              <w:rPr>
                <w:b/>
                <w:bCs/>
                <w:color w:val="000000"/>
                <w:sz w:val="18"/>
                <w:szCs w:val="18"/>
              </w:rPr>
              <w:t>6=4-3</w:t>
            </w:r>
          </w:p>
        </w:tc>
      </w:tr>
      <w:tr w:rsidR="00872F0C" w14:paraId="1E57BDCC" w14:textId="77777777" w:rsidTr="008901EE">
        <w:trPr>
          <w:trHeight w:val="349"/>
        </w:trPr>
        <w:tc>
          <w:tcPr>
            <w:tcW w:w="3439" w:type="dxa"/>
            <w:tcBorders>
              <w:top w:val="nil"/>
              <w:left w:val="nil"/>
              <w:bottom w:val="nil"/>
              <w:right w:val="nil"/>
            </w:tcBorders>
            <w:shd w:val="clear" w:color="auto" w:fill="auto"/>
            <w:tcMar>
              <w:top w:w="15" w:type="dxa"/>
              <w:left w:w="15" w:type="dxa"/>
              <w:bottom w:w="0" w:type="dxa"/>
              <w:right w:w="15" w:type="dxa"/>
            </w:tcMar>
            <w:vAlign w:val="bottom"/>
            <w:hideMark/>
          </w:tcPr>
          <w:p w14:paraId="69B67055" w14:textId="77777777" w:rsidR="00872F0C" w:rsidRDefault="00872F0C" w:rsidP="00872F0C">
            <w:pPr>
              <w:jc w:val="left"/>
              <w:rPr>
                <w:color w:val="000000"/>
                <w:sz w:val="18"/>
                <w:szCs w:val="18"/>
              </w:rPr>
            </w:pPr>
            <w:r>
              <w:rPr>
                <w:color w:val="000000"/>
                <w:sz w:val="18"/>
                <w:szCs w:val="18"/>
              </w:rPr>
              <w:t>Ostatnej právnickej osobe</w:t>
            </w:r>
          </w:p>
        </w:tc>
        <w:tc>
          <w:tcPr>
            <w:tcW w:w="873" w:type="dxa"/>
            <w:tcBorders>
              <w:top w:val="nil"/>
              <w:left w:val="nil"/>
              <w:bottom w:val="nil"/>
              <w:right w:val="nil"/>
            </w:tcBorders>
            <w:shd w:val="clear" w:color="auto" w:fill="auto"/>
            <w:tcMar>
              <w:top w:w="15" w:type="dxa"/>
              <w:left w:w="15" w:type="dxa"/>
              <w:bottom w:w="0" w:type="dxa"/>
              <w:right w:w="15" w:type="dxa"/>
            </w:tcMar>
            <w:vAlign w:val="center"/>
            <w:hideMark/>
          </w:tcPr>
          <w:p w14:paraId="17004F0A" w14:textId="77777777" w:rsidR="00872F0C" w:rsidRDefault="00872F0C" w:rsidP="00872F0C">
            <w:pPr>
              <w:jc w:val="right"/>
              <w:rPr>
                <w:color w:val="000000"/>
                <w:sz w:val="18"/>
                <w:szCs w:val="18"/>
              </w:rPr>
            </w:pPr>
            <w:r>
              <w:rPr>
                <w:color w:val="000000"/>
                <w:sz w:val="18"/>
                <w:szCs w:val="18"/>
              </w:rPr>
              <w:t>479 633</w:t>
            </w:r>
          </w:p>
        </w:tc>
        <w:tc>
          <w:tcPr>
            <w:tcW w:w="835" w:type="dxa"/>
            <w:tcBorders>
              <w:top w:val="nil"/>
              <w:left w:val="nil"/>
              <w:bottom w:val="nil"/>
              <w:right w:val="nil"/>
            </w:tcBorders>
            <w:shd w:val="clear" w:color="auto" w:fill="auto"/>
            <w:tcMar>
              <w:top w:w="15" w:type="dxa"/>
              <w:left w:w="15" w:type="dxa"/>
              <w:bottom w:w="0" w:type="dxa"/>
              <w:right w:w="15" w:type="dxa"/>
            </w:tcMar>
            <w:vAlign w:val="center"/>
            <w:hideMark/>
          </w:tcPr>
          <w:p w14:paraId="01E4E42A" w14:textId="77777777" w:rsidR="00872F0C" w:rsidRDefault="00872F0C" w:rsidP="00872F0C">
            <w:pPr>
              <w:jc w:val="right"/>
              <w:rPr>
                <w:color w:val="000000"/>
                <w:sz w:val="18"/>
                <w:szCs w:val="18"/>
              </w:rPr>
            </w:pPr>
            <w:r>
              <w:rPr>
                <w:color w:val="000000"/>
                <w:sz w:val="18"/>
                <w:szCs w:val="18"/>
              </w:rPr>
              <w:t>476 207</w:t>
            </w:r>
          </w:p>
        </w:tc>
        <w:tc>
          <w:tcPr>
            <w:tcW w:w="916" w:type="dxa"/>
            <w:tcBorders>
              <w:top w:val="nil"/>
              <w:left w:val="nil"/>
              <w:bottom w:val="nil"/>
              <w:right w:val="nil"/>
            </w:tcBorders>
            <w:shd w:val="clear" w:color="auto" w:fill="auto"/>
            <w:tcMar>
              <w:top w:w="15" w:type="dxa"/>
              <w:left w:w="15" w:type="dxa"/>
              <w:bottom w:w="0" w:type="dxa"/>
              <w:right w:w="15" w:type="dxa"/>
            </w:tcMar>
            <w:vAlign w:val="center"/>
            <w:hideMark/>
          </w:tcPr>
          <w:p w14:paraId="4511D535" w14:textId="77777777" w:rsidR="00872F0C" w:rsidRDefault="00872F0C" w:rsidP="00872F0C">
            <w:pPr>
              <w:jc w:val="right"/>
              <w:rPr>
                <w:color w:val="000000"/>
                <w:sz w:val="18"/>
                <w:szCs w:val="18"/>
              </w:rPr>
            </w:pPr>
            <w:r>
              <w:rPr>
                <w:color w:val="000000"/>
                <w:sz w:val="18"/>
                <w:szCs w:val="18"/>
              </w:rPr>
              <w:t>869 896</w:t>
            </w:r>
          </w:p>
        </w:tc>
        <w:tc>
          <w:tcPr>
            <w:tcW w:w="915" w:type="dxa"/>
            <w:tcBorders>
              <w:top w:val="nil"/>
              <w:left w:val="nil"/>
              <w:bottom w:val="nil"/>
              <w:right w:val="nil"/>
            </w:tcBorders>
            <w:shd w:val="clear" w:color="auto" w:fill="BFBFBF" w:themeFill="background1" w:themeFillShade="BF"/>
            <w:tcMar>
              <w:top w:w="15" w:type="dxa"/>
              <w:left w:w="15" w:type="dxa"/>
              <w:bottom w:w="0" w:type="dxa"/>
              <w:right w:w="15" w:type="dxa"/>
            </w:tcMar>
            <w:vAlign w:val="center"/>
            <w:hideMark/>
          </w:tcPr>
          <w:p w14:paraId="582D23B4" w14:textId="77777777" w:rsidR="00872F0C" w:rsidRDefault="00872F0C" w:rsidP="00872F0C">
            <w:pPr>
              <w:jc w:val="right"/>
              <w:rPr>
                <w:color w:val="000000"/>
                <w:sz w:val="18"/>
                <w:szCs w:val="18"/>
              </w:rPr>
            </w:pPr>
            <w:r>
              <w:rPr>
                <w:color w:val="000000"/>
                <w:sz w:val="18"/>
                <w:szCs w:val="18"/>
              </w:rPr>
              <w:t>530 115</w:t>
            </w:r>
          </w:p>
        </w:tc>
        <w:tc>
          <w:tcPr>
            <w:tcW w:w="954" w:type="dxa"/>
            <w:tcBorders>
              <w:top w:val="nil"/>
              <w:left w:val="nil"/>
              <w:bottom w:val="nil"/>
              <w:right w:val="nil"/>
            </w:tcBorders>
            <w:shd w:val="clear" w:color="auto" w:fill="auto"/>
            <w:tcMar>
              <w:top w:w="15" w:type="dxa"/>
              <w:left w:w="15" w:type="dxa"/>
              <w:bottom w:w="0" w:type="dxa"/>
              <w:right w:w="15" w:type="dxa"/>
            </w:tcMar>
            <w:vAlign w:val="center"/>
            <w:hideMark/>
          </w:tcPr>
          <w:p w14:paraId="56BF8BE1" w14:textId="77777777" w:rsidR="00872F0C" w:rsidRDefault="00872F0C" w:rsidP="00872F0C">
            <w:pPr>
              <w:jc w:val="right"/>
              <w:rPr>
                <w:color w:val="000000"/>
                <w:sz w:val="18"/>
                <w:szCs w:val="18"/>
              </w:rPr>
            </w:pPr>
            <w:r>
              <w:rPr>
                <w:color w:val="000000"/>
                <w:sz w:val="18"/>
                <w:szCs w:val="18"/>
              </w:rPr>
              <w:t>-339 781</w:t>
            </w:r>
          </w:p>
        </w:tc>
        <w:tc>
          <w:tcPr>
            <w:tcW w:w="715" w:type="dxa"/>
            <w:tcBorders>
              <w:top w:val="nil"/>
              <w:left w:val="nil"/>
              <w:bottom w:val="nil"/>
              <w:right w:val="nil"/>
            </w:tcBorders>
            <w:shd w:val="clear" w:color="auto" w:fill="auto"/>
            <w:tcMar>
              <w:top w:w="15" w:type="dxa"/>
              <w:left w:w="15" w:type="dxa"/>
              <w:bottom w:w="0" w:type="dxa"/>
              <w:right w:w="15" w:type="dxa"/>
            </w:tcMar>
            <w:vAlign w:val="center"/>
            <w:hideMark/>
          </w:tcPr>
          <w:p w14:paraId="0D660844" w14:textId="77777777" w:rsidR="00872F0C" w:rsidRDefault="00872F0C" w:rsidP="00872F0C">
            <w:pPr>
              <w:jc w:val="right"/>
              <w:rPr>
                <w:color w:val="000000"/>
                <w:sz w:val="18"/>
                <w:szCs w:val="18"/>
              </w:rPr>
            </w:pPr>
            <w:r>
              <w:rPr>
                <w:color w:val="000000"/>
                <w:sz w:val="18"/>
                <w:szCs w:val="18"/>
              </w:rPr>
              <w:t>-39,1</w:t>
            </w:r>
          </w:p>
        </w:tc>
      </w:tr>
      <w:tr w:rsidR="00872F0C" w14:paraId="545ED26B" w14:textId="77777777" w:rsidTr="008901EE">
        <w:trPr>
          <w:trHeight w:val="349"/>
        </w:trPr>
        <w:tc>
          <w:tcPr>
            <w:tcW w:w="3439" w:type="dxa"/>
            <w:tcBorders>
              <w:top w:val="nil"/>
              <w:left w:val="nil"/>
              <w:bottom w:val="nil"/>
              <w:right w:val="nil"/>
            </w:tcBorders>
            <w:shd w:val="clear" w:color="auto" w:fill="auto"/>
            <w:tcMar>
              <w:top w:w="15" w:type="dxa"/>
              <w:left w:w="15" w:type="dxa"/>
              <w:bottom w:w="0" w:type="dxa"/>
              <w:right w:w="15" w:type="dxa"/>
            </w:tcMar>
            <w:vAlign w:val="center"/>
            <w:hideMark/>
          </w:tcPr>
          <w:p w14:paraId="2718EB37" w14:textId="77777777" w:rsidR="00872F0C" w:rsidRDefault="00872F0C" w:rsidP="00872F0C">
            <w:pPr>
              <w:jc w:val="left"/>
              <w:rPr>
                <w:color w:val="000000"/>
                <w:sz w:val="18"/>
                <w:szCs w:val="18"/>
              </w:rPr>
            </w:pPr>
            <w:r>
              <w:rPr>
                <w:color w:val="000000"/>
                <w:sz w:val="18"/>
                <w:szCs w:val="18"/>
              </w:rPr>
              <w:t>Fyzickej osobe podnikateľovi</w:t>
            </w:r>
          </w:p>
        </w:tc>
        <w:tc>
          <w:tcPr>
            <w:tcW w:w="873" w:type="dxa"/>
            <w:tcBorders>
              <w:top w:val="nil"/>
              <w:left w:val="nil"/>
              <w:bottom w:val="nil"/>
              <w:right w:val="nil"/>
            </w:tcBorders>
            <w:shd w:val="clear" w:color="auto" w:fill="auto"/>
            <w:tcMar>
              <w:top w:w="15" w:type="dxa"/>
              <w:left w:w="15" w:type="dxa"/>
              <w:bottom w:w="0" w:type="dxa"/>
              <w:right w:w="15" w:type="dxa"/>
            </w:tcMar>
            <w:vAlign w:val="center"/>
            <w:hideMark/>
          </w:tcPr>
          <w:p w14:paraId="020467FD" w14:textId="77777777" w:rsidR="00872F0C" w:rsidRDefault="00872F0C" w:rsidP="00872F0C">
            <w:pPr>
              <w:jc w:val="right"/>
              <w:rPr>
                <w:color w:val="000000"/>
                <w:sz w:val="18"/>
                <w:szCs w:val="18"/>
              </w:rPr>
            </w:pPr>
            <w:r>
              <w:rPr>
                <w:color w:val="000000"/>
                <w:sz w:val="18"/>
                <w:szCs w:val="18"/>
              </w:rPr>
              <w:t>90 528</w:t>
            </w:r>
          </w:p>
        </w:tc>
        <w:tc>
          <w:tcPr>
            <w:tcW w:w="835" w:type="dxa"/>
            <w:tcBorders>
              <w:top w:val="nil"/>
              <w:left w:val="nil"/>
              <w:bottom w:val="nil"/>
              <w:right w:val="nil"/>
            </w:tcBorders>
            <w:shd w:val="clear" w:color="auto" w:fill="auto"/>
            <w:tcMar>
              <w:top w:w="15" w:type="dxa"/>
              <w:left w:w="15" w:type="dxa"/>
              <w:bottom w:w="0" w:type="dxa"/>
              <w:right w:w="15" w:type="dxa"/>
            </w:tcMar>
            <w:vAlign w:val="center"/>
            <w:hideMark/>
          </w:tcPr>
          <w:p w14:paraId="7E160190" w14:textId="77777777" w:rsidR="00872F0C" w:rsidRDefault="00872F0C" w:rsidP="00872F0C">
            <w:pPr>
              <w:jc w:val="right"/>
              <w:rPr>
                <w:color w:val="000000"/>
                <w:sz w:val="18"/>
                <w:szCs w:val="18"/>
              </w:rPr>
            </w:pPr>
            <w:r>
              <w:rPr>
                <w:color w:val="000000"/>
                <w:sz w:val="18"/>
                <w:szCs w:val="18"/>
              </w:rPr>
              <w:t>90 998</w:t>
            </w:r>
          </w:p>
        </w:tc>
        <w:tc>
          <w:tcPr>
            <w:tcW w:w="916" w:type="dxa"/>
            <w:tcBorders>
              <w:top w:val="nil"/>
              <w:left w:val="nil"/>
              <w:bottom w:val="nil"/>
              <w:right w:val="nil"/>
            </w:tcBorders>
            <w:shd w:val="clear" w:color="auto" w:fill="auto"/>
            <w:tcMar>
              <w:top w:w="15" w:type="dxa"/>
              <w:left w:w="15" w:type="dxa"/>
              <w:bottom w:w="0" w:type="dxa"/>
              <w:right w:w="15" w:type="dxa"/>
            </w:tcMar>
            <w:vAlign w:val="center"/>
            <w:hideMark/>
          </w:tcPr>
          <w:p w14:paraId="2D46FB69" w14:textId="77777777" w:rsidR="00872F0C" w:rsidRDefault="00872F0C" w:rsidP="00872F0C">
            <w:pPr>
              <w:jc w:val="right"/>
              <w:rPr>
                <w:color w:val="000000"/>
                <w:sz w:val="18"/>
                <w:szCs w:val="18"/>
              </w:rPr>
            </w:pPr>
            <w:r>
              <w:rPr>
                <w:color w:val="000000"/>
                <w:sz w:val="18"/>
                <w:szCs w:val="18"/>
              </w:rPr>
              <w:t>5 895</w:t>
            </w:r>
          </w:p>
        </w:tc>
        <w:tc>
          <w:tcPr>
            <w:tcW w:w="915" w:type="dxa"/>
            <w:tcBorders>
              <w:top w:val="nil"/>
              <w:left w:val="nil"/>
              <w:bottom w:val="nil"/>
              <w:right w:val="nil"/>
            </w:tcBorders>
            <w:shd w:val="clear" w:color="auto" w:fill="BFBFBF" w:themeFill="background1" w:themeFillShade="BF"/>
            <w:tcMar>
              <w:top w:w="15" w:type="dxa"/>
              <w:left w:w="15" w:type="dxa"/>
              <w:bottom w:w="0" w:type="dxa"/>
              <w:right w:w="15" w:type="dxa"/>
            </w:tcMar>
            <w:vAlign w:val="center"/>
            <w:hideMark/>
          </w:tcPr>
          <w:p w14:paraId="1727AC8F" w14:textId="77777777" w:rsidR="00872F0C" w:rsidRDefault="00872F0C" w:rsidP="00872F0C">
            <w:pPr>
              <w:jc w:val="right"/>
              <w:rPr>
                <w:color w:val="000000"/>
                <w:sz w:val="18"/>
                <w:szCs w:val="18"/>
              </w:rPr>
            </w:pPr>
            <w:r>
              <w:rPr>
                <w:color w:val="000000"/>
                <w:sz w:val="18"/>
                <w:szCs w:val="18"/>
              </w:rPr>
              <w:t>109 485</w:t>
            </w:r>
          </w:p>
        </w:tc>
        <w:tc>
          <w:tcPr>
            <w:tcW w:w="954" w:type="dxa"/>
            <w:tcBorders>
              <w:top w:val="nil"/>
              <w:left w:val="nil"/>
              <w:bottom w:val="nil"/>
              <w:right w:val="nil"/>
            </w:tcBorders>
            <w:shd w:val="clear" w:color="auto" w:fill="auto"/>
            <w:tcMar>
              <w:top w:w="15" w:type="dxa"/>
              <w:left w:w="15" w:type="dxa"/>
              <w:bottom w:w="0" w:type="dxa"/>
              <w:right w:w="15" w:type="dxa"/>
            </w:tcMar>
            <w:vAlign w:val="center"/>
            <w:hideMark/>
          </w:tcPr>
          <w:p w14:paraId="6813B360" w14:textId="77777777" w:rsidR="00872F0C" w:rsidRDefault="00872F0C" w:rsidP="00872F0C">
            <w:pPr>
              <w:jc w:val="right"/>
              <w:rPr>
                <w:color w:val="000000"/>
                <w:sz w:val="18"/>
                <w:szCs w:val="18"/>
              </w:rPr>
            </w:pPr>
            <w:r>
              <w:rPr>
                <w:color w:val="000000"/>
                <w:sz w:val="18"/>
                <w:szCs w:val="18"/>
              </w:rPr>
              <w:t>103 590</w:t>
            </w:r>
          </w:p>
        </w:tc>
        <w:tc>
          <w:tcPr>
            <w:tcW w:w="715" w:type="dxa"/>
            <w:tcBorders>
              <w:top w:val="nil"/>
              <w:left w:val="nil"/>
              <w:bottom w:val="nil"/>
              <w:right w:val="nil"/>
            </w:tcBorders>
            <w:shd w:val="clear" w:color="auto" w:fill="auto"/>
            <w:tcMar>
              <w:top w:w="15" w:type="dxa"/>
              <w:left w:w="15" w:type="dxa"/>
              <w:bottom w:w="0" w:type="dxa"/>
              <w:right w:w="15" w:type="dxa"/>
            </w:tcMar>
            <w:vAlign w:val="center"/>
            <w:hideMark/>
          </w:tcPr>
          <w:p w14:paraId="56D56A60" w14:textId="77777777" w:rsidR="00872F0C" w:rsidRDefault="00872F0C" w:rsidP="00872F0C">
            <w:pPr>
              <w:jc w:val="right"/>
              <w:rPr>
                <w:color w:val="000000"/>
                <w:sz w:val="18"/>
                <w:szCs w:val="18"/>
              </w:rPr>
            </w:pPr>
            <w:r>
              <w:rPr>
                <w:color w:val="000000"/>
                <w:sz w:val="18"/>
                <w:szCs w:val="18"/>
              </w:rPr>
              <w:t>1757,3</w:t>
            </w:r>
          </w:p>
        </w:tc>
      </w:tr>
      <w:tr w:rsidR="00872F0C" w14:paraId="6C9A3257" w14:textId="77777777" w:rsidTr="008901EE">
        <w:trPr>
          <w:trHeight w:val="578"/>
        </w:trPr>
        <w:tc>
          <w:tcPr>
            <w:tcW w:w="3439" w:type="dxa"/>
            <w:tcBorders>
              <w:top w:val="nil"/>
              <w:left w:val="nil"/>
              <w:bottom w:val="nil"/>
              <w:right w:val="nil"/>
            </w:tcBorders>
            <w:shd w:val="clear" w:color="auto" w:fill="auto"/>
            <w:tcMar>
              <w:top w:w="15" w:type="dxa"/>
              <w:left w:w="15" w:type="dxa"/>
              <w:bottom w:w="0" w:type="dxa"/>
              <w:right w:w="15" w:type="dxa"/>
            </w:tcMar>
            <w:vAlign w:val="center"/>
            <w:hideMark/>
          </w:tcPr>
          <w:p w14:paraId="54BB4223" w14:textId="77777777" w:rsidR="00872F0C" w:rsidRDefault="00872F0C" w:rsidP="00872F0C">
            <w:pPr>
              <w:jc w:val="left"/>
              <w:rPr>
                <w:color w:val="000000"/>
                <w:sz w:val="18"/>
                <w:szCs w:val="18"/>
              </w:rPr>
            </w:pPr>
            <w:r>
              <w:rPr>
                <w:color w:val="000000"/>
                <w:sz w:val="18"/>
                <w:szCs w:val="18"/>
              </w:rPr>
              <w:t>Právnickej osobe založenej štátom, obcou alebo vyšším územným celkom</w:t>
            </w:r>
          </w:p>
        </w:tc>
        <w:tc>
          <w:tcPr>
            <w:tcW w:w="873" w:type="dxa"/>
            <w:tcBorders>
              <w:top w:val="nil"/>
              <w:left w:val="nil"/>
              <w:bottom w:val="nil"/>
              <w:right w:val="nil"/>
            </w:tcBorders>
            <w:shd w:val="clear" w:color="auto" w:fill="auto"/>
            <w:tcMar>
              <w:top w:w="15" w:type="dxa"/>
              <w:left w:w="15" w:type="dxa"/>
              <w:bottom w:w="0" w:type="dxa"/>
              <w:right w:w="15" w:type="dxa"/>
            </w:tcMar>
            <w:vAlign w:val="center"/>
            <w:hideMark/>
          </w:tcPr>
          <w:p w14:paraId="2EE52ECE" w14:textId="77777777" w:rsidR="00872F0C" w:rsidRDefault="00872F0C" w:rsidP="00872F0C">
            <w:pPr>
              <w:jc w:val="right"/>
              <w:rPr>
                <w:color w:val="000000"/>
                <w:sz w:val="18"/>
                <w:szCs w:val="18"/>
              </w:rPr>
            </w:pPr>
            <w:r>
              <w:rPr>
                <w:color w:val="000000"/>
                <w:sz w:val="18"/>
                <w:szCs w:val="18"/>
              </w:rPr>
              <w:t>46 935</w:t>
            </w:r>
          </w:p>
        </w:tc>
        <w:tc>
          <w:tcPr>
            <w:tcW w:w="835" w:type="dxa"/>
            <w:tcBorders>
              <w:top w:val="nil"/>
              <w:left w:val="nil"/>
              <w:bottom w:val="nil"/>
              <w:right w:val="nil"/>
            </w:tcBorders>
            <w:shd w:val="clear" w:color="auto" w:fill="auto"/>
            <w:tcMar>
              <w:top w:w="15" w:type="dxa"/>
              <w:left w:w="15" w:type="dxa"/>
              <w:bottom w:w="0" w:type="dxa"/>
              <w:right w:w="15" w:type="dxa"/>
            </w:tcMar>
            <w:vAlign w:val="center"/>
            <w:hideMark/>
          </w:tcPr>
          <w:p w14:paraId="29415281" w14:textId="77777777" w:rsidR="00872F0C" w:rsidRDefault="00872F0C" w:rsidP="00872F0C">
            <w:pPr>
              <w:jc w:val="right"/>
              <w:rPr>
                <w:color w:val="000000"/>
                <w:sz w:val="18"/>
                <w:szCs w:val="18"/>
              </w:rPr>
            </w:pPr>
            <w:r>
              <w:rPr>
                <w:color w:val="000000"/>
                <w:sz w:val="18"/>
                <w:szCs w:val="18"/>
              </w:rPr>
              <w:t>75 915</w:t>
            </w:r>
          </w:p>
        </w:tc>
        <w:tc>
          <w:tcPr>
            <w:tcW w:w="916" w:type="dxa"/>
            <w:tcBorders>
              <w:top w:val="nil"/>
              <w:left w:val="nil"/>
              <w:bottom w:val="nil"/>
              <w:right w:val="nil"/>
            </w:tcBorders>
            <w:shd w:val="clear" w:color="auto" w:fill="auto"/>
            <w:tcMar>
              <w:top w:w="15" w:type="dxa"/>
              <w:left w:w="15" w:type="dxa"/>
              <w:bottom w:w="0" w:type="dxa"/>
              <w:right w:w="15" w:type="dxa"/>
            </w:tcMar>
            <w:vAlign w:val="center"/>
            <w:hideMark/>
          </w:tcPr>
          <w:p w14:paraId="4A06E525" w14:textId="77777777" w:rsidR="00872F0C" w:rsidRDefault="00872F0C" w:rsidP="00872F0C">
            <w:pPr>
              <w:jc w:val="right"/>
              <w:rPr>
                <w:color w:val="000000"/>
                <w:sz w:val="18"/>
                <w:szCs w:val="18"/>
              </w:rPr>
            </w:pPr>
            <w:r>
              <w:rPr>
                <w:color w:val="000000"/>
                <w:sz w:val="18"/>
                <w:szCs w:val="18"/>
              </w:rPr>
              <w:t>23 605</w:t>
            </w:r>
          </w:p>
        </w:tc>
        <w:tc>
          <w:tcPr>
            <w:tcW w:w="915" w:type="dxa"/>
            <w:tcBorders>
              <w:top w:val="nil"/>
              <w:left w:val="nil"/>
              <w:bottom w:val="nil"/>
              <w:right w:val="nil"/>
            </w:tcBorders>
            <w:shd w:val="clear" w:color="auto" w:fill="BFBFBF" w:themeFill="background1" w:themeFillShade="BF"/>
            <w:tcMar>
              <w:top w:w="15" w:type="dxa"/>
              <w:left w:w="15" w:type="dxa"/>
              <w:bottom w:w="0" w:type="dxa"/>
              <w:right w:w="15" w:type="dxa"/>
            </w:tcMar>
            <w:vAlign w:val="center"/>
            <w:hideMark/>
          </w:tcPr>
          <w:p w14:paraId="0591A4D2" w14:textId="77777777" w:rsidR="00872F0C" w:rsidRDefault="00872F0C" w:rsidP="00872F0C">
            <w:pPr>
              <w:jc w:val="right"/>
              <w:rPr>
                <w:color w:val="000000"/>
                <w:sz w:val="18"/>
                <w:szCs w:val="18"/>
              </w:rPr>
            </w:pPr>
            <w:r>
              <w:rPr>
                <w:color w:val="000000"/>
                <w:sz w:val="18"/>
                <w:szCs w:val="18"/>
              </w:rPr>
              <w:t>74 255</w:t>
            </w:r>
          </w:p>
        </w:tc>
        <w:tc>
          <w:tcPr>
            <w:tcW w:w="954" w:type="dxa"/>
            <w:tcBorders>
              <w:top w:val="nil"/>
              <w:left w:val="nil"/>
              <w:bottom w:val="nil"/>
              <w:right w:val="nil"/>
            </w:tcBorders>
            <w:shd w:val="clear" w:color="auto" w:fill="auto"/>
            <w:tcMar>
              <w:top w:w="15" w:type="dxa"/>
              <w:left w:w="15" w:type="dxa"/>
              <w:bottom w:w="0" w:type="dxa"/>
              <w:right w:w="15" w:type="dxa"/>
            </w:tcMar>
            <w:vAlign w:val="center"/>
            <w:hideMark/>
          </w:tcPr>
          <w:p w14:paraId="3F6CC0BD" w14:textId="77777777" w:rsidR="00872F0C" w:rsidRDefault="00872F0C" w:rsidP="00872F0C">
            <w:pPr>
              <w:jc w:val="right"/>
              <w:rPr>
                <w:color w:val="000000"/>
                <w:sz w:val="18"/>
                <w:szCs w:val="18"/>
              </w:rPr>
            </w:pPr>
            <w:r>
              <w:rPr>
                <w:color w:val="000000"/>
                <w:sz w:val="18"/>
                <w:szCs w:val="18"/>
              </w:rPr>
              <w:t>50 650</w:t>
            </w:r>
          </w:p>
        </w:tc>
        <w:tc>
          <w:tcPr>
            <w:tcW w:w="715" w:type="dxa"/>
            <w:tcBorders>
              <w:top w:val="nil"/>
              <w:left w:val="nil"/>
              <w:bottom w:val="nil"/>
              <w:right w:val="nil"/>
            </w:tcBorders>
            <w:shd w:val="clear" w:color="auto" w:fill="auto"/>
            <w:tcMar>
              <w:top w:w="15" w:type="dxa"/>
              <w:left w:w="15" w:type="dxa"/>
              <w:bottom w:w="0" w:type="dxa"/>
              <w:right w:w="15" w:type="dxa"/>
            </w:tcMar>
            <w:vAlign w:val="center"/>
            <w:hideMark/>
          </w:tcPr>
          <w:p w14:paraId="4A2AF232" w14:textId="77777777" w:rsidR="00872F0C" w:rsidRDefault="00872F0C" w:rsidP="00872F0C">
            <w:pPr>
              <w:jc w:val="right"/>
              <w:rPr>
                <w:color w:val="000000"/>
                <w:sz w:val="18"/>
                <w:szCs w:val="18"/>
              </w:rPr>
            </w:pPr>
            <w:r>
              <w:rPr>
                <w:color w:val="000000"/>
                <w:sz w:val="18"/>
                <w:szCs w:val="18"/>
              </w:rPr>
              <w:t>214,6</w:t>
            </w:r>
          </w:p>
        </w:tc>
      </w:tr>
      <w:tr w:rsidR="00872F0C" w14:paraId="53BB865E" w14:textId="77777777" w:rsidTr="008901EE">
        <w:trPr>
          <w:trHeight w:val="578"/>
        </w:trPr>
        <w:tc>
          <w:tcPr>
            <w:tcW w:w="3439"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728A2D10" w14:textId="77777777" w:rsidR="00872F0C" w:rsidRDefault="00872F0C" w:rsidP="00872F0C">
            <w:pPr>
              <w:jc w:val="left"/>
              <w:rPr>
                <w:color w:val="000000"/>
                <w:sz w:val="18"/>
                <w:szCs w:val="18"/>
              </w:rPr>
            </w:pPr>
            <w:r>
              <w:rPr>
                <w:color w:val="000000"/>
                <w:sz w:val="18"/>
                <w:szCs w:val="18"/>
              </w:rPr>
              <w:t>Príspevkovej organizácii nezaradenej do VS</w:t>
            </w:r>
          </w:p>
        </w:tc>
        <w:tc>
          <w:tcPr>
            <w:tcW w:w="873"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39EFA996" w14:textId="77777777" w:rsidR="00872F0C" w:rsidRDefault="00872F0C" w:rsidP="00872F0C">
            <w:pPr>
              <w:jc w:val="right"/>
              <w:rPr>
                <w:color w:val="000000"/>
                <w:sz w:val="18"/>
                <w:szCs w:val="18"/>
              </w:rPr>
            </w:pPr>
            <w:r>
              <w:rPr>
                <w:color w:val="000000"/>
                <w:sz w:val="18"/>
                <w:szCs w:val="18"/>
              </w:rPr>
              <w:t>926</w:t>
            </w:r>
          </w:p>
        </w:tc>
        <w:tc>
          <w:tcPr>
            <w:tcW w:w="835"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3A49B330" w14:textId="77777777" w:rsidR="00872F0C" w:rsidRDefault="00872F0C" w:rsidP="00872F0C">
            <w:pPr>
              <w:jc w:val="right"/>
              <w:rPr>
                <w:color w:val="000000"/>
                <w:sz w:val="18"/>
                <w:szCs w:val="18"/>
              </w:rPr>
            </w:pPr>
            <w:r>
              <w:rPr>
                <w:color w:val="000000"/>
                <w:sz w:val="18"/>
                <w:szCs w:val="18"/>
              </w:rPr>
              <w:t>285</w:t>
            </w:r>
          </w:p>
        </w:tc>
        <w:tc>
          <w:tcPr>
            <w:tcW w:w="916"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386C0E28" w14:textId="77777777" w:rsidR="00872F0C" w:rsidRDefault="00872F0C" w:rsidP="00872F0C">
            <w:pPr>
              <w:jc w:val="right"/>
              <w:rPr>
                <w:color w:val="000000"/>
                <w:sz w:val="18"/>
                <w:szCs w:val="18"/>
              </w:rPr>
            </w:pPr>
            <w:r>
              <w:rPr>
                <w:color w:val="000000"/>
                <w:sz w:val="18"/>
                <w:szCs w:val="18"/>
              </w:rPr>
              <w:t>2 455</w:t>
            </w:r>
          </w:p>
        </w:tc>
        <w:tc>
          <w:tcPr>
            <w:tcW w:w="915" w:type="dxa"/>
            <w:tcBorders>
              <w:top w:val="nil"/>
              <w:left w:val="nil"/>
              <w:bottom w:val="single" w:sz="8" w:space="0" w:color="auto"/>
              <w:right w:val="nil"/>
            </w:tcBorders>
            <w:shd w:val="clear" w:color="auto" w:fill="BFBFBF" w:themeFill="background1" w:themeFillShade="BF"/>
            <w:tcMar>
              <w:top w:w="15" w:type="dxa"/>
              <w:left w:w="15" w:type="dxa"/>
              <w:bottom w:w="0" w:type="dxa"/>
              <w:right w:w="15" w:type="dxa"/>
            </w:tcMar>
            <w:vAlign w:val="center"/>
            <w:hideMark/>
          </w:tcPr>
          <w:p w14:paraId="2467E694" w14:textId="77777777" w:rsidR="00872F0C" w:rsidRDefault="00872F0C" w:rsidP="00872F0C">
            <w:pPr>
              <w:jc w:val="right"/>
              <w:rPr>
                <w:color w:val="000000"/>
                <w:sz w:val="18"/>
                <w:szCs w:val="18"/>
              </w:rPr>
            </w:pPr>
            <w:r>
              <w:rPr>
                <w:color w:val="000000"/>
                <w:sz w:val="18"/>
                <w:szCs w:val="18"/>
              </w:rPr>
              <w:t>16</w:t>
            </w:r>
          </w:p>
        </w:tc>
        <w:tc>
          <w:tcPr>
            <w:tcW w:w="954"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410591A2" w14:textId="77777777" w:rsidR="00872F0C" w:rsidRDefault="00872F0C" w:rsidP="00872F0C">
            <w:pPr>
              <w:jc w:val="right"/>
              <w:rPr>
                <w:color w:val="000000"/>
                <w:sz w:val="18"/>
                <w:szCs w:val="18"/>
              </w:rPr>
            </w:pPr>
            <w:r>
              <w:rPr>
                <w:color w:val="000000"/>
                <w:sz w:val="18"/>
                <w:szCs w:val="18"/>
              </w:rPr>
              <w:t>-2 439</w:t>
            </w:r>
          </w:p>
        </w:tc>
        <w:tc>
          <w:tcPr>
            <w:tcW w:w="715"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0DB0D3D7" w14:textId="77777777" w:rsidR="00872F0C" w:rsidRDefault="00872F0C" w:rsidP="00872F0C">
            <w:pPr>
              <w:jc w:val="right"/>
              <w:rPr>
                <w:color w:val="000000"/>
                <w:sz w:val="18"/>
                <w:szCs w:val="18"/>
              </w:rPr>
            </w:pPr>
            <w:r>
              <w:rPr>
                <w:color w:val="000000"/>
                <w:sz w:val="18"/>
                <w:szCs w:val="18"/>
              </w:rPr>
              <w:t>-99,3</w:t>
            </w:r>
          </w:p>
        </w:tc>
      </w:tr>
      <w:tr w:rsidR="00872F0C" w14:paraId="585C1AD3" w14:textId="77777777" w:rsidTr="008901EE">
        <w:trPr>
          <w:trHeight w:hRule="exact" w:val="227"/>
        </w:trPr>
        <w:tc>
          <w:tcPr>
            <w:tcW w:w="3439"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5C1EA4E1" w14:textId="77777777" w:rsidR="00872F0C" w:rsidRDefault="00872F0C" w:rsidP="00872F0C">
            <w:pPr>
              <w:jc w:val="left"/>
              <w:rPr>
                <w:b/>
                <w:bCs/>
                <w:color w:val="000000"/>
                <w:sz w:val="18"/>
                <w:szCs w:val="18"/>
              </w:rPr>
            </w:pPr>
            <w:r>
              <w:rPr>
                <w:b/>
                <w:bCs/>
                <w:color w:val="000000"/>
                <w:sz w:val="18"/>
                <w:szCs w:val="18"/>
              </w:rPr>
              <w:t>Spolu</w:t>
            </w:r>
          </w:p>
        </w:tc>
        <w:tc>
          <w:tcPr>
            <w:tcW w:w="873"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1EA838B0" w14:textId="77777777" w:rsidR="00872F0C" w:rsidRDefault="00872F0C" w:rsidP="00872F0C">
            <w:pPr>
              <w:jc w:val="right"/>
              <w:rPr>
                <w:b/>
                <w:bCs/>
                <w:color w:val="000000"/>
                <w:sz w:val="18"/>
                <w:szCs w:val="18"/>
              </w:rPr>
            </w:pPr>
            <w:r>
              <w:rPr>
                <w:b/>
                <w:bCs/>
                <w:color w:val="000000"/>
                <w:sz w:val="18"/>
                <w:szCs w:val="18"/>
              </w:rPr>
              <w:t>618 022</w:t>
            </w:r>
          </w:p>
        </w:tc>
        <w:tc>
          <w:tcPr>
            <w:tcW w:w="835"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6936F76" w14:textId="77777777" w:rsidR="00872F0C" w:rsidRDefault="00872F0C" w:rsidP="00872F0C">
            <w:pPr>
              <w:jc w:val="right"/>
              <w:rPr>
                <w:b/>
                <w:bCs/>
                <w:color w:val="000000"/>
                <w:sz w:val="18"/>
                <w:szCs w:val="18"/>
              </w:rPr>
            </w:pPr>
            <w:r>
              <w:rPr>
                <w:b/>
                <w:bCs/>
                <w:color w:val="000000"/>
                <w:sz w:val="18"/>
                <w:szCs w:val="18"/>
              </w:rPr>
              <w:t>643 405</w:t>
            </w:r>
          </w:p>
        </w:tc>
        <w:tc>
          <w:tcPr>
            <w:tcW w:w="91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127CC32" w14:textId="77777777" w:rsidR="00872F0C" w:rsidRDefault="00872F0C" w:rsidP="00872F0C">
            <w:pPr>
              <w:jc w:val="right"/>
              <w:rPr>
                <w:b/>
                <w:bCs/>
                <w:color w:val="000000"/>
                <w:sz w:val="18"/>
                <w:szCs w:val="18"/>
              </w:rPr>
            </w:pPr>
            <w:r>
              <w:rPr>
                <w:b/>
                <w:bCs/>
                <w:color w:val="000000"/>
                <w:sz w:val="18"/>
                <w:szCs w:val="18"/>
              </w:rPr>
              <w:t>901 851</w:t>
            </w:r>
          </w:p>
        </w:tc>
        <w:tc>
          <w:tcPr>
            <w:tcW w:w="915" w:type="dxa"/>
            <w:tcBorders>
              <w:top w:val="nil"/>
              <w:left w:val="nil"/>
              <w:bottom w:val="single" w:sz="8" w:space="0" w:color="auto"/>
              <w:right w:val="nil"/>
            </w:tcBorders>
            <w:shd w:val="clear" w:color="auto" w:fill="BFBFBF" w:themeFill="background1" w:themeFillShade="BF"/>
            <w:noWrap/>
            <w:tcMar>
              <w:top w:w="15" w:type="dxa"/>
              <w:left w:w="15" w:type="dxa"/>
              <w:bottom w:w="0" w:type="dxa"/>
              <w:right w:w="15" w:type="dxa"/>
            </w:tcMar>
            <w:vAlign w:val="center"/>
            <w:hideMark/>
          </w:tcPr>
          <w:p w14:paraId="7ED17B31" w14:textId="77777777" w:rsidR="00872F0C" w:rsidRDefault="00872F0C" w:rsidP="00872F0C">
            <w:pPr>
              <w:jc w:val="right"/>
              <w:rPr>
                <w:b/>
                <w:bCs/>
                <w:color w:val="000000"/>
                <w:sz w:val="18"/>
                <w:szCs w:val="18"/>
              </w:rPr>
            </w:pPr>
            <w:r>
              <w:rPr>
                <w:b/>
                <w:bCs/>
                <w:color w:val="000000"/>
                <w:sz w:val="18"/>
                <w:szCs w:val="18"/>
              </w:rPr>
              <w:t>713 871</w:t>
            </w:r>
          </w:p>
        </w:tc>
        <w:tc>
          <w:tcPr>
            <w:tcW w:w="954"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45700F9F" w14:textId="77777777" w:rsidR="00872F0C" w:rsidRDefault="00872F0C" w:rsidP="00872F0C">
            <w:pPr>
              <w:jc w:val="right"/>
              <w:rPr>
                <w:b/>
                <w:bCs/>
                <w:color w:val="000000"/>
                <w:sz w:val="18"/>
                <w:szCs w:val="18"/>
              </w:rPr>
            </w:pPr>
            <w:r>
              <w:rPr>
                <w:b/>
                <w:bCs/>
                <w:color w:val="000000"/>
                <w:sz w:val="18"/>
                <w:szCs w:val="18"/>
              </w:rPr>
              <w:t>-187 980</w:t>
            </w:r>
          </w:p>
        </w:tc>
        <w:tc>
          <w:tcPr>
            <w:tcW w:w="715"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7714144F" w14:textId="77777777" w:rsidR="00872F0C" w:rsidRDefault="00872F0C" w:rsidP="00872F0C">
            <w:pPr>
              <w:jc w:val="right"/>
              <w:rPr>
                <w:b/>
                <w:bCs/>
                <w:color w:val="000000"/>
                <w:sz w:val="18"/>
                <w:szCs w:val="18"/>
              </w:rPr>
            </w:pPr>
            <w:r>
              <w:rPr>
                <w:b/>
                <w:bCs/>
                <w:color w:val="000000"/>
                <w:sz w:val="18"/>
                <w:szCs w:val="18"/>
              </w:rPr>
              <w:t>-20,8</w:t>
            </w:r>
          </w:p>
        </w:tc>
      </w:tr>
    </w:tbl>
    <w:p w14:paraId="607E01DE" w14:textId="1BE25FA4" w:rsidR="00872F0C" w:rsidRPr="005204A6" w:rsidRDefault="001C37AC" w:rsidP="00B13BEC">
      <w:pPr>
        <w:spacing w:after="200"/>
        <w:jc w:val="right"/>
        <w:rPr>
          <w:color w:val="FF0000"/>
        </w:rPr>
      </w:pPr>
      <w:r>
        <w:rPr>
          <w:sz w:val="18"/>
          <w:szCs w:val="18"/>
        </w:rPr>
        <w:t>z</w:t>
      </w:r>
      <w:r w:rsidR="00872F0C" w:rsidRPr="005204A6">
        <w:rPr>
          <w:sz w:val="18"/>
          <w:szCs w:val="18"/>
        </w:rPr>
        <w:t>droj: MF SR</w:t>
      </w:r>
    </w:p>
    <w:p w14:paraId="5D1A8D18" w14:textId="3FD3CA25" w:rsidR="00872F0C" w:rsidRDefault="00872F0C" w:rsidP="00872F0C">
      <w:r w:rsidRPr="00BF6153">
        <w:t xml:space="preserve">Najvyšší podiel tvorili </w:t>
      </w:r>
      <w:r w:rsidRPr="00307A8E">
        <w:rPr>
          <w:bCs/>
          <w:i/>
          <w:u w:val="single"/>
        </w:rPr>
        <w:t>transfery ostatnej právnickej osobe</w:t>
      </w:r>
      <w:r w:rsidRPr="00BF6153">
        <w:t xml:space="preserve">, </w:t>
      </w:r>
      <w:r w:rsidRPr="00A16996">
        <w:t>ktoré boli v rozhodujúcej miere hradené rezortom Ministerstva pôdohospodárstva a rozvoja vidieka SR</w:t>
      </w:r>
      <w:r>
        <w:t xml:space="preserve"> v sume 492 940 tis. eur</w:t>
      </w:r>
      <w:r w:rsidR="00045828">
        <w:t xml:space="preserve"> na</w:t>
      </w:r>
      <w:r w:rsidR="00FA5033">
        <w:t xml:space="preserve"> priame platby z </w:t>
      </w:r>
      <w:r w:rsidR="00FA5033" w:rsidRPr="009D43C1">
        <w:t xml:space="preserve">Európskeho poľnohospodárskeho a záručného fondu, </w:t>
      </w:r>
      <w:r w:rsidR="00FA5033">
        <w:t xml:space="preserve">na </w:t>
      </w:r>
      <w:r w:rsidR="00FA5033" w:rsidRPr="009D43C1">
        <w:t>projektové podpory poskytnuté v rámci Programu rozvoja vidieka SR 2014-2020, podpor</w:t>
      </w:r>
      <w:r w:rsidR="00FA5033">
        <w:t>u</w:t>
      </w:r>
      <w:r w:rsidR="00FA5033" w:rsidRPr="009D43C1">
        <w:t xml:space="preserve"> vyplaten</w:t>
      </w:r>
      <w:r w:rsidR="00FA5033">
        <w:t>ú</w:t>
      </w:r>
      <w:r w:rsidR="00FA5033" w:rsidRPr="009D43C1">
        <w:t xml:space="preserve"> v rámci trhovo-orientovaných výdavkov z Európskeho poľnohospodárskeho a záručného fondu. </w:t>
      </w:r>
      <w:r>
        <w:t xml:space="preserve">Skutočné čerpanie oproti rozpočtu bolo o 302 274 tis. eur nižšie, z dôvodu, </w:t>
      </w:r>
      <w:r w:rsidR="00DF61A8">
        <w:t xml:space="preserve">že </w:t>
      </w:r>
      <w:r>
        <w:t xml:space="preserve">schválený rozpočet vychádza z očakávaných odhadov čerpania týchto prostriedkov </w:t>
      </w:r>
      <w:r w:rsidR="00D351AB">
        <w:t>v jednotlivých výzvach, a nie z </w:t>
      </w:r>
      <w:r>
        <w:t xml:space="preserve">už </w:t>
      </w:r>
      <w:proofErr w:type="spellStart"/>
      <w:r>
        <w:t>zazmluvnených</w:t>
      </w:r>
      <w:proofErr w:type="spellEnd"/>
      <w:r>
        <w:t xml:space="preserve"> prostriedkov. Uvedené odhady sa sledujú v štruktúre operačného programu na</w:t>
      </w:r>
      <w:r w:rsidR="00066627">
        <w:t> </w:t>
      </w:r>
      <w:r>
        <w:t xml:space="preserve">úrovni prioritných osí (opatrení), a nie v štruktúre podľa typu prijímateľov (odlíšených ekonomickou klasifikáciou). V schválenom rozpočte teda nie je možné presne definovať finančné objemy podľa konečných prijímateľov pomoci. </w:t>
      </w:r>
    </w:p>
    <w:p w14:paraId="037E48A0" w14:textId="77777777" w:rsidR="00FA367A" w:rsidRDefault="00FA367A">
      <w:pPr>
        <w:spacing w:after="160" w:line="259" w:lineRule="auto"/>
        <w:jc w:val="left"/>
        <w:rPr>
          <w:i/>
          <w:u w:val="single"/>
        </w:rPr>
      </w:pPr>
      <w:r>
        <w:rPr>
          <w:i/>
          <w:u w:val="single"/>
        </w:rPr>
        <w:br w:type="page"/>
      </w:r>
    </w:p>
    <w:p w14:paraId="5EA3BDB0" w14:textId="2F059051" w:rsidR="00872F0C" w:rsidRPr="002A0661" w:rsidRDefault="00872F0C" w:rsidP="00872F0C">
      <w:r w:rsidRPr="00307A8E">
        <w:rPr>
          <w:i/>
          <w:u w:val="single"/>
        </w:rPr>
        <w:t>Transfery fyzickej osobe podnikateľovi</w:t>
      </w:r>
      <w:r w:rsidRPr="00BF6153">
        <w:rPr>
          <w:b/>
        </w:rPr>
        <w:t xml:space="preserve"> </w:t>
      </w:r>
      <w:r w:rsidRPr="00D22C62">
        <w:t>v sume 109 48</w:t>
      </w:r>
      <w:r w:rsidR="00DF61A8">
        <w:t>5</w:t>
      </w:r>
      <w:r w:rsidRPr="00D22C62">
        <w:t> tis. eur</w:t>
      </w:r>
      <w:r w:rsidRPr="00D22C62">
        <w:rPr>
          <w:b/>
        </w:rPr>
        <w:t xml:space="preserve"> </w:t>
      </w:r>
      <w:r w:rsidRPr="00D22C62">
        <w:t xml:space="preserve">boli poskytnuté v rozhodujúcej miere Ministerstvom pôdohospodárstva a rozvoja vidieka SR v sume </w:t>
      </w:r>
      <w:r>
        <w:t>109 069 tis. eur</w:t>
      </w:r>
      <w:r w:rsidRPr="002A0661">
        <w:t>.</w:t>
      </w:r>
      <w:r w:rsidRPr="000E18CF">
        <w:rPr>
          <w:color w:val="FF0000"/>
        </w:rPr>
        <w:t xml:space="preserve"> </w:t>
      </w:r>
      <w:r w:rsidRPr="002A0661">
        <w:t>Z </w:t>
      </w:r>
      <w:r>
        <w:t>týchto</w:t>
      </w:r>
      <w:r w:rsidRPr="002A0661">
        <w:t xml:space="preserve"> finančných prostriedkov bola uhradená podpora v rámci priamych platieb z Európskeho poľnohospodárskeho a záručného fondu a projektové podpory poskytnuté v rámci Programu rozvoja vidieka SR 2014-2020. </w:t>
      </w:r>
    </w:p>
    <w:p w14:paraId="4AB0FF53" w14:textId="168C6FBF" w:rsidR="00872F0C" w:rsidRDefault="00DC0589" w:rsidP="00872F0C">
      <w:r>
        <w:t>Pri</w:t>
      </w:r>
      <w:r w:rsidR="00872F0C" w:rsidRPr="00BF6153">
        <w:t xml:space="preserve"> </w:t>
      </w:r>
      <w:r w:rsidR="00872F0C" w:rsidRPr="00DC0589">
        <w:rPr>
          <w:i/>
          <w:u w:val="single"/>
        </w:rPr>
        <w:t>transfero</w:t>
      </w:r>
      <w:r w:rsidRPr="00DC0589">
        <w:rPr>
          <w:i/>
          <w:u w:val="single"/>
        </w:rPr>
        <w:t>ch</w:t>
      </w:r>
      <w:r w:rsidR="00872F0C" w:rsidRPr="00DC0589">
        <w:rPr>
          <w:b/>
          <w:u w:val="single"/>
        </w:rPr>
        <w:t xml:space="preserve"> </w:t>
      </w:r>
      <w:r w:rsidR="00872F0C" w:rsidRPr="00DC0589">
        <w:rPr>
          <w:i/>
          <w:u w:val="single"/>
        </w:rPr>
        <w:t>právnickej osobe založenej štátom, obcou alebo vyšším územným celkom</w:t>
      </w:r>
      <w:r w:rsidR="00872F0C">
        <w:rPr>
          <w:b/>
        </w:rPr>
        <w:t xml:space="preserve">, </w:t>
      </w:r>
      <w:r w:rsidR="00872F0C" w:rsidRPr="002A0661">
        <w:t>ktoré boli č</w:t>
      </w:r>
      <w:r w:rsidR="00872F0C">
        <w:t>erpané v objeme 74 255 tis. eur, najviac finančných prostriedkov poskytla</w:t>
      </w:r>
      <w:r w:rsidR="00872F0C" w:rsidRPr="000E18CF">
        <w:rPr>
          <w:color w:val="FF0000"/>
        </w:rPr>
        <w:t xml:space="preserve"> </w:t>
      </w:r>
      <w:r w:rsidR="00872F0C" w:rsidRPr="002A0661">
        <w:t xml:space="preserve">kapitola Ministerstva životného prostredia SR v sume 29 694 tis. eur, </w:t>
      </w:r>
      <w:r>
        <w:t>napr.</w:t>
      </w:r>
      <w:r w:rsidR="00872F0C" w:rsidRPr="00E83675">
        <w:t xml:space="preserve"> Slovenskému vodohospodárskemu podniku, š. p. Banská Štiavnica na neregulované platby, týkajúce sa projektu Monitorovanie fyzikálno-chemických a biologických prvkov kvality vôd v rokoch 2016 - 2020, na úhrady v súvislosti s projektom Zber a zhodnotenie BRO mesta Bratislava - I. etapa a</w:t>
      </w:r>
      <w:r w:rsidR="00066627">
        <w:t> </w:t>
      </w:r>
      <w:r w:rsidR="00872F0C" w:rsidRPr="00E83675">
        <w:t>na</w:t>
      </w:r>
      <w:r w:rsidR="00066627">
        <w:t> </w:t>
      </w:r>
      <w:r w:rsidR="00872F0C" w:rsidRPr="00E83675">
        <w:t xml:space="preserve">financovanie projektu Turčiansky Peter, Košťany nad Turcom – </w:t>
      </w:r>
      <w:proofErr w:type="spellStart"/>
      <w:r w:rsidR="00872F0C" w:rsidRPr="00E83675">
        <w:t>odkanalizovanie</w:t>
      </w:r>
      <w:proofErr w:type="spellEnd"/>
      <w:r w:rsidR="00872F0C" w:rsidRPr="00E83675">
        <w:t>.</w:t>
      </w:r>
      <w:r w:rsidR="00872F0C">
        <w:t xml:space="preserve"> </w:t>
      </w:r>
      <w:r w:rsidR="00872F0C" w:rsidRPr="003E4D9D">
        <w:t xml:space="preserve">Ministerstvo hospodárstva SR čerpalo </w:t>
      </w:r>
      <w:r w:rsidR="00872F0C">
        <w:t>25 446 tis. eur</w:t>
      </w:r>
      <w:r w:rsidR="00872F0C" w:rsidRPr="00507147">
        <w:t>, z toho najvýznamnejšie bol</w:t>
      </w:r>
      <w:r w:rsidR="00872F0C">
        <w:t>i</w:t>
      </w:r>
      <w:r w:rsidR="00872F0C" w:rsidRPr="00507147">
        <w:t xml:space="preserve"> </w:t>
      </w:r>
      <w:r w:rsidR="00872F0C">
        <w:t>výdavky</w:t>
      </w:r>
      <w:r w:rsidR="00872F0C" w:rsidRPr="00507147">
        <w:t xml:space="preserve"> na </w:t>
      </w:r>
      <w:r w:rsidR="00872F0C">
        <w:t xml:space="preserve">financovanie projektov Operačného programu Výskum a inovácie najmä za účelom rozvoja podnikateľského prostredia, podpory rozvoja priemyslu SR, rozvoja </w:t>
      </w:r>
      <w:proofErr w:type="spellStart"/>
      <w:r w:rsidR="00872F0C">
        <w:t>excelentnosti</w:t>
      </w:r>
      <w:proofErr w:type="spellEnd"/>
      <w:r w:rsidR="00872F0C">
        <w:t xml:space="preserve"> v oblasti výskumu a inovácií a na zabezpečenie financovania poradenstva a podporných služieb s cieľom zabezpečiť dlhodobý rast konkurencieschopnosti malého a stredného podnikania.</w:t>
      </w:r>
    </w:p>
    <w:p w14:paraId="033FECB2" w14:textId="74BE3EDC" w:rsidR="00872F0C" w:rsidRDefault="00872F0C" w:rsidP="00872F0C">
      <w:r w:rsidRPr="00A7421E">
        <w:rPr>
          <w:b/>
        </w:rPr>
        <w:t>Transfery do tuzemských finančných inštitúcií</w:t>
      </w:r>
      <w:r>
        <w:rPr>
          <w:color w:val="FF0000"/>
        </w:rPr>
        <w:t xml:space="preserve"> </w:t>
      </w:r>
      <w:r w:rsidRPr="00D80712">
        <w:t xml:space="preserve">boli poskytnuté v celkovej sume 64 740 tis. eur. V najväčšej miere sa na tejto sume podieľalo Ministerstvo pôdohospodárstva a rozvoja vidieka </w:t>
      </w:r>
      <w:r w:rsidRPr="00A265D6">
        <w:t xml:space="preserve">SR </w:t>
      </w:r>
      <w:r w:rsidR="0055396F" w:rsidRPr="00A265D6">
        <w:t xml:space="preserve">v rámci Integrovaného regionálneho OP </w:t>
      </w:r>
      <w:r w:rsidRPr="00A265D6">
        <w:t>v objeme</w:t>
      </w:r>
      <w:r w:rsidRPr="00D80712">
        <w:t xml:space="preserve"> 37 500 tis. eur. Išlo o úhradu žiadosti o platbu – prevod 1. tranže pre prijímateľa Slovak </w:t>
      </w:r>
      <w:proofErr w:type="spellStart"/>
      <w:r w:rsidRPr="00D80712">
        <w:t>Investment</w:t>
      </w:r>
      <w:proofErr w:type="spellEnd"/>
      <w:r w:rsidRPr="00D80712">
        <w:t xml:space="preserve"> Holding</w:t>
      </w:r>
      <w:r w:rsidR="00A8128C">
        <w:t>,</w:t>
      </w:r>
      <w:r w:rsidRPr="00D80712">
        <w:t xml:space="preserve"> </w:t>
      </w:r>
      <w:proofErr w:type="spellStart"/>
      <w:r w:rsidRPr="00D80712">
        <w:t>a.s</w:t>
      </w:r>
      <w:proofErr w:type="spellEnd"/>
      <w:r w:rsidRPr="00D80712">
        <w:t>. v rámci 2. a 3. programového obdobia na</w:t>
      </w:r>
      <w:r w:rsidR="00066627">
        <w:t> </w:t>
      </w:r>
      <w:r w:rsidRPr="00D80712">
        <w:t>modernizáciu infraštruktúry ústavných zariadení poskytujúcich akútnu zdravotnú starostlivosť za</w:t>
      </w:r>
      <w:r w:rsidR="00066627">
        <w:t> </w:t>
      </w:r>
      <w:r w:rsidRPr="00D80712">
        <w:t>účelom zvýšenia ich produktivity a</w:t>
      </w:r>
      <w:r w:rsidR="00A8128C">
        <w:t xml:space="preserve"> </w:t>
      </w:r>
      <w:r w:rsidRPr="00D80712">
        <w:t>efektívnosti a</w:t>
      </w:r>
      <w:r w:rsidR="00A8128C">
        <w:t xml:space="preserve"> </w:t>
      </w:r>
      <w:r w:rsidRPr="00D80712">
        <w:t>na stimulovanie podpory udržateľnej zamestnanosti a</w:t>
      </w:r>
      <w:r w:rsidR="00A8128C">
        <w:t xml:space="preserve"> </w:t>
      </w:r>
      <w:r w:rsidRPr="00D80712">
        <w:t>tvorby pracovných miest v kultúrnom a</w:t>
      </w:r>
      <w:r w:rsidR="00A8128C">
        <w:t xml:space="preserve"> </w:t>
      </w:r>
      <w:r w:rsidRPr="00D80712">
        <w:t>kreatívnom priemysle prostredníctvom vytvorenia priaznivého prostredia pre rozvoj kreatívneho talentu.</w:t>
      </w:r>
      <w:r>
        <w:t xml:space="preserve"> </w:t>
      </w:r>
      <w:r w:rsidRPr="008901EE">
        <w:t>Významnú sumu poskytlo aj Ministerstvo dopravy a</w:t>
      </w:r>
      <w:r w:rsidR="00A8128C" w:rsidRPr="008901EE">
        <w:t xml:space="preserve"> </w:t>
      </w:r>
      <w:r w:rsidRPr="008901EE">
        <w:t>výstavby SR, a</w:t>
      </w:r>
      <w:r w:rsidR="00A8128C" w:rsidRPr="008901EE">
        <w:t xml:space="preserve"> </w:t>
      </w:r>
      <w:r w:rsidRPr="008901EE">
        <w:t>to 25 618 tis. eur v rámci Operačného programu Integrovaná infraštruktúra z prioritnej osi Železničná infraštruktúra a obnova mobilných prostriedkov na základe Zmluvy o financovaní medzi Ministerstvom dopravy</w:t>
      </w:r>
      <w:r w:rsidR="005614B1" w:rsidRPr="008901EE">
        <w:t xml:space="preserve">, </w:t>
      </w:r>
      <w:r w:rsidRPr="008901EE">
        <w:t>výstavby</w:t>
      </w:r>
      <w:r w:rsidR="00112E7C" w:rsidRPr="008901EE">
        <w:t xml:space="preserve"> </w:t>
      </w:r>
      <w:r w:rsidR="005614B1" w:rsidRPr="008901EE">
        <w:t xml:space="preserve">a regionálneho rozvoja </w:t>
      </w:r>
      <w:r w:rsidRPr="008901EE">
        <w:t>SR a</w:t>
      </w:r>
      <w:r w:rsidR="00BF5D19" w:rsidRPr="008901EE">
        <w:t xml:space="preserve"> </w:t>
      </w:r>
      <w:r w:rsidR="005614B1" w:rsidRPr="008901EE">
        <w:t xml:space="preserve">SZRB </w:t>
      </w:r>
      <w:proofErr w:type="spellStart"/>
      <w:r w:rsidR="005614B1" w:rsidRPr="008901EE">
        <w:t>Asset</w:t>
      </w:r>
      <w:proofErr w:type="spellEnd"/>
      <w:r w:rsidR="005614B1" w:rsidRPr="008901EE">
        <w:t xml:space="preserve"> Management, </w:t>
      </w:r>
      <w:proofErr w:type="spellStart"/>
      <w:r w:rsidR="005614B1" w:rsidRPr="008901EE">
        <w:t>a.s</w:t>
      </w:r>
      <w:proofErr w:type="spellEnd"/>
      <w:r w:rsidR="005614B1" w:rsidRPr="008901EE">
        <w:t xml:space="preserve">. a </w:t>
      </w:r>
      <w:r w:rsidRPr="008901EE">
        <w:t xml:space="preserve">Slovak </w:t>
      </w:r>
      <w:proofErr w:type="spellStart"/>
      <w:r w:rsidRPr="008901EE">
        <w:t>Investment</w:t>
      </w:r>
      <w:proofErr w:type="spellEnd"/>
      <w:r w:rsidRPr="008901EE">
        <w:t xml:space="preserve"> Holding, a. s.</w:t>
      </w:r>
    </w:p>
    <w:p w14:paraId="23657EBF" w14:textId="416CA25F" w:rsidR="00872F0C" w:rsidRPr="00A8128C" w:rsidRDefault="00872F0C" w:rsidP="00872F0C">
      <w:r w:rsidRPr="00F97A97">
        <w:t xml:space="preserve">Do výdavkovej položky </w:t>
      </w:r>
      <w:r w:rsidRPr="00A7421E">
        <w:rPr>
          <w:b/>
        </w:rPr>
        <w:t>transfery do zahraničia</w:t>
      </w:r>
      <w:r w:rsidRPr="00F97A97">
        <w:rPr>
          <w:b/>
        </w:rPr>
        <w:t xml:space="preserve"> </w:t>
      </w:r>
      <w:r w:rsidRPr="008055CE">
        <w:rPr>
          <w:color w:val="000000" w:themeColor="text1"/>
        </w:rPr>
        <w:t xml:space="preserve">sa </w:t>
      </w:r>
      <w:r w:rsidRPr="00B13BEC">
        <w:rPr>
          <w:color w:val="000000" w:themeColor="text1"/>
        </w:rPr>
        <w:t>zahŕňajú platby iným vládam, medzinárodným organizáciám, neziskovým právnickým osobám a iným subjektom do zahraničia</w:t>
      </w:r>
      <w:r w:rsidRPr="008055CE">
        <w:rPr>
          <w:color w:val="000000" w:themeColor="text1"/>
        </w:rPr>
        <w:t xml:space="preserve">. V schválenom rozpočte boli na </w:t>
      </w:r>
      <w:r>
        <w:rPr>
          <w:color w:val="000000" w:themeColor="text1"/>
        </w:rPr>
        <w:t>tieto transfery</w:t>
      </w:r>
      <w:r w:rsidRPr="008055CE">
        <w:rPr>
          <w:color w:val="000000" w:themeColor="text1"/>
        </w:rPr>
        <w:t xml:space="preserve"> vyčlenené zdroje 850 103 tis. eur, </w:t>
      </w:r>
      <w:r>
        <w:rPr>
          <w:color w:val="000000" w:themeColor="text1"/>
        </w:rPr>
        <w:t xml:space="preserve">pričom </w:t>
      </w:r>
      <w:r w:rsidRPr="008055CE">
        <w:rPr>
          <w:color w:val="000000" w:themeColor="text1"/>
        </w:rPr>
        <w:t>skutočne realizované výdavky predstavovali</w:t>
      </w:r>
      <w:r>
        <w:rPr>
          <w:color w:val="000000" w:themeColor="text1"/>
        </w:rPr>
        <w:t xml:space="preserve"> sumu</w:t>
      </w:r>
      <w:r w:rsidRPr="008055CE">
        <w:rPr>
          <w:color w:val="000000" w:themeColor="text1"/>
        </w:rPr>
        <w:t xml:space="preserve"> 824 498 tis. eur (2017: 711 358 tis. eur).</w:t>
      </w:r>
      <w:r w:rsidRPr="000E18CF">
        <w:rPr>
          <w:color w:val="FF0000"/>
        </w:rPr>
        <w:t xml:space="preserve"> </w:t>
      </w:r>
      <w:r w:rsidRPr="00CB43BC">
        <w:t>Rozhodujúcou po</w:t>
      </w:r>
      <w:r w:rsidR="00DF61A8">
        <w:t>dpo</w:t>
      </w:r>
      <w:r w:rsidRPr="00CB43BC">
        <w:t xml:space="preserve">ložkou boli </w:t>
      </w:r>
      <w:r w:rsidRPr="00A7421E">
        <w:rPr>
          <w:i/>
          <w:u w:val="single"/>
        </w:rPr>
        <w:t>odvody Slovenskej republiky do rozpočtu Európskej únie</w:t>
      </w:r>
      <w:r>
        <w:rPr>
          <w:b/>
        </w:rPr>
        <w:t xml:space="preserve"> </w:t>
      </w:r>
      <w:r w:rsidRPr="00CB43BC">
        <w:t>v kapitole Všeobecná pokladničná správa v </w:t>
      </w:r>
      <w:r w:rsidRPr="00B13BEC">
        <w:t>sume 731 424 tis.</w:t>
      </w:r>
      <w:r w:rsidRPr="00CB43BC">
        <w:t xml:space="preserve"> eur, </w:t>
      </w:r>
      <w:r w:rsidRPr="003B70E9">
        <w:t xml:space="preserve">ktoré </w:t>
      </w:r>
      <w:r>
        <w:t>boli</w:t>
      </w:r>
      <w:r w:rsidR="00A8128C">
        <w:t xml:space="preserve"> </w:t>
      </w:r>
      <w:r w:rsidRPr="003B70E9">
        <w:t>následn</w:t>
      </w:r>
      <w:r>
        <w:t>e</w:t>
      </w:r>
      <w:r w:rsidR="00A8128C">
        <w:t xml:space="preserve"> </w:t>
      </w:r>
      <w:r w:rsidRPr="003B70E9">
        <w:t xml:space="preserve">použité na financovanie rôznych programov a politík </w:t>
      </w:r>
      <w:r w:rsidRPr="00A8128C">
        <w:t xml:space="preserve">EÚ. </w:t>
      </w:r>
    </w:p>
    <w:p w14:paraId="17B8C60C" w14:textId="77777777" w:rsidR="00FA367A" w:rsidRDefault="00FA367A">
      <w:pPr>
        <w:spacing w:after="160" w:line="259" w:lineRule="auto"/>
        <w:jc w:val="left"/>
        <w:rPr>
          <w:i/>
          <w:u w:val="single"/>
        </w:rPr>
      </w:pPr>
      <w:r>
        <w:rPr>
          <w:i/>
          <w:u w:val="single"/>
        </w:rPr>
        <w:br w:type="page"/>
      </w:r>
    </w:p>
    <w:p w14:paraId="07BC22C2" w14:textId="1EB4C365" w:rsidR="00872F0C" w:rsidRPr="00B13BEC" w:rsidRDefault="00872F0C" w:rsidP="00872F0C">
      <w:r w:rsidRPr="00FF6E28">
        <w:rPr>
          <w:i/>
          <w:u w:val="single"/>
        </w:rPr>
        <w:t>Medzinárodným organizáciám</w:t>
      </w:r>
      <w:r w:rsidRPr="003B70E9">
        <w:t xml:space="preserve"> sa poukázalo 89 201 tis. eur, </w:t>
      </w:r>
      <w:r w:rsidRPr="00EA0AE5">
        <w:t>na čom sa podieľal</w:t>
      </w:r>
      <w:r w:rsidR="00161134">
        <w:t>o</w:t>
      </w:r>
      <w:r w:rsidRPr="00EA0AE5">
        <w:t xml:space="preserve"> najmä Ministerstv</w:t>
      </w:r>
      <w:r w:rsidR="00161134">
        <w:t>o</w:t>
      </w:r>
      <w:r w:rsidRPr="00EA0AE5">
        <w:t xml:space="preserve"> zahraničných vecí a európskych záležitostí SR </w:t>
      </w:r>
      <w:r w:rsidR="00FF6E28">
        <w:t xml:space="preserve">sumou </w:t>
      </w:r>
      <w:r>
        <w:t>32 </w:t>
      </w:r>
      <w:r w:rsidRPr="00EA0AE5">
        <w:t>127</w:t>
      </w:r>
      <w:r>
        <w:t> tis. eur</w:t>
      </w:r>
      <w:r w:rsidRPr="00EA0AE5">
        <w:t xml:space="preserve">, </w:t>
      </w:r>
      <w:r>
        <w:t xml:space="preserve">ktorá realizovala najmä </w:t>
      </w:r>
      <w:r w:rsidRPr="00D53236">
        <w:t>úhrady členských príspevkov do medzinárodných organizácií</w:t>
      </w:r>
      <w:r>
        <w:t xml:space="preserve">, ako napríklad </w:t>
      </w:r>
      <w:r w:rsidRPr="00EC083C">
        <w:t>Mierové operácie OSN, OECD, NATO</w:t>
      </w:r>
      <w:r>
        <w:t xml:space="preserve"> a iné</w:t>
      </w:r>
      <w:r w:rsidRPr="00D53236">
        <w:t>.</w:t>
      </w:r>
      <w:r>
        <w:t xml:space="preserve"> Významná suma týchto transferov bola ešte realizovaná Všeobecnou pokladničnou správou</w:t>
      </w:r>
      <w:r w:rsidRPr="00EA0AE5">
        <w:t xml:space="preserve"> </w:t>
      </w:r>
      <w:r>
        <w:t xml:space="preserve">vo výške 20 356 tis. eur a Ministerstvom obrany SR v sume 11 812 tis. eur na úhradu </w:t>
      </w:r>
      <w:r w:rsidRPr="00A52E8D">
        <w:t>príspevkov do NATO a</w:t>
      </w:r>
      <w:r w:rsidR="00A8128C">
        <w:t xml:space="preserve"> </w:t>
      </w:r>
      <w:r w:rsidRPr="00A52E8D">
        <w:t xml:space="preserve">EÚ a </w:t>
      </w:r>
      <w:r>
        <w:t>platby</w:t>
      </w:r>
      <w:r w:rsidRPr="00A52E8D">
        <w:t xml:space="preserve"> iným medzinárodným inštitúciám</w:t>
      </w:r>
      <w:r>
        <w:t>. Kapitola</w:t>
      </w:r>
      <w:r w:rsidRPr="00EA0AE5">
        <w:t xml:space="preserve"> Ministerstva školstva, vedy, výskumu a</w:t>
      </w:r>
      <w:r w:rsidR="00A8128C">
        <w:t xml:space="preserve"> </w:t>
      </w:r>
      <w:r w:rsidRPr="00EA0AE5">
        <w:t xml:space="preserve">športu SR </w:t>
      </w:r>
      <w:r>
        <w:t xml:space="preserve">sa podieľala na týchto transferoch v objeme </w:t>
      </w:r>
      <w:r w:rsidRPr="00EA0AE5">
        <w:t>11 538 tis. eur</w:t>
      </w:r>
      <w:r>
        <w:t xml:space="preserve"> a realizovala úhrady</w:t>
      </w:r>
      <w:r w:rsidRPr="00F64D15">
        <w:rPr>
          <w:color w:val="FF0000"/>
        </w:rPr>
        <w:t xml:space="preserve"> </w:t>
      </w:r>
      <w:r w:rsidRPr="00EC083C">
        <w:t>pravidelných príspevkov na členstvo v</w:t>
      </w:r>
      <w:r w:rsidR="00066627">
        <w:t> </w:t>
      </w:r>
      <w:r w:rsidRPr="00EC083C">
        <w:t>medzinárodných organizáciách, ako napr. CERN, JOINT INSTITUTE, EUROPEAN SPACE AGENCY</w:t>
      </w:r>
      <w:r>
        <w:t xml:space="preserve"> </w:t>
      </w:r>
      <w:r w:rsidR="00A8128C">
        <w:t xml:space="preserve">a </w:t>
      </w:r>
      <w:r w:rsidRPr="00EC083C">
        <w:t>iné</w:t>
      </w:r>
      <w:r w:rsidRPr="00B13BEC">
        <w:t xml:space="preserve">. </w:t>
      </w:r>
    </w:p>
    <w:p w14:paraId="1396C814" w14:textId="77777777" w:rsidR="0051484D" w:rsidRDefault="0051484D" w:rsidP="00F61D9C">
      <w:pPr>
        <w:pStyle w:val="Nadpis4"/>
      </w:pPr>
      <w:r>
        <w:t>Kapitálové výdavky</w:t>
      </w:r>
    </w:p>
    <w:p w14:paraId="1A8650A1" w14:textId="212C6DE8" w:rsidR="00EE41EF" w:rsidRDefault="00FA739E" w:rsidP="00EE41EF">
      <w:r>
        <w:t>Kapitálové výdavky tvoria</w:t>
      </w:r>
      <w:r w:rsidR="00EE41EF" w:rsidRPr="00EA4EC2">
        <w:t xml:space="preserve"> výdavky na obstaranie hmotného a nehmotného majetku, vrátane výdavkov súvisiacich s obstaraním tohto majetku (napr. montážne práce, dopravné) a</w:t>
      </w:r>
      <w:r>
        <w:t xml:space="preserve"> kapitálové </w:t>
      </w:r>
      <w:r w:rsidR="00EE41EF" w:rsidRPr="00EA4EC2">
        <w:t>transfery, teda platby vykonané s cieľom umožniť príjemcovi nadobudnúť kapitálové aktíva alebo kompenzovať ich poškodenie alebo zničenie. Rozpočet kapitálových výdavkov na rok 2018 predstavoval sumu 1 331 415 tis. eur, ktorá sa rozpočtovými opatreniami zvýšila na 2 402 797 tis. eur. V skutočnosti sa čerpalo 2 402 324 tis. eur (2017: 1 552</w:t>
      </w:r>
      <w:r w:rsidR="00A8128C">
        <w:t> </w:t>
      </w:r>
      <w:r w:rsidR="00EE41EF" w:rsidRPr="00EA4EC2">
        <w:t>793</w:t>
      </w:r>
      <w:r w:rsidR="00A8128C">
        <w:t> </w:t>
      </w:r>
      <w:r w:rsidR="00EE41EF" w:rsidRPr="00EA4EC2">
        <w:t>tis. eur). Podstatné zmeny v upravenom rozpočte vznikli v dôsledku realizácie § 8 zákona o rozpočtových pravidlách. V zmysle uvedeného paragrafu môže Ministerstvo financií SR na konci bežného rozpočtového roka viazať výdavky (znížiť upravený rozpočet) o nevyčerpané</w:t>
      </w:r>
      <w:r w:rsidR="00EE41EF" w:rsidRPr="00A339AF">
        <w:t xml:space="preserve"> prostriedky, ktoré budú v nasledujúcom rozpočtovom roku použité a týmto spôsobom navýšia upravený rozpočet nasledujúceho rozpočtového roka. </w:t>
      </w:r>
      <w:r w:rsidR="00EE41EF" w:rsidRPr="005E6C1C">
        <w:t xml:space="preserve">O sumu viazaných prostriedkov Ministerstvo financií SR </w:t>
      </w:r>
      <w:r w:rsidR="00EE41EF" w:rsidRPr="00E331A1">
        <w:t xml:space="preserve">môže </w:t>
      </w:r>
      <w:r w:rsidR="00EE41EF" w:rsidRPr="005E6C1C">
        <w:t>povol</w:t>
      </w:r>
      <w:r w:rsidR="00EE41EF" w:rsidRPr="00E26FE9">
        <w:t>iť</w:t>
      </w:r>
      <w:r w:rsidR="00EE41EF" w:rsidRPr="005E6C1C">
        <w:t xml:space="preserve"> prekročenie limitu výdavkov v nasledujúcom rozpočtovom roku.</w:t>
      </w:r>
      <w:r w:rsidR="00EE41EF" w:rsidRPr="00A339AF">
        <w:t xml:space="preserve"> </w:t>
      </w:r>
    </w:p>
    <w:p w14:paraId="2DCFEE28" w14:textId="5125EE0B" w:rsidR="00EE41EF" w:rsidRDefault="00EE41EF" w:rsidP="00DA6082">
      <w:r w:rsidRPr="00B36EB3">
        <w:t>V roku 201</w:t>
      </w:r>
      <w:r w:rsidR="00B36EB3">
        <w:t>8</w:t>
      </w:r>
      <w:r w:rsidRPr="00B36EB3">
        <w:t xml:space="preserve"> sa spolu použili kapitálové výdavky rozpočtované pred rokom 201</w:t>
      </w:r>
      <w:r w:rsidR="00B36EB3">
        <w:t>8</w:t>
      </w:r>
      <w:r w:rsidRPr="00B36EB3">
        <w:t xml:space="preserve"> v sume </w:t>
      </w:r>
      <w:r w:rsidR="00B36EB3">
        <w:t>706</w:t>
      </w:r>
      <w:r w:rsidRPr="00B36EB3">
        <w:t> </w:t>
      </w:r>
      <w:r w:rsidR="00B36EB3">
        <w:t>485</w:t>
      </w:r>
      <w:r w:rsidRPr="00B36EB3">
        <w:t> tis. eur. V roku 2017 sa zaviazali kapitálové v</w:t>
      </w:r>
      <w:r w:rsidR="00B36EB3">
        <w:t>ýdavky rozpočtované v rokoch 2017</w:t>
      </w:r>
      <w:r w:rsidRPr="00B36EB3">
        <w:t xml:space="preserve"> a 201</w:t>
      </w:r>
      <w:r w:rsidR="00B36EB3">
        <w:t>8</w:t>
      </w:r>
      <w:r w:rsidRPr="00B36EB3">
        <w:t xml:space="preserve"> v sume 1 </w:t>
      </w:r>
      <w:r w:rsidR="00B36EB3">
        <w:t>176</w:t>
      </w:r>
      <w:r w:rsidRPr="00B36EB3">
        <w:t> </w:t>
      </w:r>
      <w:r w:rsidR="00B36EB3">
        <w:t>557</w:t>
      </w:r>
      <w:r w:rsidRPr="00B36EB3">
        <w:t xml:space="preserve"> tis. eur. </w:t>
      </w:r>
      <w:r w:rsidRPr="00860048">
        <w:t>Saldo kapitálových výdavkov rozpočtovaných pred rokom 201</w:t>
      </w:r>
      <w:r w:rsidR="00860048">
        <w:t>8 a použitých v roku 2018</w:t>
      </w:r>
      <w:r w:rsidRPr="00860048">
        <w:t xml:space="preserve"> a výdavkov zaviazaných v roku 201</w:t>
      </w:r>
      <w:r w:rsidR="00860048">
        <w:t>8</w:t>
      </w:r>
      <w:r w:rsidRPr="00860048">
        <w:t xml:space="preserve"> podľa § 8 zákona </w:t>
      </w:r>
      <w:r w:rsidR="002D0CEA">
        <w:t>o rozpočtových pravidlách</w:t>
      </w:r>
      <w:r w:rsidRPr="00860048">
        <w:t xml:space="preserve"> predstavuje hodnotu -</w:t>
      </w:r>
      <w:r w:rsidR="00860048">
        <w:t>470</w:t>
      </w:r>
      <w:r w:rsidRPr="00860048">
        <w:t> </w:t>
      </w:r>
      <w:r w:rsidR="00860048">
        <w:t>072</w:t>
      </w:r>
      <w:r w:rsidRPr="00860048">
        <w:t> tis. eur.</w:t>
      </w:r>
    </w:p>
    <w:p w14:paraId="1CF03AD1" w14:textId="77777777" w:rsidR="00E62ABF" w:rsidRDefault="00E62ABF" w:rsidP="00DA6082">
      <w:r w:rsidRPr="00C16FD0">
        <w:t>Prehľad o kapitálových výdavkoch poskytuje nasledovná tabuľka:</w:t>
      </w:r>
    </w:p>
    <w:tbl>
      <w:tblPr>
        <w:tblW w:w="8955" w:type="dxa"/>
        <w:tblInd w:w="-152" w:type="dxa"/>
        <w:tblLayout w:type="fixed"/>
        <w:tblCellMar>
          <w:left w:w="70" w:type="dxa"/>
          <w:right w:w="70" w:type="dxa"/>
        </w:tblCellMar>
        <w:tblLook w:val="04A0" w:firstRow="1" w:lastRow="0" w:firstColumn="1" w:lastColumn="0" w:noHBand="0" w:noVBand="1"/>
      </w:tblPr>
      <w:tblGrid>
        <w:gridCol w:w="3002"/>
        <w:gridCol w:w="992"/>
        <w:gridCol w:w="992"/>
        <w:gridCol w:w="993"/>
        <w:gridCol w:w="1134"/>
        <w:gridCol w:w="992"/>
        <w:gridCol w:w="850"/>
      </w:tblGrid>
      <w:tr w:rsidR="00E62ABF" w:rsidRPr="00E62ABF" w14:paraId="5E754300" w14:textId="77777777" w:rsidTr="008D18AA">
        <w:trPr>
          <w:trHeight w:val="300"/>
        </w:trPr>
        <w:tc>
          <w:tcPr>
            <w:tcW w:w="8955" w:type="dxa"/>
            <w:gridSpan w:val="7"/>
            <w:tcBorders>
              <w:top w:val="nil"/>
              <w:left w:val="single" w:sz="8" w:space="0" w:color="auto"/>
              <w:bottom w:val="nil"/>
              <w:right w:val="nil"/>
            </w:tcBorders>
            <w:shd w:val="clear" w:color="000000" w:fill="000000"/>
            <w:vAlign w:val="center"/>
            <w:hideMark/>
          </w:tcPr>
          <w:p w14:paraId="470D25F0" w14:textId="37BD3B92" w:rsidR="00E62ABF" w:rsidRPr="00E62ABF" w:rsidRDefault="00E62ABF" w:rsidP="008D18AA">
            <w:pPr>
              <w:spacing w:after="0" w:line="240" w:lineRule="auto"/>
              <w:rPr>
                <w:rFonts w:eastAsia="Times New Roman" w:cs="Times New Roman"/>
                <w:b/>
                <w:bCs/>
                <w:color w:val="FFFFFF"/>
                <w:sz w:val="18"/>
                <w:szCs w:val="18"/>
                <w:lang w:eastAsia="sk-SK"/>
              </w:rPr>
            </w:pPr>
            <w:r w:rsidRPr="00E62ABF">
              <w:rPr>
                <w:rFonts w:eastAsia="Times New Roman" w:cs="Times New Roman"/>
                <w:b/>
                <w:bCs/>
                <w:color w:val="FFFFFF"/>
                <w:sz w:val="18"/>
                <w:szCs w:val="18"/>
                <w:lang w:eastAsia="sk-SK"/>
              </w:rPr>
              <w:t xml:space="preserve">Kapitálové výdavky v základnej ekonomickej štruktúre       </w:t>
            </w:r>
            <w:r>
              <w:rPr>
                <w:rFonts w:eastAsia="Times New Roman" w:cs="Times New Roman"/>
                <w:b/>
                <w:bCs/>
                <w:color w:val="FFFFFF"/>
                <w:sz w:val="18"/>
                <w:szCs w:val="18"/>
                <w:lang w:eastAsia="sk-SK"/>
              </w:rPr>
              <w:t xml:space="preserve">  </w:t>
            </w:r>
            <w:r w:rsidRPr="00E62ABF">
              <w:rPr>
                <w:rFonts w:eastAsia="Times New Roman" w:cs="Times New Roman"/>
                <w:b/>
                <w:bCs/>
                <w:color w:val="FFFFFF"/>
                <w:sz w:val="18"/>
                <w:szCs w:val="18"/>
                <w:lang w:eastAsia="sk-SK"/>
              </w:rPr>
              <w:t xml:space="preserve">                                                         </w:t>
            </w:r>
            <w:r>
              <w:rPr>
                <w:rFonts w:eastAsia="Times New Roman" w:cs="Times New Roman"/>
                <w:b/>
                <w:bCs/>
                <w:color w:val="FFFFFF"/>
                <w:sz w:val="18"/>
                <w:szCs w:val="18"/>
                <w:lang w:eastAsia="sk-SK"/>
              </w:rPr>
              <w:t xml:space="preserve">                    </w:t>
            </w:r>
            <w:r w:rsidRPr="00E62ABF">
              <w:rPr>
                <w:rFonts w:eastAsia="Times New Roman" w:cs="Times New Roman"/>
                <w:b/>
                <w:bCs/>
                <w:color w:val="FFFFFF"/>
                <w:sz w:val="18"/>
                <w:szCs w:val="18"/>
                <w:lang w:eastAsia="sk-SK"/>
              </w:rPr>
              <w:t xml:space="preserve">  v tis. eur</w:t>
            </w:r>
          </w:p>
        </w:tc>
      </w:tr>
      <w:tr w:rsidR="00E62ABF" w:rsidRPr="00E62ABF" w14:paraId="4C9CECF0" w14:textId="77777777" w:rsidTr="008D18AA">
        <w:trPr>
          <w:trHeight w:val="300"/>
        </w:trPr>
        <w:tc>
          <w:tcPr>
            <w:tcW w:w="3002" w:type="dxa"/>
            <w:tcBorders>
              <w:top w:val="nil"/>
              <w:left w:val="nil"/>
              <w:bottom w:val="nil"/>
              <w:right w:val="nil"/>
            </w:tcBorders>
            <w:shd w:val="clear" w:color="000000" w:fill="BFBFBF"/>
            <w:vAlign w:val="center"/>
            <w:hideMark/>
          </w:tcPr>
          <w:p w14:paraId="53983688" w14:textId="77777777" w:rsidR="00E62ABF" w:rsidRPr="00E62ABF" w:rsidRDefault="00E62ABF" w:rsidP="00E62ABF">
            <w:pPr>
              <w:spacing w:after="0" w:line="240" w:lineRule="auto"/>
              <w:jc w:val="center"/>
              <w:rPr>
                <w:rFonts w:ascii="Arial Narrow" w:eastAsia="Times New Roman" w:hAnsi="Arial Narrow" w:cs="Times New Roman"/>
                <w:b/>
                <w:bCs/>
                <w:color w:val="000000"/>
                <w:sz w:val="18"/>
                <w:szCs w:val="18"/>
                <w:lang w:eastAsia="sk-SK"/>
              </w:rPr>
            </w:pPr>
            <w:r w:rsidRPr="00E62ABF">
              <w:rPr>
                <w:rFonts w:ascii="Arial Narrow" w:eastAsia="Times New Roman" w:hAnsi="Arial Narrow" w:cs="Times New Roman"/>
                <w:b/>
                <w:bCs/>
                <w:color w:val="000000"/>
                <w:sz w:val="18"/>
                <w:szCs w:val="18"/>
                <w:lang w:eastAsia="sk-SK"/>
              </w:rPr>
              <w:t> </w:t>
            </w:r>
          </w:p>
        </w:tc>
        <w:tc>
          <w:tcPr>
            <w:tcW w:w="1984" w:type="dxa"/>
            <w:gridSpan w:val="2"/>
            <w:tcBorders>
              <w:top w:val="nil"/>
              <w:left w:val="nil"/>
              <w:bottom w:val="nil"/>
              <w:right w:val="nil"/>
            </w:tcBorders>
            <w:shd w:val="clear" w:color="000000" w:fill="BFBFBF"/>
            <w:vAlign w:val="center"/>
            <w:hideMark/>
          </w:tcPr>
          <w:p w14:paraId="1170EFF4" w14:textId="77777777" w:rsidR="00E62ABF" w:rsidRPr="00E62ABF" w:rsidRDefault="00E62ABF" w:rsidP="00E62ABF">
            <w:pPr>
              <w:spacing w:after="0" w:line="240" w:lineRule="auto"/>
              <w:jc w:val="center"/>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Skutočnosť</w:t>
            </w:r>
          </w:p>
        </w:tc>
        <w:tc>
          <w:tcPr>
            <w:tcW w:w="993" w:type="dxa"/>
            <w:tcBorders>
              <w:top w:val="nil"/>
              <w:left w:val="nil"/>
              <w:bottom w:val="nil"/>
              <w:right w:val="nil"/>
            </w:tcBorders>
            <w:shd w:val="clear" w:color="000000" w:fill="BFBFBF"/>
            <w:vAlign w:val="center"/>
            <w:hideMark/>
          </w:tcPr>
          <w:p w14:paraId="34B21060" w14:textId="77777777" w:rsidR="00E62ABF" w:rsidRPr="00E62ABF" w:rsidRDefault="00E62ABF" w:rsidP="00E62ABF">
            <w:pPr>
              <w:spacing w:after="0" w:line="240" w:lineRule="auto"/>
              <w:jc w:val="center"/>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Rozpočet</w:t>
            </w:r>
          </w:p>
        </w:tc>
        <w:tc>
          <w:tcPr>
            <w:tcW w:w="1134" w:type="dxa"/>
            <w:tcBorders>
              <w:top w:val="nil"/>
              <w:left w:val="nil"/>
              <w:bottom w:val="nil"/>
              <w:right w:val="nil"/>
            </w:tcBorders>
            <w:shd w:val="clear" w:color="000000" w:fill="BFBFBF"/>
            <w:vAlign w:val="center"/>
            <w:hideMark/>
          </w:tcPr>
          <w:p w14:paraId="2E2AF736" w14:textId="77777777" w:rsidR="00E62ABF" w:rsidRPr="00E62ABF" w:rsidRDefault="00E62ABF" w:rsidP="00E62ABF">
            <w:pPr>
              <w:spacing w:after="0" w:line="240" w:lineRule="auto"/>
              <w:jc w:val="center"/>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Skutočnosť</w:t>
            </w:r>
          </w:p>
        </w:tc>
        <w:tc>
          <w:tcPr>
            <w:tcW w:w="1842" w:type="dxa"/>
            <w:gridSpan w:val="2"/>
            <w:tcBorders>
              <w:top w:val="nil"/>
              <w:left w:val="nil"/>
              <w:bottom w:val="nil"/>
              <w:right w:val="nil"/>
            </w:tcBorders>
            <w:shd w:val="clear" w:color="000000" w:fill="BFBFBF"/>
            <w:vAlign w:val="center"/>
            <w:hideMark/>
          </w:tcPr>
          <w:p w14:paraId="415A9F45" w14:textId="77777777" w:rsidR="00E62ABF" w:rsidRPr="00E62ABF" w:rsidRDefault="00E62ABF" w:rsidP="00E62ABF">
            <w:pPr>
              <w:spacing w:after="0" w:line="240" w:lineRule="auto"/>
              <w:jc w:val="center"/>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Rozdiel</w:t>
            </w:r>
          </w:p>
        </w:tc>
      </w:tr>
      <w:tr w:rsidR="00E62ABF" w:rsidRPr="00E62ABF" w14:paraId="14746E23" w14:textId="77777777" w:rsidTr="008D18AA">
        <w:trPr>
          <w:trHeight w:val="300"/>
        </w:trPr>
        <w:tc>
          <w:tcPr>
            <w:tcW w:w="3002" w:type="dxa"/>
            <w:tcBorders>
              <w:top w:val="nil"/>
              <w:left w:val="nil"/>
              <w:bottom w:val="nil"/>
              <w:right w:val="nil"/>
            </w:tcBorders>
            <w:shd w:val="clear" w:color="000000" w:fill="BFBFBF"/>
            <w:vAlign w:val="center"/>
            <w:hideMark/>
          </w:tcPr>
          <w:p w14:paraId="3B3A88FB" w14:textId="77777777" w:rsidR="00E62ABF" w:rsidRPr="00E62ABF" w:rsidRDefault="00E62ABF" w:rsidP="00E62ABF">
            <w:pPr>
              <w:spacing w:after="0" w:line="240" w:lineRule="auto"/>
              <w:jc w:val="center"/>
              <w:rPr>
                <w:rFonts w:ascii="Arial Narrow" w:eastAsia="Times New Roman" w:hAnsi="Arial Narrow" w:cs="Times New Roman"/>
                <w:b/>
                <w:bCs/>
                <w:color w:val="000000"/>
                <w:sz w:val="18"/>
                <w:szCs w:val="18"/>
                <w:lang w:eastAsia="sk-SK"/>
              </w:rPr>
            </w:pPr>
            <w:r w:rsidRPr="00E62ABF">
              <w:rPr>
                <w:rFonts w:ascii="Arial Narrow" w:eastAsia="Times New Roman" w:hAnsi="Arial Narrow" w:cs="Times New Roman"/>
                <w:b/>
                <w:bCs/>
                <w:color w:val="000000"/>
                <w:sz w:val="18"/>
                <w:szCs w:val="18"/>
                <w:lang w:eastAsia="sk-SK"/>
              </w:rPr>
              <w:t> </w:t>
            </w:r>
          </w:p>
        </w:tc>
        <w:tc>
          <w:tcPr>
            <w:tcW w:w="992" w:type="dxa"/>
            <w:tcBorders>
              <w:top w:val="nil"/>
              <w:left w:val="nil"/>
              <w:bottom w:val="nil"/>
              <w:right w:val="nil"/>
            </w:tcBorders>
            <w:shd w:val="clear" w:color="000000" w:fill="BFBFBF"/>
            <w:vAlign w:val="center"/>
            <w:hideMark/>
          </w:tcPr>
          <w:p w14:paraId="4FA5DE33" w14:textId="77777777" w:rsidR="00E62ABF" w:rsidRPr="00E62ABF" w:rsidRDefault="00E62ABF" w:rsidP="00E62ABF">
            <w:pPr>
              <w:spacing w:after="0" w:line="240" w:lineRule="auto"/>
              <w:jc w:val="center"/>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2016</w:t>
            </w:r>
          </w:p>
        </w:tc>
        <w:tc>
          <w:tcPr>
            <w:tcW w:w="992" w:type="dxa"/>
            <w:tcBorders>
              <w:top w:val="nil"/>
              <w:left w:val="nil"/>
              <w:bottom w:val="nil"/>
              <w:right w:val="nil"/>
            </w:tcBorders>
            <w:shd w:val="clear" w:color="000000" w:fill="BFBFBF"/>
            <w:vAlign w:val="center"/>
            <w:hideMark/>
          </w:tcPr>
          <w:p w14:paraId="294A1C47" w14:textId="77777777" w:rsidR="00E62ABF" w:rsidRPr="00E62ABF" w:rsidRDefault="00E62ABF" w:rsidP="00E62ABF">
            <w:pPr>
              <w:spacing w:after="0" w:line="240" w:lineRule="auto"/>
              <w:jc w:val="center"/>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2017</w:t>
            </w:r>
          </w:p>
        </w:tc>
        <w:tc>
          <w:tcPr>
            <w:tcW w:w="993" w:type="dxa"/>
            <w:tcBorders>
              <w:top w:val="nil"/>
              <w:left w:val="nil"/>
              <w:bottom w:val="nil"/>
              <w:right w:val="nil"/>
            </w:tcBorders>
            <w:shd w:val="clear" w:color="000000" w:fill="BFBFBF"/>
            <w:vAlign w:val="center"/>
            <w:hideMark/>
          </w:tcPr>
          <w:p w14:paraId="1B2B89CA" w14:textId="77777777" w:rsidR="00E62ABF" w:rsidRPr="00E62ABF" w:rsidRDefault="00E62ABF" w:rsidP="00E62ABF">
            <w:pPr>
              <w:spacing w:after="0" w:line="240" w:lineRule="auto"/>
              <w:jc w:val="center"/>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2018</w:t>
            </w:r>
          </w:p>
        </w:tc>
        <w:tc>
          <w:tcPr>
            <w:tcW w:w="1134" w:type="dxa"/>
            <w:tcBorders>
              <w:top w:val="nil"/>
              <w:left w:val="nil"/>
              <w:bottom w:val="nil"/>
              <w:right w:val="nil"/>
            </w:tcBorders>
            <w:shd w:val="clear" w:color="000000" w:fill="BFBFBF"/>
            <w:vAlign w:val="center"/>
            <w:hideMark/>
          </w:tcPr>
          <w:p w14:paraId="7051D47C" w14:textId="77777777" w:rsidR="00E62ABF" w:rsidRPr="00E62ABF" w:rsidRDefault="00E62ABF" w:rsidP="00E62ABF">
            <w:pPr>
              <w:spacing w:after="0" w:line="240" w:lineRule="auto"/>
              <w:jc w:val="center"/>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2018</w:t>
            </w:r>
          </w:p>
        </w:tc>
        <w:tc>
          <w:tcPr>
            <w:tcW w:w="992" w:type="dxa"/>
            <w:tcBorders>
              <w:top w:val="nil"/>
              <w:left w:val="nil"/>
              <w:bottom w:val="nil"/>
              <w:right w:val="nil"/>
            </w:tcBorders>
            <w:shd w:val="clear" w:color="000000" w:fill="BFBFBF"/>
            <w:vAlign w:val="center"/>
            <w:hideMark/>
          </w:tcPr>
          <w:p w14:paraId="0E518B8A" w14:textId="77777777" w:rsidR="00E62ABF" w:rsidRPr="00E62ABF" w:rsidRDefault="00E62ABF" w:rsidP="00E62ABF">
            <w:pPr>
              <w:spacing w:after="0" w:line="240" w:lineRule="auto"/>
              <w:jc w:val="center"/>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 xml:space="preserve"> v tis. eur</w:t>
            </w:r>
          </w:p>
        </w:tc>
        <w:tc>
          <w:tcPr>
            <w:tcW w:w="850" w:type="dxa"/>
            <w:tcBorders>
              <w:top w:val="nil"/>
              <w:left w:val="nil"/>
              <w:bottom w:val="nil"/>
              <w:right w:val="nil"/>
            </w:tcBorders>
            <w:shd w:val="clear" w:color="000000" w:fill="BFBFBF"/>
            <w:vAlign w:val="center"/>
            <w:hideMark/>
          </w:tcPr>
          <w:p w14:paraId="6962F596" w14:textId="77777777" w:rsidR="00E62ABF" w:rsidRPr="00E62ABF" w:rsidRDefault="00E62ABF" w:rsidP="00E62ABF">
            <w:pPr>
              <w:spacing w:after="0" w:line="240" w:lineRule="auto"/>
              <w:jc w:val="center"/>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v %</w:t>
            </w:r>
          </w:p>
        </w:tc>
      </w:tr>
      <w:tr w:rsidR="00E62ABF" w:rsidRPr="00E62ABF" w14:paraId="6A98F20B" w14:textId="77777777" w:rsidTr="008D18AA">
        <w:trPr>
          <w:trHeight w:val="315"/>
        </w:trPr>
        <w:tc>
          <w:tcPr>
            <w:tcW w:w="3002" w:type="dxa"/>
            <w:tcBorders>
              <w:top w:val="nil"/>
              <w:left w:val="nil"/>
              <w:bottom w:val="single" w:sz="8" w:space="0" w:color="auto"/>
              <w:right w:val="nil"/>
            </w:tcBorders>
            <w:shd w:val="clear" w:color="000000" w:fill="BFBFBF"/>
            <w:vAlign w:val="center"/>
            <w:hideMark/>
          </w:tcPr>
          <w:p w14:paraId="51B1E4BE" w14:textId="77777777" w:rsidR="00E62ABF" w:rsidRPr="00E62ABF" w:rsidRDefault="00E62ABF" w:rsidP="00E62ABF">
            <w:pPr>
              <w:spacing w:after="0" w:line="240" w:lineRule="auto"/>
              <w:jc w:val="center"/>
              <w:rPr>
                <w:rFonts w:ascii="Arial Narrow" w:eastAsia="Times New Roman" w:hAnsi="Arial Narrow" w:cs="Times New Roman"/>
                <w:b/>
                <w:bCs/>
                <w:color w:val="000000"/>
                <w:sz w:val="18"/>
                <w:szCs w:val="18"/>
                <w:lang w:eastAsia="sk-SK"/>
              </w:rPr>
            </w:pPr>
            <w:r w:rsidRPr="00E62ABF">
              <w:rPr>
                <w:rFonts w:ascii="Arial Narrow" w:eastAsia="Times New Roman" w:hAnsi="Arial Narrow" w:cs="Times New Roman"/>
                <w:b/>
                <w:bCs/>
                <w:color w:val="000000"/>
                <w:sz w:val="18"/>
                <w:szCs w:val="18"/>
                <w:lang w:eastAsia="sk-SK"/>
              </w:rPr>
              <w:t> </w:t>
            </w:r>
          </w:p>
        </w:tc>
        <w:tc>
          <w:tcPr>
            <w:tcW w:w="992" w:type="dxa"/>
            <w:tcBorders>
              <w:top w:val="nil"/>
              <w:left w:val="nil"/>
              <w:bottom w:val="single" w:sz="8" w:space="0" w:color="auto"/>
              <w:right w:val="nil"/>
            </w:tcBorders>
            <w:shd w:val="clear" w:color="000000" w:fill="BFBFBF"/>
            <w:vAlign w:val="center"/>
            <w:hideMark/>
          </w:tcPr>
          <w:p w14:paraId="30A1376C" w14:textId="77777777" w:rsidR="00E62ABF" w:rsidRPr="00E62ABF" w:rsidRDefault="00E62ABF" w:rsidP="00E62ABF">
            <w:pPr>
              <w:spacing w:after="0" w:line="240" w:lineRule="auto"/>
              <w:jc w:val="center"/>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1</w:t>
            </w:r>
          </w:p>
        </w:tc>
        <w:tc>
          <w:tcPr>
            <w:tcW w:w="992" w:type="dxa"/>
            <w:tcBorders>
              <w:top w:val="nil"/>
              <w:left w:val="nil"/>
              <w:bottom w:val="single" w:sz="8" w:space="0" w:color="auto"/>
              <w:right w:val="nil"/>
            </w:tcBorders>
            <w:shd w:val="clear" w:color="000000" w:fill="BFBFBF"/>
            <w:vAlign w:val="center"/>
            <w:hideMark/>
          </w:tcPr>
          <w:p w14:paraId="33D80161" w14:textId="77777777" w:rsidR="00E62ABF" w:rsidRPr="00E62ABF" w:rsidRDefault="00E62ABF" w:rsidP="00E62ABF">
            <w:pPr>
              <w:spacing w:after="0" w:line="240" w:lineRule="auto"/>
              <w:jc w:val="center"/>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2</w:t>
            </w:r>
          </w:p>
        </w:tc>
        <w:tc>
          <w:tcPr>
            <w:tcW w:w="993" w:type="dxa"/>
            <w:tcBorders>
              <w:top w:val="nil"/>
              <w:left w:val="nil"/>
              <w:bottom w:val="single" w:sz="8" w:space="0" w:color="auto"/>
              <w:right w:val="nil"/>
            </w:tcBorders>
            <w:shd w:val="clear" w:color="000000" w:fill="BFBFBF"/>
            <w:vAlign w:val="center"/>
            <w:hideMark/>
          </w:tcPr>
          <w:p w14:paraId="00B9A33C" w14:textId="77777777" w:rsidR="00E62ABF" w:rsidRPr="00E62ABF" w:rsidRDefault="00E62ABF" w:rsidP="00E62ABF">
            <w:pPr>
              <w:spacing w:after="0" w:line="240" w:lineRule="auto"/>
              <w:jc w:val="center"/>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3</w:t>
            </w:r>
          </w:p>
        </w:tc>
        <w:tc>
          <w:tcPr>
            <w:tcW w:w="1134" w:type="dxa"/>
            <w:tcBorders>
              <w:top w:val="nil"/>
              <w:left w:val="nil"/>
              <w:bottom w:val="single" w:sz="8" w:space="0" w:color="auto"/>
              <w:right w:val="nil"/>
            </w:tcBorders>
            <w:shd w:val="clear" w:color="000000" w:fill="BFBFBF"/>
            <w:vAlign w:val="center"/>
            <w:hideMark/>
          </w:tcPr>
          <w:p w14:paraId="6CB7E2BA" w14:textId="77777777" w:rsidR="00E62ABF" w:rsidRPr="00E62ABF" w:rsidRDefault="00E62ABF" w:rsidP="00E62ABF">
            <w:pPr>
              <w:spacing w:after="0" w:line="240" w:lineRule="auto"/>
              <w:jc w:val="center"/>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4</w:t>
            </w:r>
          </w:p>
        </w:tc>
        <w:tc>
          <w:tcPr>
            <w:tcW w:w="992" w:type="dxa"/>
            <w:tcBorders>
              <w:top w:val="nil"/>
              <w:left w:val="nil"/>
              <w:bottom w:val="single" w:sz="8" w:space="0" w:color="auto"/>
              <w:right w:val="nil"/>
            </w:tcBorders>
            <w:shd w:val="clear" w:color="000000" w:fill="BFBFBF"/>
            <w:vAlign w:val="center"/>
            <w:hideMark/>
          </w:tcPr>
          <w:p w14:paraId="6581E0AC" w14:textId="77777777" w:rsidR="00E62ABF" w:rsidRPr="00E62ABF" w:rsidRDefault="00E62ABF" w:rsidP="00E62ABF">
            <w:pPr>
              <w:spacing w:after="0" w:line="240" w:lineRule="auto"/>
              <w:jc w:val="center"/>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5=4-3</w:t>
            </w:r>
          </w:p>
        </w:tc>
        <w:tc>
          <w:tcPr>
            <w:tcW w:w="850" w:type="dxa"/>
            <w:tcBorders>
              <w:top w:val="nil"/>
              <w:left w:val="nil"/>
              <w:bottom w:val="single" w:sz="8" w:space="0" w:color="auto"/>
              <w:right w:val="nil"/>
            </w:tcBorders>
            <w:shd w:val="clear" w:color="000000" w:fill="BFBFBF"/>
            <w:vAlign w:val="center"/>
            <w:hideMark/>
          </w:tcPr>
          <w:p w14:paraId="42950977" w14:textId="77777777" w:rsidR="00E62ABF" w:rsidRPr="00E62ABF" w:rsidRDefault="00E62ABF" w:rsidP="00E62ABF">
            <w:pPr>
              <w:spacing w:after="0" w:line="240" w:lineRule="auto"/>
              <w:jc w:val="center"/>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6=4-3</w:t>
            </w:r>
          </w:p>
        </w:tc>
      </w:tr>
      <w:tr w:rsidR="005469A6" w:rsidRPr="00E62ABF" w14:paraId="7CA13733" w14:textId="77777777" w:rsidTr="008D18AA">
        <w:trPr>
          <w:trHeight w:val="300"/>
        </w:trPr>
        <w:tc>
          <w:tcPr>
            <w:tcW w:w="3002" w:type="dxa"/>
            <w:tcBorders>
              <w:top w:val="nil"/>
              <w:left w:val="nil"/>
              <w:bottom w:val="nil"/>
              <w:right w:val="nil"/>
            </w:tcBorders>
            <w:shd w:val="clear" w:color="auto" w:fill="auto"/>
            <w:vAlign w:val="center"/>
            <w:hideMark/>
          </w:tcPr>
          <w:p w14:paraId="088A8BB5" w14:textId="77777777" w:rsidR="00E62ABF" w:rsidRPr="00E62ABF" w:rsidRDefault="00E62ABF" w:rsidP="00E62ABF">
            <w:pPr>
              <w:spacing w:after="0" w:line="240" w:lineRule="auto"/>
              <w:jc w:val="left"/>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Obstarávanie kapitálových aktív</w:t>
            </w:r>
          </w:p>
        </w:tc>
        <w:tc>
          <w:tcPr>
            <w:tcW w:w="992" w:type="dxa"/>
            <w:tcBorders>
              <w:top w:val="nil"/>
              <w:left w:val="nil"/>
              <w:bottom w:val="nil"/>
              <w:right w:val="nil"/>
            </w:tcBorders>
            <w:shd w:val="clear" w:color="auto" w:fill="auto"/>
            <w:noWrap/>
            <w:vAlign w:val="center"/>
            <w:hideMark/>
          </w:tcPr>
          <w:p w14:paraId="461E4DF5" w14:textId="77777777" w:rsidR="00E62ABF" w:rsidRPr="00E62ABF" w:rsidRDefault="00E62ABF" w:rsidP="00E62ABF">
            <w:pPr>
              <w:spacing w:after="0" w:line="240" w:lineRule="auto"/>
              <w:jc w:val="right"/>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692 400</w:t>
            </w:r>
          </w:p>
        </w:tc>
        <w:tc>
          <w:tcPr>
            <w:tcW w:w="992" w:type="dxa"/>
            <w:tcBorders>
              <w:top w:val="nil"/>
              <w:left w:val="nil"/>
              <w:bottom w:val="nil"/>
              <w:right w:val="nil"/>
            </w:tcBorders>
            <w:shd w:val="clear" w:color="auto" w:fill="auto"/>
            <w:noWrap/>
            <w:vAlign w:val="center"/>
            <w:hideMark/>
          </w:tcPr>
          <w:p w14:paraId="13A19A7B" w14:textId="77777777" w:rsidR="00E62ABF" w:rsidRPr="00E62ABF" w:rsidRDefault="00E62ABF" w:rsidP="00E62ABF">
            <w:pPr>
              <w:spacing w:after="0" w:line="240" w:lineRule="auto"/>
              <w:jc w:val="right"/>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605 629</w:t>
            </w:r>
          </w:p>
        </w:tc>
        <w:tc>
          <w:tcPr>
            <w:tcW w:w="993" w:type="dxa"/>
            <w:tcBorders>
              <w:top w:val="nil"/>
              <w:left w:val="nil"/>
              <w:bottom w:val="nil"/>
              <w:right w:val="nil"/>
            </w:tcBorders>
            <w:shd w:val="clear" w:color="000000" w:fill="FFFFFF"/>
            <w:noWrap/>
            <w:vAlign w:val="center"/>
            <w:hideMark/>
          </w:tcPr>
          <w:p w14:paraId="39B0186E" w14:textId="77777777" w:rsidR="00E62ABF" w:rsidRPr="00E62ABF" w:rsidRDefault="00E62ABF" w:rsidP="00E62ABF">
            <w:pPr>
              <w:spacing w:after="0" w:line="240" w:lineRule="auto"/>
              <w:jc w:val="right"/>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643 217</w:t>
            </w:r>
          </w:p>
        </w:tc>
        <w:tc>
          <w:tcPr>
            <w:tcW w:w="1134" w:type="dxa"/>
            <w:tcBorders>
              <w:top w:val="nil"/>
              <w:left w:val="nil"/>
              <w:bottom w:val="nil"/>
              <w:right w:val="nil"/>
            </w:tcBorders>
            <w:shd w:val="clear" w:color="000000" w:fill="BFBFBF"/>
            <w:noWrap/>
            <w:vAlign w:val="center"/>
            <w:hideMark/>
          </w:tcPr>
          <w:p w14:paraId="33A61332" w14:textId="77777777" w:rsidR="00E62ABF" w:rsidRPr="00E62ABF" w:rsidRDefault="00E62ABF" w:rsidP="00E62ABF">
            <w:pPr>
              <w:spacing w:after="0" w:line="240" w:lineRule="auto"/>
              <w:jc w:val="right"/>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721 148</w:t>
            </w:r>
          </w:p>
        </w:tc>
        <w:tc>
          <w:tcPr>
            <w:tcW w:w="992" w:type="dxa"/>
            <w:tcBorders>
              <w:top w:val="nil"/>
              <w:left w:val="nil"/>
              <w:bottom w:val="nil"/>
              <w:right w:val="nil"/>
            </w:tcBorders>
            <w:shd w:val="clear" w:color="000000" w:fill="FFFFFF"/>
            <w:vAlign w:val="center"/>
            <w:hideMark/>
          </w:tcPr>
          <w:p w14:paraId="053B39D6" w14:textId="77777777" w:rsidR="00E62ABF" w:rsidRPr="00E62ABF" w:rsidRDefault="00E62ABF" w:rsidP="00E62ABF">
            <w:pPr>
              <w:spacing w:after="0" w:line="240" w:lineRule="auto"/>
              <w:jc w:val="right"/>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77 931</w:t>
            </w:r>
          </w:p>
        </w:tc>
        <w:tc>
          <w:tcPr>
            <w:tcW w:w="850" w:type="dxa"/>
            <w:tcBorders>
              <w:top w:val="nil"/>
              <w:left w:val="nil"/>
              <w:bottom w:val="nil"/>
              <w:right w:val="nil"/>
            </w:tcBorders>
            <w:shd w:val="clear" w:color="000000" w:fill="FFFFFF"/>
            <w:vAlign w:val="center"/>
            <w:hideMark/>
          </w:tcPr>
          <w:p w14:paraId="4C2683F5" w14:textId="77777777" w:rsidR="00E62ABF" w:rsidRPr="00E62ABF" w:rsidRDefault="00E62ABF" w:rsidP="00E62ABF">
            <w:pPr>
              <w:spacing w:after="0" w:line="240" w:lineRule="auto"/>
              <w:jc w:val="right"/>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12,12</w:t>
            </w:r>
          </w:p>
        </w:tc>
      </w:tr>
      <w:tr w:rsidR="005469A6" w:rsidRPr="00E62ABF" w14:paraId="55D59DB8" w14:textId="77777777" w:rsidTr="008D18AA">
        <w:trPr>
          <w:trHeight w:val="480"/>
        </w:trPr>
        <w:tc>
          <w:tcPr>
            <w:tcW w:w="3002" w:type="dxa"/>
            <w:tcBorders>
              <w:top w:val="nil"/>
              <w:left w:val="nil"/>
              <w:bottom w:val="nil"/>
              <w:right w:val="nil"/>
            </w:tcBorders>
            <w:shd w:val="clear" w:color="auto" w:fill="auto"/>
            <w:vAlign w:val="center"/>
            <w:hideMark/>
          </w:tcPr>
          <w:p w14:paraId="4FCFA0A1" w14:textId="77777777" w:rsidR="00E62ABF" w:rsidRPr="00E62ABF" w:rsidRDefault="00E62ABF" w:rsidP="00E62ABF">
            <w:pPr>
              <w:spacing w:after="0" w:line="240" w:lineRule="auto"/>
              <w:jc w:val="left"/>
              <w:rPr>
                <w:rFonts w:eastAsia="Times New Roman" w:cs="Times New Roman"/>
                <w:color w:val="000000"/>
                <w:sz w:val="18"/>
                <w:szCs w:val="18"/>
                <w:lang w:eastAsia="sk-SK"/>
              </w:rPr>
            </w:pPr>
            <w:r w:rsidRPr="00E62ABF">
              <w:rPr>
                <w:rFonts w:eastAsia="Times New Roman" w:cs="Times New Roman"/>
                <w:color w:val="000000"/>
                <w:sz w:val="18"/>
                <w:szCs w:val="18"/>
                <w:lang w:eastAsia="sk-SK"/>
              </w:rPr>
              <w:t>realizácia stavieb a ich technického zhodnotenia</w:t>
            </w:r>
          </w:p>
        </w:tc>
        <w:tc>
          <w:tcPr>
            <w:tcW w:w="992" w:type="dxa"/>
            <w:tcBorders>
              <w:top w:val="nil"/>
              <w:left w:val="nil"/>
              <w:bottom w:val="nil"/>
              <w:right w:val="nil"/>
            </w:tcBorders>
            <w:shd w:val="clear" w:color="auto" w:fill="auto"/>
            <w:noWrap/>
            <w:vAlign w:val="center"/>
            <w:hideMark/>
          </w:tcPr>
          <w:p w14:paraId="6B521920" w14:textId="77777777" w:rsidR="00E62ABF" w:rsidRPr="00E62ABF" w:rsidRDefault="00E62ABF" w:rsidP="00E62ABF">
            <w:pPr>
              <w:spacing w:after="0" w:line="240" w:lineRule="auto"/>
              <w:jc w:val="right"/>
              <w:rPr>
                <w:rFonts w:eastAsia="Times New Roman" w:cs="Times New Roman"/>
                <w:color w:val="000000"/>
                <w:sz w:val="18"/>
                <w:szCs w:val="18"/>
                <w:lang w:eastAsia="sk-SK"/>
              </w:rPr>
            </w:pPr>
            <w:r w:rsidRPr="00E62ABF">
              <w:rPr>
                <w:rFonts w:eastAsia="Times New Roman" w:cs="Times New Roman"/>
                <w:color w:val="000000"/>
                <w:sz w:val="18"/>
                <w:szCs w:val="18"/>
                <w:lang w:eastAsia="sk-SK"/>
              </w:rPr>
              <w:t>164 432</w:t>
            </w:r>
          </w:p>
        </w:tc>
        <w:tc>
          <w:tcPr>
            <w:tcW w:w="992" w:type="dxa"/>
            <w:tcBorders>
              <w:top w:val="nil"/>
              <w:left w:val="nil"/>
              <w:bottom w:val="nil"/>
              <w:right w:val="nil"/>
            </w:tcBorders>
            <w:shd w:val="clear" w:color="auto" w:fill="auto"/>
            <w:noWrap/>
            <w:vAlign w:val="center"/>
            <w:hideMark/>
          </w:tcPr>
          <w:p w14:paraId="479ADC42" w14:textId="77777777" w:rsidR="00E62ABF" w:rsidRPr="00E62ABF" w:rsidRDefault="00E62ABF" w:rsidP="00E62ABF">
            <w:pPr>
              <w:spacing w:after="0" w:line="240" w:lineRule="auto"/>
              <w:jc w:val="right"/>
              <w:rPr>
                <w:rFonts w:eastAsia="Times New Roman" w:cs="Times New Roman"/>
                <w:color w:val="000000"/>
                <w:sz w:val="18"/>
                <w:szCs w:val="18"/>
                <w:lang w:eastAsia="sk-SK"/>
              </w:rPr>
            </w:pPr>
            <w:r w:rsidRPr="00E62ABF">
              <w:rPr>
                <w:rFonts w:eastAsia="Times New Roman" w:cs="Times New Roman"/>
                <w:color w:val="000000"/>
                <w:sz w:val="18"/>
                <w:szCs w:val="18"/>
                <w:lang w:eastAsia="sk-SK"/>
              </w:rPr>
              <w:t>263 801</w:t>
            </w:r>
          </w:p>
        </w:tc>
        <w:tc>
          <w:tcPr>
            <w:tcW w:w="993" w:type="dxa"/>
            <w:tcBorders>
              <w:top w:val="nil"/>
              <w:left w:val="nil"/>
              <w:bottom w:val="nil"/>
              <w:right w:val="nil"/>
            </w:tcBorders>
            <w:shd w:val="clear" w:color="000000" w:fill="FFFFFF"/>
            <w:noWrap/>
            <w:vAlign w:val="center"/>
            <w:hideMark/>
          </w:tcPr>
          <w:p w14:paraId="1B009EBB" w14:textId="77777777" w:rsidR="00E62ABF" w:rsidRPr="00E62ABF" w:rsidRDefault="00E62ABF" w:rsidP="00E62ABF">
            <w:pPr>
              <w:spacing w:after="0" w:line="240" w:lineRule="auto"/>
              <w:jc w:val="right"/>
              <w:rPr>
                <w:rFonts w:eastAsia="Times New Roman" w:cs="Times New Roman"/>
                <w:color w:val="000000"/>
                <w:sz w:val="18"/>
                <w:szCs w:val="18"/>
                <w:lang w:eastAsia="sk-SK"/>
              </w:rPr>
            </w:pPr>
            <w:r w:rsidRPr="00E62ABF">
              <w:rPr>
                <w:rFonts w:eastAsia="Times New Roman" w:cs="Times New Roman"/>
                <w:color w:val="000000"/>
                <w:sz w:val="18"/>
                <w:szCs w:val="18"/>
                <w:lang w:eastAsia="sk-SK"/>
              </w:rPr>
              <w:t>151 991</w:t>
            </w:r>
          </w:p>
        </w:tc>
        <w:tc>
          <w:tcPr>
            <w:tcW w:w="1134" w:type="dxa"/>
            <w:tcBorders>
              <w:top w:val="nil"/>
              <w:left w:val="nil"/>
              <w:bottom w:val="nil"/>
              <w:right w:val="nil"/>
            </w:tcBorders>
            <w:shd w:val="clear" w:color="000000" w:fill="BFBFBF"/>
            <w:noWrap/>
            <w:vAlign w:val="center"/>
            <w:hideMark/>
          </w:tcPr>
          <w:p w14:paraId="01D61BBE" w14:textId="77777777" w:rsidR="00E62ABF" w:rsidRPr="00E62ABF" w:rsidRDefault="00E62ABF" w:rsidP="00E62ABF">
            <w:pPr>
              <w:spacing w:after="0" w:line="240" w:lineRule="auto"/>
              <w:jc w:val="right"/>
              <w:rPr>
                <w:rFonts w:eastAsia="Times New Roman" w:cs="Times New Roman"/>
                <w:color w:val="000000"/>
                <w:sz w:val="18"/>
                <w:szCs w:val="18"/>
                <w:lang w:eastAsia="sk-SK"/>
              </w:rPr>
            </w:pPr>
            <w:r w:rsidRPr="00E62ABF">
              <w:rPr>
                <w:rFonts w:eastAsia="Times New Roman" w:cs="Times New Roman"/>
                <w:color w:val="000000"/>
                <w:sz w:val="18"/>
                <w:szCs w:val="18"/>
                <w:lang w:eastAsia="sk-SK"/>
              </w:rPr>
              <w:t>218 274</w:t>
            </w:r>
          </w:p>
        </w:tc>
        <w:tc>
          <w:tcPr>
            <w:tcW w:w="992" w:type="dxa"/>
            <w:tcBorders>
              <w:top w:val="nil"/>
              <w:left w:val="nil"/>
              <w:bottom w:val="nil"/>
              <w:right w:val="nil"/>
            </w:tcBorders>
            <w:shd w:val="clear" w:color="000000" w:fill="FFFFFF"/>
            <w:vAlign w:val="center"/>
            <w:hideMark/>
          </w:tcPr>
          <w:p w14:paraId="0DF2F728" w14:textId="77777777" w:rsidR="00E62ABF" w:rsidRPr="001E1E5F" w:rsidRDefault="00E62ABF" w:rsidP="00E62ABF">
            <w:pPr>
              <w:spacing w:after="0" w:line="240" w:lineRule="auto"/>
              <w:jc w:val="right"/>
              <w:rPr>
                <w:rFonts w:eastAsia="Times New Roman" w:cs="Times New Roman"/>
                <w:bCs/>
                <w:color w:val="000000"/>
                <w:sz w:val="18"/>
                <w:szCs w:val="18"/>
                <w:lang w:eastAsia="sk-SK"/>
              </w:rPr>
            </w:pPr>
            <w:r w:rsidRPr="001E1E5F">
              <w:rPr>
                <w:rFonts w:eastAsia="Times New Roman" w:cs="Times New Roman"/>
                <w:bCs/>
                <w:color w:val="000000"/>
                <w:sz w:val="18"/>
                <w:szCs w:val="18"/>
                <w:lang w:eastAsia="sk-SK"/>
              </w:rPr>
              <w:t>66 283</w:t>
            </w:r>
          </w:p>
        </w:tc>
        <w:tc>
          <w:tcPr>
            <w:tcW w:w="850" w:type="dxa"/>
            <w:tcBorders>
              <w:top w:val="nil"/>
              <w:left w:val="nil"/>
              <w:bottom w:val="nil"/>
              <w:right w:val="nil"/>
            </w:tcBorders>
            <w:shd w:val="clear" w:color="000000" w:fill="FFFFFF"/>
            <w:vAlign w:val="center"/>
            <w:hideMark/>
          </w:tcPr>
          <w:p w14:paraId="3D0076AD" w14:textId="77777777" w:rsidR="00E62ABF" w:rsidRPr="001E1E5F" w:rsidRDefault="00E62ABF" w:rsidP="00E62ABF">
            <w:pPr>
              <w:spacing w:after="0" w:line="240" w:lineRule="auto"/>
              <w:jc w:val="right"/>
              <w:rPr>
                <w:rFonts w:eastAsia="Times New Roman" w:cs="Times New Roman"/>
                <w:bCs/>
                <w:color w:val="000000"/>
                <w:sz w:val="18"/>
                <w:szCs w:val="18"/>
                <w:lang w:eastAsia="sk-SK"/>
              </w:rPr>
            </w:pPr>
            <w:r w:rsidRPr="001E1E5F">
              <w:rPr>
                <w:rFonts w:eastAsia="Times New Roman" w:cs="Times New Roman"/>
                <w:bCs/>
                <w:color w:val="000000"/>
                <w:sz w:val="18"/>
                <w:szCs w:val="18"/>
                <w:lang w:eastAsia="sk-SK"/>
              </w:rPr>
              <w:t>43,61</w:t>
            </w:r>
          </w:p>
        </w:tc>
      </w:tr>
      <w:tr w:rsidR="005469A6" w:rsidRPr="00E62ABF" w14:paraId="63CC5BE9" w14:textId="77777777" w:rsidTr="008D18AA">
        <w:trPr>
          <w:trHeight w:val="480"/>
        </w:trPr>
        <w:tc>
          <w:tcPr>
            <w:tcW w:w="3002" w:type="dxa"/>
            <w:tcBorders>
              <w:top w:val="nil"/>
              <w:left w:val="nil"/>
              <w:bottom w:val="nil"/>
              <w:right w:val="nil"/>
            </w:tcBorders>
            <w:shd w:val="clear" w:color="auto" w:fill="auto"/>
            <w:vAlign w:val="center"/>
            <w:hideMark/>
          </w:tcPr>
          <w:p w14:paraId="7F1071A2" w14:textId="77777777" w:rsidR="00E62ABF" w:rsidRPr="00E62ABF" w:rsidRDefault="00E62ABF" w:rsidP="00E62ABF">
            <w:pPr>
              <w:spacing w:after="0" w:line="240" w:lineRule="auto"/>
              <w:jc w:val="left"/>
              <w:rPr>
                <w:rFonts w:eastAsia="Times New Roman" w:cs="Times New Roman"/>
                <w:color w:val="000000"/>
                <w:sz w:val="18"/>
                <w:szCs w:val="18"/>
                <w:lang w:eastAsia="sk-SK"/>
              </w:rPr>
            </w:pPr>
            <w:r w:rsidRPr="00E62ABF">
              <w:rPr>
                <w:rFonts w:eastAsia="Times New Roman" w:cs="Times New Roman"/>
                <w:color w:val="000000"/>
                <w:sz w:val="18"/>
                <w:szCs w:val="18"/>
                <w:lang w:eastAsia="sk-SK"/>
              </w:rPr>
              <w:t>nákup strojov, prístrojov, zariadení, techniky</w:t>
            </w:r>
          </w:p>
        </w:tc>
        <w:tc>
          <w:tcPr>
            <w:tcW w:w="992" w:type="dxa"/>
            <w:tcBorders>
              <w:top w:val="nil"/>
              <w:left w:val="nil"/>
              <w:bottom w:val="nil"/>
              <w:right w:val="nil"/>
            </w:tcBorders>
            <w:shd w:val="clear" w:color="auto" w:fill="auto"/>
            <w:noWrap/>
            <w:vAlign w:val="center"/>
            <w:hideMark/>
          </w:tcPr>
          <w:p w14:paraId="34E4533B" w14:textId="77777777" w:rsidR="00E62ABF" w:rsidRPr="00E62ABF" w:rsidRDefault="00E62ABF" w:rsidP="00E62ABF">
            <w:pPr>
              <w:spacing w:after="0" w:line="240" w:lineRule="auto"/>
              <w:jc w:val="right"/>
              <w:rPr>
                <w:rFonts w:eastAsia="Times New Roman" w:cs="Times New Roman"/>
                <w:color w:val="000000"/>
                <w:sz w:val="18"/>
                <w:szCs w:val="18"/>
                <w:lang w:eastAsia="sk-SK"/>
              </w:rPr>
            </w:pPr>
            <w:r w:rsidRPr="00E62ABF">
              <w:rPr>
                <w:rFonts w:eastAsia="Times New Roman" w:cs="Times New Roman"/>
                <w:color w:val="000000"/>
                <w:sz w:val="18"/>
                <w:szCs w:val="18"/>
                <w:lang w:eastAsia="sk-SK"/>
              </w:rPr>
              <w:t>139 930</w:t>
            </w:r>
          </w:p>
        </w:tc>
        <w:tc>
          <w:tcPr>
            <w:tcW w:w="992" w:type="dxa"/>
            <w:tcBorders>
              <w:top w:val="nil"/>
              <w:left w:val="nil"/>
              <w:bottom w:val="nil"/>
              <w:right w:val="nil"/>
            </w:tcBorders>
            <w:shd w:val="clear" w:color="auto" w:fill="auto"/>
            <w:noWrap/>
            <w:vAlign w:val="center"/>
            <w:hideMark/>
          </w:tcPr>
          <w:p w14:paraId="3659D02E" w14:textId="77777777" w:rsidR="00E62ABF" w:rsidRPr="00E62ABF" w:rsidRDefault="00E62ABF" w:rsidP="00E62ABF">
            <w:pPr>
              <w:spacing w:after="0" w:line="240" w:lineRule="auto"/>
              <w:jc w:val="right"/>
              <w:rPr>
                <w:rFonts w:eastAsia="Times New Roman" w:cs="Times New Roman"/>
                <w:color w:val="000000"/>
                <w:sz w:val="18"/>
                <w:szCs w:val="18"/>
                <w:lang w:eastAsia="sk-SK"/>
              </w:rPr>
            </w:pPr>
            <w:r w:rsidRPr="00E62ABF">
              <w:rPr>
                <w:rFonts w:eastAsia="Times New Roman" w:cs="Times New Roman"/>
                <w:color w:val="000000"/>
                <w:sz w:val="18"/>
                <w:szCs w:val="18"/>
                <w:lang w:eastAsia="sk-SK"/>
              </w:rPr>
              <w:t>93 353</w:t>
            </w:r>
          </w:p>
        </w:tc>
        <w:tc>
          <w:tcPr>
            <w:tcW w:w="993" w:type="dxa"/>
            <w:tcBorders>
              <w:top w:val="nil"/>
              <w:left w:val="nil"/>
              <w:bottom w:val="nil"/>
              <w:right w:val="nil"/>
            </w:tcBorders>
            <w:shd w:val="clear" w:color="000000" w:fill="FFFFFF"/>
            <w:noWrap/>
            <w:vAlign w:val="center"/>
            <w:hideMark/>
          </w:tcPr>
          <w:p w14:paraId="2E945512" w14:textId="77777777" w:rsidR="00E62ABF" w:rsidRPr="00E62ABF" w:rsidRDefault="00E62ABF" w:rsidP="00E62ABF">
            <w:pPr>
              <w:spacing w:after="0" w:line="240" w:lineRule="auto"/>
              <w:jc w:val="right"/>
              <w:rPr>
                <w:rFonts w:eastAsia="Times New Roman" w:cs="Times New Roman"/>
                <w:color w:val="000000"/>
                <w:sz w:val="18"/>
                <w:szCs w:val="18"/>
                <w:lang w:eastAsia="sk-SK"/>
              </w:rPr>
            </w:pPr>
            <w:r w:rsidRPr="00E62ABF">
              <w:rPr>
                <w:rFonts w:eastAsia="Times New Roman" w:cs="Times New Roman"/>
                <w:color w:val="000000"/>
                <w:sz w:val="18"/>
                <w:szCs w:val="18"/>
                <w:lang w:eastAsia="sk-SK"/>
              </w:rPr>
              <w:t>184 713</w:t>
            </w:r>
          </w:p>
        </w:tc>
        <w:tc>
          <w:tcPr>
            <w:tcW w:w="1134" w:type="dxa"/>
            <w:tcBorders>
              <w:top w:val="nil"/>
              <w:left w:val="nil"/>
              <w:bottom w:val="nil"/>
              <w:right w:val="nil"/>
            </w:tcBorders>
            <w:shd w:val="clear" w:color="000000" w:fill="BFBFBF"/>
            <w:noWrap/>
            <w:vAlign w:val="center"/>
            <w:hideMark/>
          </w:tcPr>
          <w:p w14:paraId="0B905DA6" w14:textId="77777777" w:rsidR="00E62ABF" w:rsidRPr="00E62ABF" w:rsidRDefault="00E62ABF" w:rsidP="00E62ABF">
            <w:pPr>
              <w:spacing w:after="0" w:line="240" w:lineRule="auto"/>
              <w:jc w:val="right"/>
              <w:rPr>
                <w:rFonts w:eastAsia="Times New Roman" w:cs="Times New Roman"/>
                <w:color w:val="000000"/>
                <w:sz w:val="18"/>
                <w:szCs w:val="18"/>
                <w:lang w:eastAsia="sk-SK"/>
              </w:rPr>
            </w:pPr>
            <w:r w:rsidRPr="00E62ABF">
              <w:rPr>
                <w:rFonts w:eastAsia="Times New Roman" w:cs="Times New Roman"/>
                <w:color w:val="000000"/>
                <w:sz w:val="18"/>
                <w:szCs w:val="18"/>
                <w:lang w:eastAsia="sk-SK"/>
              </w:rPr>
              <w:t>198 434</w:t>
            </w:r>
          </w:p>
        </w:tc>
        <w:tc>
          <w:tcPr>
            <w:tcW w:w="992" w:type="dxa"/>
            <w:tcBorders>
              <w:top w:val="nil"/>
              <w:left w:val="nil"/>
              <w:bottom w:val="nil"/>
              <w:right w:val="nil"/>
            </w:tcBorders>
            <w:shd w:val="clear" w:color="000000" w:fill="FFFFFF"/>
            <w:vAlign w:val="center"/>
            <w:hideMark/>
          </w:tcPr>
          <w:p w14:paraId="3C654F12" w14:textId="77777777" w:rsidR="00E62ABF" w:rsidRPr="001E1E5F" w:rsidRDefault="00E62ABF" w:rsidP="00E62ABF">
            <w:pPr>
              <w:spacing w:after="0" w:line="240" w:lineRule="auto"/>
              <w:jc w:val="right"/>
              <w:rPr>
                <w:rFonts w:eastAsia="Times New Roman" w:cs="Times New Roman"/>
                <w:bCs/>
                <w:color w:val="000000"/>
                <w:sz w:val="18"/>
                <w:szCs w:val="18"/>
                <w:lang w:eastAsia="sk-SK"/>
              </w:rPr>
            </w:pPr>
            <w:r w:rsidRPr="001E1E5F">
              <w:rPr>
                <w:rFonts w:eastAsia="Times New Roman" w:cs="Times New Roman"/>
                <w:bCs/>
                <w:color w:val="000000"/>
                <w:sz w:val="18"/>
                <w:szCs w:val="18"/>
                <w:lang w:eastAsia="sk-SK"/>
              </w:rPr>
              <w:t>13 721</w:t>
            </w:r>
          </w:p>
        </w:tc>
        <w:tc>
          <w:tcPr>
            <w:tcW w:w="850" w:type="dxa"/>
            <w:tcBorders>
              <w:top w:val="nil"/>
              <w:left w:val="nil"/>
              <w:bottom w:val="nil"/>
              <w:right w:val="nil"/>
            </w:tcBorders>
            <w:shd w:val="clear" w:color="000000" w:fill="FFFFFF"/>
            <w:vAlign w:val="center"/>
            <w:hideMark/>
          </w:tcPr>
          <w:p w14:paraId="15972DFF" w14:textId="77777777" w:rsidR="00E62ABF" w:rsidRPr="001E1E5F" w:rsidRDefault="00E62ABF" w:rsidP="00E62ABF">
            <w:pPr>
              <w:spacing w:after="0" w:line="240" w:lineRule="auto"/>
              <w:jc w:val="right"/>
              <w:rPr>
                <w:rFonts w:eastAsia="Times New Roman" w:cs="Times New Roman"/>
                <w:bCs/>
                <w:color w:val="000000"/>
                <w:sz w:val="18"/>
                <w:szCs w:val="18"/>
                <w:lang w:eastAsia="sk-SK"/>
              </w:rPr>
            </w:pPr>
            <w:r w:rsidRPr="001E1E5F">
              <w:rPr>
                <w:rFonts w:eastAsia="Times New Roman" w:cs="Times New Roman"/>
                <w:bCs/>
                <w:color w:val="000000"/>
                <w:sz w:val="18"/>
                <w:szCs w:val="18"/>
                <w:lang w:eastAsia="sk-SK"/>
              </w:rPr>
              <w:t>7,43</w:t>
            </w:r>
          </w:p>
        </w:tc>
      </w:tr>
      <w:tr w:rsidR="005469A6" w:rsidRPr="00E62ABF" w14:paraId="625390D1" w14:textId="77777777" w:rsidTr="008D18AA">
        <w:trPr>
          <w:trHeight w:val="300"/>
        </w:trPr>
        <w:tc>
          <w:tcPr>
            <w:tcW w:w="3002" w:type="dxa"/>
            <w:tcBorders>
              <w:top w:val="nil"/>
              <w:left w:val="nil"/>
              <w:bottom w:val="nil"/>
              <w:right w:val="nil"/>
            </w:tcBorders>
            <w:shd w:val="clear" w:color="auto" w:fill="auto"/>
            <w:vAlign w:val="center"/>
            <w:hideMark/>
          </w:tcPr>
          <w:p w14:paraId="31EEF667" w14:textId="77777777" w:rsidR="00E62ABF" w:rsidRPr="00E62ABF" w:rsidRDefault="00E62ABF" w:rsidP="00E62ABF">
            <w:pPr>
              <w:spacing w:after="0" w:line="240" w:lineRule="auto"/>
              <w:jc w:val="left"/>
              <w:rPr>
                <w:rFonts w:eastAsia="Times New Roman" w:cs="Times New Roman"/>
                <w:color w:val="000000"/>
                <w:sz w:val="18"/>
                <w:szCs w:val="18"/>
                <w:lang w:eastAsia="sk-SK"/>
              </w:rPr>
            </w:pPr>
            <w:r w:rsidRPr="00E62ABF">
              <w:rPr>
                <w:rFonts w:eastAsia="Times New Roman" w:cs="Times New Roman"/>
                <w:color w:val="000000"/>
                <w:sz w:val="18"/>
                <w:szCs w:val="18"/>
                <w:lang w:eastAsia="sk-SK"/>
              </w:rPr>
              <w:t>nákup dopr</w:t>
            </w:r>
            <w:r w:rsidR="0036697B">
              <w:rPr>
                <w:rFonts w:eastAsia="Times New Roman" w:cs="Times New Roman"/>
                <w:color w:val="000000"/>
                <w:sz w:val="18"/>
                <w:szCs w:val="18"/>
                <w:lang w:eastAsia="sk-SK"/>
              </w:rPr>
              <w:t>avných</w:t>
            </w:r>
            <w:r w:rsidRPr="00E62ABF">
              <w:rPr>
                <w:rFonts w:eastAsia="Times New Roman" w:cs="Times New Roman"/>
                <w:color w:val="000000"/>
                <w:sz w:val="18"/>
                <w:szCs w:val="18"/>
                <w:lang w:eastAsia="sk-SK"/>
              </w:rPr>
              <w:t xml:space="preserve"> prostriedkov</w:t>
            </w:r>
          </w:p>
        </w:tc>
        <w:tc>
          <w:tcPr>
            <w:tcW w:w="992" w:type="dxa"/>
            <w:tcBorders>
              <w:top w:val="nil"/>
              <w:left w:val="nil"/>
              <w:bottom w:val="nil"/>
              <w:right w:val="nil"/>
            </w:tcBorders>
            <w:shd w:val="clear" w:color="auto" w:fill="auto"/>
            <w:noWrap/>
            <w:vAlign w:val="center"/>
            <w:hideMark/>
          </w:tcPr>
          <w:p w14:paraId="376F9174" w14:textId="77777777" w:rsidR="00E62ABF" w:rsidRPr="00E62ABF" w:rsidRDefault="00E62ABF" w:rsidP="00E62ABF">
            <w:pPr>
              <w:spacing w:after="0" w:line="240" w:lineRule="auto"/>
              <w:jc w:val="right"/>
              <w:rPr>
                <w:rFonts w:eastAsia="Times New Roman" w:cs="Times New Roman"/>
                <w:color w:val="000000"/>
                <w:sz w:val="18"/>
                <w:szCs w:val="18"/>
                <w:lang w:eastAsia="sk-SK"/>
              </w:rPr>
            </w:pPr>
            <w:r w:rsidRPr="00E62ABF">
              <w:rPr>
                <w:rFonts w:eastAsia="Times New Roman" w:cs="Times New Roman"/>
                <w:color w:val="000000"/>
                <w:sz w:val="18"/>
                <w:szCs w:val="18"/>
                <w:lang w:eastAsia="sk-SK"/>
              </w:rPr>
              <w:t>178 983</w:t>
            </w:r>
          </w:p>
        </w:tc>
        <w:tc>
          <w:tcPr>
            <w:tcW w:w="992" w:type="dxa"/>
            <w:tcBorders>
              <w:top w:val="nil"/>
              <w:left w:val="nil"/>
              <w:bottom w:val="nil"/>
              <w:right w:val="nil"/>
            </w:tcBorders>
            <w:shd w:val="clear" w:color="auto" w:fill="auto"/>
            <w:noWrap/>
            <w:vAlign w:val="center"/>
            <w:hideMark/>
          </w:tcPr>
          <w:p w14:paraId="4E2BE648" w14:textId="77777777" w:rsidR="00E62ABF" w:rsidRPr="00E62ABF" w:rsidRDefault="00E62ABF" w:rsidP="00E62ABF">
            <w:pPr>
              <w:spacing w:after="0" w:line="240" w:lineRule="auto"/>
              <w:jc w:val="right"/>
              <w:rPr>
                <w:rFonts w:eastAsia="Times New Roman" w:cs="Times New Roman"/>
                <w:color w:val="000000"/>
                <w:sz w:val="18"/>
                <w:szCs w:val="18"/>
                <w:lang w:eastAsia="sk-SK"/>
              </w:rPr>
            </w:pPr>
            <w:r w:rsidRPr="00E62ABF">
              <w:rPr>
                <w:rFonts w:eastAsia="Times New Roman" w:cs="Times New Roman"/>
                <w:color w:val="000000"/>
                <w:sz w:val="18"/>
                <w:szCs w:val="18"/>
                <w:lang w:eastAsia="sk-SK"/>
              </w:rPr>
              <w:t>83 439</w:t>
            </w:r>
          </w:p>
        </w:tc>
        <w:tc>
          <w:tcPr>
            <w:tcW w:w="993" w:type="dxa"/>
            <w:tcBorders>
              <w:top w:val="nil"/>
              <w:left w:val="nil"/>
              <w:bottom w:val="nil"/>
              <w:right w:val="nil"/>
            </w:tcBorders>
            <w:shd w:val="clear" w:color="000000" w:fill="FFFFFF"/>
            <w:noWrap/>
            <w:vAlign w:val="center"/>
            <w:hideMark/>
          </w:tcPr>
          <w:p w14:paraId="052E3B84" w14:textId="77777777" w:rsidR="00E62ABF" w:rsidRPr="00E62ABF" w:rsidRDefault="00E62ABF" w:rsidP="00E62ABF">
            <w:pPr>
              <w:spacing w:after="0" w:line="240" w:lineRule="auto"/>
              <w:jc w:val="right"/>
              <w:rPr>
                <w:rFonts w:eastAsia="Times New Roman" w:cs="Times New Roman"/>
                <w:color w:val="000000"/>
                <w:sz w:val="18"/>
                <w:szCs w:val="18"/>
                <w:lang w:eastAsia="sk-SK"/>
              </w:rPr>
            </w:pPr>
            <w:r w:rsidRPr="00E62ABF">
              <w:rPr>
                <w:rFonts w:eastAsia="Times New Roman" w:cs="Times New Roman"/>
                <w:color w:val="000000"/>
                <w:sz w:val="18"/>
                <w:szCs w:val="18"/>
                <w:lang w:eastAsia="sk-SK"/>
              </w:rPr>
              <w:t>115 193</w:t>
            </w:r>
          </w:p>
        </w:tc>
        <w:tc>
          <w:tcPr>
            <w:tcW w:w="1134" w:type="dxa"/>
            <w:tcBorders>
              <w:top w:val="nil"/>
              <w:left w:val="nil"/>
              <w:bottom w:val="nil"/>
              <w:right w:val="nil"/>
            </w:tcBorders>
            <w:shd w:val="clear" w:color="000000" w:fill="BFBFBF"/>
            <w:noWrap/>
            <w:vAlign w:val="center"/>
            <w:hideMark/>
          </w:tcPr>
          <w:p w14:paraId="59ADE4E2" w14:textId="77777777" w:rsidR="00E62ABF" w:rsidRPr="00E62ABF" w:rsidRDefault="00E62ABF" w:rsidP="00E62ABF">
            <w:pPr>
              <w:spacing w:after="0" w:line="240" w:lineRule="auto"/>
              <w:jc w:val="right"/>
              <w:rPr>
                <w:rFonts w:eastAsia="Times New Roman" w:cs="Times New Roman"/>
                <w:color w:val="000000"/>
                <w:sz w:val="18"/>
                <w:szCs w:val="18"/>
                <w:lang w:eastAsia="sk-SK"/>
              </w:rPr>
            </w:pPr>
            <w:r w:rsidRPr="00E62ABF">
              <w:rPr>
                <w:rFonts w:eastAsia="Times New Roman" w:cs="Times New Roman"/>
                <w:color w:val="000000"/>
                <w:sz w:val="18"/>
                <w:szCs w:val="18"/>
                <w:lang w:eastAsia="sk-SK"/>
              </w:rPr>
              <w:t>97 326</w:t>
            </w:r>
          </w:p>
        </w:tc>
        <w:tc>
          <w:tcPr>
            <w:tcW w:w="992" w:type="dxa"/>
            <w:tcBorders>
              <w:top w:val="nil"/>
              <w:left w:val="nil"/>
              <w:bottom w:val="nil"/>
              <w:right w:val="nil"/>
            </w:tcBorders>
            <w:shd w:val="clear" w:color="000000" w:fill="FFFFFF"/>
            <w:vAlign w:val="center"/>
            <w:hideMark/>
          </w:tcPr>
          <w:p w14:paraId="7F329933" w14:textId="77777777" w:rsidR="00E62ABF" w:rsidRPr="001E1E5F" w:rsidRDefault="00E62ABF" w:rsidP="00E62ABF">
            <w:pPr>
              <w:spacing w:after="0" w:line="240" w:lineRule="auto"/>
              <w:jc w:val="right"/>
              <w:rPr>
                <w:rFonts w:eastAsia="Times New Roman" w:cs="Times New Roman"/>
                <w:bCs/>
                <w:color w:val="000000"/>
                <w:sz w:val="18"/>
                <w:szCs w:val="18"/>
                <w:lang w:eastAsia="sk-SK"/>
              </w:rPr>
            </w:pPr>
            <w:r w:rsidRPr="001E1E5F">
              <w:rPr>
                <w:rFonts w:eastAsia="Times New Roman" w:cs="Times New Roman"/>
                <w:bCs/>
                <w:color w:val="000000"/>
                <w:sz w:val="18"/>
                <w:szCs w:val="18"/>
                <w:lang w:eastAsia="sk-SK"/>
              </w:rPr>
              <w:t>-17 867</w:t>
            </w:r>
          </w:p>
        </w:tc>
        <w:tc>
          <w:tcPr>
            <w:tcW w:w="850" w:type="dxa"/>
            <w:tcBorders>
              <w:top w:val="nil"/>
              <w:left w:val="nil"/>
              <w:bottom w:val="nil"/>
              <w:right w:val="nil"/>
            </w:tcBorders>
            <w:shd w:val="clear" w:color="000000" w:fill="FFFFFF"/>
            <w:vAlign w:val="center"/>
            <w:hideMark/>
          </w:tcPr>
          <w:p w14:paraId="532C3755" w14:textId="77777777" w:rsidR="00E62ABF" w:rsidRPr="001E1E5F" w:rsidRDefault="00E62ABF" w:rsidP="00E62ABF">
            <w:pPr>
              <w:spacing w:after="0" w:line="240" w:lineRule="auto"/>
              <w:jc w:val="right"/>
              <w:rPr>
                <w:rFonts w:eastAsia="Times New Roman" w:cs="Times New Roman"/>
                <w:bCs/>
                <w:color w:val="000000"/>
                <w:sz w:val="18"/>
                <w:szCs w:val="18"/>
                <w:lang w:eastAsia="sk-SK"/>
              </w:rPr>
            </w:pPr>
            <w:r w:rsidRPr="001E1E5F">
              <w:rPr>
                <w:rFonts w:eastAsia="Times New Roman" w:cs="Times New Roman"/>
                <w:bCs/>
                <w:color w:val="000000"/>
                <w:sz w:val="18"/>
                <w:szCs w:val="18"/>
                <w:lang w:eastAsia="sk-SK"/>
              </w:rPr>
              <w:t>-15,51</w:t>
            </w:r>
          </w:p>
        </w:tc>
      </w:tr>
      <w:tr w:rsidR="005469A6" w:rsidRPr="00E62ABF" w14:paraId="1429E392" w14:textId="77777777" w:rsidTr="008D18AA">
        <w:trPr>
          <w:trHeight w:val="300"/>
        </w:trPr>
        <w:tc>
          <w:tcPr>
            <w:tcW w:w="3002" w:type="dxa"/>
            <w:tcBorders>
              <w:top w:val="nil"/>
              <w:left w:val="nil"/>
              <w:bottom w:val="nil"/>
              <w:right w:val="nil"/>
            </w:tcBorders>
            <w:shd w:val="clear" w:color="auto" w:fill="auto"/>
            <w:vAlign w:val="center"/>
            <w:hideMark/>
          </w:tcPr>
          <w:p w14:paraId="3AE79311" w14:textId="77777777" w:rsidR="00E62ABF" w:rsidRPr="00E62ABF" w:rsidRDefault="00E62ABF" w:rsidP="00E62ABF">
            <w:pPr>
              <w:spacing w:after="0" w:line="240" w:lineRule="auto"/>
              <w:jc w:val="left"/>
              <w:rPr>
                <w:rFonts w:eastAsia="Times New Roman" w:cs="Times New Roman"/>
                <w:color w:val="000000"/>
                <w:sz w:val="18"/>
                <w:szCs w:val="18"/>
                <w:lang w:eastAsia="sk-SK"/>
              </w:rPr>
            </w:pPr>
            <w:r w:rsidRPr="00E62ABF">
              <w:rPr>
                <w:rFonts w:eastAsia="Times New Roman" w:cs="Times New Roman"/>
                <w:color w:val="000000"/>
                <w:sz w:val="18"/>
                <w:szCs w:val="18"/>
                <w:lang w:eastAsia="sk-SK"/>
              </w:rPr>
              <w:t>nákup pozemkov a nehmotných aktív</w:t>
            </w:r>
          </w:p>
        </w:tc>
        <w:tc>
          <w:tcPr>
            <w:tcW w:w="992" w:type="dxa"/>
            <w:tcBorders>
              <w:top w:val="nil"/>
              <w:left w:val="nil"/>
              <w:bottom w:val="nil"/>
              <w:right w:val="nil"/>
            </w:tcBorders>
            <w:shd w:val="clear" w:color="auto" w:fill="auto"/>
            <w:noWrap/>
            <w:vAlign w:val="center"/>
            <w:hideMark/>
          </w:tcPr>
          <w:p w14:paraId="6101D7A7" w14:textId="77777777" w:rsidR="00E62ABF" w:rsidRPr="00E62ABF" w:rsidRDefault="00E62ABF" w:rsidP="00E62ABF">
            <w:pPr>
              <w:spacing w:after="0" w:line="240" w:lineRule="auto"/>
              <w:jc w:val="right"/>
              <w:rPr>
                <w:rFonts w:eastAsia="Times New Roman" w:cs="Times New Roman"/>
                <w:color w:val="000000"/>
                <w:sz w:val="18"/>
                <w:szCs w:val="18"/>
                <w:lang w:eastAsia="sk-SK"/>
              </w:rPr>
            </w:pPr>
            <w:r w:rsidRPr="00E62ABF">
              <w:rPr>
                <w:rFonts w:eastAsia="Times New Roman" w:cs="Times New Roman"/>
                <w:color w:val="000000"/>
                <w:sz w:val="18"/>
                <w:szCs w:val="18"/>
                <w:lang w:eastAsia="sk-SK"/>
              </w:rPr>
              <w:t>111 123</w:t>
            </w:r>
          </w:p>
        </w:tc>
        <w:tc>
          <w:tcPr>
            <w:tcW w:w="992" w:type="dxa"/>
            <w:tcBorders>
              <w:top w:val="nil"/>
              <w:left w:val="nil"/>
              <w:bottom w:val="nil"/>
              <w:right w:val="nil"/>
            </w:tcBorders>
            <w:shd w:val="clear" w:color="auto" w:fill="auto"/>
            <w:noWrap/>
            <w:vAlign w:val="center"/>
            <w:hideMark/>
          </w:tcPr>
          <w:p w14:paraId="1EBB11C3" w14:textId="77777777" w:rsidR="00E62ABF" w:rsidRPr="00E62ABF" w:rsidRDefault="00E62ABF" w:rsidP="00E62ABF">
            <w:pPr>
              <w:spacing w:after="0" w:line="240" w:lineRule="auto"/>
              <w:jc w:val="right"/>
              <w:rPr>
                <w:rFonts w:eastAsia="Times New Roman" w:cs="Times New Roman"/>
                <w:color w:val="000000"/>
                <w:sz w:val="18"/>
                <w:szCs w:val="18"/>
                <w:lang w:eastAsia="sk-SK"/>
              </w:rPr>
            </w:pPr>
            <w:r w:rsidRPr="00E62ABF">
              <w:rPr>
                <w:rFonts w:eastAsia="Times New Roman" w:cs="Times New Roman"/>
                <w:color w:val="000000"/>
                <w:sz w:val="18"/>
                <w:szCs w:val="18"/>
                <w:lang w:eastAsia="sk-SK"/>
              </w:rPr>
              <w:t>41 532</w:t>
            </w:r>
          </w:p>
        </w:tc>
        <w:tc>
          <w:tcPr>
            <w:tcW w:w="993" w:type="dxa"/>
            <w:tcBorders>
              <w:top w:val="nil"/>
              <w:left w:val="nil"/>
              <w:bottom w:val="nil"/>
              <w:right w:val="nil"/>
            </w:tcBorders>
            <w:shd w:val="clear" w:color="000000" w:fill="FFFFFF"/>
            <w:noWrap/>
            <w:vAlign w:val="center"/>
            <w:hideMark/>
          </w:tcPr>
          <w:p w14:paraId="09A5357E" w14:textId="77777777" w:rsidR="00E62ABF" w:rsidRPr="00E62ABF" w:rsidRDefault="00E62ABF" w:rsidP="00E62ABF">
            <w:pPr>
              <w:spacing w:after="0" w:line="240" w:lineRule="auto"/>
              <w:jc w:val="right"/>
              <w:rPr>
                <w:rFonts w:eastAsia="Times New Roman" w:cs="Times New Roman"/>
                <w:color w:val="000000"/>
                <w:sz w:val="18"/>
                <w:szCs w:val="18"/>
                <w:lang w:eastAsia="sk-SK"/>
              </w:rPr>
            </w:pPr>
            <w:r w:rsidRPr="00E62ABF">
              <w:rPr>
                <w:rFonts w:eastAsia="Times New Roman" w:cs="Times New Roman"/>
                <w:color w:val="000000"/>
                <w:sz w:val="18"/>
                <w:szCs w:val="18"/>
                <w:lang w:eastAsia="sk-SK"/>
              </w:rPr>
              <w:t>14 913</w:t>
            </w:r>
          </w:p>
        </w:tc>
        <w:tc>
          <w:tcPr>
            <w:tcW w:w="1134" w:type="dxa"/>
            <w:tcBorders>
              <w:top w:val="nil"/>
              <w:left w:val="nil"/>
              <w:bottom w:val="nil"/>
              <w:right w:val="nil"/>
            </w:tcBorders>
            <w:shd w:val="clear" w:color="000000" w:fill="BFBFBF"/>
            <w:noWrap/>
            <w:vAlign w:val="center"/>
            <w:hideMark/>
          </w:tcPr>
          <w:p w14:paraId="2201D979" w14:textId="77777777" w:rsidR="00E62ABF" w:rsidRPr="00E62ABF" w:rsidRDefault="00E62ABF" w:rsidP="00E62ABF">
            <w:pPr>
              <w:spacing w:after="0" w:line="240" w:lineRule="auto"/>
              <w:jc w:val="right"/>
              <w:rPr>
                <w:rFonts w:eastAsia="Times New Roman" w:cs="Times New Roman"/>
                <w:color w:val="000000"/>
                <w:sz w:val="18"/>
                <w:szCs w:val="18"/>
                <w:lang w:eastAsia="sk-SK"/>
              </w:rPr>
            </w:pPr>
            <w:r w:rsidRPr="00E62ABF">
              <w:rPr>
                <w:rFonts w:eastAsia="Times New Roman" w:cs="Times New Roman"/>
                <w:color w:val="000000"/>
                <w:sz w:val="18"/>
                <w:szCs w:val="18"/>
                <w:lang w:eastAsia="sk-SK"/>
              </w:rPr>
              <w:t>78 003</w:t>
            </w:r>
          </w:p>
        </w:tc>
        <w:tc>
          <w:tcPr>
            <w:tcW w:w="992" w:type="dxa"/>
            <w:tcBorders>
              <w:top w:val="nil"/>
              <w:left w:val="nil"/>
              <w:bottom w:val="nil"/>
              <w:right w:val="nil"/>
            </w:tcBorders>
            <w:shd w:val="clear" w:color="000000" w:fill="FFFFFF"/>
            <w:vAlign w:val="center"/>
            <w:hideMark/>
          </w:tcPr>
          <w:p w14:paraId="3C00C15D" w14:textId="77777777" w:rsidR="00E62ABF" w:rsidRPr="001E1E5F" w:rsidRDefault="00E62ABF" w:rsidP="00E62ABF">
            <w:pPr>
              <w:spacing w:after="0" w:line="240" w:lineRule="auto"/>
              <w:jc w:val="right"/>
              <w:rPr>
                <w:rFonts w:eastAsia="Times New Roman" w:cs="Times New Roman"/>
                <w:bCs/>
                <w:color w:val="000000"/>
                <w:sz w:val="18"/>
                <w:szCs w:val="18"/>
                <w:lang w:eastAsia="sk-SK"/>
              </w:rPr>
            </w:pPr>
            <w:r w:rsidRPr="001E1E5F">
              <w:rPr>
                <w:rFonts w:eastAsia="Times New Roman" w:cs="Times New Roman"/>
                <w:bCs/>
                <w:color w:val="000000"/>
                <w:sz w:val="18"/>
                <w:szCs w:val="18"/>
                <w:lang w:eastAsia="sk-SK"/>
              </w:rPr>
              <w:t>63 090</w:t>
            </w:r>
          </w:p>
        </w:tc>
        <w:tc>
          <w:tcPr>
            <w:tcW w:w="850" w:type="dxa"/>
            <w:tcBorders>
              <w:top w:val="nil"/>
              <w:left w:val="nil"/>
              <w:bottom w:val="nil"/>
              <w:right w:val="nil"/>
            </w:tcBorders>
            <w:shd w:val="clear" w:color="000000" w:fill="FFFFFF"/>
            <w:vAlign w:val="center"/>
            <w:hideMark/>
          </w:tcPr>
          <w:p w14:paraId="0406CE6D" w14:textId="77777777" w:rsidR="00E62ABF" w:rsidRPr="001E1E5F" w:rsidRDefault="00E62ABF" w:rsidP="00E62ABF">
            <w:pPr>
              <w:spacing w:after="0" w:line="240" w:lineRule="auto"/>
              <w:jc w:val="right"/>
              <w:rPr>
                <w:rFonts w:eastAsia="Times New Roman" w:cs="Times New Roman"/>
                <w:bCs/>
                <w:color w:val="000000"/>
                <w:sz w:val="18"/>
                <w:szCs w:val="18"/>
                <w:lang w:eastAsia="sk-SK"/>
              </w:rPr>
            </w:pPr>
            <w:r w:rsidRPr="001E1E5F">
              <w:rPr>
                <w:rFonts w:eastAsia="Times New Roman" w:cs="Times New Roman"/>
                <w:bCs/>
                <w:color w:val="000000"/>
                <w:sz w:val="18"/>
                <w:szCs w:val="18"/>
                <w:lang w:eastAsia="sk-SK"/>
              </w:rPr>
              <w:t>423,05</w:t>
            </w:r>
          </w:p>
        </w:tc>
      </w:tr>
      <w:tr w:rsidR="005763CE" w:rsidRPr="00E62ABF" w14:paraId="6ED7D41F" w14:textId="77777777" w:rsidTr="008D18AA">
        <w:trPr>
          <w:trHeight w:val="300"/>
        </w:trPr>
        <w:tc>
          <w:tcPr>
            <w:tcW w:w="8955" w:type="dxa"/>
            <w:gridSpan w:val="7"/>
            <w:tcBorders>
              <w:top w:val="nil"/>
              <w:left w:val="single" w:sz="8" w:space="0" w:color="auto"/>
              <w:bottom w:val="nil"/>
              <w:right w:val="nil"/>
            </w:tcBorders>
            <w:shd w:val="clear" w:color="000000" w:fill="000000"/>
            <w:vAlign w:val="center"/>
            <w:hideMark/>
          </w:tcPr>
          <w:p w14:paraId="3F099CF9" w14:textId="3B0BD6E4" w:rsidR="005763CE" w:rsidRPr="00E62ABF" w:rsidRDefault="005763CE" w:rsidP="008D18AA">
            <w:pPr>
              <w:spacing w:after="0" w:line="240" w:lineRule="auto"/>
              <w:rPr>
                <w:rFonts w:eastAsia="Times New Roman" w:cs="Times New Roman"/>
                <w:b/>
                <w:bCs/>
                <w:color w:val="FFFFFF"/>
                <w:sz w:val="18"/>
                <w:szCs w:val="18"/>
                <w:lang w:eastAsia="sk-SK"/>
              </w:rPr>
            </w:pPr>
            <w:r w:rsidRPr="00E62ABF">
              <w:rPr>
                <w:rFonts w:eastAsia="Times New Roman" w:cs="Times New Roman"/>
                <w:b/>
                <w:bCs/>
                <w:color w:val="FFFFFF"/>
                <w:sz w:val="18"/>
                <w:szCs w:val="18"/>
                <w:lang w:eastAsia="sk-SK"/>
              </w:rPr>
              <w:t xml:space="preserve">Kapitálové výdavky v základnej ekonomickej štruktúre       </w:t>
            </w:r>
            <w:r>
              <w:rPr>
                <w:rFonts w:eastAsia="Times New Roman" w:cs="Times New Roman"/>
                <w:b/>
                <w:bCs/>
                <w:color w:val="FFFFFF"/>
                <w:sz w:val="18"/>
                <w:szCs w:val="18"/>
                <w:lang w:eastAsia="sk-SK"/>
              </w:rPr>
              <w:t xml:space="preserve">  </w:t>
            </w:r>
            <w:r w:rsidRPr="00E62ABF">
              <w:rPr>
                <w:rFonts w:eastAsia="Times New Roman" w:cs="Times New Roman"/>
                <w:b/>
                <w:bCs/>
                <w:color w:val="FFFFFF"/>
                <w:sz w:val="18"/>
                <w:szCs w:val="18"/>
                <w:lang w:eastAsia="sk-SK"/>
              </w:rPr>
              <w:t xml:space="preserve">    </w:t>
            </w:r>
            <w:r w:rsidR="00A87E55">
              <w:rPr>
                <w:rFonts w:eastAsia="Times New Roman" w:cs="Times New Roman"/>
                <w:b/>
                <w:bCs/>
                <w:color w:val="FFFFFF"/>
                <w:sz w:val="18"/>
                <w:szCs w:val="18"/>
                <w:lang w:eastAsia="sk-SK"/>
              </w:rPr>
              <w:t xml:space="preserve"> (pokračovanie tab.)</w:t>
            </w:r>
            <w:r w:rsidRPr="00E62ABF">
              <w:rPr>
                <w:rFonts w:eastAsia="Times New Roman" w:cs="Times New Roman"/>
                <w:b/>
                <w:bCs/>
                <w:color w:val="FFFFFF"/>
                <w:sz w:val="18"/>
                <w:szCs w:val="18"/>
                <w:lang w:eastAsia="sk-SK"/>
              </w:rPr>
              <w:t xml:space="preserve">                  </w:t>
            </w:r>
            <w:r>
              <w:rPr>
                <w:rFonts w:eastAsia="Times New Roman" w:cs="Times New Roman"/>
                <w:b/>
                <w:bCs/>
                <w:color w:val="FFFFFF"/>
                <w:sz w:val="18"/>
                <w:szCs w:val="18"/>
                <w:lang w:eastAsia="sk-SK"/>
              </w:rPr>
              <w:t xml:space="preserve">                    </w:t>
            </w:r>
            <w:r w:rsidRPr="00E62ABF">
              <w:rPr>
                <w:rFonts w:eastAsia="Times New Roman" w:cs="Times New Roman"/>
                <w:b/>
                <w:bCs/>
                <w:color w:val="FFFFFF"/>
                <w:sz w:val="18"/>
                <w:szCs w:val="18"/>
                <w:lang w:eastAsia="sk-SK"/>
              </w:rPr>
              <w:t xml:space="preserve">  v tis. eur</w:t>
            </w:r>
          </w:p>
        </w:tc>
      </w:tr>
      <w:tr w:rsidR="005763CE" w:rsidRPr="00E62ABF" w14:paraId="57CAA86D" w14:textId="77777777" w:rsidTr="008D18AA">
        <w:trPr>
          <w:trHeight w:val="300"/>
        </w:trPr>
        <w:tc>
          <w:tcPr>
            <w:tcW w:w="3002" w:type="dxa"/>
            <w:tcBorders>
              <w:top w:val="nil"/>
              <w:left w:val="nil"/>
              <w:bottom w:val="nil"/>
              <w:right w:val="nil"/>
            </w:tcBorders>
            <w:shd w:val="clear" w:color="000000" w:fill="BFBFBF"/>
            <w:vAlign w:val="center"/>
            <w:hideMark/>
          </w:tcPr>
          <w:p w14:paraId="68F19708" w14:textId="77777777" w:rsidR="005763CE" w:rsidRPr="00E62ABF" w:rsidRDefault="005763CE" w:rsidP="007A5A77">
            <w:pPr>
              <w:spacing w:after="0" w:line="240" w:lineRule="auto"/>
              <w:jc w:val="center"/>
              <w:rPr>
                <w:rFonts w:ascii="Arial Narrow" w:eastAsia="Times New Roman" w:hAnsi="Arial Narrow" w:cs="Times New Roman"/>
                <w:b/>
                <w:bCs/>
                <w:color w:val="000000"/>
                <w:sz w:val="18"/>
                <w:szCs w:val="18"/>
                <w:lang w:eastAsia="sk-SK"/>
              </w:rPr>
            </w:pPr>
            <w:r w:rsidRPr="00E62ABF">
              <w:rPr>
                <w:rFonts w:ascii="Arial Narrow" w:eastAsia="Times New Roman" w:hAnsi="Arial Narrow" w:cs="Times New Roman"/>
                <w:b/>
                <w:bCs/>
                <w:color w:val="000000"/>
                <w:sz w:val="18"/>
                <w:szCs w:val="18"/>
                <w:lang w:eastAsia="sk-SK"/>
              </w:rPr>
              <w:t> </w:t>
            </w:r>
          </w:p>
        </w:tc>
        <w:tc>
          <w:tcPr>
            <w:tcW w:w="1984" w:type="dxa"/>
            <w:gridSpan w:val="2"/>
            <w:tcBorders>
              <w:top w:val="nil"/>
              <w:left w:val="nil"/>
              <w:bottom w:val="nil"/>
              <w:right w:val="nil"/>
            </w:tcBorders>
            <w:shd w:val="clear" w:color="000000" w:fill="BFBFBF"/>
            <w:vAlign w:val="center"/>
            <w:hideMark/>
          </w:tcPr>
          <w:p w14:paraId="173BEBCB" w14:textId="77777777" w:rsidR="005763CE" w:rsidRPr="00E62ABF" w:rsidRDefault="005763CE" w:rsidP="007A5A77">
            <w:pPr>
              <w:spacing w:after="0" w:line="240" w:lineRule="auto"/>
              <w:jc w:val="center"/>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Skutočnosť</w:t>
            </w:r>
          </w:p>
        </w:tc>
        <w:tc>
          <w:tcPr>
            <w:tcW w:w="993" w:type="dxa"/>
            <w:tcBorders>
              <w:top w:val="nil"/>
              <w:left w:val="nil"/>
              <w:bottom w:val="nil"/>
              <w:right w:val="nil"/>
            </w:tcBorders>
            <w:shd w:val="clear" w:color="000000" w:fill="BFBFBF"/>
            <w:vAlign w:val="center"/>
            <w:hideMark/>
          </w:tcPr>
          <w:p w14:paraId="70D19513" w14:textId="77777777" w:rsidR="005763CE" w:rsidRPr="00E62ABF" w:rsidRDefault="005763CE" w:rsidP="007A5A77">
            <w:pPr>
              <w:spacing w:after="0" w:line="240" w:lineRule="auto"/>
              <w:jc w:val="center"/>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Rozpočet</w:t>
            </w:r>
          </w:p>
        </w:tc>
        <w:tc>
          <w:tcPr>
            <w:tcW w:w="1134" w:type="dxa"/>
            <w:tcBorders>
              <w:top w:val="nil"/>
              <w:left w:val="nil"/>
              <w:bottom w:val="nil"/>
              <w:right w:val="nil"/>
            </w:tcBorders>
            <w:shd w:val="clear" w:color="000000" w:fill="BFBFBF"/>
            <w:vAlign w:val="center"/>
            <w:hideMark/>
          </w:tcPr>
          <w:p w14:paraId="3350DAF0" w14:textId="77777777" w:rsidR="005763CE" w:rsidRPr="00E62ABF" w:rsidRDefault="005763CE" w:rsidP="007A5A77">
            <w:pPr>
              <w:spacing w:after="0" w:line="240" w:lineRule="auto"/>
              <w:jc w:val="center"/>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Skutočnosť</w:t>
            </w:r>
          </w:p>
        </w:tc>
        <w:tc>
          <w:tcPr>
            <w:tcW w:w="1842" w:type="dxa"/>
            <w:gridSpan w:val="2"/>
            <w:tcBorders>
              <w:top w:val="nil"/>
              <w:left w:val="nil"/>
              <w:bottom w:val="nil"/>
              <w:right w:val="nil"/>
            </w:tcBorders>
            <w:shd w:val="clear" w:color="000000" w:fill="BFBFBF"/>
            <w:vAlign w:val="center"/>
            <w:hideMark/>
          </w:tcPr>
          <w:p w14:paraId="3FEBE55B" w14:textId="77777777" w:rsidR="005763CE" w:rsidRPr="00E62ABF" w:rsidRDefault="005763CE" w:rsidP="007A5A77">
            <w:pPr>
              <w:spacing w:after="0" w:line="240" w:lineRule="auto"/>
              <w:jc w:val="center"/>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Rozdiel</w:t>
            </w:r>
          </w:p>
        </w:tc>
      </w:tr>
      <w:tr w:rsidR="005763CE" w:rsidRPr="00E62ABF" w14:paraId="03B4AAE9" w14:textId="77777777" w:rsidTr="008D18AA">
        <w:trPr>
          <w:trHeight w:val="300"/>
        </w:trPr>
        <w:tc>
          <w:tcPr>
            <w:tcW w:w="3002" w:type="dxa"/>
            <w:tcBorders>
              <w:top w:val="nil"/>
              <w:left w:val="nil"/>
              <w:bottom w:val="nil"/>
              <w:right w:val="nil"/>
            </w:tcBorders>
            <w:shd w:val="clear" w:color="000000" w:fill="BFBFBF"/>
            <w:vAlign w:val="center"/>
            <w:hideMark/>
          </w:tcPr>
          <w:p w14:paraId="14AC4BAC" w14:textId="77777777" w:rsidR="005763CE" w:rsidRPr="00E62ABF" w:rsidRDefault="005763CE" w:rsidP="007A5A77">
            <w:pPr>
              <w:spacing w:after="0" w:line="240" w:lineRule="auto"/>
              <w:jc w:val="center"/>
              <w:rPr>
                <w:rFonts w:ascii="Arial Narrow" w:eastAsia="Times New Roman" w:hAnsi="Arial Narrow" w:cs="Times New Roman"/>
                <w:b/>
                <w:bCs/>
                <w:color w:val="000000"/>
                <w:sz w:val="18"/>
                <w:szCs w:val="18"/>
                <w:lang w:eastAsia="sk-SK"/>
              </w:rPr>
            </w:pPr>
            <w:r w:rsidRPr="00E62ABF">
              <w:rPr>
                <w:rFonts w:ascii="Arial Narrow" w:eastAsia="Times New Roman" w:hAnsi="Arial Narrow" w:cs="Times New Roman"/>
                <w:b/>
                <w:bCs/>
                <w:color w:val="000000"/>
                <w:sz w:val="18"/>
                <w:szCs w:val="18"/>
                <w:lang w:eastAsia="sk-SK"/>
              </w:rPr>
              <w:t> </w:t>
            </w:r>
          </w:p>
        </w:tc>
        <w:tc>
          <w:tcPr>
            <w:tcW w:w="992" w:type="dxa"/>
            <w:tcBorders>
              <w:top w:val="nil"/>
              <w:left w:val="nil"/>
              <w:bottom w:val="nil"/>
              <w:right w:val="nil"/>
            </w:tcBorders>
            <w:shd w:val="clear" w:color="000000" w:fill="BFBFBF"/>
            <w:vAlign w:val="center"/>
            <w:hideMark/>
          </w:tcPr>
          <w:p w14:paraId="30DFB271" w14:textId="77777777" w:rsidR="005763CE" w:rsidRPr="00E62ABF" w:rsidRDefault="005763CE" w:rsidP="007A5A77">
            <w:pPr>
              <w:spacing w:after="0" w:line="240" w:lineRule="auto"/>
              <w:jc w:val="center"/>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2016</w:t>
            </w:r>
          </w:p>
        </w:tc>
        <w:tc>
          <w:tcPr>
            <w:tcW w:w="992" w:type="dxa"/>
            <w:tcBorders>
              <w:top w:val="nil"/>
              <w:left w:val="nil"/>
              <w:bottom w:val="nil"/>
              <w:right w:val="nil"/>
            </w:tcBorders>
            <w:shd w:val="clear" w:color="000000" w:fill="BFBFBF"/>
            <w:vAlign w:val="center"/>
            <w:hideMark/>
          </w:tcPr>
          <w:p w14:paraId="10CD724B" w14:textId="77777777" w:rsidR="005763CE" w:rsidRPr="00E62ABF" w:rsidRDefault="005763CE" w:rsidP="007A5A77">
            <w:pPr>
              <w:spacing w:after="0" w:line="240" w:lineRule="auto"/>
              <w:jc w:val="center"/>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2017</w:t>
            </w:r>
          </w:p>
        </w:tc>
        <w:tc>
          <w:tcPr>
            <w:tcW w:w="993" w:type="dxa"/>
            <w:tcBorders>
              <w:top w:val="nil"/>
              <w:left w:val="nil"/>
              <w:bottom w:val="nil"/>
              <w:right w:val="nil"/>
            </w:tcBorders>
            <w:shd w:val="clear" w:color="000000" w:fill="BFBFBF"/>
            <w:vAlign w:val="center"/>
            <w:hideMark/>
          </w:tcPr>
          <w:p w14:paraId="34A66789" w14:textId="77777777" w:rsidR="005763CE" w:rsidRPr="00E62ABF" w:rsidRDefault="005763CE" w:rsidP="007A5A77">
            <w:pPr>
              <w:spacing w:after="0" w:line="240" w:lineRule="auto"/>
              <w:jc w:val="center"/>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2018</w:t>
            </w:r>
          </w:p>
        </w:tc>
        <w:tc>
          <w:tcPr>
            <w:tcW w:w="1134" w:type="dxa"/>
            <w:tcBorders>
              <w:top w:val="nil"/>
              <w:left w:val="nil"/>
              <w:bottom w:val="nil"/>
              <w:right w:val="nil"/>
            </w:tcBorders>
            <w:shd w:val="clear" w:color="000000" w:fill="BFBFBF"/>
            <w:vAlign w:val="center"/>
            <w:hideMark/>
          </w:tcPr>
          <w:p w14:paraId="6EDEC6C3" w14:textId="77777777" w:rsidR="005763CE" w:rsidRPr="00E62ABF" w:rsidRDefault="005763CE" w:rsidP="007A5A77">
            <w:pPr>
              <w:spacing w:after="0" w:line="240" w:lineRule="auto"/>
              <w:jc w:val="center"/>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2018</w:t>
            </w:r>
          </w:p>
        </w:tc>
        <w:tc>
          <w:tcPr>
            <w:tcW w:w="992" w:type="dxa"/>
            <w:tcBorders>
              <w:top w:val="nil"/>
              <w:left w:val="nil"/>
              <w:bottom w:val="nil"/>
              <w:right w:val="nil"/>
            </w:tcBorders>
            <w:shd w:val="clear" w:color="000000" w:fill="BFBFBF"/>
            <w:vAlign w:val="center"/>
            <w:hideMark/>
          </w:tcPr>
          <w:p w14:paraId="737C186E" w14:textId="77777777" w:rsidR="005763CE" w:rsidRPr="00E62ABF" w:rsidRDefault="005763CE" w:rsidP="007A5A77">
            <w:pPr>
              <w:spacing w:after="0" w:line="240" w:lineRule="auto"/>
              <w:jc w:val="center"/>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 xml:space="preserve"> v tis. eur</w:t>
            </w:r>
          </w:p>
        </w:tc>
        <w:tc>
          <w:tcPr>
            <w:tcW w:w="850" w:type="dxa"/>
            <w:tcBorders>
              <w:top w:val="nil"/>
              <w:left w:val="nil"/>
              <w:bottom w:val="nil"/>
              <w:right w:val="nil"/>
            </w:tcBorders>
            <w:shd w:val="clear" w:color="000000" w:fill="BFBFBF"/>
            <w:vAlign w:val="center"/>
            <w:hideMark/>
          </w:tcPr>
          <w:p w14:paraId="7AC21BE2" w14:textId="77777777" w:rsidR="005763CE" w:rsidRPr="00E62ABF" w:rsidRDefault="005763CE" w:rsidP="007A5A77">
            <w:pPr>
              <w:spacing w:after="0" w:line="240" w:lineRule="auto"/>
              <w:jc w:val="center"/>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v %</w:t>
            </w:r>
          </w:p>
        </w:tc>
      </w:tr>
      <w:tr w:rsidR="005763CE" w:rsidRPr="00E62ABF" w14:paraId="267685F3" w14:textId="77777777" w:rsidTr="008D18AA">
        <w:trPr>
          <w:trHeight w:val="315"/>
        </w:trPr>
        <w:tc>
          <w:tcPr>
            <w:tcW w:w="3002" w:type="dxa"/>
            <w:tcBorders>
              <w:top w:val="nil"/>
              <w:left w:val="nil"/>
              <w:bottom w:val="single" w:sz="8" w:space="0" w:color="auto"/>
              <w:right w:val="nil"/>
            </w:tcBorders>
            <w:shd w:val="clear" w:color="000000" w:fill="BFBFBF"/>
            <w:vAlign w:val="center"/>
            <w:hideMark/>
          </w:tcPr>
          <w:p w14:paraId="450D5F39" w14:textId="77777777" w:rsidR="005763CE" w:rsidRPr="00E62ABF" w:rsidRDefault="005763CE" w:rsidP="007A5A77">
            <w:pPr>
              <w:spacing w:after="0" w:line="240" w:lineRule="auto"/>
              <w:jc w:val="center"/>
              <w:rPr>
                <w:rFonts w:ascii="Arial Narrow" w:eastAsia="Times New Roman" w:hAnsi="Arial Narrow" w:cs="Times New Roman"/>
                <w:b/>
                <w:bCs/>
                <w:color w:val="000000"/>
                <w:sz w:val="18"/>
                <w:szCs w:val="18"/>
                <w:lang w:eastAsia="sk-SK"/>
              </w:rPr>
            </w:pPr>
            <w:r w:rsidRPr="00E62ABF">
              <w:rPr>
                <w:rFonts w:ascii="Arial Narrow" w:eastAsia="Times New Roman" w:hAnsi="Arial Narrow" w:cs="Times New Roman"/>
                <w:b/>
                <w:bCs/>
                <w:color w:val="000000"/>
                <w:sz w:val="18"/>
                <w:szCs w:val="18"/>
                <w:lang w:eastAsia="sk-SK"/>
              </w:rPr>
              <w:t> </w:t>
            </w:r>
          </w:p>
        </w:tc>
        <w:tc>
          <w:tcPr>
            <w:tcW w:w="992" w:type="dxa"/>
            <w:tcBorders>
              <w:top w:val="nil"/>
              <w:left w:val="nil"/>
              <w:bottom w:val="single" w:sz="8" w:space="0" w:color="auto"/>
              <w:right w:val="nil"/>
            </w:tcBorders>
            <w:shd w:val="clear" w:color="000000" w:fill="BFBFBF"/>
            <w:vAlign w:val="center"/>
            <w:hideMark/>
          </w:tcPr>
          <w:p w14:paraId="2D0AD87D" w14:textId="77777777" w:rsidR="005763CE" w:rsidRPr="00E62ABF" w:rsidRDefault="005763CE" w:rsidP="007A5A77">
            <w:pPr>
              <w:spacing w:after="0" w:line="240" w:lineRule="auto"/>
              <w:jc w:val="center"/>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1</w:t>
            </w:r>
          </w:p>
        </w:tc>
        <w:tc>
          <w:tcPr>
            <w:tcW w:w="992" w:type="dxa"/>
            <w:tcBorders>
              <w:top w:val="nil"/>
              <w:left w:val="nil"/>
              <w:bottom w:val="single" w:sz="8" w:space="0" w:color="auto"/>
              <w:right w:val="nil"/>
            </w:tcBorders>
            <w:shd w:val="clear" w:color="000000" w:fill="BFBFBF"/>
            <w:vAlign w:val="center"/>
            <w:hideMark/>
          </w:tcPr>
          <w:p w14:paraId="141FF187" w14:textId="77777777" w:rsidR="005763CE" w:rsidRPr="00E62ABF" w:rsidRDefault="005763CE" w:rsidP="007A5A77">
            <w:pPr>
              <w:spacing w:after="0" w:line="240" w:lineRule="auto"/>
              <w:jc w:val="center"/>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2</w:t>
            </w:r>
          </w:p>
        </w:tc>
        <w:tc>
          <w:tcPr>
            <w:tcW w:w="993" w:type="dxa"/>
            <w:tcBorders>
              <w:top w:val="nil"/>
              <w:left w:val="nil"/>
              <w:bottom w:val="single" w:sz="8" w:space="0" w:color="auto"/>
              <w:right w:val="nil"/>
            </w:tcBorders>
            <w:shd w:val="clear" w:color="000000" w:fill="BFBFBF"/>
            <w:vAlign w:val="center"/>
            <w:hideMark/>
          </w:tcPr>
          <w:p w14:paraId="288191C6" w14:textId="77777777" w:rsidR="005763CE" w:rsidRPr="00E62ABF" w:rsidRDefault="005763CE" w:rsidP="007A5A77">
            <w:pPr>
              <w:spacing w:after="0" w:line="240" w:lineRule="auto"/>
              <w:jc w:val="center"/>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3</w:t>
            </w:r>
          </w:p>
        </w:tc>
        <w:tc>
          <w:tcPr>
            <w:tcW w:w="1134" w:type="dxa"/>
            <w:tcBorders>
              <w:top w:val="nil"/>
              <w:left w:val="nil"/>
              <w:bottom w:val="single" w:sz="8" w:space="0" w:color="auto"/>
              <w:right w:val="nil"/>
            </w:tcBorders>
            <w:shd w:val="clear" w:color="000000" w:fill="BFBFBF"/>
            <w:vAlign w:val="center"/>
            <w:hideMark/>
          </w:tcPr>
          <w:p w14:paraId="0DC22895" w14:textId="77777777" w:rsidR="005763CE" w:rsidRPr="00E62ABF" w:rsidRDefault="005763CE" w:rsidP="007A5A77">
            <w:pPr>
              <w:spacing w:after="0" w:line="240" w:lineRule="auto"/>
              <w:jc w:val="center"/>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4</w:t>
            </w:r>
          </w:p>
        </w:tc>
        <w:tc>
          <w:tcPr>
            <w:tcW w:w="992" w:type="dxa"/>
            <w:tcBorders>
              <w:top w:val="nil"/>
              <w:left w:val="nil"/>
              <w:bottom w:val="single" w:sz="8" w:space="0" w:color="auto"/>
              <w:right w:val="nil"/>
            </w:tcBorders>
            <w:shd w:val="clear" w:color="000000" w:fill="BFBFBF"/>
            <w:vAlign w:val="center"/>
            <w:hideMark/>
          </w:tcPr>
          <w:p w14:paraId="6C9B92D3" w14:textId="77777777" w:rsidR="005763CE" w:rsidRPr="00E62ABF" w:rsidRDefault="005763CE" w:rsidP="007A5A77">
            <w:pPr>
              <w:spacing w:after="0" w:line="240" w:lineRule="auto"/>
              <w:jc w:val="center"/>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5=4-3</w:t>
            </w:r>
          </w:p>
        </w:tc>
        <w:tc>
          <w:tcPr>
            <w:tcW w:w="850" w:type="dxa"/>
            <w:tcBorders>
              <w:top w:val="nil"/>
              <w:left w:val="nil"/>
              <w:bottom w:val="single" w:sz="8" w:space="0" w:color="auto"/>
              <w:right w:val="nil"/>
            </w:tcBorders>
            <w:shd w:val="clear" w:color="000000" w:fill="BFBFBF"/>
            <w:vAlign w:val="center"/>
            <w:hideMark/>
          </w:tcPr>
          <w:p w14:paraId="275C996C" w14:textId="77777777" w:rsidR="005763CE" w:rsidRPr="00E62ABF" w:rsidRDefault="005763CE" w:rsidP="007A5A77">
            <w:pPr>
              <w:spacing w:after="0" w:line="240" w:lineRule="auto"/>
              <w:jc w:val="center"/>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6=4-3</w:t>
            </w:r>
          </w:p>
        </w:tc>
      </w:tr>
      <w:tr w:rsidR="005469A6" w:rsidRPr="00E62ABF" w14:paraId="04454373" w14:textId="77777777" w:rsidTr="008D18AA">
        <w:trPr>
          <w:trHeight w:val="300"/>
        </w:trPr>
        <w:tc>
          <w:tcPr>
            <w:tcW w:w="3002" w:type="dxa"/>
            <w:tcBorders>
              <w:top w:val="nil"/>
              <w:left w:val="nil"/>
              <w:bottom w:val="nil"/>
              <w:right w:val="nil"/>
            </w:tcBorders>
            <w:shd w:val="clear" w:color="auto" w:fill="auto"/>
            <w:vAlign w:val="center"/>
            <w:hideMark/>
          </w:tcPr>
          <w:p w14:paraId="260C25D1" w14:textId="77777777" w:rsidR="00E62ABF" w:rsidRPr="00E62ABF" w:rsidRDefault="00E62ABF" w:rsidP="00E62ABF">
            <w:pPr>
              <w:spacing w:after="0" w:line="240" w:lineRule="auto"/>
              <w:jc w:val="left"/>
              <w:rPr>
                <w:rFonts w:eastAsia="Times New Roman" w:cs="Times New Roman"/>
                <w:color w:val="000000"/>
                <w:sz w:val="18"/>
                <w:szCs w:val="18"/>
                <w:lang w:eastAsia="sk-SK"/>
              </w:rPr>
            </w:pPr>
            <w:r w:rsidRPr="00E62ABF">
              <w:rPr>
                <w:rFonts w:eastAsia="Times New Roman" w:cs="Times New Roman"/>
                <w:color w:val="000000"/>
                <w:sz w:val="18"/>
                <w:szCs w:val="18"/>
                <w:lang w:eastAsia="sk-SK"/>
              </w:rPr>
              <w:t>nákup budov, objektov a ich častí</w:t>
            </w:r>
          </w:p>
        </w:tc>
        <w:tc>
          <w:tcPr>
            <w:tcW w:w="992" w:type="dxa"/>
            <w:tcBorders>
              <w:top w:val="nil"/>
              <w:left w:val="nil"/>
              <w:bottom w:val="nil"/>
              <w:right w:val="nil"/>
            </w:tcBorders>
            <w:shd w:val="clear" w:color="auto" w:fill="auto"/>
            <w:noWrap/>
            <w:vAlign w:val="center"/>
            <w:hideMark/>
          </w:tcPr>
          <w:p w14:paraId="3B138B3B" w14:textId="77777777" w:rsidR="00E62ABF" w:rsidRPr="00E62ABF" w:rsidRDefault="00E62ABF" w:rsidP="00E62ABF">
            <w:pPr>
              <w:spacing w:after="0" w:line="240" w:lineRule="auto"/>
              <w:jc w:val="right"/>
              <w:rPr>
                <w:rFonts w:eastAsia="Times New Roman" w:cs="Times New Roman"/>
                <w:color w:val="000000"/>
                <w:sz w:val="18"/>
                <w:szCs w:val="18"/>
                <w:lang w:eastAsia="sk-SK"/>
              </w:rPr>
            </w:pPr>
            <w:r w:rsidRPr="00E62ABF">
              <w:rPr>
                <w:rFonts w:eastAsia="Times New Roman" w:cs="Times New Roman"/>
                <w:color w:val="000000"/>
                <w:sz w:val="18"/>
                <w:szCs w:val="18"/>
                <w:lang w:eastAsia="sk-SK"/>
              </w:rPr>
              <w:t>4 630</w:t>
            </w:r>
          </w:p>
        </w:tc>
        <w:tc>
          <w:tcPr>
            <w:tcW w:w="992" w:type="dxa"/>
            <w:tcBorders>
              <w:top w:val="nil"/>
              <w:left w:val="nil"/>
              <w:bottom w:val="nil"/>
              <w:right w:val="nil"/>
            </w:tcBorders>
            <w:shd w:val="clear" w:color="auto" w:fill="auto"/>
            <w:noWrap/>
            <w:vAlign w:val="center"/>
            <w:hideMark/>
          </w:tcPr>
          <w:p w14:paraId="77D13B22" w14:textId="77777777" w:rsidR="00E62ABF" w:rsidRPr="00E62ABF" w:rsidRDefault="00E62ABF" w:rsidP="00E62ABF">
            <w:pPr>
              <w:spacing w:after="0" w:line="240" w:lineRule="auto"/>
              <w:jc w:val="right"/>
              <w:rPr>
                <w:rFonts w:eastAsia="Times New Roman" w:cs="Times New Roman"/>
                <w:color w:val="000000"/>
                <w:sz w:val="18"/>
                <w:szCs w:val="18"/>
                <w:lang w:eastAsia="sk-SK"/>
              </w:rPr>
            </w:pPr>
            <w:r w:rsidRPr="00E62ABF">
              <w:rPr>
                <w:rFonts w:eastAsia="Times New Roman" w:cs="Times New Roman"/>
                <w:color w:val="000000"/>
                <w:sz w:val="18"/>
                <w:szCs w:val="18"/>
                <w:lang w:eastAsia="sk-SK"/>
              </w:rPr>
              <w:t>10 587</w:t>
            </w:r>
          </w:p>
        </w:tc>
        <w:tc>
          <w:tcPr>
            <w:tcW w:w="993" w:type="dxa"/>
            <w:tcBorders>
              <w:top w:val="nil"/>
              <w:left w:val="nil"/>
              <w:bottom w:val="nil"/>
              <w:right w:val="nil"/>
            </w:tcBorders>
            <w:shd w:val="clear" w:color="000000" w:fill="FFFFFF"/>
            <w:noWrap/>
            <w:vAlign w:val="center"/>
            <w:hideMark/>
          </w:tcPr>
          <w:p w14:paraId="30D68C5A" w14:textId="77777777" w:rsidR="00E62ABF" w:rsidRPr="00E62ABF" w:rsidRDefault="00E62ABF" w:rsidP="00E62ABF">
            <w:pPr>
              <w:spacing w:after="0" w:line="240" w:lineRule="auto"/>
              <w:jc w:val="right"/>
              <w:rPr>
                <w:rFonts w:eastAsia="Times New Roman" w:cs="Times New Roman"/>
                <w:color w:val="000000"/>
                <w:sz w:val="18"/>
                <w:szCs w:val="18"/>
                <w:lang w:eastAsia="sk-SK"/>
              </w:rPr>
            </w:pPr>
            <w:r w:rsidRPr="00E62ABF">
              <w:rPr>
                <w:rFonts w:eastAsia="Times New Roman" w:cs="Times New Roman"/>
                <w:color w:val="000000"/>
                <w:sz w:val="18"/>
                <w:szCs w:val="18"/>
                <w:lang w:eastAsia="sk-SK"/>
              </w:rPr>
              <w:t>2 470</w:t>
            </w:r>
          </w:p>
        </w:tc>
        <w:tc>
          <w:tcPr>
            <w:tcW w:w="1134" w:type="dxa"/>
            <w:tcBorders>
              <w:top w:val="nil"/>
              <w:left w:val="nil"/>
              <w:bottom w:val="nil"/>
              <w:right w:val="nil"/>
            </w:tcBorders>
            <w:shd w:val="clear" w:color="000000" w:fill="BFBFBF"/>
            <w:noWrap/>
            <w:vAlign w:val="center"/>
            <w:hideMark/>
          </w:tcPr>
          <w:p w14:paraId="31D31C0F" w14:textId="77777777" w:rsidR="00E62ABF" w:rsidRPr="00E62ABF" w:rsidRDefault="00E62ABF" w:rsidP="00E62ABF">
            <w:pPr>
              <w:spacing w:after="0" w:line="240" w:lineRule="auto"/>
              <w:jc w:val="right"/>
              <w:rPr>
                <w:rFonts w:eastAsia="Times New Roman" w:cs="Times New Roman"/>
                <w:color w:val="000000"/>
                <w:sz w:val="18"/>
                <w:szCs w:val="18"/>
                <w:lang w:eastAsia="sk-SK"/>
              </w:rPr>
            </w:pPr>
            <w:r w:rsidRPr="00E62ABF">
              <w:rPr>
                <w:rFonts w:eastAsia="Times New Roman" w:cs="Times New Roman"/>
                <w:color w:val="000000"/>
                <w:sz w:val="18"/>
                <w:szCs w:val="18"/>
                <w:lang w:eastAsia="sk-SK"/>
              </w:rPr>
              <w:t>12 734</w:t>
            </w:r>
          </w:p>
        </w:tc>
        <w:tc>
          <w:tcPr>
            <w:tcW w:w="992" w:type="dxa"/>
            <w:tcBorders>
              <w:top w:val="nil"/>
              <w:left w:val="nil"/>
              <w:bottom w:val="nil"/>
              <w:right w:val="nil"/>
            </w:tcBorders>
            <w:shd w:val="clear" w:color="000000" w:fill="FFFFFF"/>
            <w:vAlign w:val="center"/>
            <w:hideMark/>
          </w:tcPr>
          <w:p w14:paraId="0AE82A3E" w14:textId="77777777" w:rsidR="00E62ABF" w:rsidRPr="001E1E5F" w:rsidRDefault="00E62ABF" w:rsidP="00E62ABF">
            <w:pPr>
              <w:spacing w:after="0" w:line="240" w:lineRule="auto"/>
              <w:jc w:val="right"/>
              <w:rPr>
                <w:rFonts w:eastAsia="Times New Roman" w:cs="Times New Roman"/>
                <w:bCs/>
                <w:color w:val="000000"/>
                <w:sz w:val="18"/>
                <w:szCs w:val="18"/>
                <w:lang w:eastAsia="sk-SK"/>
              </w:rPr>
            </w:pPr>
            <w:r w:rsidRPr="001E1E5F">
              <w:rPr>
                <w:rFonts w:eastAsia="Times New Roman" w:cs="Times New Roman"/>
                <w:bCs/>
                <w:color w:val="000000"/>
                <w:sz w:val="18"/>
                <w:szCs w:val="18"/>
                <w:lang w:eastAsia="sk-SK"/>
              </w:rPr>
              <w:t>10 264</w:t>
            </w:r>
          </w:p>
        </w:tc>
        <w:tc>
          <w:tcPr>
            <w:tcW w:w="850" w:type="dxa"/>
            <w:tcBorders>
              <w:top w:val="nil"/>
              <w:left w:val="nil"/>
              <w:bottom w:val="nil"/>
              <w:right w:val="nil"/>
            </w:tcBorders>
            <w:shd w:val="clear" w:color="000000" w:fill="FFFFFF"/>
            <w:vAlign w:val="center"/>
            <w:hideMark/>
          </w:tcPr>
          <w:p w14:paraId="07A9483F" w14:textId="77777777" w:rsidR="00E62ABF" w:rsidRPr="001E1E5F" w:rsidRDefault="00E62ABF" w:rsidP="00E62ABF">
            <w:pPr>
              <w:spacing w:after="0" w:line="240" w:lineRule="auto"/>
              <w:jc w:val="right"/>
              <w:rPr>
                <w:rFonts w:eastAsia="Times New Roman" w:cs="Times New Roman"/>
                <w:bCs/>
                <w:color w:val="000000"/>
                <w:sz w:val="18"/>
                <w:szCs w:val="18"/>
                <w:lang w:eastAsia="sk-SK"/>
              </w:rPr>
            </w:pPr>
            <w:r w:rsidRPr="001E1E5F">
              <w:rPr>
                <w:rFonts w:eastAsia="Times New Roman" w:cs="Times New Roman"/>
                <w:bCs/>
                <w:color w:val="000000"/>
                <w:sz w:val="18"/>
                <w:szCs w:val="18"/>
                <w:lang w:eastAsia="sk-SK"/>
              </w:rPr>
              <w:t>415,55</w:t>
            </w:r>
          </w:p>
        </w:tc>
      </w:tr>
      <w:tr w:rsidR="005469A6" w:rsidRPr="00E62ABF" w14:paraId="2300F6DC" w14:textId="77777777" w:rsidTr="008D18AA">
        <w:trPr>
          <w:trHeight w:val="301"/>
        </w:trPr>
        <w:tc>
          <w:tcPr>
            <w:tcW w:w="3002" w:type="dxa"/>
            <w:tcBorders>
              <w:top w:val="nil"/>
              <w:left w:val="nil"/>
              <w:bottom w:val="nil"/>
              <w:right w:val="nil"/>
            </w:tcBorders>
            <w:shd w:val="clear" w:color="auto" w:fill="auto"/>
            <w:vAlign w:val="center"/>
            <w:hideMark/>
          </w:tcPr>
          <w:p w14:paraId="70394CD8" w14:textId="28CB8AD3" w:rsidR="00E62ABF" w:rsidRPr="00E62ABF" w:rsidRDefault="00431549" w:rsidP="00431549">
            <w:pPr>
              <w:spacing w:after="0" w:line="240" w:lineRule="auto"/>
              <w:jc w:val="left"/>
              <w:rPr>
                <w:rFonts w:eastAsia="Times New Roman" w:cs="Times New Roman"/>
                <w:color w:val="000000"/>
                <w:sz w:val="18"/>
                <w:szCs w:val="18"/>
                <w:lang w:eastAsia="sk-SK"/>
              </w:rPr>
            </w:pPr>
            <w:r>
              <w:rPr>
                <w:rFonts w:eastAsia="Times New Roman" w:cs="Times New Roman"/>
                <w:color w:val="000000"/>
                <w:sz w:val="18"/>
                <w:szCs w:val="18"/>
                <w:lang w:eastAsia="sk-SK"/>
              </w:rPr>
              <w:t>ostatné</w:t>
            </w:r>
            <w:r w:rsidR="00E62ABF" w:rsidRPr="00E62ABF">
              <w:rPr>
                <w:rFonts w:eastAsia="Times New Roman" w:cs="Times New Roman"/>
                <w:color w:val="000000"/>
                <w:sz w:val="18"/>
                <w:szCs w:val="18"/>
                <w:lang w:eastAsia="sk-SK"/>
              </w:rPr>
              <w:t xml:space="preserve"> kapitálové výdavky </w:t>
            </w:r>
          </w:p>
        </w:tc>
        <w:tc>
          <w:tcPr>
            <w:tcW w:w="992" w:type="dxa"/>
            <w:tcBorders>
              <w:top w:val="nil"/>
              <w:left w:val="nil"/>
              <w:bottom w:val="nil"/>
              <w:right w:val="nil"/>
            </w:tcBorders>
            <w:shd w:val="clear" w:color="auto" w:fill="auto"/>
            <w:noWrap/>
            <w:vAlign w:val="center"/>
            <w:hideMark/>
          </w:tcPr>
          <w:p w14:paraId="6145F1E7" w14:textId="77777777" w:rsidR="00E62ABF" w:rsidRPr="00E62ABF" w:rsidRDefault="00E62ABF" w:rsidP="00E62ABF">
            <w:pPr>
              <w:spacing w:after="0" w:line="240" w:lineRule="auto"/>
              <w:jc w:val="right"/>
              <w:rPr>
                <w:rFonts w:eastAsia="Times New Roman" w:cs="Times New Roman"/>
                <w:color w:val="000000"/>
                <w:sz w:val="18"/>
                <w:szCs w:val="18"/>
                <w:lang w:eastAsia="sk-SK"/>
              </w:rPr>
            </w:pPr>
            <w:r w:rsidRPr="00E62ABF">
              <w:rPr>
                <w:rFonts w:eastAsia="Times New Roman" w:cs="Times New Roman"/>
                <w:color w:val="000000"/>
                <w:sz w:val="18"/>
                <w:szCs w:val="18"/>
                <w:lang w:eastAsia="sk-SK"/>
              </w:rPr>
              <w:t>93 302</w:t>
            </w:r>
          </w:p>
        </w:tc>
        <w:tc>
          <w:tcPr>
            <w:tcW w:w="992" w:type="dxa"/>
            <w:tcBorders>
              <w:top w:val="nil"/>
              <w:left w:val="nil"/>
              <w:bottom w:val="nil"/>
              <w:right w:val="nil"/>
            </w:tcBorders>
            <w:shd w:val="clear" w:color="auto" w:fill="auto"/>
            <w:noWrap/>
            <w:vAlign w:val="center"/>
            <w:hideMark/>
          </w:tcPr>
          <w:p w14:paraId="535E1970" w14:textId="77777777" w:rsidR="00E62ABF" w:rsidRPr="00E62ABF" w:rsidRDefault="00E62ABF" w:rsidP="00E62ABF">
            <w:pPr>
              <w:spacing w:after="0" w:line="240" w:lineRule="auto"/>
              <w:jc w:val="right"/>
              <w:rPr>
                <w:rFonts w:eastAsia="Times New Roman" w:cs="Times New Roman"/>
                <w:color w:val="000000"/>
                <w:sz w:val="18"/>
                <w:szCs w:val="18"/>
                <w:lang w:eastAsia="sk-SK"/>
              </w:rPr>
            </w:pPr>
            <w:r w:rsidRPr="00E62ABF">
              <w:rPr>
                <w:rFonts w:eastAsia="Times New Roman" w:cs="Times New Roman"/>
                <w:color w:val="000000"/>
                <w:sz w:val="18"/>
                <w:szCs w:val="18"/>
                <w:lang w:eastAsia="sk-SK"/>
              </w:rPr>
              <w:t>112 917</w:t>
            </w:r>
          </w:p>
        </w:tc>
        <w:tc>
          <w:tcPr>
            <w:tcW w:w="993" w:type="dxa"/>
            <w:tcBorders>
              <w:top w:val="nil"/>
              <w:left w:val="nil"/>
              <w:bottom w:val="nil"/>
              <w:right w:val="nil"/>
            </w:tcBorders>
            <w:shd w:val="clear" w:color="000000" w:fill="FFFFFF"/>
            <w:noWrap/>
            <w:vAlign w:val="center"/>
            <w:hideMark/>
          </w:tcPr>
          <w:p w14:paraId="5C02B474" w14:textId="77777777" w:rsidR="00E62ABF" w:rsidRPr="00E62ABF" w:rsidRDefault="00E62ABF" w:rsidP="00E62ABF">
            <w:pPr>
              <w:spacing w:after="0" w:line="240" w:lineRule="auto"/>
              <w:jc w:val="right"/>
              <w:rPr>
                <w:rFonts w:eastAsia="Times New Roman" w:cs="Times New Roman"/>
                <w:color w:val="000000"/>
                <w:sz w:val="18"/>
                <w:szCs w:val="18"/>
                <w:lang w:eastAsia="sk-SK"/>
              </w:rPr>
            </w:pPr>
            <w:r w:rsidRPr="00E62ABF">
              <w:rPr>
                <w:rFonts w:eastAsia="Times New Roman" w:cs="Times New Roman"/>
                <w:color w:val="000000"/>
                <w:sz w:val="18"/>
                <w:szCs w:val="18"/>
                <w:lang w:eastAsia="sk-SK"/>
              </w:rPr>
              <w:t>173 937</w:t>
            </w:r>
          </w:p>
        </w:tc>
        <w:tc>
          <w:tcPr>
            <w:tcW w:w="1134" w:type="dxa"/>
            <w:tcBorders>
              <w:top w:val="nil"/>
              <w:left w:val="nil"/>
              <w:bottom w:val="nil"/>
              <w:right w:val="nil"/>
            </w:tcBorders>
            <w:shd w:val="clear" w:color="000000" w:fill="BFBFBF"/>
            <w:noWrap/>
            <w:vAlign w:val="center"/>
            <w:hideMark/>
          </w:tcPr>
          <w:p w14:paraId="6ED1AD04" w14:textId="77777777" w:rsidR="00E62ABF" w:rsidRPr="00E62ABF" w:rsidRDefault="00E62ABF" w:rsidP="00E62ABF">
            <w:pPr>
              <w:spacing w:after="0" w:line="240" w:lineRule="auto"/>
              <w:jc w:val="right"/>
              <w:rPr>
                <w:rFonts w:eastAsia="Times New Roman" w:cs="Times New Roman"/>
                <w:color w:val="000000"/>
                <w:sz w:val="18"/>
                <w:szCs w:val="18"/>
                <w:lang w:eastAsia="sk-SK"/>
              </w:rPr>
            </w:pPr>
            <w:r w:rsidRPr="00E62ABF">
              <w:rPr>
                <w:rFonts w:eastAsia="Times New Roman" w:cs="Times New Roman"/>
                <w:color w:val="000000"/>
                <w:sz w:val="18"/>
                <w:szCs w:val="18"/>
                <w:lang w:eastAsia="sk-SK"/>
              </w:rPr>
              <w:t>116 377</w:t>
            </w:r>
          </w:p>
        </w:tc>
        <w:tc>
          <w:tcPr>
            <w:tcW w:w="992" w:type="dxa"/>
            <w:tcBorders>
              <w:top w:val="nil"/>
              <w:left w:val="nil"/>
              <w:bottom w:val="nil"/>
              <w:right w:val="nil"/>
            </w:tcBorders>
            <w:shd w:val="clear" w:color="000000" w:fill="FFFFFF"/>
            <w:vAlign w:val="center"/>
            <w:hideMark/>
          </w:tcPr>
          <w:p w14:paraId="7CE75B59" w14:textId="77777777" w:rsidR="00E62ABF" w:rsidRPr="001E1E5F" w:rsidRDefault="00E62ABF" w:rsidP="00E62ABF">
            <w:pPr>
              <w:spacing w:after="0" w:line="240" w:lineRule="auto"/>
              <w:jc w:val="right"/>
              <w:rPr>
                <w:rFonts w:eastAsia="Times New Roman" w:cs="Times New Roman"/>
                <w:bCs/>
                <w:color w:val="000000"/>
                <w:sz w:val="18"/>
                <w:szCs w:val="18"/>
                <w:lang w:eastAsia="sk-SK"/>
              </w:rPr>
            </w:pPr>
            <w:r w:rsidRPr="001E1E5F">
              <w:rPr>
                <w:rFonts w:eastAsia="Times New Roman" w:cs="Times New Roman"/>
                <w:bCs/>
                <w:color w:val="000000"/>
                <w:sz w:val="18"/>
                <w:szCs w:val="18"/>
                <w:lang w:eastAsia="sk-SK"/>
              </w:rPr>
              <w:t>-57 560</w:t>
            </w:r>
          </w:p>
        </w:tc>
        <w:tc>
          <w:tcPr>
            <w:tcW w:w="850" w:type="dxa"/>
            <w:tcBorders>
              <w:top w:val="nil"/>
              <w:left w:val="nil"/>
              <w:bottom w:val="nil"/>
              <w:right w:val="nil"/>
            </w:tcBorders>
            <w:shd w:val="clear" w:color="000000" w:fill="FFFFFF"/>
            <w:vAlign w:val="center"/>
            <w:hideMark/>
          </w:tcPr>
          <w:p w14:paraId="52A870EC" w14:textId="77777777" w:rsidR="00E62ABF" w:rsidRPr="001E1E5F" w:rsidRDefault="00E62ABF" w:rsidP="00E62ABF">
            <w:pPr>
              <w:spacing w:after="0" w:line="240" w:lineRule="auto"/>
              <w:jc w:val="right"/>
              <w:rPr>
                <w:rFonts w:eastAsia="Times New Roman" w:cs="Times New Roman"/>
                <w:bCs/>
                <w:color w:val="000000"/>
                <w:sz w:val="18"/>
                <w:szCs w:val="18"/>
                <w:lang w:eastAsia="sk-SK"/>
              </w:rPr>
            </w:pPr>
            <w:r w:rsidRPr="001E1E5F">
              <w:rPr>
                <w:rFonts w:eastAsia="Times New Roman" w:cs="Times New Roman"/>
                <w:bCs/>
                <w:color w:val="000000"/>
                <w:sz w:val="18"/>
                <w:szCs w:val="18"/>
                <w:lang w:eastAsia="sk-SK"/>
              </w:rPr>
              <w:t>-33,09</w:t>
            </w:r>
          </w:p>
        </w:tc>
      </w:tr>
      <w:tr w:rsidR="005469A6" w:rsidRPr="00E62ABF" w14:paraId="2B0CFFCA" w14:textId="77777777" w:rsidTr="008D18AA">
        <w:trPr>
          <w:trHeight w:val="300"/>
        </w:trPr>
        <w:tc>
          <w:tcPr>
            <w:tcW w:w="3002" w:type="dxa"/>
            <w:tcBorders>
              <w:top w:val="nil"/>
              <w:left w:val="nil"/>
              <w:bottom w:val="nil"/>
              <w:right w:val="nil"/>
            </w:tcBorders>
            <w:shd w:val="clear" w:color="auto" w:fill="auto"/>
            <w:vAlign w:val="center"/>
            <w:hideMark/>
          </w:tcPr>
          <w:p w14:paraId="770B29B0" w14:textId="77777777" w:rsidR="00E62ABF" w:rsidRPr="00E62ABF" w:rsidRDefault="00E62ABF" w:rsidP="00E62ABF">
            <w:pPr>
              <w:spacing w:after="0" w:line="240" w:lineRule="auto"/>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Kapitálové transfery</w:t>
            </w:r>
          </w:p>
        </w:tc>
        <w:tc>
          <w:tcPr>
            <w:tcW w:w="992" w:type="dxa"/>
            <w:tcBorders>
              <w:top w:val="nil"/>
              <w:left w:val="nil"/>
              <w:bottom w:val="nil"/>
              <w:right w:val="nil"/>
            </w:tcBorders>
            <w:shd w:val="clear" w:color="auto" w:fill="auto"/>
            <w:noWrap/>
            <w:vAlign w:val="center"/>
            <w:hideMark/>
          </w:tcPr>
          <w:p w14:paraId="024B47FE" w14:textId="77777777" w:rsidR="00E62ABF" w:rsidRPr="00E62ABF" w:rsidRDefault="00E62ABF" w:rsidP="00E62ABF">
            <w:pPr>
              <w:spacing w:after="0" w:line="240" w:lineRule="auto"/>
              <w:jc w:val="right"/>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1 209 856</w:t>
            </w:r>
          </w:p>
        </w:tc>
        <w:tc>
          <w:tcPr>
            <w:tcW w:w="992" w:type="dxa"/>
            <w:tcBorders>
              <w:top w:val="nil"/>
              <w:left w:val="nil"/>
              <w:bottom w:val="nil"/>
              <w:right w:val="nil"/>
            </w:tcBorders>
            <w:shd w:val="clear" w:color="auto" w:fill="auto"/>
            <w:noWrap/>
            <w:vAlign w:val="center"/>
            <w:hideMark/>
          </w:tcPr>
          <w:p w14:paraId="1D1582EA" w14:textId="77777777" w:rsidR="00E62ABF" w:rsidRPr="00E62ABF" w:rsidRDefault="00E62ABF" w:rsidP="00E62ABF">
            <w:pPr>
              <w:spacing w:after="0" w:line="240" w:lineRule="auto"/>
              <w:jc w:val="right"/>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947 164</w:t>
            </w:r>
          </w:p>
        </w:tc>
        <w:tc>
          <w:tcPr>
            <w:tcW w:w="993" w:type="dxa"/>
            <w:tcBorders>
              <w:top w:val="nil"/>
              <w:left w:val="nil"/>
              <w:bottom w:val="nil"/>
              <w:right w:val="nil"/>
            </w:tcBorders>
            <w:shd w:val="clear" w:color="000000" w:fill="FFFFFF"/>
            <w:noWrap/>
            <w:vAlign w:val="center"/>
            <w:hideMark/>
          </w:tcPr>
          <w:p w14:paraId="5D4C01DB" w14:textId="77777777" w:rsidR="00E62ABF" w:rsidRPr="00E62ABF" w:rsidRDefault="00E62ABF" w:rsidP="00E62ABF">
            <w:pPr>
              <w:spacing w:after="0" w:line="240" w:lineRule="auto"/>
              <w:jc w:val="right"/>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688 198</w:t>
            </w:r>
          </w:p>
        </w:tc>
        <w:tc>
          <w:tcPr>
            <w:tcW w:w="1134" w:type="dxa"/>
            <w:tcBorders>
              <w:top w:val="nil"/>
              <w:left w:val="nil"/>
              <w:bottom w:val="nil"/>
              <w:right w:val="nil"/>
            </w:tcBorders>
            <w:shd w:val="clear" w:color="000000" w:fill="BFBFBF"/>
            <w:noWrap/>
            <w:vAlign w:val="center"/>
            <w:hideMark/>
          </w:tcPr>
          <w:p w14:paraId="47F01DE7" w14:textId="77777777" w:rsidR="00E62ABF" w:rsidRPr="00E62ABF" w:rsidRDefault="00E62ABF" w:rsidP="00E62ABF">
            <w:pPr>
              <w:spacing w:after="0" w:line="240" w:lineRule="auto"/>
              <w:jc w:val="right"/>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1 681 176</w:t>
            </w:r>
          </w:p>
        </w:tc>
        <w:tc>
          <w:tcPr>
            <w:tcW w:w="992" w:type="dxa"/>
            <w:tcBorders>
              <w:top w:val="nil"/>
              <w:left w:val="nil"/>
              <w:bottom w:val="nil"/>
              <w:right w:val="nil"/>
            </w:tcBorders>
            <w:shd w:val="clear" w:color="000000" w:fill="FFFFFF"/>
            <w:vAlign w:val="center"/>
            <w:hideMark/>
          </w:tcPr>
          <w:p w14:paraId="61B7FD9C" w14:textId="77777777" w:rsidR="00E62ABF" w:rsidRPr="00E62ABF" w:rsidRDefault="00E62ABF" w:rsidP="00E62ABF">
            <w:pPr>
              <w:spacing w:after="0" w:line="240" w:lineRule="auto"/>
              <w:jc w:val="right"/>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992 978</w:t>
            </w:r>
          </w:p>
        </w:tc>
        <w:tc>
          <w:tcPr>
            <w:tcW w:w="850" w:type="dxa"/>
            <w:tcBorders>
              <w:top w:val="nil"/>
              <w:left w:val="nil"/>
              <w:bottom w:val="nil"/>
              <w:right w:val="nil"/>
            </w:tcBorders>
            <w:shd w:val="clear" w:color="000000" w:fill="FFFFFF"/>
            <w:vAlign w:val="center"/>
            <w:hideMark/>
          </w:tcPr>
          <w:p w14:paraId="6A892994" w14:textId="77777777" w:rsidR="00E62ABF" w:rsidRPr="00E62ABF" w:rsidRDefault="00E62ABF" w:rsidP="00E62ABF">
            <w:pPr>
              <w:spacing w:after="0" w:line="240" w:lineRule="auto"/>
              <w:jc w:val="right"/>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144,29</w:t>
            </w:r>
          </w:p>
        </w:tc>
      </w:tr>
      <w:tr w:rsidR="005469A6" w:rsidRPr="001E1E5F" w14:paraId="448DCCB2" w14:textId="77777777" w:rsidTr="008D18AA">
        <w:trPr>
          <w:trHeight w:val="300"/>
        </w:trPr>
        <w:tc>
          <w:tcPr>
            <w:tcW w:w="3002" w:type="dxa"/>
            <w:tcBorders>
              <w:top w:val="nil"/>
              <w:left w:val="nil"/>
              <w:bottom w:val="nil"/>
              <w:right w:val="nil"/>
            </w:tcBorders>
            <w:shd w:val="clear" w:color="auto" w:fill="auto"/>
            <w:vAlign w:val="center"/>
            <w:hideMark/>
          </w:tcPr>
          <w:p w14:paraId="2CBDA6E0" w14:textId="77777777" w:rsidR="00E62ABF" w:rsidRPr="00E62ABF" w:rsidRDefault="00E62ABF" w:rsidP="00E62ABF">
            <w:pPr>
              <w:spacing w:after="0" w:line="240" w:lineRule="auto"/>
              <w:jc w:val="left"/>
              <w:rPr>
                <w:rFonts w:eastAsia="Times New Roman" w:cs="Times New Roman"/>
                <w:color w:val="000000"/>
                <w:sz w:val="18"/>
                <w:szCs w:val="18"/>
                <w:lang w:eastAsia="sk-SK"/>
              </w:rPr>
            </w:pPr>
            <w:r w:rsidRPr="00E62ABF">
              <w:rPr>
                <w:rFonts w:eastAsia="Times New Roman" w:cs="Times New Roman"/>
                <w:color w:val="000000"/>
                <w:sz w:val="18"/>
                <w:szCs w:val="18"/>
                <w:lang w:eastAsia="sk-SK"/>
              </w:rPr>
              <w:t>v rámci verejnej správy</w:t>
            </w:r>
          </w:p>
        </w:tc>
        <w:tc>
          <w:tcPr>
            <w:tcW w:w="992" w:type="dxa"/>
            <w:tcBorders>
              <w:top w:val="nil"/>
              <w:left w:val="nil"/>
              <w:bottom w:val="nil"/>
              <w:right w:val="nil"/>
            </w:tcBorders>
            <w:shd w:val="clear" w:color="auto" w:fill="auto"/>
            <w:noWrap/>
            <w:vAlign w:val="center"/>
            <w:hideMark/>
          </w:tcPr>
          <w:p w14:paraId="02B7A596" w14:textId="77777777" w:rsidR="00E62ABF" w:rsidRPr="00E62ABF" w:rsidRDefault="00E62ABF" w:rsidP="00E62ABF">
            <w:pPr>
              <w:spacing w:after="0" w:line="240" w:lineRule="auto"/>
              <w:jc w:val="right"/>
              <w:rPr>
                <w:rFonts w:eastAsia="Times New Roman" w:cs="Times New Roman"/>
                <w:color w:val="000000"/>
                <w:sz w:val="18"/>
                <w:szCs w:val="18"/>
                <w:lang w:eastAsia="sk-SK"/>
              </w:rPr>
            </w:pPr>
            <w:r w:rsidRPr="00E62ABF">
              <w:rPr>
                <w:rFonts w:eastAsia="Times New Roman" w:cs="Times New Roman"/>
                <w:color w:val="000000"/>
                <w:sz w:val="18"/>
                <w:szCs w:val="18"/>
                <w:lang w:eastAsia="sk-SK"/>
              </w:rPr>
              <w:t>810 993</w:t>
            </w:r>
          </w:p>
        </w:tc>
        <w:tc>
          <w:tcPr>
            <w:tcW w:w="992" w:type="dxa"/>
            <w:tcBorders>
              <w:top w:val="nil"/>
              <w:left w:val="nil"/>
              <w:bottom w:val="nil"/>
              <w:right w:val="nil"/>
            </w:tcBorders>
            <w:shd w:val="clear" w:color="auto" w:fill="auto"/>
            <w:noWrap/>
            <w:vAlign w:val="center"/>
            <w:hideMark/>
          </w:tcPr>
          <w:p w14:paraId="5A582689" w14:textId="77777777" w:rsidR="00E62ABF" w:rsidRPr="00E62ABF" w:rsidRDefault="00E62ABF" w:rsidP="00E62ABF">
            <w:pPr>
              <w:spacing w:after="0" w:line="240" w:lineRule="auto"/>
              <w:jc w:val="right"/>
              <w:rPr>
                <w:rFonts w:eastAsia="Times New Roman" w:cs="Times New Roman"/>
                <w:color w:val="000000"/>
                <w:sz w:val="18"/>
                <w:szCs w:val="18"/>
                <w:lang w:eastAsia="sk-SK"/>
              </w:rPr>
            </w:pPr>
            <w:r w:rsidRPr="00E62ABF">
              <w:rPr>
                <w:rFonts w:eastAsia="Times New Roman" w:cs="Times New Roman"/>
                <w:color w:val="000000"/>
                <w:sz w:val="18"/>
                <w:szCs w:val="18"/>
                <w:lang w:eastAsia="sk-SK"/>
              </w:rPr>
              <w:t>734 040</w:t>
            </w:r>
          </w:p>
        </w:tc>
        <w:tc>
          <w:tcPr>
            <w:tcW w:w="993" w:type="dxa"/>
            <w:tcBorders>
              <w:top w:val="nil"/>
              <w:left w:val="nil"/>
              <w:bottom w:val="nil"/>
              <w:right w:val="nil"/>
            </w:tcBorders>
            <w:shd w:val="clear" w:color="000000" w:fill="FFFFFF"/>
            <w:noWrap/>
            <w:vAlign w:val="center"/>
            <w:hideMark/>
          </w:tcPr>
          <w:p w14:paraId="02CB34B6" w14:textId="77777777" w:rsidR="00E62ABF" w:rsidRPr="00E62ABF" w:rsidRDefault="00E62ABF" w:rsidP="00E62ABF">
            <w:pPr>
              <w:spacing w:after="0" w:line="240" w:lineRule="auto"/>
              <w:jc w:val="right"/>
              <w:rPr>
                <w:rFonts w:eastAsia="Times New Roman" w:cs="Times New Roman"/>
                <w:color w:val="000000"/>
                <w:sz w:val="18"/>
                <w:szCs w:val="18"/>
                <w:lang w:eastAsia="sk-SK"/>
              </w:rPr>
            </w:pPr>
            <w:r w:rsidRPr="00E62ABF">
              <w:rPr>
                <w:rFonts w:eastAsia="Times New Roman" w:cs="Times New Roman"/>
                <w:color w:val="000000"/>
                <w:sz w:val="18"/>
                <w:szCs w:val="18"/>
                <w:lang w:eastAsia="sk-SK"/>
              </w:rPr>
              <w:t>291 885</w:t>
            </w:r>
          </w:p>
        </w:tc>
        <w:tc>
          <w:tcPr>
            <w:tcW w:w="1134" w:type="dxa"/>
            <w:tcBorders>
              <w:top w:val="nil"/>
              <w:left w:val="nil"/>
              <w:bottom w:val="nil"/>
              <w:right w:val="nil"/>
            </w:tcBorders>
            <w:shd w:val="clear" w:color="000000" w:fill="BFBFBF"/>
            <w:noWrap/>
            <w:vAlign w:val="center"/>
            <w:hideMark/>
          </w:tcPr>
          <w:p w14:paraId="48B1D38D" w14:textId="77777777" w:rsidR="00E62ABF" w:rsidRPr="00E62ABF" w:rsidRDefault="00E62ABF" w:rsidP="00E62ABF">
            <w:pPr>
              <w:spacing w:after="0" w:line="240" w:lineRule="auto"/>
              <w:jc w:val="right"/>
              <w:rPr>
                <w:rFonts w:eastAsia="Times New Roman" w:cs="Times New Roman"/>
                <w:color w:val="000000"/>
                <w:sz w:val="18"/>
                <w:szCs w:val="18"/>
                <w:lang w:eastAsia="sk-SK"/>
              </w:rPr>
            </w:pPr>
            <w:r w:rsidRPr="00E62ABF">
              <w:rPr>
                <w:rFonts w:eastAsia="Times New Roman" w:cs="Times New Roman"/>
                <w:color w:val="000000"/>
                <w:sz w:val="18"/>
                <w:szCs w:val="18"/>
                <w:lang w:eastAsia="sk-SK"/>
              </w:rPr>
              <w:t>1 319 259</w:t>
            </w:r>
          </w:p>
        </w:tc>
        <w:tc>
          <w:tcPr>
            <w:tcW w:w="992" w:type="dxa"/>
            <w:tcBorders>
              <w:top w:val="nil"/>
              <w:left w:val="nil"/>
              <w:bottom w:val="nil"/>
              <w:right w:val="nil"/>
            </w:tcBorders>
            <w:shd w:val="clear" w:color="000000" w:fill="FFFFFF"/>
            <w:vAlign w:val="center"/>
            <w:hideMark/>
          </w:tcPr>
          <w:p w14:paraId="690DB338" w14:textId="77777777" w:rsidR="00E62ABF" w:rsidRPr="001E1E5F" w:rsidRDefault="00E62ABF" w:rsidP="00E62ABF">
            <w:pPr>
              <w:spacing w:after="0" w:line="240" w:lineRule="auto"/>
              <w:jc w:val="right"/>
              <w:rPr>
                <w:rFonts w:eastAsia="Times New Roman" w:cs="Times New Roman"/>
                <w:bCs/>
                <w:color w:val="000000"/>
                <w:sz w:val="18"/>
                <w:szCs w:val="18"/>
                <w:lang w:eastAsia="sk-SK"/>
              </w:rPr>
            </w:pPr>
            <w:r w:rsidRPr="001E1E5F">
              <w:rPr>
                <w:rFonts w:eastAsia="Times New Roman" w:cs="Times New Roman"/>
                <w:bCs/>
                <w:color w:val="000000"/>
                <w:sz w:val="18"/>
                <w:szCs w:val="18"/>
                <w:lang w:eastAsia="sk-SK"/>
              </w:rPr>
              <w:t>1 027 374</w:t>
            </w:r>
          </w:p>
        </w:tc>
        <w:tc>
          <w:tcPr>
            <w:tcW w:w="850" w:type="dxa"/>
            <w:tcBorders>
              <w:top w:val="nil"/>
              <w:left w:val="nil"/>
              <w:bottom w:val="nil"/>
              <w:right w:val="nil"/>
            </w:tcBorders>
            <w:shd w:val="clear" w:color="000000" w:fill="FFFFFF"/>
            <w:vAlign w:val="center"/>
            <w:hideMark/>
          </w:tcPr>
          <w:p w14:paraId="4DA16ADF" w14:textId="77777777" w:rsidR="00E62ABF" w:rsidRPr="001E1E5F" w:rsidRDefault="00E62ABF" w:rsidP="00E62ABF">
            <w:pPr>
              <w:spacing w:after="0" w:line="240" w:lineRule="auto"/>
              <w:jc w:val="right"/>
              <w:rPr>
                <w:rFonts w:eastAsia="Times New Roman" w:cs="Times New Roman"/>
                <w:bCs/>
                <w:color w:val="000000"/>
                <w:sz w:val="18"/>
                <w:szCs w:val="18"/>
                <w:lang w:eastAsia="sk-SK"/>
              </w:rPr>
            </w:pPr>
            <w:r w:rsidRPr="001E1E5F">
              <w:rPr>
                <w:rFonts w:eastAsia="Times New Roman" w:cs="Times New Roman"/>
                <w:bCs/>
                <w:color w:val="000000"/>
                <w:sz w:val="18"/>
                <w:szCs w:val="18"/>
                <w:lang w:eastAsia="sk-SK"/>
              </w:rPr>
              <w:t>351,98</w:t>
            </w:r>
          </w:p>
        </w:tc>
      </w:tr>
      <w:tr w:rsidR="005469A6" w:rsidRPr="001E1E5F" w14:paraId="1F14C7C2" w14:textId="77777777" w:rsidTr="008D18AA">
        <w:trPr>
          <w:trHeight w:val="480"/>
        </w:trPr>
        <w:tc>
          <w:tcPr>
            <w:tcW w:w="3002" w:type="dxa"/>
            <w:tcBorders>
              <w:top w:val="nil"/>
              <w:left w:val="nil"/>
              <w:bottom w:val="nil"/>
              <w:right w:val="nil"/>
            </w:tcBorders>
            <w:shd w:val="clear" w:color="auto" w:fill="auto"/>
            <w:vAlign w:val="center"/>
            <w:hideMark/>
          </w:tcPr>
          <w:p w14:paraId="0EF2A0C8" w14:textId="77777777" w:rsidR="00E62ABF" w:rsidRPr="00E62ABF" w:rsidRDefault="00E62ABF" w:rsidP="00E62ABF">
            <w:pPr>
              <w:spacing w:after="0" w:line="240" w:lineRule="auto"/>
              <w:jc w:val="left"/>
              <w:rPr>
                <w:rFonts w:eastAsia="Times New Roman" w:cs="Times New Roman"/>
                <w:color w:val="000000"/>
                <w:sz w:val="18"/>
                <w:szCs w:val="18"/>
                <w:lang w:eastAsia="sk-SK"/>
              </w:rPr>
            </w:pPr>
            <w:proofErr w:type="spellStart"/>
            <w:r w:rsidRPr="00E62ABF">
              <w:rPr>
                <w:rFonts w:eastAsia="Times New Roman" w:cs="Times New Roman"/>
                <w:color w:val="000000"/>
                <w:sz w:val="18"/>
                <w:szCs w:val="18"/>
                <w:lang w:eastAsia="sk-SK"/>
              </w:rPr>
              <w:t>nefin</w:t>
            </w:r>
            <w:proofErr w:type="spellEnd"/>
            <w:r w:rsidRPr="00E62ABF">
              <w:rPr>
                <w:rFonts w:eastAsia="Times New Roman" w:cs="Times New Roman"/>
                <w:color w:val="000000"/>
                <w:sz w:val="18"/>
                <w:szCs w:val="18"/>
                <w:lang w:eastAsia="sk-SK"/>
              </w:rPr>
              <w:t>. subjektom a PO, nezaradeným vo verejnej správe</w:t>
            </w:r>
          </w:p>
        </w:tc>
        <w:tc>
          <w:tcPr>
            <w:tcW w:w="992" w:type="dxa"/>
            <w:tcBorders>
              <w:top w:val="nil"/>
              <w:left w:val="nil"/>
              <w:bottom w:val="nil"/>
              <w:right w:val="nil"/>
            </w:tcBorders>
            <w:shd w:val="clear" w:color="auto" w:fill="auto"/>
            <w:noWrap/>
            <w:vAlign w:val="center"/>
            <w:hideMark/>
          </w:tcPr>
          <w:p w14:paraId="0D0EE383" w14:textId="77777777" w:rsidR="00E62ABF" w:rsidRPr="00E62ABF" w:rsidRDefault="00E62ABF" w:rsidP="00E62ABF">
            <w:pPr>
              <w:spacing w:after="0" w:line="240" w:lineRule="auto"/>
              <w:jc w:val="right"/>
              <w:rPr>
                <w:rFonts w:eastAsia="Times New Roman" w:cs="Times New Roman"/>
                <w:color w:val="000000"/>
                <w:sz w:val="18"/>
                <w:szCs w:val="18"/>
                <w:lang w:eastAsia="sk-SK"/>
              </w:rPr>
            </w:pPr>
            <w:r w:rsidRPr="00E62ABF">
              <w:rPr>
                <w:rFonts w:eastAsia="Times New Roman" w:cs="Times New Roman"/>
                <w:color w:val="000000"/>
                <w:sz w:val="18"/>
                <w:szCs w:val="18"/>
                <w:lang w:eastAsia="sk-SK"/>
              </w:rPr>
              <w:t>350 655</w:t>
            </w:r>
          </w:p>
        </w:tc>
        <w:tc>
          <w:tcPr>
            <w:tcW w:w="992" w:type="dxa"/>
            <w:tcBorders>
              <w:top w:val="nil"/>
              <w:left w:val="nil"/>
              <w:bottom w:val="nil"/>
              <w:right w:val="nil"/>
            </w:tcBorders>
            <w:shd w:val="clear" w:color="auto" w:fill="auto"/>
            <w:noWrap/>
            <w:vAlign w:val="center"/>
            <w:hideMark/>
          </w:tcPr>
          <w:p w14:paraId="0F3ADDAD" w14:textId="77777777" w:rsidR="00E62ABF" w:rsidRPr="00E62ABF" w:rsidRDefault="00E62ABF" w:rsidP="00E62ABF">
            <w:pPr>
              <w:spacing w:after="0" w:line="240" w:lineRule="auto"/>
              <w:jc w:val="right"/>
              <w:rPr>
                <w:rFonts w:eastAsia="Times New Roman" w:cs="Times New Roman"/>
                <w:color w:val="000000"/>
                <w:sz w:val="18"/>
                <w:szCs w:val="18"/>
                <w:lang w:eastAsia="sk-SK"/>
              </w:rPr>
            </w:pPr>
            <w:r w:rsidRPr="00E62ABF">
              <w:rPr>
                <w:rFonts w:eastAsia="Times New Roman" w:cs="Times New Roman"/>
                <w:color w:val="000000"/>
                <w:sz w:val="18"/>
                <w:szCs w:val="18"/>
                <w:lang w:eastAsia="sk-SK"/>
              </w:rPr>
              <w:t>177 324</w:t>
            </w:r>
          </w:p>
        </w:tc>
        <w:tc>
          <w:tcPr>
            <w:tcW w:w="993" w:type="dxa"/>
            <w:tcBorders>
              <w:top w:val="nil"/>
              <w:left w:val="nil"/>
              <w:bottom w:val="nil"/>
              <w:right w:val="nil"/>
            </w:tcBorders>
            <w:shd w:val="clear" w:color="000000" w:fill="FFFFFF"/>
            <w:noWrap/>
            <w:vAlign w:val="center"/>
            <w:hideMark/>
          </w:tcPr>
          <w:p w14:paraId="6056FB74" w14:textId="77777777" w:rsidR="00E62ABF" w:rsidRPr="00E62ABF" w:rsidRDefault="00E62ABF" w:rsidP="00E62ABF">
            <w:pPr>
              <w:spacing w:after="0" w:line="240" w:lineRule="auto"/>
              <w:jc w:val="right"/>
              <w:rPr>
                <w:rFonts w:eastAsia="Times New Roman" w:cs="Times New Roman"/>
                <w:color w:val="000000"/>
                <w:sz w:val="18"/>
                <w:szCs w:val="18"/>
                <w:lang w:eastAsia="sk-SK"/>
              </w:rPr>
            </w:pPr>
            <w:r w:rsidRPr="00E62ABF">
              <w:rPr>
                <w:rFonts w:eastAsia="Times New Roman" w:cs="Times New Roman"/>
                <w:color w:val="000000"/>
                <w:sz w:val="18"/>
                <w:szCs w:val="18"/>
                <w:lang w:eastAsia="sk-SK"/>
              </w:rPr>
              <w:t>349 483</w:t>
            </w:r>
          </w:p>
        </w:tc>
        <w:tc>
          <w:tcPr>
            <w:tcW w:w="1134" w:type="dxa"/>
            <w:tcBorders>
              <w:top w:val="nil"/>
              <w:left w:val="nil"/>
              <w:bottom w:val="nil"/>
              <w:right w:val="nil"/>
            </w:tcBorders>
            <w:shd w:val="clear" w:color="000000" w:fill="BFBFBF"/>
            <w:noWrap/>
            <w:vAlign w:val="center"/>
            <w:hideMark/>
          </w:tcPr>
          <w:p w14:paraId="03F98788" w14:textId="77777777" w:rsidR="00E62ABF" w:rsidRPr="00E62ABF" w:rsidRDefault="00E62ABF" w:rsidP="00E62ABF">
            <w:pPr>
              <w:spacing w:after="0" w:line="240" w:lineRule="auto"/>
              <w:jc w:val="right"/>
              <w:rPr>
                <w:rFonts w:eastAsia="Times New Roman" w:cs="Times New Roman"/>
                <w:color w:val="000000"/>
                <w:sz w:val="18"/>
                <w:szCs w:val="18"/>
                <w:lang w:eastAsia="sk-SK"/>
              </w:rPr>
            </w:pPr>
            <w:r w:rsidRPr="00E62ABF">
              <w:rPr>
                <w:rFonts w:eastAsia="Times New Roman" w:cs="Times New Roman"/>
                <w:color w:val="000000"/>
                <w:sz w:val="18"/>
                <w:szCs w:val="18"/>
                <w:lang w:eastAsia="sk-SK"/>
              </w:rPr>
              <w:t>331 578</w:t>
            </w:r>
          </w:p>
        </w:tc>
        <w:tc>
          <w:tcPr>
            <w:tcW w:w="992" w:type="dxa"/>
            <w:tcBorders>
              <w:top w:val="nil"/>
              <w:left w:val="nil"/>
              <w:bottom w:val="nil"/>
              <w:right w:val="nil"/>
            </w:tcBorders>
            <w:shd w:val="clear" w:color="000000" w:fill="FFFFFF"/>
            <w:vAlign w:val="center"/>
            <w:hideMark/>
          </w:tcPr>
          <w:p w14:paraId="16D11F96" w14:textId="77777777" w:rsidR="00E62ABF" w:rsidRPr="001E1E5F" w:rsidRDefault="00E62ABF" w:rsidP="00E62ABF">
            <w:pPr>
              <w:spacing w:after="0" w:line="240" w:lineRule="auto"/>
              <w:jc w:val="right"/>
              <w:rPr>
                <w:rFonts w:eastAsia="Times New Roman" w:cs="Times New Roman"/>
                <w:bCs/>
                <w:color w:val="000000"/>
                <w:sz w:val="18"/>
                <w:szCs w:val="18"/>
                <w:lang w:eastAsia="sk-SK"/>
              </w:rPr>
            </w:pPr>
            <w:r w:rsidRPr="001E1E5F">
              <w:rPr>
                <w:rFonts w:eastAsia="Times New Roman" w:cs="Times New Roman"/>
                <w:bCs/>
                <w:color w:val="000000"/>
                <w:sz w:val="18"/>
                <w:szCs w:val="18"/>
                <w:lang w:eastAsia="sk-SK"/>
              </w:rPr>
              <w:t>-17 905</w:t>
            </w:r>
          </w:p>
        </w:tc>
        <w:tc>
          <w:tcPr>
            <w:tcW w:w="850" w:type="dxa"/>
            <w:tcBorders>
              <w:top w:val="nil"/>
              <w:left w:val="nil"/>
              <w:bottom w:val="nil"/>
              <w:right w:val="nil"/>
            </w:tcBorders>
            <w:shd w:val="clear" w:color="000000" w:fill="FFFFFF"/>
            <w:vAlign w:val="center"/>
            <w:hideMark/>
          </w:tcPr>
          <w:p w14:paraId="6FB5734A" w14:textId="77777777" w:rsidR="00E62ABF" w:rsidRPr="001E1E5F" w:rsidRDefault="00E62ABF" w:rsidP="00E62ABF">
            <w:pPr>
              <w:spacing w:after="0" w:line="240" w:lineRule="auto"/>
              <w:jc w:val="right"/>
              <w:rPr>
                <w:rFonts w:eastAsia="Times New Roman" w:cs="Times New Roman"/>
                <w:bCs/>
                <w:color w:val="000000"/>
                <w:sz w:val="18"/>
                <w:szCs w:val="18"/>
                <w:lang w:eastAsia="sk-SK"/>
              </w:rPr>
            </w:pPr>
            <w:r w:rsidRPr="001E1E5F">
              <w:rPr>
                <w:rFonts w:eastAsia="Times New Roman" w:cs="Times New Roman"/>
                <w:bCs/>
                <w:color w:val="000000"/>
                <w:sz w:val="18"/>
                <w:szCs w:val="18"/>
                <w:lang w:eastAsia="sk-SK"/>
              </w:rPr>
              <w:t>-5,12</w:t>
            </w:r>
          </w:p>
        </w:tc>
      </w:tr>
      <w:tr w:rsidR="0045434A" w:rsidRPr="001E1E5F" w14:paraId="52B90196" w14:textId="77777777" w:rsidTr="008D18AA">
        <w:trPr>
          <w:trHeight w:val="480"/>
        </w:trPr>
        <w:tc>
          <w:tcPr>
            <w:tcW w:w="3002" w:type="dxa"/>
            <w:tcBorders>
              <w:top w:val="nil"/>
              <w:left w:val="nil"/>
              <w:bottom w:val="nil"/>
              <w:right w:val="nil"/>
            </w:tcBorders>
            <w:shd w:val="clear" w:color="auto" w:fill="auto"/>
            <w:vAlign w:val="center"/>
            <w:hideMark/>
          </w:tcPr>
          <w:p w14:paraId="2191DFFB" w14:textId="77777777" w:rsidR="0045434A" w:rsidRPr="00E62ABF" w:rsidRDefault="0045434A" w:rsidP="009B05B3">
            <w:pPr>
              <w:spacing w:after="0" w:line="240" w:lineRule="auto"/>
              <w:jc w:val="left"/>
              <w:rPr>
                <w:rFonts w:eastAsia="Times New Roman" w:cs="Times New Roman"/>
                <w:color w:val="000000"/>
                <w:sz w:val="18"/>
                <w:szCs w:val="18"/>
                <w:lang w:eastAsia="sk-SK"/>
              </w:rPr>
            </w:pPr>
            <w:r w:rsidRPr="00E62ABF">
              <w:rPr>
                <w:rFonts w:eastAsia="Times New Roman" w:cs="Times New Roman"/>
                <w:color w:val="000000"/>
                <w:sz w:val="18"/>
                <w:szCs w:val="18"/>
                <w:lang w:eastAsia="sk-SK"/>
              </w:rPr>
              <w:t>jednotlivcom a neziskovým právnickým osobám</w:t>
            </w:r>
          </w:p>
        </w:tc>
        <w:tc>
          <w:tcPr>
            <w:tcW w:w="992" w:type="dxa"/>
            <w:tcBorders>
              <w:top w:val="nil"/>
              <w:left w:val="nil"/>
              <w:bottom w:val="nil"/>
              <w:right w:val="nil"/>
            </w:tcBorders>
            <w:shd w:val="clear" w:color="auto" w:fill="auto"/>
            <w:noWrap/>
            <w:vAlign w:val="center"/>
            <w:hideMark/>
          </w:tcPr>
          <w:p w14:paraId="744A529C" w14:textId="77777777" w:rsidR="0045434A" w:rsidRPr="00E62ABF" w:rsidRDefault="0045434A" w:rsidP="009B05B3">
            <w:pPr>
              <w:spacing w:after="0" w:line="240" w:lineRule="auto"/>
              <w:jc w:val="right"/>
              <w:rPr>
                <w:rFonts w:eastAsia="Times New Roman" w:cs="Times New Roman"/>
                <w:color w:val="000000"/>
                <w:sz w:val="18"/>
                <w:szCs w:val="18"/>
                <w:lang w:eastAsia="sk-SK"/>
              </w:rPr>
            </w:pPr>
            <w:r w:rsidRPr="00E62ABF">
              <w:rPr>
                <w:rFonts w:eastAsia="Times New Roman" w:cs="Times New Roman"/>
                <w:color w:val="000000"/>
                <w:sz w:val="18"/>
                <w:szCs w:val="18"/>
                <w:lang w:eastAsia="sk-SK"/>
              </w:rPr>
              <w:t>15 570</w:t>
            </w:r>
          </w:p>
        </w:tc>
        <w:tc>
          <w:tcPr>
            <w:tcW w:w="992" w:type="dxa"/>
            <w:tcBorders>
              <w:top w:val="nil"/>
              <w:left w:val="nil"/>
              <w:bottom w:val="nil"/>
              <w:right w:val="nil"/>
            </w:tcBorders>
            <w:shd w:val="clear" w:color="auto" w:fill="auto"/>
            <w:noWrap/>
            <w:vAlign w:val="center"/>
            <w:hideMark/>
          </w:tcPr>
          <w:p w14:paraId="62500DE0" w14:textId="77777777" w:rsidR="0045434A" w:rsidRPr="00E62ABF" w:rsidRDefault="0045434A" w:rsidP="009B05B3">
            <w:pPr>
              <w:spacing w:after="0" w:line="240" w:lineRule="auto"/>
              <w:jc w:val="right"/>
              <w:rPr>
                <w:rFonts w:eastAsia="Times New Roman" w:cs="Times New Roman"/>
                <w:color w:val="000000"/>
                <w:sz w:val="18"/>
                <w:szCs w:val="18"/>
                <w:lang w:eastAsia="sk-SK"/>
              </w:rPr>
            </w:pPr>
            <w:r w:rsidRPr="00E62ABF">
              <w:rPr>
                <w:rFonts w:eastAsia="Times New Roman" w:cs="Times New Roman"/>
                <w:color w:val="000000"/>
                <w:sz w:val="18"/>
                <w:szCs w:val="18"/>
                <w:lang w:eastAsia="sk-SK"/>
              </w:rPr>
              <w:t>35 049</w:t>
            </w:r>
          </w:p>
        </w:tc>
        <w:tc>
          <w:tcPr>
            <w:tcW w:w="993" w:type="dxa"/>
            <w:tcBorders>
              <w:top w:val="nil"/>
              <w:left w:val="nil"/>
              <w:bottom w:val="nil"/>
              <w:right w:val="nil"/>
            </w:tcBorders>
            <w:shd w:val="clear" w:color="000000" w:fill="FFFFFF"/>
            <w:noWrap/>
            <w:vAlign w:val="center"/>
            <w:hideMark/>
          </w:tcPr>
          <w:p w14:paraId="34313719" w14:textId="77777777" w:rsidR="0045434A" w:rsidRPr="00E62ABF" w:rsidRDefault="0045434A" w:rsidP="009B05B3">
            <w:pPr>
              <w:spacing w:after="0" w:line="240" w:lineRule="auto"/>
              <w:jc w:val="right"/>
              <w:rPr>
                <w:rFonts w:eastAsia="Times New Roman" w:cs="Times New Roman"/>
                <w:color w:val="000000"/>
                <w:sz w:val="18"/>
                <w:szCs w:val="18"/>
                <w:lang w:eastAsia="sk-SK"/>
              </w:rPr>
            </w:pPr>
            <w:r w:rsidRPr="00E62ABF">
              <w:rPr>
                <w:rFonts w:eastAsia="Times New Roman" w:cs="Times New Roman"/>
                <w:color w:val="000000"/>
                <w:sz w:val="18"/>
                <w:szCs w:val="18"/>
                <w:lang w:eastAsia="sk-SK"/>
              </w:rPr>
              <w:t>46 830</w:t>
            </w:r>
          </w:p>
        </w:tc>
        <w:tc>
          <w:tcPr>
            <w:tcW w:w="1134" w:type="dxa"/>
            <w:tcBorders>
              <w:top w:val="nil"/>
              <w:left w:val="nil"/>
              <w:bottom w:val="nil"/>
              <w:right w:val="nil"/>
            </w:tcBorders>
            <w:shd w:val="clear" w:color="000000" w:fill="BFBFBF"/>
            <w:noWrap/>
            <w:vAlign w:val="center"/>
            <w:hideMark/>
          </w:tcPr>
          <w:p w14:paraId="5F1B8310" w14:textId="77777777" w:rsidR="0045434A" w:rsidRPr="00E62ABF" w:rsidRDefault="0045434A" w:rsidP="009B05B3">
            <w:pPr>
              <w:spacing w:after="0" w:line="240" w:lineRule="auto"/>
              <w:jc w:val="right"/>
              <w:rPr>
                <w:rFonts w:eastAsia="Times New Roman" w:cs="Times New Roman"/>
                <w:color w:val="000000"/>
                <w:sz w:val="18"/>
                <w:szCs w:val="18"/>
                <w:lang w:eastAsia="sk-SK"/>
              </w:rPr>
            </w:pPr>
            <w:r w:rsidRPr="00E62ABF">
              <w:rPr>
                <w:rFonts w:eastAsia="Times New Roman" w:cs="Times New Roman"/>
                <w:color w:val="000000"/>
                <w:sz w:val="18"/>
                <w:szCs w:val="18"/>
                <w:lang w:eastAsia="sk-SK"/>
              </w:rPr>
              <w:t>22 417</w:t>
            </w:r>
          </w:p>
        </w:tc>
        <w:tc>
          <w:tcPr>
            <w:tcW w:w="992" w:type="dxa"/>
            <w:tcBorders>
              <w:top w:val="nil"/>
              <w:left w:val="nil"/>
              <w:bottom w:val="nil"/>
              <w:right w:val="nil"/>
            </w:tcBorders>
            <w:shd w:val="clear" w:color="000000" w:fill="FFFFFF"/>
            <w:vAlign w:val="center"/>
            <w:hideMark/>
          </w:tcPr>
          <w:p w14:paraId="3D7FD381" w14:textId="77777777" w:rsidR="0045434A" w:rsidRPr="001E1E5F" w:rsidRDefault="0045434A" w:rsidP="009B05B3">
            <w:pPr>
              <w:spacing w:after="0" w:line="240" w:lineRule="auto"/>
              <w:jc w:val="right"/>
              <w:rPr>
                <w:rFonts w:eastAsia="Times New Roman" w:cs="Times New Roman"/>
                <w:bCs/>
                <w:color w:val="000000"/>
                <w:sz w:val="18"/>
                <w:szCs w:val="18"/>
                <w:lang w:eastAsia="sk-SK"/>
              </w:rPr>
            </w:pPr>
            <w:r w:rsidRPr="001E1E5F">
              <w:rPr>
                <w:rFonts w:eastAsia="Times New Roman" w:cs="Times New Roman"/>
                <w:bCs/>
                <w:color w:val="000000"/>
                <w:sz w:val="18"/>
                <w:szCs w:val="18"/>
                <w:lang w:eastAsia="sk-SK"/>
              </w:rPr>
              <w:t>-24 413</w:t>
            </w:r>
          </w:p>
        </w:tc>
        <w:tc>
          <w:tcPr>
            <w:tcW w:w="850" w:type="dxa"/>
            <w:tcBorders>
              <w:top w:val="nil"/>
              <w:left w:val="nil"/>
              <w:bottom w:val="nil"/>
              <w:right w:val="nil"/>
            </w:tcBorders>
            <w:shd w:val="clear" w:color="000000" w:fill="FFFFFF"/>
            <w:vAlign w:val="center"/>
            <w:hideMark/>
          </w:tcPr>
          <w:p w14:paraId="6BE1DBC5" w14:textId="77777777" w:rsidR="0045434A" w:rsidRPr="001E1E5F" w:rsidRDefault="0045434A" w:rsidP="009B05B3">
            <w:pPr>
              <w:spacing w:after="0" w:line="240" w:lineRule="auto"/>
              <w:jc w:val="right"/>
              <w:rPr>
                <w:rFonts w:eastAsia="Times New Roman" w:cs="Times New Roman"/>
                <w:bCs/>
                <w:color w:val="000000"/>
                <w:sz w:val="18"/>
                <w:szCs w:val="18"/>
                <w:lang w:eastAsia="sk-SK"/>
              </w:rPr>
            </w:pPr>
            <w:r w:rsidRPr="001E1E5F">
              <w:rPr>
                <w:rFonts w:eastAsia="Times New Roman" w:cs="Times New Roman"/>
                <w:bCs/>
                <w:color w:val="000000"/>
                <w:sz w:val="18"/>
                <w:szCs w:val="18"/>
                <w:lang w:eastAsia="sk-SK"/>
              </w:rPr>
              <w:t>-52,13</w:t>
            </w:r>
          </w:p>
        </w:tc>
      </w:tr>
      <w:tr w:rsidR="0045434A" w:rsidRPr="001E1E5F" w14:paraId="1B53B980" w14:textId="77777777" w:rsidTr="008D18AA">
        <w:trPr>
          <w:trHeight w:val="300"/>
        </w:trPr>
        <w:tc>
          <w:tcPr>
            <w:tcW w:w="3002" w:type="dxa"/>
            <w:tcBorders>
              <w:top w:val="nil"/>
              <w:left w:val="nil"/>
              <w:bottom w:val="nil"/>
              <w:right w:val="nil"/>
            </w:tcBorders>
            <w:shd w:val="clear" w:color="auto" w:fill="auto"/>
            <w:vAlign w:val="center"/>
          </w:tcPr>
          <w:p w14:paraId="01BBEF21" w14:textId="3B801A5D" w:rsidR="0045434A" w:rsidRPr="00E62ABF" w:rsidRDefault="0045434A" w:rsidP="0045434A">
            <w:pPr>
              <w:spacing w:after="0" w:line="240" w:lineRule="auto"/>
              <w:jc w:val="left"/>
              <w:rPr>
                <w:rFonts w:eastAsia="Times New Roman" w:cs="Times New Roman"/>
                <w:color w:val="000000"/>
                <w:sz w:val="18"/>
                <w:szCs w:val="18"/>
                <w:lang w:eastAsia="sk-SK"/>
              </w:rPr>
            </w:pPr>
            <w:r w:rsidRPr="00E62ABF">
              <w:rPr>
                <w:rFonts w:eastAsia="Times New Roman" w:cs="Times New Roman"/>
                <w:color w:val="000000"/>
                <w:sz w:val="18"/>
                <w:szCs w:val="18"/>
                <w:lang w:eastAsia="sk-SK"/>
              </w:rPr>
              <w:t>transfery finančným inštitúciám</w:t>
            </w:r>
          </w:p>
        </w:tc>
        <w:tc>
          <w:tcPr>
            <w:tcW w:w="992" w:type="dxa"/>
            <w:tcBorders>
              <w:top w:val="nil"/>
              <w:left w:val="nil"/>
              <w:bottom w:val="nil"/>
              <w:right w:val="nil"/>
            </w:tcBorders>
            <w:shd w:val="clear" w:color="auto" w:fill="auto"/>
            <w:noWrap/>
            <w:vAlign w:val="center"/>
          </w:tcPr>
          <w:p w14:paraId="21D17445" w14:textId="3C8047B0" w:rsidR="0045434A" w:rsidRPr="00E62ABF" w:rsidRDefault="0045434A" w:rsidP="0045434A">
            <w:pPr>
              <w:spacing w:after="0" w:line="240" w:lineRule="auto"/>
              <w:jc w:val="right"/>
              <w:rPr>
                <w:rFonts w:eastAsia="Times New Roman" w:cs="Times New Roman"/>
                <w:color w:val="000000"/>
                <w:sz w:val="18"/>
                <w:szCs w:val="18"/>
                <w:lang w:eastAsia="sk-SK"/>
              </w:rPr>
            </w:pPr>
            <w:r w:rsidRPr="00E62ABF">
              <w:rPr>
                <w:rFonts w:eastAsia="Times New Roman" w:cs="Times New Roman"/>
                <w:color w:val="000000"/>
                <w:sz w:val="18"/>
                <w:szCs w:val="18"/>
                <w:lang w:eastAsia="sk-SK"/>
              </w:rPr>
              <w:t>31 080</w:t>
            </w:r>
          </w:p>
        </w:tc>
        <w:tc>
          <w:tcPr>
            <w:tcW w:w="992" w:type="dxa"/>
            <w:tcBorders>
              <w:top w:val="nil"/>
              <w:left w:val="nil"/>
              <w:bottom w:val="nil"/>
              <w:right w:val="nil"/>
            </w:tcBorders>
            <w:shd w:val="clear" w:color="auto" w:fill="auto"/>
            <w:noWrap/>
            <w:vAlign w:val="center"/>
          </w:tcPr>
          <w:p w14:paraId="7B664625" w14:textId="204B05FA" w:rsidR="0045434A" w:rsidRPr="00E62ABF" w:rsidRDefault="0045434A" w:rsidP="0045434A">
            <w:pPr>
              <w:spacing w:after="0" w:line="240" w:lineRule="auto"/>
              <w:jc w:val="right"/>
              <w:rPr>
                <w:rFonts w:eastAsia="Times New Roman" w:cs="Times New Roman"/>
                <w:color w:val="000000"/>
                <w:sz w:val="18"/>
                <w:szCs w:val="18"/>
                <w:lang w:eastAsia="sk-SK"/>
              </w:rPr>
            </w:pPr>
            <w:r w:rsidRPr="00E62ABF">
              <w:rPr>
                <w:rFonts w:eastAsia="Times New Roman" w:cs="Times New Roman"/>
                <w:color w:val="000000"/>
                <w:sz w:val="18"/>
                <w:szCs w:val="18"/>
                <w:lang w:eastAsia="sk-SK"/>
              </w:rPr>
              <w:t>0</w:t>
            </w:r>
          </w:p>
        </w:tc>
        <w:tc>
          <w:tcPr>
            <w:tcW w:w="993" w:type="dxa"/>
            <w:tcBorders>
              <w:top w:val="nil"/>
              <w:left w:val="nil"/>
              <w:bottom w:val="nil"/>
              <w:right w:val="nil"/>
            </w:tcBorders>
            <w:shd w:val="clear" w:color="000000" w:fill="FFFFFF"/>
            <w:noWrap/>
            <w:vAlign w:val="center"/>
          </w:tcPr>
          <w:p w14:paraId="1D9DEA70" w14:textId="793115E4" w:rsidR="0045434A" w:rsidRPr="00E62ABF" w:rsidRDefault="0045434A" w:rsidP="0045434A">
            <w:pPr>
              <w:spacing w:after="0" w:line="240" w:lineRule="auto"/>
              <w:jc w:val="right"/>
              <w:rPr>
                <w:rFonts w:eastAsia="Times New Roman" w:cs="Times New Roman"/>
                <w:color w:val="000000"/>
                <w:sz w:val="18"/>
                <w:szCs w:val="18"/>
                <w:lang w:eastAsia="sk-SK"/>
              </w:rPr>
            </w:pPr>
            <w:r w:rsidRPr="00E62ABF">
              <w:rPr>
                <w:rFonts w:eastAsia="Times New Roman" w:cs="Times New Roman"/>
                <w:color w:val="000000"/>
                <w:sz w:val="18"/>
                <w:szCs w:val="18"/>
                <w:lang w:eastAsia="sk-SK"/>
              </w:rPr>
              <w:t>0</w:t>
            </w:r>
          </w:p>
        </w:tc>
        <w:tc>
          <w:tcPr>
            <w:tcW w:w="1134" w:type="dxa"/>
            <w:tcBorders>
              <w:top w:val="nil"/>
              <w:left w:val="nil"/>
              <w:bottom w:val="nil"/>
              <w:right w:val="nil"/>
            </w:tcBorders>
            <w:shd w:val="clear" w:color="000000" w:fill="BFBFBF"/>
            <w:noWrap/>
            <w:vAlign w:val="center"/>
          </w:tcPr>
          <w:p w14:paraId="4E377ADE" w14:textId="6B21D65E" w:rsidR="0045434A" w:rsidRPr="00E62ABF" w:rsidRDefault="0045434A" w:rsidP="0045434A">
            <w:pPr>
              <w:spacing w:after="0" w:line="240" w:lineRule="auto"/>
              <w:jc w:val="right"/>
              <w:rPr>
                <w:rFonts w:eastAsia="Times New Roman" w:cs="Times New Roman"/>
                <w:color w:val="000000"/>
                <w:sz w:val="18"/>
                <w:szCs w:val="18"/>
                <w:lang w:eastAsia="sk-SK"/>
              </w:rPr>
            </w:pPr>
            <w:r w:rsidRPr="00E62ABF">
              <w:rPr>
                <w:rFonts w:eastAsia="Times New Roman" w:cs="Times New Roman"/>
                <w:color w:val="000000"/>
                <w:sz w:val="18"/>
                <w:szCs w:val="18"/>
                <w:lang w:eastAsia="sk-SK"/>
              </w:rPr>
              <w:t>7 647</w:t>
            </w:r>
          </w:p>
        </w:tc>
        <w:tc>
          <w:tcPr>
            <w:tcW w:w="992" w:type="dxa"/>
            <w:tcBorders>
              <w:top w:val="nil"/>
              <w:left w:val="nil"/>
              <w:bottom w:val="nil"/>
              <w:right w:val="nil"/>
            </w:tcBorders>
            <w:shd w:val="clear" w:color="000000" w:fill="FFFFFF"/>
            <w:vAlign w:val="center"/>
          </w:tcPr>
          <w:p w14:paraId="4171689F" w14:textId="0C29CECF" w:rsidR="0045434A" w:rsidRPr="001E1E5F" w:rsidRDefault="0045434A" w:rsidP="0045434A">
            <w:pPr>
              <w:spacing w:after="0" w:line="240" w:lineRule="auto"/>
              <w:jc w:val="right"/>
              <w:rPr>
                <w:rFonts w:eastAsia="Times New Roman" w:cs="Times New Roman"/>
                <w:bCs/>
                <w:color w:val="000000"/>
                <w:sz w:val="18"/>
                <w:szCs w:val="18"/>
                <w:lang w:eastAsia="sk-SK"/>
              </w:rPr>
            </w:pPr>
            <w:r w:rsidRPr="001E1E5F">
              <w:rPr>
                <w:rFonts w:eastAsia="Times New Roman" w:cs="Times New Roman"/>
                <w:bCs/>
                <w:color w:val="000000"/>
                <w:sz w:val="18"/>
                <w:szCs w:val="18"/>
                <w:lang w:eastAsia="sk-SK"/>
              </w:rPr>
              <w:t>7 647</w:t>
            </w:r>
          </w:p>
        </w:tc>
        <w:tc>
          <w:tcPr>
            <w:tcW w:w="850" w:type="dxa"/>
            <w:tcBorders>
              <w:top w:val="nil"/>
              <w:left w:val="nil"/>
              <w:bottom w:val="nil"/>
              <w:right w:val="nil"/>
            </w:tcBorders>
            <w:shd w:val="clear" w:color="000000" w:fill="FFFFFF"/>
            <w:vAlign w:val="center"/>
          </w:tcPr>
          <w:p w14:paraId="36C76AA9" w14:textId="3AEF9C03" w:rsidR="0045434A" w:rsidRPr="001E1E5F" w:rsidRDefault="0045434A" w:rsidP="0045434A">
            <w:pPr>
              <w:spacing w:after="0" w:line="240" w:lineRule="auto"/>
              <w:jc w:val="right"/>
              <w:rPr>
                <w:rFonts w:eastAsia="Times New Roman" w:cs="Times New Roman"/>
                <w:bCs/>
                <w:color w:val="000000"/>
                <w:sz w:val="18"/>
                <w:szCs w:val="18"/>
                <w:lang w:eastAsia="sk-SK"/>
              </w:rPr>
            </w:pPr>
            <w:r w:rsidRPr="001E1E5F">
              <w:rPr>
                <w:rFonts w:eastAsia="Times New Roman" w:cs="Times New Roman"/>
                <w:bCs/>
                <w:color w:val="000000"/>
                <w:sz w:val="18"/>
                <w:szCs w:val="18"/>
                <w:lang w:eastAsia="sk-SK"/>
              </w:rPr>
              <w:t> </w:t>
            </w:r>
          </w:p>
        </w:tc>
      </w:tr>
      <w:tr w:rsidR="0045434A" w:rsidRPr="001E1E5F" w14:paraId="4296ACC0" w14:textId="77777777" w:rsidTr="008D18AA">
        <w:trPr>
          <w:trHeight w:val="315"/>
        </w:trPr>
        <w:tc>
          <w:tcPr>
            <w:tcW w:w="3002" w:type="dxa"/>
            <w:tcBorders>
              <w:top w:val="nil"/>
              <w:left w:val="nil"/>
              <w:bottom w:val="single" w:sz="8" w:space="0" w:color="auto"/>
              <w:right w:val="nil"/>
            </w:tcBorders>
            <w:shd w:val="clear" w:color="auto" w:fill="auto"/>
            <w:vAlign w:val="center"/>
            <w:hideMark/>
          </w:tcPr>
          <w:p w14:paraId="167AFC32" w14:textId="77777777" w:rsidR="0045434A" w:rsidRPr="00E62ABF" w:rsidRDefault="0045434A" w:rsidP="0045434A">
            <w:pPr>
              <w:spacing w:after="0" w:line="240" w:lineRule="auto"/>
              <w:jc w:val="left"/>
              <w:rPr>
                <w:rFonts w:eastAsia="Times New Roman" w:cs="Times New Roman"/>
                <w:color w:val="000000"/>
                <w:sz w:val="18"/>
                <w:szCs w:val="18"/>
                <w:lang w:eastAsia="sk-SK"/>
              </w:rPr>
            </w:pPr>
            <w:r w:rsidRPr="00E62ABF">
              <w:rPr>
                <w:rFonts w:eastAsia="Times New Roman" w:cs="Times New Roman"/>
                <w:color w:val="000000"/>
                <w:sz w:val="18"/>
                <w:szCs w:val="18"/>
                <w:lang w:eastAsia="sk-SK"/>
              </w:rPr>
              <w:t>do zahraničia</w:t>
            </w:r>
          </w:p>
        </w:tc>
        <w:tc>
          <w:tcPr>
            <w:tcW w:w="992" w:type="dxa"/>
            <w:tcBorders>
              <w:top w:val="nil"/>
              <w:left w:val="nil"/>
              <w:bottom w:val="single" w:sz="8" w:space="0" w:color="auto"/>
              <w:right w:val="nil"/>
            </w:tcBorders>
            <w:shd w:val="clear" w:color="auto" w:fill="auto"/>
            <w:noWrap/>
            <w:vAlign w:val="center"/>
            <w:hideMark/>
          </w:tcPr>
          <w:p w14:paraId="0729D7A5" w14:textId="77777777" w:rsidR="0045434A" w:rsidRPr="00E62ABF" w:rsidRDefault="0045434A" w:rsidP="0045434A">
            <w:pPr>
              <w:spacing w:after="0" w:line="240" w:lineRule="auto"/>
              <w:jc w:val="right"/>
              <w:rPr>
                <w:rFonts w:eastAsia="Times New Roman" w:cs="Times New Roman"/>
                <w:color w:val="000000"/>
                <w:sz w:val="18"/>
                <w:szCs w:val="18"/>
                <w:lang w:eastAsia="sk-SK"/>
              </w:rPr>
            </w:pPr>
            <w:r w:rsidRPr="00E62ABF">
              <w:rPr>
                <w:rFonts w:eastAsia="Times New Roman" w:cs="Times New Roman"/>
                <w:color w:val="000000"/>
                <w:sz w:val="18"/>
                <w:szCs w:val="18"/>
                <w:lang w:eastAsia="sk-SK"/>
              </w:rPr>
              <w:t>1 558</w:t>
            </w:r>
          </w:p>
        </w:tc>
        <w:tc>
          <w:tcPr>
            <w:tcW w:w="992" w:type="dxa"/>
            <w:tcBorders>
              <w:top w:val="nil"/>
              <w:left w:val="nil"/>
              <w:bottom w:val="single" w:sz="8" w:space="0" w:color="auto"/>
              <w:right w:val="nil"/>
            </w:tcBorders>
            <w:shd w:val="clear" w:color="auto" w:fill="auto"/>
            <w:noWrap/>
            <w:vAlign w:val="center"/>
            <w:hideMark/>
          </w:tcPr>
          <w:p w14:paraId="6B42815F" w14:textId="77777777" w:rsidR="0045434A" w:rsidRPr="00E62ABF" w:rsidRDefault="0045434A" w:rsidP="0045434A">
            <w:pPr>
              <w:spacing w:after="0" w:line="240" w:lineRule="auto"/>
              <w:jc w:val="right"/>
              <w:rPr>
                <w:rFonts w:eastAsia="Times New Roman" w:cs="Times New Roman"/>
                <w:color w:val="000000"/>
                <w:sz w:val="18"/>
                <w:szCs w:val="18"/>
                <w:lang w:eastAsia="sk-SK"/>
              </w:rPr>
            </w:pPr>
            <w:r w:rsidRPr="00E62ABF">
              <w:rPr>
                <w:rFonts w:eastAsia="Times New Roman" w:cs="Times New Roman"/>
                <w:color w:val="000000"/>
                <w:sz w:val="18"/>
                <w:szCs w:val="18"/>
                <w:lang w:eastAsia="sk-SK"/>
              </w:rPr>
              <w:t>751</w:t>
            </w:r>
          </w:p>
        </w:tc>
        <w:tc>
          <w:tcPr>
            <w:tcW w:w="993" w:type="dxa"/>
            <w:tcBorders>
              <w:top w:val="nil"/>
              <w:left w:val="nil"/>
              <w:bottom w:val="single" w:sz="8" w:space="0" w:color="auto"/>
              <w:right w:val="nil"/>
            </w:tcBorders>
            <w:shd w:val="clear" w:color="000000" w:fill="FFFFFF"/>
            <w:noWrap/>
            <w:vAlign w:val="center"/>
            <w:hideMark/>
          </w:tcPr>
          <w:p w14:paraId="716A0EB2" w14:textId="77777777" w:rsidR="0045434A" w:rsidRPr="00E62ABF" w:rsidRDefault="0045434A" w:rsidP="0045434A">
            <w:pPr>
              <w:spacing w:after="0" w:line="240" w:lineRule="auto"/>
              <w:jc w:val="right"/>
              <w:rPr>
                <w:rFonts w:eastAsia="Times New Roman" w:cs="Times New Roman"/>
                <w:color w:val="000000"/>
                <w:sz w:val="18"/>
                <w:szCs w:val="18"/>
                <w:lang w:eastAsia="sk-SK"/>
              </w:rPr>
            </w:pPr>
            <w:r w:rsidRPr="00E62ABF">
              <w:rPr>
                <w:rFonts w:eastAsia="Times New Roman" w:cs="Times New Roman"/>
                <w:color w:val="000000"/>
                <w:sz w:val="18"/>
                <w:szCs w:val="18"/>
                <w:lang w:eastAsia="sk-SK"/>
              </w:rPr>
              <w:t>0</w:t>
            </w:r>
          </w:p>
        </w:tc>
        <w:tc>
          <w:tcPr>
            <w:tcW w:w="1134" w:type="dxa"/>
            <w:tcBorders>
              <w:top w:val="nil"/>
              <w:left w:val="nil"/>
              <w:bottom w:val="single" w:sz="8" w:space="0" w:color="auto"/>
              <w:right w:val="nil"/>
            </w:tcBorders>
            <w:shd w:val="clear" w:color="000000" w:fill="BFBFBF"/>
            <w:noWrap/>
            <w:vAlign w:val="center"/>
            <w:hideMark/>
          </w:tcPr>
          <w:p w14:paraId="0CC2C62B" w14:textId="77777777" w:rsidR="0045434A" w:rsidRPr="00E62ABF" w:rsidRDefault="0045434A" w:rsidP="0045434A">
            <w:pPr>
              <w:spacing w:after="0" w:line="240" w:lineRule="auto"/>
              <w:jc w:val="right"/>
              <w:rPr>
                <w:rFonts w:eastAsia="Times New Roman" w:cs="Times New Roman"/>
                <w:color w:val="000000"/>
                <w:sz w:val="18"/>
                <w:szCs w:val="18"/>
                <w:lang w:eastAsia="sk-SK"/>
              </w:rPr>
            </w:pPr>
            <w:r w:rsidRPr="00E62ABF">
              <w:rPr>
                <w:rFonts w:eastAsia="Times New Roman" w:cs="Times New Roman"/>
                <w:color w:val="000000"/>
                <w:sz w:val="18"/>
                <w:szCs w:val="18"/>
                <w:lang w:eastAsia="sk-SK"/>
              </w:rPr>
              <w:t>275</w:t>
            </w:r>
          </w:p>
        </w:tc>
        <w:tc>
          <w:tcPr>
            <w:tcW w:w="992" w:type="dxa"/>
            <w:tcBorders>
              <w:top w:val="nil"/>
              <w:left w:val="nil"/>
              <w:bottom w:val="single" w:sz="8" w:space="0" w:color="auto"/>
              <w:right w:val="nil"/>
            </w:tcBorders>
            <w:shd w:val="clear" w:color="000000" w:fill="FFFFFF"/>
            <w:vAlign w:val="center"/>
            <w:hideMark/>
          </w:tcPr>
          <w:p w14:paraId="27390AB5" w14:textId="77777777" w:rsidR="0045434A" w:rsidRPr="001E1E5F" w:rsidRDefault="0045434A" w:rsidP="0045434A">
            <w:pPr>
              <w:spacing w:after="0" w:line="240" w:lineRule="auto"/>
              <w:jc w:val="right"/>
              <w:rPr>
                <w:rFonts w:eastAsia="Times New Roman" w:cs="Times New Roman"/>
                <w:bCs/>
                <w:color w:val="000000"/>
                <w:sz w:val="18"/>
                <w:szCs w:val="18"/>
                <w:lang w:eastAsia="sk-SK"/>
              </w:rPr>
            </w:pPr>
            <w:r w:rsidRPr="001E1E5F">
              <w:rPr>
                <w:rFonts w:eastAsia="Times New Roman" w:cs="Times New Roman"/>
                <w:bCs/>
                <w:color w:val="000000"/>
                <w:sz w:val="18"/>
                <w:szCs w:val="18"/>
                <w:lang w:eastAsia="sk-SK"/>
              </w:rPr>
              <w:t>275</w:t>
            </w:r>
          </w:p>
        </w:tc>
        <w:tc>
          <w:tcPr>
            <w:tcW w:w="850" w:type="dxa"/>
            <w:tcBorders>
              <w:top w:val="nil"/>
              <w:left w:val="nil"/>
              <w:bottom w:val="single" w:sz="8" w:space="0" w:color="auto"/>
              <w:right w:val="nil"/>
            </w:tcBorders>
            <w:shd w:val="clear" w:color="000000" w:fill="FFFFFF"/>
            <w:vAlign w:val="center"/>
            <w:hideMark/>
          </w:tcPr>
          <w:p w14:paraId="525C863D" w14:textId="77777777" w:rsidR="0045434A" w:rsidRPr="001E1E5F" w:rsidRDefault="0045434A" w:rsidP="0045434A">
            <w:pPr>
              <w:spacing w:after="0" w:line="240" w:lineRule="auto"/>
              <w:jc w:val="right"/>
              <w:rPr>
                <w:rFonts w:eastAsia="Times New Roman" w:cs="Times New Roman"/>
                <w:bCs/>
                <w:color w:val="000000"/>
                <w:sz w:val="18"/>
                <w:szCs w:val="18"/>
                <w:lang w:eastAsia="sk-SK"/>
              </w:rPr>
            </w:pPr>
            <w:r w:rsidRPr="001E1E5F">
              <w:rPr>
                <w:rFonts w:eastAsia="Times New Roman" w:cs="Times New Roman"/>
                <w:bCs/>
                <w:color w:val="000000"/>
                <w:sz w:val="18"/>
                <w:szCs w:val="18"/>
                <w:lang w:eastAsia="sk-SK"/>
              </w:rPr>
              <w:t> </w:t>
            </w:r>
          </w:p>
        </w:tc>
      </w:tr>
      <w:tr w:rsidR="0045434A" w:rsidRPr="00E62ABF" w14:paraId="3CCF9924" w14:textId="77777777" w:rsidTr="008D18AA">
        <w:trPr>
          <w:trHeight w:val="315"/>
        </w:trPr>
        <w:tc>
          <w:tcPr>
            <w:tcW w:w="3002" w:type="dxa"/>
            <w:tcBorders>
              <w:top w:val="nil"/>
              <w:left w:val="nil"/>
              <w:bottom w:val="single" w:sz="8" w:space="0" w:color="auto"/>
              <w:right w:val="nil"/>
            </w:tcBorders>
            <w:shd w:val="clear" w:color="000000" w:fill="FFFFFF"/>
            <w:noWrap/>
            <w:vAlign w:val="center"/>
            <w:hideMark/>
          </w:tcPr>
          <w:p w14:paraId="296E0C61" w14:textId="77777777" w:rsidR="0045434A" w:rsidRPr="00E62ABF" w:rsidRDefault="0045434A" w:rsidP="0045434A">
            <w:pPr>
              <w:spacing w:after="0" w:line="240" w:lineRule="auto"/>
              <w:jc w:val="left"/>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Spolu</w:t>
            </w:r>
          </w:p>
        </w:tc>
        <w:tc>
          <w:tcPr>
            <w:tcW w:w="992" w:type="dxa"/>
            <w:tcBorders>
              <w:top w:val="nil"/>
              <w:left w:val="nil"/>
              <w:bottom w:val="single" w:sz="8" w:space="0" w:color="auto"/>
              <w:right w:val="nil"/>
            </w:tcBorders>
            <w:shd w:val="clear" w:color="auto" w:fill="auto"/>
            <w:noWrap/>
            <w:vAlign w:val="center"/>
            <w:hideMark/>
          </w:tcPr>
          <w:p w14:paraId="7DDDBBC7" w14:textId="77777777" w:rsidR="0045434A" w:rsidRPr="00E62ABF" w:rsidRDefault="0045434A" w:rsidP="0045434A">
            <w:pPr>
              <w:spacing w:after="0" w:line="240" w:lineRule="auto"/>
              <w:jc w:val="right"/>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1 902 256</w:t>
            </w:r>
          </w:p>
        </w:tc>
        <w:tc>
          <w:tcPr>
            <w:tcW w:w="992" w:type="dxa"/>
            <w:tcBorders>
              <w:top w:val="nil"/>
              <w:left w:val="nil"/>
              <w:bottom w:val="single" w:sz="8" w:space="0" w:color="auto"/>
              <w:right w:val="nil"/>
            </w:tcBorders>
            <w:shd w:val="clear" w:color="auto" w:fill="auto"/>
            <w:noWrap/>
            <w:vAlign w:val="center"/>
            <w:hideMark/>
          </w:tcPr>
          <w:p w14:paraId="3E79B9A1" w14:textId="77777777" w:rsidR="0045434A" w:rsidRPr="00E62ABF" w:rsidRDefault="0045434A" w:rsidP="0045434A">
            <w:pPr>
              <w:spacing w:after="0" w:line="240" w:lineRule="auto"/>
              <w:jc w:val="right"/>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1 552 793</w:t>
            </w:r>
          </w:p>
        </w:tc>
        <w:tc>
          <w:tcPr>
            <w:tcW w:w="993" w:type="dxa"/>
            <w:tcBorders>
              <w:top w:val="nil"/>
              <w:left w:val="nil"/>
              <w:bottom w:val="single" w:sz="8" w:space="0" w:color="auto"/>
              <w:right w:val="nil"/>
            </w:tcBorders>
            <w:shd w:val="clear" w:color="auto" w:fill="auto"/>
            <w:noWrap/>
            <w:vAlign w:val="center"/>
            <w:hideMark/>
          </w:tcPr>
          <w:p w14:paraId="5ED32489" w14:textId="77777777" w:rsidR="0045434A" w:rsidRPr="00E62ABF" w:rsidRDefault="0045434A" w:rsidP="0045434A">
            <w:pPr>
              <w:spacing w:after="0" w:line="240" w:lineRule="auto"/>
              <w:jc w:val="right"/>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1 331 415</w:t>
            </w:r>
          </w:p>
        </w:tc>
        <w:tc>
          <w:tcPr>
            <w:tcW w:w="1134" w:type="dxa"/>
            <w:tcBorders>
              <w:top w:val="nil"/>
              <w:left w:val="nil"/>
              <w:bottom w:val="single" w:sz="8" w:space="0" w:color="auto"/>
              <w:right w:val="nil"/>
            </w:tcBorders>
            <w:shd w:val="clear" w:color="000000" w:fill="BFBFBF"/>
            <w:noWrap/>
            <w:vAlign w:val="center"/>
            <w:hideMark/>
          </w:tcPr>
          <w:p w14:paraId="652D8DCF" w14:textId="77777777" w:rsidR="0045434A" w:rsidRPr="00E62ABF" w:rsidRDefault="0045434A" w:rsidP="0045434A">
            <w:pPr>
              <w:spacing w:after="0" w:line="240" w:lineRule="auto"/>
              <w:jc w:val="right"/>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2 402 324</w:t>
            </w:r>
          </w:p>
        </w:tc>
        <w:tc>
          <w:tcPr>
            <w:tcW w:w="992" w:type="dxa"/>
            <w:tcBorders>
              <w:top w:val="nil"/>
              <w:left w:val="nil"/>
              <w:bottom w:val="single" w:sz="8" w:space="0" w:color="auto"/>
              <w:right w:val="nil"/>
            </w:tcBorders>
            <w:shd w:val="clear" w:color="000000" w:fill="FFFFFF"/>
            <w:vAlign w:val="center"/>
            <w:hideMark/>
          </w:tcPr>
          <w:p w14:paraId="1FA62993" w14:textId="77777777" w:rsidR="0045434A" w:rsidRPr="00E62ABF" w:rsidRDefault="0045434A" w:rsidP="0045434A">
            <w:pPr>
              <w:spacing w:after="0" w:line="240" w:lineRule="auto"/>
              <w:jc w:val="right"/>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1 070 909</w:t>
            </w:r>
          </w:p>
        </w:tc>
        <w:tc>
          <w:tcPr>
            <w:tcW w:w="850" w:type="dxa"/>
            <w:tcBorders>
              <w:top w:val="nil"/>
              <w:left w:val="nil"/>
              <w:bottom w:val="single" w:sz="8" w:space="0" w:color="auto"/>
              <w:right w:val="nil"/>
            </w:tcBorders>
            <w:shd w:val="clear" w:color="000000" w:fill="FFFFFF"/>
            <w:vAlign w:val="center"/>
            <w:hideMark/>
          </w:tcPr>
          <w:p w14:paraId="4495AB0B" w14:textId="77777777" w:rsidR="0045434A" w:rsidRPr="00E62ABF" w:rsidRDefault="0045434A" w:rsidP="0045434A">
            <w:pPr>
              <w:spacing w:after="0" w:line="240" w:lineRule="auto"/>
              <w:jc w:val="right"/>
              <w:rPr>
                <w:rFonts w:eastAsia="Times New Roman" w:cs="Times New Roman"/>
                <w:b/>
                <w:bCs/>
                <w:color w:val="000000"/>
                <w:sz w:val="18"/>
                <w:szCs w:val="18"/>
                <w:lang w:eastAsia="sk-SK"/>
              </w:rPr>
            </w:pPr>
            <w:r w:rsidRPr="00E62ABF">
              <w:rPr>
                <w:rFonts w:eastAsia="Times New Roman" w:cs="Times New Roman"/>
                <w:b/>
                <w:bCs/>
                <w:color w:val="000000"/>
                <w:sz w:val="18"/>
                <w:szCs w:val="18"/>
                <w:lang w:eastAsia="sk-SK"/>
              </w:rPr>
              <w:t>80,43</w:t>
            </w:r>
          </w:p>
        </w:tc>
      </w:tr>
    </w:tbl>
    <w:p w14:paraId="0332D33F" w14:textId="77777777" w:rsidR="00E62ABF" w:rsidRDefault="00F057AA" w:rsidP="00E62ABF">
      <w:pPr>
        <w:jc w:val="right"/>
        <w:rPr>
          <w:sz w:val="18"/>
          <w:szCs w:val="18"/>
        </w:rPr>
      </w:pPr>
      <w:r>
        <w:rPr>
          <w:sz w:val="18"/>
          <w:szCs w:val="18"/>
        </w:rPr>
        <w:t xml:space="preserve">      </w:t>
      </w:r>
      <w:r w:rsidR="00E62ABF" w:rsidRPr="00E62ABF">
        <w:rPr>
          <w:sz w:val="18"/>
          <w:szCs w:val="18"/>
        </w:rPr>
        <w:t>Zdroj: MF SR</w:t>
      </w:r>
    </w:p>
    <w:p w14:paraId="2330FE87" w14:textId="77777777" w:rsidR="00E1552F" w:rsidRDefault="005469A6" w:rsidP="005D392B">
      <w:pPr>
        <w:tabs>
          <w:tab w:val="left" w:pos="284"/>
        </w:tabs>
        <w:spacing w:before="120" w:after="0"/>
        <w:contextualSpacing/>
      </w:pPr>
      <w:r w:rsidRPr="009B0648">
        <w:rPr>
          <w:b/>
        </w:rPr>
        <w:t>Obstarávanie kapitálových aktív</w:t>
      </w:r>
      <w:r w:rsidR="00502FDD">
        <w:rPr>
          <w:b/>
        </w:rPr>
        <w:t xml:space="preserve"> </w:t>
      </w:r>
      <w:r w:rsidR="00502FDD">
        <w:t xml:space="preserve">predstavuje nákup majetku dlhodobej povahy resp. vybudovanie tohto majetku do vlastníctva štátu dodávateľským spôsobom alebo v rámci vlastných výkonov štátu. </w:t>
      </w:r>
      <w:r>
        <w:t xml:space="preserve">Rozpočet na </w:t>
      </w:r>
      <w:r w:rsidRPr="00DF3560">
        <w:t>obstarávanie kapitálových aktív</w:t>
      </w:r>
      <w:r w:rsidR="00B71526">
        <w:t xml:space="preserve"> bol</w:t>
      </w:r>
      <w:r w:rsidRPr="00DF3560">
        <w:t xml:space="preserve"> stanovený sumou </w:t>
      </w:r>
      <w:r>
        <w:t>643</w:t>
      </w:r>
      <w:r w:rsidRPr="00DF3560">
        <w:t> </w:t>
      </w:r>
      <w:r>
        <w:t>217</w:t>
      </w:r>
      <w:r w:rsidRPr="00DF3560">
        <w:t xml:space="preserve"> tis. eur, ktorá sa rozpočtovými opatreniami </w:t>
      </w:r>
      <w:r w:rsidR="00B71526">
        <w:t xml:space="preserve">počas roka </w:t>
      </w:r>
      <w:r w:rsidRPr="00DF3560">
        <w:t>z</w:t>
      </w:r>
      <w:r>
        <w:t>výšila</w:t>
      </w:r>
      <w:r w:rsidRPr="00DF3560">
        <w:t xml:space="preserve"> n</w:t>
      </w:r>
      <w:r>
        <w:t>a 721 605 tis. eur</w:t>
      </w:r>
      <w:r w:rsidRPr="00DF3560">
        <w:t>. Skutočné čerpanie predstavovalo sumu </w:t>
      </w:r>
      <w:r>
        <w:t>721 148 </w:t>
      </w:r>
      <w:r w:rsidRPr="00DF3560">
        <w:t>tis. eur</w:t>
      </w:r>
      <w:r>
        <w:t>.</w:t>
      </w:r>
    </w:p>
    <w:p w14:paraId="4D8FC827" w14:textId="77777777" w:rsidR="00353072" w:rsidRDefault="005469A6" w:rsidP="005D392B">
      <w:pPr>
        <w:tabs>
          <w:tab w:val="left" w:pos="284"/>
        </w:tabs>
        <w:spacing w:before="120" w:after="0"/>
        <w:contextualSpacing/>
      </w:pPr>
      <w:r w:rsidRPr="002339C0">
        <w:rPr>
          <w:b/>
          <w:i/>
        </w:rPr>
        <w:t>Realizácia stavieb a ich technického zhodnotenia</w:t>
      </w:r>
      <w:r w:rsidRPr="002339C0">
        <w:t xml:space="preserve"> predstavovala výdavky v hodnote </w:t>
      </w:r>
      <w:r w:rsidR="009C351B">
        <w:t>218 274</w:t>
      </w:r>
      <w:r w:rsidRPr="002339C0">
        <w:t> tis. eur</w:t>
      </w:r>
      <w:r>
        <w:t>.</w:t>
      </w:r>
      <w:r w:rsidRPr="002339C0">
        <w:t xml:space="preserve"> </w:t>
      </w:r>
      <w:r>
        <w:t>V</w:t>
      </w:r>
      <w:r w:rsidRPr="002339C0">
        <w:t> porovnaní s rokom 201</w:t>
      </w:r>
      <w:r w:rsidR="009C351B">
        <w:t>7 došlo k zníženiu výdavkov o 45 527</w:t>
      </w:r>
      <w:r w:rsidR="00215466">
        <w:t> tis. eur a</w:t>
      </w:r>
      <w:r w:rsidR="00116EA0">
        <w:t xml:space="preserve"> </w:t>
      </w:r>
      <w:r w:rsidR="00215466">
        <w:t>zároveň aj k</w:t>
      </w:r>
      <w:r w:rsidR="00F5156C">
        <w:t xml:space="preserve"> nižšiemu čerpaniu </w:t>
      </w:r>
      <w:r w:rsidR="00215466">
        <w:t xml:space="preserve">oproti schválenému rozpočtu o 66 283 tis. eur. </w:t>
      </w:r>
      <w:r w:rsidRPr="002339C0">
        <w:t>Najvyšší podiel na výdavkoch mala kapitola Ministerstva dopravy a výstavby SR (</w:t>
      </w:r>
      <w:r>
        <w:t>1</w:t>
      </w:r>
      <w:r w:rsidR="00011ABC">
        <w:t>51</w:t>
      </w:r>
      <w:r w:rsidRPr="002339C0">
        <w:t> </w:t>
      </w:r>
      <w:r w:rsidR="00011ABC">
        <w:t>184</w:t>
      </w:r>
      <w:r>
        <w:t xml:space="preserve"> tis. eur), ďalej </w:t>
      </w:r>
      <w:r w:rsidRPr="002339C0">
        <w:t xml:space="preserve">Ministerstvo obrany SR </w:t>
      </w:r>
      <w:r>
        <w:t>(2</w:t>
      </w:r>
      <w:r w:rsidR="00011ABC">
        <w:t>0</w:t>
      </w:r>
      <w:r w:rsidRPr="002339C0">
        <w:t> </w:t>
      </w:r>
      <w:r w:rsidR="00011ABC">
        <w:t>869</w:t>
      </w:r>
      <w:r w:rsidRPr="002339C0">
        <w:t> tis. eur</w:t>
      </w:r>
      <w:r>
        <w:t>)</w:t>
      </w:r>
      <w:r w:rsidRPr="002339C0">
        <w:t xml:space="preserve">, </w:t>
      </w:r>
      <w:r w:rsidR="00011ABC">
        <w:t>Ministerstvo vnútra</w:t>
      </w:r>
      <w:r w:rsidR="00011ABC" w:rsidRPr="002339C0">
        <w:t xml:space="preserve"> SR </w:t>
      </w:r>
      <w:r w:rsidR="00011ABC">
        <w:t>(13 714 </w:t>
      </w:r>
      <w:r w:rsidR="00011ABC" w:rsidRPr="002339C0">
        <w:t>tis. eur</w:t>
      </w:r>
      <w:r w:rsidR="00011ABC">
        <w:t xml:space="preserve">) a </w:t>
      </w:r>
      <w:r w:rsidRPr="002339C0">
        <w:t xml:space="preserve">Ministerstvo spravodlivosti SR </w:t>
      </w:r>
      <w:r>
        <w:t>(</w:t>
      </w:r>
      <w:r w:rsidRPr="002339C0">
        <w:t>1</w:t>
      </w:r>
      <w:r>
        <w:t>3</w:t>
      </w:r>
      <w:r w:rsidRPr="002339C0">
        <w:t> </w:t>
      </w:r>
      <w:r>
        <w:t>6</w:t>
      </w:r>
      <w:r w:rsidR="00011ABC">
        <w:t>87</w:t>
      </w:r>
      <w:r w:rsidRPr="002339C0">
        <w:t> tis. eur</w:t>
      </w:r>
      <w:r>
        <w:t>)</w:t>
      </w:r>
      <w:r w:rsidRPr="002339C0">
        <w:t>.</w:t>
      </w:r>
      <w:r w:rsidR="00D1782A">
        <w:t xml:space="preserve"> </w:t>
      </w:r>
      <w:r w:rsidR="009E4C72">
        <w:t xml:space="preserve">Najväčší podiel na tejto kategórii mali </w:t>
      </w:r>
      <w:r w:rsidR="009E4C72" w:rsidRPr="00353072">
        <w:rPr>
          <w:i/>
          <w:u w:val="single"/>
        </w:rPr>
        <w:t>realizácia nových stavieb</w:t>
      </w:r>
      <w:r w:rsidR="009E4C72">
        <w:rPr>
          <w:i/>
        </w:rPr>
        <w:t xml:space="preserve"> </w:t>
      </w:r>
      <w:r w:rsidR="009E4C72" w:rsidRPr="009E4C72">
        <w:t>(</w:t>
      </w:r>
      <w:r w:rsidR="009E4C72">
        <w:t>112 213 tis. eur) a </w:t>
      </w:r>
      <w:r w:rsidR="009E4C72" w:rsidRPr="00353072">
        <w:rPr>
          <w:i/>
          <w:u w:val="single"/>
        </w:rPr>
        <w:t>rekonštrukcia a modernizácia</w:t>
      </w:r>
      <w:r w:rsidR="009E4C72">
        <w:rPr>
          <w:i/>
        </w:rPr>
        <w:t xml:space="preserve"> </w:t>
      </w:r>
      <w:r w:rsidR="009E4C72">
        <w:t>(102 140 tis. eur).</w:t>
      </w:r>
    </w:p>
    <w:p w14:paraId="0E9D5BD8" w14:textId="13A522E4" w:rsidR="00673E40" w:rsidRPr="00BA3A27" w:rsidRDefault="00673E40" w:rsidP="00353072">
      <w:pPr>
        <w:tabs>
          <w:tab w:val="left" w:pos="284"/>
        </w:tabs>
        <w:spacing w:before="120" w:after="240"/>
        <w:contextualSpacing/>
      </w:pPr>
      <w:r>
        <w:t>Výdavky Ministerstva dopravy a</w:t>
      </w:r>
      <w:r w:rsidRPr="002C2F17">
        <w:t xml:space="preserve"> výstavby SR predstav</w:t>
      </w:r>
      <w:r w:rsidR="000736E0">
        <w:t>ovali sumu 111 02</w:t>
      </w:r>
      <w:r w:rsidR="009B05B3">
        <w:t>3</w:t>
      </w:r>
      <w:r w:rsidR="000736E0">
        <w:t xml:space="preserve"> tis. eur, </w:t>
      </w:r>
      <w:r w:rsidR="001931A3">
        <w:t>predovšetkým</w:t>
      </w:r>
      <w:r w:rsidR="000736E0">
        <w:t xml:space="preserve"> pre Slovenskú správu ciest</w:t>
      </w:r>
      <w:r w:rsidR="0082069F">
        <w:t xml:space="preserve"> na</w:t>
      </w:r>
      <w:r w:rsidR="000736E0">
        <w:t> výstavbu verejných účelových komunikácií v regióne Nitra (84 164 tis. eur)</w:t>
      </w:r>
      <w:r w:rsidR="00353072">
        <w:t xml:space="preserve"> a</w:t>
      </w:r>
      <w:r w:rsidR="000736E0">
        <w:t xml:space="preserve"> most cez Dunaj medzi mestami Komárno - Komárom</w:t>
      </w:r>
      <w:r>
        <w:t xml:space="preserve"> </w:t>
      </w:r>
      <w:r w:rsidR="000736E0">
        <w:t>(18 874 tis. eur).</w:t>
      </w:r>
      <w:r>
        <w:t xml:space="preserve"> Výdavky </w:t>
      </w:r>
      <w:r w:rsidRPr="00BA3A27">
        <w:t xml:space="preserve">v sume </w:t>
      </w:r>
      <w:r>
        <w:t>40</w:t>
      </w:r>
      <w:r w:rsidRPr="00BA3A27">
        <w:t> </w:t>
      </w:r>
      <w:r>
        <w:t>161</w:t>
      </w:r>
      <w:r w:rsidRPr="00BA3A27">
        <w:t xml:space="preserve"> tis. eur </w:t>
      </w:r>
      <w:r w:rsidRPr="001931A3">
        <w:t xml:space="preserve">boli použité </w:t>
      </w:r>
      <w:r w:rsidR="001931A3" w:rsidRPr="001931A3">
        <w:t xml:space="preserve">najmä Slovenskou správou ciest </w:t>
      </w:r>
      <w:r w:rsidR="001931A3">
        <w:t>v rámci prioritnej osi Cestná infraštruktúra na rekonštrukciu cesty I/65 Turčianske Teplice – Príbovce (14 183 tis. eur), na rekonštrukciu križovatiek v Preš</w:t>
      </w:r>
      <w:r w:rsidR="00353072">
        <w:t>ovskom kraji (3 700 tis. eur)</w:t>
      </w:r>
      <w:r w:rsidR="001931A3">
        <w:t>, v rámci programu Výstavba cestnej siete napr. na rekonštrukciu cesty I/65 Kremnica – Kremnické bane (5 864 tis. eur) a pod.</w:t>
      </w:r>
    </w:p>
    <w:p w14:paraId="45D9170E" w14:textId="74EFA6EF" w:rsidR="00673E40" w:rsidRPr="00E03032" w:rsidRDefault="00673E40" w:rsidP="00673E40">
      <w:r w:rsidRPr="00E03032">
        <w:t xml:space="preserve">Výdavky Ministerstva obrany SR v sume </w:t>
      </w:r>
      <w:r>
        <w:t>20 591 </w:t>
      </w:r>
      <w:r w:rsidRPr="00E03032">
        <w:t>tis.</w:t>
      </w:r>
      <w:r>
        <w:t> </w:t>
      </w:r>
      <w:r w:rsidRPr="00E03032">
        <w:t>eur</w:t>
      </w:r>
      <w:r w:rsidRPr="001F21CC">
        <w:t xml:space="preserve"> boli použité najmä na zabezpečenie plnenia úloh obrany štátu.</w:t>
      </w:r>
      <w:r w:rsidRPr="00E03032">
        <w:t xml:space="preserve"> </w:t>
      </w:r>
      <w:r>
        <w:t>N</w:t>
      </w:r>
      <w:r w:rsidRPr="00E03032">
        <w:t xml:space="preserve">a </w:t>
      </w:r>
      <w:r w:rsidRPr="00673E40">
        <w:rPr>
          <w:i/>
        </w:rPr>
        <w:t>realizáciu nových stavieb</w:t>
      </w:r>
      <w:r>
        <w:rPr>
          <w:i/>
        </w:rPr>
        <w:t xml:space="preserve"> </w:t>
      </w:r>
      <w:r w:rsidRPr="00673E40">
        <w:t xml:space="preserve">boli výdavky rozpočtované v sume 8 991 tis. eur, pokles </w:t>
      </w:r>
      <w:r>
        <w:t xml:space="preserve">oproti </w:t>
      </w:r>
      <w:r w:rsidR="00723C0C">
        <w:t>schválenému rozpočtu</w:t>
      </w:r>
      <w:r>
        <w:t xml:space="preserve"> </w:t>
      </w:r>
      <w:r w:rsidR="009B05B3">
        <w:t>(o 8 713</w:t>
      </w:r>
      <w:r w:rsidR="00723C0C">
        <w:t xml:space="preserve"> tis. eur) </w:t>
      </w:r>
      <w:r>
        <w:t xml:space="preserve">bol spôsobený </w:t>
      </w:r>
      <w:r w:rsidR="001F21CC">
        <w:t xml:space="preserve">presunom </w:t>
      </w:r>
      <w:r w:rsidR="00723C0C">
        <w:t xml:space="preserve">finančných prostriedkov </w:t>
      </w:r>
      <w:r w:rsidR="001F21CC">
        <w:t>na použitie do ďalšieho roka a na plnenie prioritných úloh rezortu obrany.</w:t>
      </w:r>
    </w:p>
    <w:p w14:paraId="41A30F2D" w14:textId="05E08B5D" w:rsidR="003A3BAB" w:rsidRDefault="00673E40" w:rsidP="00673E40">
      <w:r w:rsidRPr="00197311">
        <w:rPr>
          <w:b/>
          <w:i/>
        </w:rPr>
        <w:t>Nákup strojov, prístrojov, zariadení</w:t>
      </w:r>
      <w:r>
        <w:rPr>
          <w:b/>
          <w:i/>
        </w:rPr>
        <w:t>,</w:t>
      </w:r>
      <w:r w:rsidRPr="00197311">
        <w:rPr>
          <w:b/>
          <w:i/>
        </w:rPr>
        <w:t xml:space="preserve"> techniky</w:t>
      </w:r>
      <w:r>
        <w:rPr>
          <w:b/>
          <w:i/>
        </w:rPr>
        <w:t xml:space="preserve"> a náradia</w:t>
      </w:r>
      <w:r w:rsidR="00BE4C33">
        <w:t xml:space="preserve"> dosiahol </w:t>
      </w:r>
      <w:r w:rsidR="003741D3">
        <w:t>v skutočnosti</w:t>
      </w:r>
      <w:r w:rsidR="00BE4C33">
        <w:t xml:space="preserve"> 198</w:t>
      </w:r>
      <w:r w:rsidRPr="00197311">
        <w:t> </w:t>
      </w:r>
      <w:r w:rsidR="00BE4C33">
        <w:t>434</w:t>
      </w:r>
      <w:r w:rsidRPr="00197311">
        <w:t> tis. eur</w:t>
      </w:r>
      <w:r>
        <w:t xml:space="preserve">. </w:t>
      </w:r>
      <w:r w:rsidR="00BE4C33">
        <w:t xml:space="preserve">V porovnaní s predchádzajúcim rokom išlo o nárast o 105 081 tis. eur. </w:t>
      </w:r>
      <w:r w:rsidRPr="003C7FF0">
        <w:t xml:space="preserve">Najväčší podiel </w:t>
      </w:r>
      <w:r w:rsidR="00BE4C33">
        <w:t>na tejto sume</w:t>
      </w:r>
      <w:r w:rsidR="003741D3">
        <w:t xml:space="preserve"> predstavoval </w:t>
      </w:r>
      <w:r w:rsidR="00446D0C" w:rsidRPr="003506AF">
        <w:rPr>
          <w:i/>
          <w:u w:val="single"/>
        </w:rPr>
        <w:t>Nákup špeciálnych strojov, prístrojov, zariadení, techniky, náradia a</w:t>
      </w:r>
      <w:r w:rsidR="00911EB7" w:rsidRPr="003506AF">
        <w:rPr>
          <w:i/>
          <w:u w:val="single"/>
        </w:rPr>
        <w:t> </w:t>
      </w:r>
      <w:r w:rsidR="00446D0C" w:rsidRPr="003506AF">
        <w:rPr>
          <w:i/>
          <w:u w:val="single"/>
        </w:rPr>
        <w:t>materiálu</w:t>
      </w:r>
      <w:r w:rsidR="00911EB7">
        <w:rPr>
          <w:i/>
        </w:rPr>
        <w:t xml:space="preserve"> </w:t>
      </w:r>
      <w:r w:rsidR="003506AF">
        <w:t xml:space="preserve">v objeme </w:t>
      </w:r>
      <w:r w:rsidR="00911EB7">
        <w:t>173 880 tis. eur</w:t>
      </w:r>
      <w:r w:rsidR="00EE70B2">
        <w:t>.</w:t>
      </w:r>
      <w:r w:rsidRPr="003C7FF0">
        <w:t xml:space="preserve"> </w:t>
      </w:r>
    </w:p>
    <w:p w14:paraId="278A15FA" w14:textId="434BCA1C" w:rsidR="00673E40" w:rsidRPr="00645CAE" w:rsidRDefault="00673E40" w:rsidP="00673E40">
      <w:r w:rsidRPr="00E97C61">
        <w:t xml:space="preserve">Ministerstvo obrany SR čerpalo prostriedky </w:t>
      </w:r>
      <w:r>
        <w:t>v </w:t>
      </w:r>
      <w:r w:rsidRPr="00E97C61">
        <w:t xml:space="preserve">sume </w:t>
      </w:r>
      <w:r w:rsidR="003A3BAB">
        <w:t>134 555</w:t>
      </w:r>
      <w:r w:rsidRPr="00E97C61">
        <w:t> tis. eur,</w:t>
      </w:r>
      <w:r w:rsidR="004C3989">
        <w:t xml:space="preserve"> najmä</w:t>
      </w:r>
      <w:r w:rsidRPr="00E97C61">
        <w:t xml:space="preserve"> </w:t>
      </w:r>
      <w:r w:rsidR="00645CAE">
        <w:t xml:space="preserve">na projekty </w:t>
      </w:r>
      <w:r w:rsidR="003B4DC9">
        <w:t>súvisiace s </w:t>
      </w:r>
      <w:r w:rsidR="00645CAE" w:rsidRPr="00645CAE">
        <w:t>obstaraním telekomunikačnej techniky v rámci</w:t>
      </w:r>
      <w:r w:rsidR="004C3989">
        <w:t xml:space="preserve"> programu</w:t>
      </w:r>
      <w:r w:rsidR="004C3989">
        <w:br/>
      </w:r>
      <w:r w:rsidR="00645CAE">
        <w:t xml:space="preserve">Rozvoj obrany - </w:t>
      </w:r>
      <w:r w:rsidR="00645CAE" w:rsidRPr="00645CAE">
        <w:t>Rozvoj komunikačných a informačných systémov</w:t>
      </w:r>
      <w:r w:rsidR="004C3989">
        <w:t xml:space="preserve">, na </w:t>
      </w:r>
      <w:r w:rsidR="00645CAE" w:rsidRPr="00645CAE">
        <w:t>viacúčelové taktické lietadlá</w:t>
      </w:r>
      <w:r w:rsidR="00645CAE">
        <w:t xml:space="preserve"> (</w:t>
      </w:r>
      <w:r w:rsidR="00645CAE" w:rsidRPr="00645CAE">
        <w:t>41</w:t>
      </w:r>
      <w:r w:rsidR="00645CAE">
        <w:t> </w:t>
      </w:r>
      <w:r w:rsidR="00645CAE" w:rsidRPr="00645CAE">
        <w:t>449</w:t>
      </w:r>
      <w:r w:rsidR="00645CAE">
        <w:t xml:space="preserve"> tis. eur)</w:t>
      </w:r>
      <w:r w:rsidR="00645CAE" w:rsidRPr="00645CAE">
        <w:t xml:space="preserve">, lietadlá SPARTAN </w:t>
      </w:r>
      <w:r w:rsidR="00645CAE">
        <w:t>(</w:t>
      </w:r>
      <w:r w:rsidR="00645CAE" w:rsidRPr="00645CAE">
        <w:t>18 808 </w:t>
      </w:r>
      <w:r w:rsidR="00645CAE">
        <w:t>tis. eur)</w:t>
      </w:r>
      <w:r w:rsidR="00645CAE" w:rsidRPr="00645CAE">
        <w:t xml:space="preserve"> a na plnenie úloh súvisiacic</w:t>
      </w:r>
      <w:r w:rsidR="003B4DC9">
        <w:t>h so </w:t>
      </w:r>
      <w:r w:rsidR="00645CAE">
        <w:t>zabezpečením obrany štátu.</w:t>
      </w:r>
    </w:p>
    <w:p w14:paraId="7779EF7C" w14:textId="16158E5E" w:rsidR="003A3BAB" w:rsidRDefault="003A3BAB" w:rsidP="00530112">
      <w:r>
        <w:t>Výdavky Ministerstva vnútra SR boli v sume 32 651 tis. </w:t>
      </w:r>
      <w:r w:rsidRPr="00530112">
        <w:t>eur a</w:t>
      </w:r>
      <w:r w:rsidR="00DE34E3">
        <w:t xml:space="preserve"> </w:t>
      </w:r>
      <w:r w:rsidRPr="00530112">
        <w:t>boli použité na</w:t>
      </w:r>
      <w:r w:rsidR="00530112">
        <w:t xml:space="preserve"> nákup špeciálnej techniky, zariadení a</w:t>
      </w:r>
      <w:r w:rsidR="00DE34E3">
        <w:t xml:space="preserve"> </w:t>
      </w:r>
      <w:r w:rsidR="00530112">
        <w:t>náradia, napríklad nákup informačných systémov na ochranu bezpečnostných záujmov IS CYBSEC (12 271 tis. eur), nákup hasičskej techniky, nákup protipovodňových akčných balíčkov (9 381 tis. eur), spravodajskú techniku poli</w:t>
      </w:r>
      <w:r w:rsidR="00806114">
        <w:t>cajného zboru (5 253 tis. eur).</w:t>
      </w:r>
    </w:p>
    <w:p w14:paraId="392904A4" w14:textId="355879B1" w:rsidR="00673E40" w:rsidRPr="00C72B71" w:rsidRDefault="00673E40" w:rsidP="00673E40">
      <w:r w:rsidRPr="00305D6F">
        <w:rPr>
          <w:b/>
          <w:i/>
        </w:rPr>
        <w:t xml:space="preserve">Nákup dopravných prostriedkov </w:t>
      </w:r>
      <w:r w:rsidR="00AF67C8">
        <w:t xml:space="preserve">dosiahol </w:t>
      </w:r>
      <w:r w:rsidR="007340D7">
        <w:t>9</w:t>
      </w:r>
      <w:r w:rsidR="00AF67C8">
        <w:t>7</w:t>
      </w:r>
      <w:r w:rsidR="007340D7">
        <w:t> 326 </w:t>
      </w:r>
      <w:r w:rsidRPr="006D0FF7">
        <w:t xml:space="preserve">tis. eur, z toho najväčší podiel výdavkov tvorila kapitola </w:t>
      </w:r>
      <w:r>
        <w:t>Ministerstva</w:t>
      </w:r>
      <w:r w:rsidRPr="006D0FF7">
        <w:t xml:space="preserve"> obrany SR vo výške </w:t>
      </w:r>
      <w:r w:rsidR="007340D7">
        <w:t>62</w:t>
      </w:r>
      <w:r w:rsidR="007C6B3E">
        <w:t> </w:t>
      </w:r>
      <w:r w:rsidR="007340D7">
        <w:t>82</w:t>
      </w:r>
      <w:r w:rsidR="007C6B3E">
        <w:t>3 </w:t>
      </w:r>
      <w:r w:rsidRPr="006D0FF7">
        <w:t>tis. eur a Ministerstvo vnútra SR s výdavkami vo výške 3</w:t>
      </w:r>
      <w:r w:rsidR="007340D7">
        <w:t>0</w:t>
      </w:r>
      <w:r w:rsidRPr="006D0FF7">
        <w:t> </w:t>
      </w:r>
      <w:r w:rsidR="007340D7">
        <w:t>30</w:t>
      </w:r>
      <w:r w:rsidR="007C6B3E">
        <w:t>1</w:t>
      </w:r>
      <w:r w:rsidRPr="006D0FF7">
        <w:t> tis. eur</w:t>
      </w:r>
      <w:r w:rsidRPr="00961385">
        <w:t>. V porovnaní s rokom 201</w:t>
      </w:r>
      <w:r w:rsidR="007340D7">
        <w:t>7</w:t>
      </w:r>
      <w:r w:rsidRPr="00961385">
        <w:t xml:space="preserve"> bol v tejto </w:t>
      </w:r>
      <w:r w:rsidR="007340D7">
        <w:t xml:space="preserve">položke </w:t>
      </w:r>
      <w:r w:rsidRPr="00961385">
        <w:t xml:space="preserve">zaznamenaný </w:t>
      </w:r>
      <w:r w:rsidR="007340D7">
        <w:t>nárast</w:t>
      </w:r>
      <w:r w:rsidRPr="00961385">
        <w:t xml:space="preserve"> výdavkov o </w:t>
      </w:r>
      <w:r w:rsidR="007340D7">
        <w:t>13</w:t>
      </w:r>
      <w:r>
        <w:t> </w:t>
      </w:r>
      <w:r w:rsidR="007340D7">
        <w:t>88</w:t>
      </w:r>
      <w:r w:rsidR="007C6B3E">
        <w:t>6</w:t>
      </w:r>
      <w:r>
        <w:t> </w:t>
      </w:r>
      <w:r w:rsidR="00C72B71">
        <w:t xml:space="preserve">tis. eur pričom rozpočet sa nenaplnil </w:t>
      </w:r>
      <w:r w:rsidR="00C72B71" w:rsidRPr="00C72B71">
        <w:t xml:space="preserve">o </w:t>
      </w:r>
      <w:r w:rsidR="00C72B71" w:rsidRPr="00C72B71">
        <w:rPr>
          <w:rFonts w:eastAsia="Times New Roman" w:cs="Times New Roman"/>
          <w:bCs/>
          <w:color w:val="000000"/>
          <w:lang w:eastAsia="sk-SK"/>
        </w:rPr>
        <w:t>17 867 tis. eur.</w:t>
      </w:r>
    </w:p>
    <w:p w14:paraId="75A3D367" w14:textId="75B1FC75" w:rsidR="00673E40" w:rsidRPr="00B21EE1" w:rsidRDefault="00673E40" w:rsidP="00673E40">
      <w:r w:rsidRPr="00BE220F">
        <w:t xml:space="preserve">Ministerstvo obrany SR </w:t>
      </w:r>
      <w:r w:rsidR="00795CF7">
        <w:t xml:space="preserve">realizovalo výdavky na </w:t>
      </w:r>
      <w:r w:rsidRPr="000A08FC">
        <w:rPr>
          <w:i/>
          <w:u w:val="single"/>
        </w:rPr>
        <w:t>nákup lietadiel</w:t>
      </w:r>
      <w:r w:rsidRPr="00795CF7">
        <w:t xml:space="preserve"> v</w:t>
      </w:r>
      <w:r>
        <w:t> </w:t>
      </w:r>
      <w:r w:rsidRPr="00BE220F">
        <w:t>hodnote</w:t>
      </w:r>
      <w:r>
        <w:t xml:space="preserve"> </w:t>
      </w:r>
      <w:r w:rsidR="00B21EE1">
        <w:t>34</w:t>
      </w:r>
      <w:r>
        <w:t> </w:t>
      </w:r>
      <w:r w:rsidR="00B21EE1">
        <w:t>889</w:t>
      </w:r>
      <w:r>
        <w:t> tis. eur</w:t>
      </w:r>
      <w:r w:rsidR="004B0FC9">
        <w:t xml:space="preserve"> </w:t>
      </w:r>
      <w:r w:rsidR="004B0FC9" w:rsidRPr="004B0FC9">
        <w:t>(</w:t>
      </w:r>
      <w:r w:rsidR="004B0FC9">
        <w:t xml:space="preserve">splátky na </w:t>
      </w:r>
      <w:r w:rsidR="004B0FC9" w:rsidRPr="004B0FC9">
        <w:t xml:space="preserve">nákup </w:t>
      </w:r>
      <w:r w:rsidR="004B0FC9">
        <w:t xml:space="preserve">2 kusov </w:t>
      </w:r>
      <w:r w:rsidR="004B0FC9" w:rsidRPr="004B0FC9">
        <w:t xml:space="preserve">viacúčelových vrtuľníkov UH-60M </w:t>
      </w:r>
      <w:proofErr w:type="spellStart"/>
      <w:r w:rsidR="004B0FC9" w:rsidRPr="004B0FC9">
        <w:t>Blackhawk</w:t>
      </w:r>
      <w:proofErr w:type="spellEnd"/>
      <w:r w:rsidR="004B0FC9">
        <w:t>)</w:t>
      </w:r>
      <w:r w:rsidR="005F6042">
        <w:t xml:space="preserve">, </w:t>
      </w:r>
      <w:r>
        <w:t xml:space="preserve">na </w:t>
      </w:r>
      <w:r w:rsidRPr="000A08FC">
        <w:rPr>
          <w:i/>
          <w:u w:val="single"/>
        </w:rPr>
        <w:t>nákup nákladných vozidiel, ťahačov</w:t>
      </w:r>
      <w:r w:rsidRPr="000A08FC">
        <w:rPr>
          <w:u w:val="single"/>
        </w:rPr>
        <w:t xml:space="preserve">, </w:t>
      </w:r>
      <w:r w:rsidRPr="000A08FC">
        <w:rPr>
          <w:i/>
          <w:u w:val="single"/>
        </w:rPr>
        <w:t>prípojných vozidiel</w:t>
      </w:r>
      <w:r>
        <w:rPr>
          <w:i/>
        </w:rPr>
        <w:t xml:space="preserve"> </w:t>
      </w:r>
      <w:r w:rsidRPr="00925F4F">
        <w:t>v</w:t>
      </w:r>
      <w:r>
        <w:t> </w:t>
      </w:r>
      <w:r w:rsidRPr="00925F4F">
        <w:t>hodnote</w:t>
      </w:r>
      <w:r>
        <w:t xml:space="preserve"> 1</w:t>
      </w:r>
      <w:r w:rsidR="00B21EE1">
        <w:t>4</w:t>
      </w:r>
      <w:r>
        <w:t> </w:t>
      </w:r>
      <w:r w:rsidR="00B21EE1">
        <w:t>412</w:t>
      </w:r>
      <w:r w:rsidR="00D253A4">
        <w:t> tis. eur</w:t>
      </w:r>
      <w:r w:rsidR="004A24CE">
        <w:t xml:space="preserve"> (</w:t>
      </w:r>
      <w:r w:rsidR="004A24CE" w:rsidRPr="004A24CE">
        <w:t xml:space="preserve">nákladné terénne </w:t>
      </w:r>
      <w:r w:rsidR="004A24CE">
        <w:t xml:space="preserve">ťažké </w:t>
      </w:r>
      <w:r w:rsidR="004A24CE" w:rsidRPr="004A24CE">
        <w:t>automobily</w:t>
      </w:r>
      <w:r w:rsidR="004A24CE">
        <w:t xml:space="preserve"> 10 620 tis. eur, </w:t>
      </w:r>
      <w:r w:rsidR="004A24CE" w:rsidRPr="004A24CE">
        <w:t xml:space="preserve">nákladné terénne </w:t>
      </w:r>
      <w:r w:rsidR="004A24CE">
        <w:t xml:space="preserve">stredné </w:t>
      </w:r>
      <w:r w:rsidR="004A24CE" w:rsidRPr="004A24CE">
        <w:t>automobily</w:t>
      </w:r>
      <w:r w:rsidR="004A24CE">
        <w:t xml:space="preserve"> 2 965 tis. eur).</w:t>
      </w:r>
      <w:r w:rsidRPr="007E6900">
        <w:t xml:space="preserve"> </w:t>
      </w:r>
      <w:r w:rsidR="00B21EE1">
        <w:t xml:space="preserve">Na </w:t>
      </w:r>
      <w:r w:rsidR="00B21EE1" w:rsidRPr="000A08FC">
        <w:rPr>
          <w:i/>
          <w:u w:val="single"/>
        </w:rPr>
        <w:t>nákup špeciálnych automobilov</w:t>
      </w:r>
      <w:r w:rsidR="00B21EE1">
        <w:rPr>
          <w:i/>
        </w:rPr>
        <w:t xml:space="preserve"> </w:t>
      </w:r>
      <w:r w:rsidR="000A08FC">
        <w:t>bolo vynaložených</w:t>
      </w:r>
      <w:r w:rsidR="005F6042">
        <w:t xml:space="preserve"> </w:t>
      </w:r>
      <w:r w:rsidR="004B0FC9">
        <w:t>11 34</w:t>
      </w:r>
      <w:r w:rsidR="007C6B3E">
        <w:t>9</w:t>
      </w:r>
      <w:r w:rsidR="004B0FC9">
        <w:t> tis. eu</w:t>
      </w:r>
      <w:r w:rsidR="0064229B">
        <w:t>r</w:t>
      </w:r>
      <w:r w:rsidR="00207875">
        <w:t>.</w:t>
      </w:r>
    </w:p>
    <w:p w14:paraId="67CC35FC" w14:textId="393DB3DB" w:rsidR="007C6B3E" w:rsidRDefault="00673E40" w:rsidP="007C6B3E">
      <w:r w:rsidRPr="00370AD5">
        <w:t xml:space="preserve">Výdavky Ministerstva vnútra SR tvorili v prevažnej miere výdavky </w:t>
      </w:r>
      <w:r w:rsidRPr="007C36E8">
        <w:t>na</w:t>
      </w:r>
      <w:r w:rsidRPr="00370AD5">
        <w:rPr>
          <w:i/>
        </w:rPr>
        <w:t xml:space="preserve"> </w:t>
      </w:r>
      <w:r w:rsidRPr="007C36E8">
        <w:rPr>
          <w:i/>
          <w:u w:val="single"/>
        </w:rPr>
        <w:t>nákup osobných automobilov</w:t>
      </w:r>
      <w:r w:rsidRPr="00370AD5">
        <w:t xml:space="preserve"> v hodnote 1</w:t>
      </w:r>
      <w:r w:rsidR="00B21EE1">
        <w:t>0</w:t>
      </w:r>
      <w:r w:rsidRPr="00370AD5">
        <w:t> </w:t>
      </w:r>
      <w:r w:rsidR="00B21EE1">
        <w:t>923</w:t>
      </w:r>
      <w:r w:rsidRPr="00370AD5">
        <w:t> tis. eur</w:t>
      </w:r>
      <w:r w:rsidR="004F7095">
        <w:t>,</w:t>
      </w:r>
      <w:r w:rsidRPr="00370AD5">
        <w:t xml:space="preserve"> </w:t>
      </w:r>
      <w:r w:rsidR="00D253A4" w:rsidRPr="007C36E8">
        <w:rPr>
          <w:i/>
          <w:u w:val="single"/>
        </w:rPr>
        <w:t>nákup špeciálnych automobilov</w:t>
      </w:r>
      <w:r w:rsidR="00D253A4">
        <w:t xml:space="preserve"> </w:t>
      </w:r>
      <w:r w:rsidR="00B56A72">
        <w:t xml:space="preserve">vo výške </w:t>
      </w:r>
      <w:r w:rsidR="00D253A4">
        <w:t xml:space="preserve">6 483 tis. </w:t>
      </w:r>
      <w:r w:rsidR="00D253A4" w:rsidRPr="00925F4F">
        <w:t>eur</w:t>
      </w:r>
      <w:r w:rsidR="00B56A72">
        <w:t xml:space="preserve"> a</w:t>
      </w:r>
      <w:r w:rsidR="007C36E8">
        <w:t xml:space="preserve"> </w:t>
      </w:r>
      <w:r w:rsidR="00D253A4" w:rsidRPr="007C36E8">
        <w:rPr>
          <w:color w:val="000000"/>
        </w:rPr>
        <w:t>na</w:t>
      </w:r>
      <w:r w:rsidR="00D253A4" w:rsidRPr="00EA10AE">
        <w:rPr>
          <w:i/>
          <w:color w:val="000000"/>
        </w:rPr>
        <w:t xml:space="preserve"> </w:t>
      </w:r>
      <w:r w:rsidR="00D253A4" w:rsidRPr="007C36E8">
        <w:rPr>
          <w:i/>
          <w:color w:val="000000"/>
          <w:u w:val="single"/>
        </w:rPr>
        <w:t>nákup autobusov</w:t>
      </w:r>
      <w:r w:rsidR="00D253A4">
        <w:rPr>
          <w:i/>
          <w:color w:val="000000"/>
        </w:rPr>
        <w:t xml:space="preserve"> </w:t>
      </w:r>
      <w:r w:rsidR="007C36E8">
        <w:rPr>
          <w:color w:val="000000"/>
        </w:rPr>
        <w:t>v hodnote</w:t>
      </w:r>
      <w:r w:rsidR="00D253A4">
        <w:rPr>
          <w:color w:val="000000"/>
        </w:rPr>
        <w:t xml:space="preserve"> 5 468 tis. eur </w:t>
      </w:r>
      <w:r w:rsidR="007C36E8">
        <w:rPr>
          <w:color w:val="000000"/>
        </w:rPr>
        <w:t>pre účely policajných a záchranných zložiek štátu.</w:t>
      </w:r>
      <w:r w:rsidR="00D253A4">
        <w:t xml:space="preserve"> </w:t>
      </w:r>
    </w:p>
    <w:p w14:paraId="45C0EFA7" w14:textId="5FB3483A" w:rsidR="00673E40" w:rsidRPr="0059031C" w:rsidRDefault="00673E40" w:rsidP="007C6B3E">
      <w:r w:rsidRPr="002323F1">
        <w:rPr>
          <w:b/>
          <w:i/>
        </w:rPr>
        <w:t>Nákup pozemkov a nehmotných aktív</w:t>
      </w:r>
      <w:r w:rsidRPr="002323F1">
        <w:t xml:space="preserve"> predstavoval sumu </w:t>
      </w:r>
      <w:r w:rsidR="005F6042">
        <w:t>78</w:t>
      </w:r>
      <w:r w:rsidRPr="002323F1">
        <w:t> </w:t>
      </w:r>
      <w:r w:rsidR="005F6042">
        <w:t>003</w:t>
      </w:r>
      <w:r w:rsidRPr="002323F1">
        <w:t> tis. eur</w:t>
      </w:r>
      <w:r w:rsidR="00A656BB">
        <w:t xml:space="preserve"> pričom</w:t>
      </w:r>
      <w:r w:rsidRPr="002323F1">
        <w:t xml:space="preserve"> schválený rozpočet na tejto položke bol prekročený o </w:t>
      </w:r>
      <w:r w:rsidR="005F6042">
        <w:t>63</w:t>
      </w:r>
      <w:r w:rsidRPr="002323F1">
        <w:t> </w:t>
      </w:r>
      <w:r w:rsidR="005F6042">
        <w:t>090</w:t>
      </w:r>
      <w:r w:rsidRPr="002323F1">
        <w:t> </w:t>
      </w:r>
      <w:r>
        <w:t>tis. eur</w:t>
      </w:r>
      <w:r w:rsidR="004F3CBA">
        <w:t xml:space="preserve">. </w:t>
      </w:r>
      <w:r w:rsidRPr="002323F1">
        <w:t xml:space="preserve">Z uvedenej </w:t>
      </w:r>
      <w:r>
        <w:t>položky výdavkov</w:t>
      </w:r>
      <w:r w:rsidRPr="002323F1">
        <w:t xml:space="preserve"> boli najvyššie výdavky na </w:t>
      </w:r>
      <w:r w:rsidRPr="001B382F">
        <w:rPr>
          <w:i/>
          <w:u w:val="single"/>
        </w:rPr>
        <w:t>nákup softvéru</w:t>
      </w:r>
      <w:r w:rsidRPr="002323F1">
        <w:t xml:space="preserve"> </w:t>
      </w:r>
      <w:r w:rsidR="009C67C9">
        <w:t>66</w:t>
      </w:r>
      <w:r w:rsidRPr="002323F1">
        <w:t> </w:t>
      </w:r>
      <w:r w:rsidR="009C67C9">
        <w:t>378</w:t>
      </w:r>
      <w:r>
        <w:t> tis. </w:t>
      </w:r>
      <w:r w:rsidRPr="002323F1">
        <w:t>eur</w:t>
      </w:r>
      <w:r>
        <w:t xml:space="preserve"> (201</w:t>
      </w:r>
      <w:r w:rsidR="009C67C9">
        <w:t>7</w:t>
      </w:r>
      <w:r>
        <w:t>: </w:t>
      </w:r>
      <w:r w:rsidR="009C67C9">
        <w:t>31</w:t>
      </w:r>
      <w:r>
        <w:t> </w:t>
      </w:r>
      <w:r w:rsidR="009C67C9">
        <w:t>827</w:t>
      </w:r>
      <w:r>
        <w:t> tis. eur)</w:t>
      </w:r>
      <w:r w:rsidR="004F3CBA">
        <w:t>.</w:t>
      </w:r>
    </w:p>
    <w:p w14:paraId="15B6A307" w14:textId="7DF4EF7A" w:rsidR="009C67C9" w:rsidRDefault="009C67C9" w:rsidP="00673E40">
      <w:r>
        <w:t xml:space="preserve">Výdavky Ministerstva vnútra </w:t>
      </w:r>
      <w:r w:rsidRPr="001B382F">
        <w:t>SR na softvér</w:t>
      </w:r>
      <w:r>
        <w:t xml:space="preserve"> </w:t>
      </w:r>
      <w:r w:rsidR="00046382">
        <w:t>predstavovali</w:t>
      </w:r>
      <w:r>
        <w:t xml:space="preserve"> sumu</w:t>
      </w:r>
      <w:r w:rsidR="00EA4EC2">
        <w:t xml:space="preserve"> </w:t>
      </w:r>
      <w:r>
        <w:t>20</w:t>
      </w:r>
      <w:r w:rsidR="00EA4EC2">
        <w:t> </w:t>
      </w:r>
      <w:r>
        <w:t>40</w:t>
      </w:r>
      <w:r w:rsidR="004E38F6">
        <w:t>4</w:t>
      </w:r>
      <w:r>
        <w:t> tis. eur</w:t>
      </w:r>
      <w:r w:rsidRPr="00B465D8">
        <w:t>,</w:t>
      </w:r>
      <w:r w:rsidR="00B465D8" w:rsidRPr="00B465D8">
        <w:t xml:space="preserve"> </w:t>
      </w:r>
      <w:r w:rsidRPr="00B465D8">
        <w:t>išlo o výdavky na</w:t>
      </w:r>
      <w:r w:rsidR="00B465D8">
        <w:t xml:space="preserve"> ú</w:t>
      </w:r>
      <w:r w:rsidR="000C2605">
        <w:t>h</w:t>
      </w:r>
      <w:r w:rsidR="00B465D8">
        <w:t>radu výdavkov súvisiacich s dodávkou softvé</w:t>
      </w:r>
      <w:r w:rsidR="000C2605">
        <w:t xml:space="preserve">ru, </w:t>
      </w:r>
      <w:r w:rsidR="00B465D8">
        <w:t>úpravou programového vybavenia v systémoch, virtualizáciou serverového prostredia, vypracovaním technickej dokumentácie a pod. Najvýznamnejšie položky boli použité na techniku k IS CYBSEC (technológie a procesy potrebné na zabezpečenie sietí a serverov)</w:t>
      </w:r>
      <w:r w:rsidR="00B465D8">
        <w:rPr>
          <w:color w:val="1F497D"/>
        </w:rPr>
        <w:t xml:space="preserve"> </w:t>
      </w:r>
      <w:r w:rsidR="00B465D8">
        <w:t>v sume 7 369 tis. eur, Informačné systémy v sume 4 058 tis. eur a Manažment dokumentov súvisiacich s trestným konaním pri odhaľovaní trestnej činnosti v sume 3 577 tis. </w:t>
      </w:r>
      <w:r w:rsidR="000C2605">
        <w:t xml:space="preserve">eur. </w:t>
      </w:r>
      <w:r w:rsidR="00187F9D">
        <w:t xml:space="preserve">Skutočne čerpané výdavky boli </w:t>
      </w:r>
      <w:r w:rsidR="00187F9D" w:rsidRPr="000009AA">
        <w:t>oproti schválenému rozpočtu</w:t>
      </w:r>
      <w:r w:rsidR="00187F9D">
        <w:t xml:space="preserve"> </w:t>
      </w:r>
      <w:r w:rsidR="00187F9D" w:rsidRPr="000009AA">
        <w:t>vyššie o 15 40</w:t>
      </w:r>
      <w:r w:rsidR="004E38F6" w:rsidRPr="000009AA">
        <w:t>4</w:t>
      </w:r>
      <w:r w:rsidR="00187F9D" w:rsidRPr="000009AA">
        <w:t> tis. eur</w:t>
      </w:r>
      <w:r w:rsidR="00187F9D">
        <w:t>,</w:t>
      </w:r>
      <w:r w:rsidR="004E38F6">
        <w:t xml:space="preserve"> pričom</w:t>
      </w:r>
      <w:r w:rsidR="00187F9D">
        <w:t xml:space="preserve"> prostriedky boli rozviazané z predchádzajúcich rokov </w:t>
      </w:r>
      <w:r w:rsidR="004E38F6">
        <w:t>(</w:t>
      </w:r>
      <w:r w:rsidR="00187F9D">
        <w:t>2016 a</w:t>
      </w:r>
      <w:r w:rsidR="004E38F6">
        <w:t xml:space="preserve"> </w:t>
      </w:r>
      <w:r w:rsidR="00187F9D">
        <w:t>2017</w:t>
      </w:r>
      <w:r w:rsidR="004E38F6">
        <w:t>)</w:t>
      </w:r>
      <w:r w:rsidR="00187F9D">
        <w:t>.</w:t>
      </w:r>
    </w:p>
    <w:p w14:paraId="1A98F05A" w14:textId="65BF30A3" w:rsidR="009C79A9" w:rsidRDefault="009C79A9" w:rsidP="009C79A9">
      <w:r>
        <w:t xml:space="preserve">Ministerstvo financií SR čerpalo </w:t>
      </w:r>
      <w:r w:rsidRPr="001B382F">
        <w:t>výdavky na softvér</w:t>
      </w:r>
      <w:r>
        <w:t xml:space="preserve"> v sume 13 116 tis. eur</w:t>
      </w:r>
      <w:r w:rsidRPr="00E62410">
        <w:t xml:space="preserve">, </w:t>
      </w:r>
      <w:r w:rsidR="00E62410" w:rsidRPr="00E62410">
        <w:t xml:space="preserve">z toho najviac Finančné riaditeľstvo SR v rámci investičnej akcie </w:t>
      </w:r>
      <w:r w:rsidR="00E62410">
        <w:t xml:space="preserve">Analýzy a riziká (8 654 tis. eur) a Štátna pokladnica na projekt Rozvoj jadra informačného systému </w:t>
      </w:r>
      <w:r w:rsidR="00CD260F">
        <w:t>š</w:t>
      </w:r>
      <w:r w:rsidR="00E62410">
        <w:t xml:space="preserve">tátnej </w:t>
      </w:r>
      <w:r w:rsidR="00E62410" w:rsidRPr="00E8651C">
        <w:t>pokladnice (2 549 tis. eur)</w:t>
      </w:r>
      <w:r w:rsidR="00DE34E3" w:rsidRPr="00E8651C">
        <w:t>.</w:t>
      </w:r>
    </w:p>
    <w:p w14:paraId="784977FF" w14:textId="0504A311" w:rsidR="007F70E9" w:rsidRDefault="007F70E9" w:rsidP="00673E40">
      <w:r>
        <w:t xml:space="preserve">Ministerstvo životného prostredia SR čerpalo </w:t>
      </w:r>
      <w:r w:rsidRPr="001B382F">
        <w:t>výdavky na softvér</w:t>
      </w:r>
      <w:r>
        <w:t xml:space="preserve"> v hodnote 8 76</w:t>
      </w:r>
      <w:r w:rsidR="004E38F6">
        <w:t>1</w:t>
      </w:r>
      <w:r>
        <w:t xml:space="preserve"> tis. eur, </w:t>
      </w:r>
      <w:r w:rsidR="004E38F6">
        <w:t xml:space="preserve">pričom </w:t>
      </w:r>
      <w:r>
        <w:t xml:space="preserve">išlo </w:t>
      </w:r>
      <w:r w:rsidR="004E38F6">
        <w:t xml:space="preserve">výdavky na </w:t>
      </w:r>
      <w:r>
        <w:t xml:space="preserve">obstaranie softvéru </w:t>
      </w:r>
      <w:r w:rsidR="006E5635">
        <w:t xml:space="preserve">v rámci operačného programu Kvalita životného prostredia </w:t>
      </w:r>
      <w:r>
        <w:t>na vybudovanie a</w:t>
      </w:r>
      <w:r w:rsidR="006E5635">
        <w:t xml:space="preserve"> </w:t>
      </w:r>
      <w:r>
        <w:t>zavedenie jednotného environmentálneho monitorov</w:t>
      </w:r>
      <w:r w:rsidR="006E5635">
        <w:t>acieho a informačného systému v </w:t>
      </w:r>
      <w:r>
        <w:t>odpadovom hospodárstve</w:t>
      </w:r>
      <w:r w:rsidR="006E5635">
        <w:t xml:space="preserve">. </w:t>
      </w:r>
    </w:p>
    <w:p w14:paraId="358D6088" w14:textId="2B2D4B8D" w:rsidR="006E5635" w:rsidRDefault="006E5635" w:rsidP="00673E40">
      <w:r>
        <w:t>Výdavky Ministerstva školstva, vedy, výskumu a športu SR v</w:t>
      </w:r>
      <w:r w:rsidR="00E33868">
        <w:t> sume 6 056 tis. eur</w:t>
      </w:r>
      <w:r>
        <w:t xml:space="preserve"> </w:t>
      </w:r>
      <w:r w:rsidR="00743099">
        <w:t>boli použité predovšetkým v rámci programu</w:t>
      </w:r>
      <w:r w:rsidR="00743099" w:rsidRPr="00743099">
        <w:t xml:space="preserve"> Informačné systémy v regionálnom školstve</w:t>
      </w:r>
      <w:r w:rsidR="00743099">
        <w:t xml:space="preserve"> na upgra</w:t>
      </w:r>
      <w:r w:rsidR="004E38F6">
        <w:t>d</w:t>
      </w:r>
      <w:r w:rsidR="00743099">
        <w:t xml:space="preserve">e technologickej platformy </w:t>
      </w:r>
      <w:r w:rsidR="00743099" w:rsidRPr="00743099">
        <w:t>Centrálne</w:t>
      </w:r>
      <w:r w:rsidR="00743099">
        <w:t>ho úložiska</w:t>
      </w:r>
      <w:r w:rsidR="00743099" w:rsidRPr="00743099">
        <w:t xml:space="preserve"> digitálneho edukačného obsahu</w:t>
      </w:r>
      <w:r w:rsidR="00743099">
        <w:t xml:space="preserve"> (3 031 tis. eur).</w:t>
      </w:r>
      <w:r w:rsidRPr="00743099">
        <w:t xml:space="preserve"> </w:t>
      </w:r>
    </w:p>
    <w:p w14:paraId="0BBD14A8" w14:textId="77777777" w:rsidR="00E33868" w:rsidRPr="00A328FB" w:rsidRDefault="00A328FB" w:rsidP="00673E40">
      <w:r>
        <w:t xml:space="preserve">Pôdohospodárska platobná agentúra pod </w:t>
      </w:r>
      <w:r w:rsidR="00E33868">
        <w:t>Ministerstvo</w:t>
      </w:r>
      <w:r>
        <w:t>m</w:t>
      </w:r>
      <w:r w:rsidR="00E33868">
        <w:t xml:space="preserve"> pôdohospodárstva a </w:t>
      </w:r>
      <w:r w:rsidR="00E33868" w:rsidRPr="00A328FB">
        <w:t>rozvoja vidieka SR čerpal</w:t>
      </w:r>
      <w:r w:rsidR="00935CD2">
        <w:t>a</w:t>
      </w:r>
      <w:r w:rsidR="00E33868" w:rsidRPr="00A328FB">
        <w:t xml:space="preserve"> finančné prostriedky </w:t>
      </w:r>
      <w:r w:rsidRPr="00A328FB">
        <w:rPr>
          <w:i/>
        </w:rPr>
        <w:t>na softvér</w:t>
      </w:r>
      <w:r>
        <w:t xml:space="preserve"> (2 451 tis. eur) </w:t>
      </w:r>
      <w:r w:rsidR="00E33868" w:rsidRPr="00A328FB">
        <w:t xml:space="preserve">na </w:t>
      </w:r>
      <w:r w:rsidRPr="00A328FB">
        <w:t>zabezpečeni</w:t>
      </w:r>
      <w:r>
        <w:t>e</w:t>
      </w:r>
      <w:r w:rsidRPr="00A328FB">
        <w:t xml:space="preserve"> rozvoja informačného systému účtovníctva fondov</w:t>
      </w:r>
      <w:r>
        <w:t>,</w:t>
      </w:r>
      <w:r w:rsidRPr="00A328FB">
        <w:t xml:space="preserve"> </w:t>
      </w:r>
      <w:r>
        <w:t>na</w:t>
      </w:r>
      <w:r w:rsidRPr="00A328FB">
        <w:t xml:space="preserve"> </w:t>
      </w:r>
      <w:r>
        <w:t>úpravu</w:t>
      </w:r>
      <w:r w:rsidRPr="00A328FB">
        <w:t xml:space="preserve"> existujúcich a rozširovanie nových funkcionalít informačného systému ITMS2014+ za účelom elektronizácie služieb pre Miestne akčné skupiny, ktoré sú financované z Programu rozvoja vidieka a z dôvodu vybudovania modulu elektronického formulára k informačnému systému ITMS2014+.</w:t>
      </w:r>
    </w:p>
    <w:p w14:paraId="6FCE1CF0" w14:textId="6E69E290" w:rsidR="00911F47" w:rsidRPr="00525BB6" w:rsidRDefault="00911F47" w:rsidP="00673E40">
      <w:r>
        <w:t xml:space="preserve">Ministerstvo dopravy a výstavby SR čerpalo výdavky </w:t>
      </w:r>
      <w:r w:rsidRPr="001F131C">
        <w:rPr>
          <w:i/>
          <w:u w:val="single"/>
        </w:rPr>
        <w:t>na nákup pozemkov</w:t>
      </w:r>
      <w:r>
        <w:t xml:space="preserve"> v sume 4 31</w:t>
      </w:r>
      <w:r w:rsidR="004E38F6">
        <w:t>6</w:t>
      </w:r>
      <w:r>
        <w:t xml:space="preserve"> tis. eur, </w:t>
      </w:r>
      <w:r w:rsidR="00525BB6">
        <w:t xml:space="preserve">išlo napr. o výdavky Slovenskej správy ciest </w:t>
      </w:r>
      <w:r w:rsidR="004D4D11">
        <w:t xml:space="preserve">na výkup pozemkov </w:t>
      </w:r>
      <w:r w:rsidR="00525BB6">
        <w:t xml:space="preserve">v rámci programu Výstavba cestnej siete na obchvat cesty </w:t>
      </w:r>
      <w:r w:rsidR="00525BB6" w:rsidRPr="00525BB6">
        <w:t>I/68 Sabinov (1</w:t>
      </w:r>
      <w:r w:rsidR="00525BB6">
        <w:t> </w:t>
      </w:r>
      <w:r w:rsidR="004D4D11">
        <w:t>504 tis. eur) a pod.</w:t>
      </w:r>
    </w:p>
    <w:p w14:paraId="14D96A11" w14:textId="4F33D26B" w:rsidR="00673E40" w:rsidRDefault="00673E40" w:rsidP="00673E40">
      <w:r w:rsidRPr="003A05D8">
        <w:t xml:space="preserve">Na </w:t>
      </w:r>
      <w:r>
        <w:rPr>
          <w:b/>
          <w:i/>
        </w:rPr>
        <w:t>rekonštrukciu a m</w:t>
      </w:r>
      <w:r w:rsidRPr="003A05D8">
        <w:rPr>
          <w:b/>
          <w:i/>
        </w:rPr>
        <w:t>odernizáciu strojov</w:t>
      </w:r>
      <w:r w:rsidRPr="003A05D8">
        <w:rPr>
          <w:i/>
        </w:rPr>
        <w:t xml:space="preserve"> </w:t>
      </w:r>
      <w:r w:rsidRPr="003A05D8">
        <w:rPr>
          <w:b/>
          <w:i/>
        </w:rPr>
        <w:t>a</w:t>
      </w:r>
      <w:r>
        <w:rPr>
          <w:b/>
          <w:i/>
        </w:rPr>
        <w:t> </w:t>
      </w:r>
      <w:r w:rsidRPr="003A05D8">
        <w:rPr>
          <w:b/>
          <w:i/>
        </w:rPr>
        <w:t>zariadení</w:t>
      </w:r>
      <w:r w:rsidRPr="007C7ABE">
        <w:rPr>
          <w:b/>
          <w:i/>
        </w:rPr>
        <w:t>, výpočtovej a telekomunikačnej techniky, softvéru a komunikačnej infraštruktúry</w:t>
      </w:r>
      <w:r>
        <w:rPr>
          <w:i/>
        </w:rPr>
        <w:t xml:space="preserve"> </w:t>
      </w:r>
      <w:r w:rsidRPr="003A05D8">
        <w:t xml:space="preserve">boli použité kapitálové </w:t>
      </w:r>
      <w:r w:rsidRPr="00B22E73">
        <w:t>výdavky</w:t>
      </w:r>
      <w:r w:rsidRPr="00B22E73">
        <w:rPr>
          <w:i/>
        </w:rPr>
        <w:t xml:space="preserve"> </w:t>
      </w:r>
      <w:r w:rsidRPr="00B22E73">
        <w:t>v hodnote</w:t>
      </w:r>
      <w:r w:rsidRPr="003A05D8">
        <w:t xml:space="preserve"> 8</w:t>
      </w:r>
      <w:r w:rsidR="00935CD2">
        <w:t>3</w:t>
      </w:r>
      <w:r>
        <w:t> </w:t>
      </w:r>
      <w:r w:rsidR="006E5635">
        <w:t>744</w:t>
      </w:r>
      <w:r>
        <w:t> </w:t>
      </w:r>
      <w:r w:rsidR="006E5635">
        <w:t>tis. </w:t>
      </w:r>
      <w:r w:rsidRPr="003A05D8">
        <w:t>eur</w:t>
      </w:r>
      <w:r w:rsidRPr="00B22E73">
        <w:t>. Z toho najvýznamnejši</w:t>
      </w:r>
      <w:r>
        <w:t>e sumy</w:t>
      </w:r>
      <w:r w:rsidRPr="00B22E73">
        <w:t xml:space="preserve"> </w:t>
      </w:r>
      <w:r w:rsidR="00955C2F">
        <w:t>boli čerpané na</w:t>
      </w:r>
      <w:r w:rsidRPr="00B22E73">
        <w:t xml:space="preserve"> kapitol</w:t>
      </w:r>
      <w:r w:rsidR="00955C2F">
        <w:t>e</w:t>
      </w:r>
      <w:r w:rsidRPr="00B22E73">
        <w:t xml:space="preserve"> Ministerstva financií SR </w:t>
      </w:r>
      <w:r>
        <w:t>(</w:t>
      </w:r>
      <w:r w:rsidR="006E5635">
        <w:t>55</w:t>
      </w:r>
      <w:r w:rsidRPr="00B22E73">
        <w:t> </w:t>
      </w:r>
      <w:r w:rsidR="006E5635">
        <w:t>136</w:t>
      </w:r>
      <w:r w:rsidRPr="00B22E73">
        <w:t> tis. eur</w:t>
      </w:r>
      <w:r>
        <w:t>), Ministerstv</w:t>
      </w:r>
      <w:r w:rsidR="00955C2F">
        <w:t>a</w:t>
      </w:r>
      <w:r>
        <w:t xml:space="preserve"> obrany SR (</w:t>
      </w:r>
      <w:r w:rsidR="006E5635">
        <w:t>13</w:t>
      </w:r>
      <w:r>
        <w:t> </w:t>
      </w:r>
      <w:r w:rsidR="006E5635">
        <w:t>751</w:t>
      </w:r>
      <w:r>
        <w:t> tis. eur), Ministerstv</w:t>
      </w:r>
      <w:r w:rsidR="00955C2F">
        <w:t>a</w:t>
      </w:r>
      <w:r>
        <w:t xml:space="preserve"> vnútra SR (</w:t>
      </w:r>
      <w:r w:rsidR="006E5635">
        <w:t>5</w:t>
      </w:r>
      <w:r>
        <w:t> </w:t>
      </w:r>
      <w:r w:rsidR="006E5635">
        <w:t>191</w:t>
      </w:r>
      <w:r>
        <w:t> tis. eur)</w:t>
      </w:r>
      <w:r w:rsidR="006E5635">
        <w:t xml:space="preserve"> a </w:t>
      </w:r>
      <w:r w:rsidR="006E5635" w:rsidRPr="006D56E2">
        <w:t xml:space="preserve">Úrad podpredsedu </w:t>
      </w:r>
      <w:r w:rsidR="003E5812">
        <w:t xml:space="preserve">SR </w:t>
      </w:r>
      <w:r w:rsidR="006E5635" w:rsidRPr="006D56E2">
        <w:t xml:space="preserve">vlády pre investície a informatizáciu </w:t>
      </w:r>
      <w:r w:rsidR="006E5635">
        <w:t>(3 495 tis. eur)</w:t>
      </w:r>
      <w:r>
        <w:t>.</w:t>
      </w:r>
    </w:p>
    <w:p w14:paraId="73C6BD87" w14:textId="69C7B38B" w:rsidR="002C0D06" w:rsidRPr="00935CD2" w:rsidRDefault="002C0D06" w:rsidP="00673E40">
      <w:r w:rsidRPr="00935CD2">
        <w:t xml:space="preserve">Ministerstvo financií SR čerpalo výdavky </w:t>
      </w:r>
      <w:r w:rsidR="00B573FA" w:rsidRPr="00935CD2">
        <w:rPr>
          <w:i/>
        </w:rPr>
        <w:t xml:space="preserve">na rekonštrukciu a </w:t>
      </w:r>
      <w:r w:rsidRPr="00935CD2">
        <w:rPr>
          <w:i/>
        </w:rPr>
        <w:t>modernizáciu softvéru</w:t>
      </w:r>
      <w:r w:rsidRPr="00935CD2">
        <w:t xml:space="preserve"> v hodnote 55 10</w:t>
      </w:r>
      <w:r w:rsidR="00363F60">
        <w:t>6</w:t>
      </w:r>
      <w:r w:rsidRPr="00935CD2">
        <w:t> tis. eur</w:t>
      </w:r>
      <w:r w:rsidR="00935CD2">
        <w:t>.</w:t>
      </w:r>
      <w:r w:rsidR="00DE34E3" w:rsidRPr="00935CD2">
        <w:t xml:space="preserve"> Išlo napr. o</w:t>
      </w:r>
      <w:r w:rsidR="00B573FA" w:rsidRPr="00935CD2">
        <w:t xml:space="preserve"> nákup </w:t>
      </w:r>
      <w:r w:rsidR="00363F60">
        <w:t xml:space="preserve">dobudovania </w:t>
      </w:r>
      <w:r w:rsidR="00B573FA" w:rsidRPr="00935CD2">
        <w:t>softvéru (9 412 tis. eur) v rámci programu Rozvoja informačného systému výberu cla a</w:t>
      </w:r>
      <w:r w:rsidR="00CE4290" w:rsidRPr="00935CD2">
        <w:t xml:space="preserve"> </w:t>
      </w:r>
      <w:r w:rsidR="00B573FA" w:rsidRPr="00935CD2">
        <w:t>daní v správe colných úradov, o nákup daňových systémov pre Finančné riaditeľstvo SR (8 121 tis. eur), o nákup softvéru aplikačného programového vybavenia pre rozpočtový informačný systém (7 151 tis. eur)</w:t>
      </w:r>
      <w:r w:rsidR="00CE4290" w:rsidRPr="00935CD2">
        <w:t>, o modernizáciu Centrálneho účtovného systému v rámci programu Informačné technológie (6 878 tis. eur) a pod.</w:t>
      </w:r>
    </w:p>
    <w:p w14:paraId="0EE4DFB0" w14:textId="58FFEC8F" w:rsidR="00177948" w:rsidRDefault="00177948" w:rsidP="00177948">
      <w:r>
        <w:t>Výdavky Ministerstva obrany SR vo výške 13 631 tis. eur boli použité na zabezpečenie modernizácie bojových vozidiel pechoty na plnenie úloh obrany štátu.</w:t>
      </w:r>
    </w:p>
    <w:p w14:paraId="2A61DC74" w14:textId="72BDABC6" w:rsidR="002C0D06" w:rsidRDefault="00B52E1B" w:rsidP="00177948">
      <w:r>
        <w:t xml:space="preserve">Výdavky </w:t>
      </w:r>
      <w:r w:rsidR="002C0D06" w:rsidRPr="006D56E2">
        <w:t>Úrad</w:t>
      </w:r>
      <w:r>
        <w:t>u</w:t>
      </w:r>
      <w:r w:rsidR="002C0D06" w:rsidRPr="006D56E2">
        <w:t xml:space="preserve"> podpredsedu vlády pre investície a informatizáciu SR</w:t>
      </w:r>
      <w:r>
        <w:t xml:space="preserve"> boli použité na technické zhodnotenie softvéru Informačného systému centrálnej správy referenčných údajov (2 151 tis. eur) a</w:t>
      </w:r>
      <w:r w:rsidR="006C4401">
        <w:t xml:space="preserve"> </w:t>
      </w:r>
      <w:r>
        <w:t>na úpravu</w:t>
      </w:r>
      <w:r w:rsidR="0066223C">
        <w:t xml:space="preserve"> a</w:t>
      </w:r>
      <w:r w:rsidR="006C4401">
        <w:t xml:space="preserve"> </w:t>
      </w:r>
      <w:r w:rsidR="0066223C">
        <w:t xml:space="preserve">rozširovanie </w:t>
      </w:r>
      <w:r>
        <w:t xml:space="preserve">funkcionalít </w:t>
      </w:r>
      <w:r w:rsidR="0066223C">
        <w:t>ITMS2014+ (1 210 tis. eur).</w:t>
      </w:r>
    </w:p>
    <w:p w14:paraId="7CB033E2" w14:textId="18079692" w:rsidR="001E195E" w:rsidRPr="00372C28" w:rsidRDefault="00105BF8" w:rsidP="00A47930">
      <w:r w:rsidRPr="00744BD4">
        <w:t xml:space="preserve">Pri </w:t>
      </w:r>
      <w:r>
        <w:rPr>
          <w:b/>
          <w:i/>
        </w:rPr>
        <w:t>nákupe</w:t>
      </w:r>
      <w:r w:rsidRPr="00D2738E">
        <w:rPr>
          <w:b/>
          <w:i/>
        </w:rPr>
        <w:t xml:space="preserve"> budov, objektov a</w:t>
      </w:r>
      <w:r>
        <w:rPr>
          <w:b/>
          <w:i/>
        </w:rPr>
        <w:t>lebo</w:t>
      </w:r>
      <w:r w:rsidRPr="00D2738E">
        <w:rPr>
          <w:b/>
          <w:i/>
        </w:rPr>
        <w:t> ich častí</w:t>
      </w:r>
      <w:r w:rsidRPr="00744BD4">
        <w:t xml:space="preserve"> výdavky dosiahli hodnotu </w:t>
      </w:r>
      <w:r>
        <w:t>12 734</w:t>
      </w:r>
      <w:r w:rsidRPr="00744BD4">
        <w:t> tis. </w:t>
      </w:r>
      <w:r>
        <w:t>eur. Najvyššiu sumu vykazovali</w:t>
      </w:r>
      <w:r w:rsidRPr="00744BD4">
        <w:t xml:space="preserve"> kapitola </w:t>
      </w:r>
      <w:r>
        <w:t xml:space="preserve">Ministerstva zahraničných vecí a európskych záležitostí SR </w:t>
      </w:r>
      <w:r w:rsidRPr="00744BD4">
        <w:t>(</w:t>
      </w:r>
      <w:r>
        <w:t>5</w:t>
      </w:r>
      <w:r w:rsidRPr="00744BD4">
        <w:t> </w:t>
      </w:r>
      <w:r>
        <w:t>721</w:t>
      </w:r>
      <w:r w:rsidRPr="00744BD4">
        <w:t> tis. eur)</w:t>
      </w:r>
      <w:r w:rsidR="00A47930">
        <w:t xml:space="preserve"> na kúpu rezidencie vo</w:t>
      </w:r>
      <w:r w:rsidR="00A47930" w:rsidRPr="00A47930">
        <w:t xml:space="preserve"> </w:t>
      </w:r>
      <w:r w:rsidR="00A47930" w:rsidRPr="00C64D79">
        <w:t>Washingtone</w:t>
      </w:r>
      <w:r w:rsidR="00A47930">
        <w:t xml:space="preserve"> v rámci programu </w:t>
      </w:r>
      <w:r w:rsidR="00A47930" w:rsidRPr="00C64D79">
        <w:t>Rozvoj zahraničných vzťahov</w:t>
      </w:r>
      <w:r w:rsidR="00A47930">
        <w:t xml:space="preserve"> </w:t>
      </w:r>
      <w:r w:rsidR="00363F60">
        <w:t>,</w:t>
      </w:r>
      <w:r>
        <w:t xml:space="preserve"> Ministerstvo hospodárstva SR (5 059 tis. eur)</w:t>
      </w:r>
      <w:r w:rsidR="00A47930">
        <w:t xml:space="preserve"> na kúpu nehnuteľnosti pre Slovenskú obchodnú inšpekciu </w:t>
      </w:r>
      <w:r w:rsidR="00363F60">
        <w:t>a Ministerstvo práce, sociálnych vecí a rodiny SR (1 047 tis. eur)</w:t>
      </w:r>
      <w:r w:rsidR="00A47930">
        <w:t xml:space="preserve"> na obstaranie nehnuteľností </w:t>
      </w:r>
      <w:r w:rsidR="00372C28" w:rsidRPr="004D4D11">
        <w:t>v rámci programu Ústavná starostlivosť v štátnych</w:t>
      </w:r>
      <w:r w:rsidR="00372C28" w:rsidRPr="00372C28">
        <w:t xml:space="preserve"> </w:t>
      </w:r>
      <w:r w:rsidR="00563B26">
        <w:t>detských domovoch</w:t>
      </w:r>
      <w:r w:rsidR="00A47930">
        <w:t>.</w:t>
      </w:r>
      <w:r w:rsidR="001E195E" w:rsidRPr="00372C28">
        <w:t xml:space="preserve"> </w:t>
      </w:r>
    </w:p>
    <w:p w14:paraId="7490C76E" w14:textId="77777777" w:rsidR="00673E40" w:rsidRPr="009D60C1" w:rsidRDefault="00673E40" w:rsidP="00673E40">
      <w:pPr>
        <w:tabs>
          <w:tab w:val="left" w:pos="284"/>
        </w:tabs>
        <w:contextualSpacing/>
        <w:rPr>
          <w:b/>
        </w:rPr>
      </w:pPr>
      <w:r w:rsidRPr="009D60C1">
        <w:rPr>
          <w:b/>
        </w:rPr>
        <w:t>Kapitálové transfery</w:t>
      </w:r>
    </w:p>
    <w:p w14:paraId="713FCEE1" w14:textId="76CB1B1A" w:rsidR="00673E40" w:rsidRPr="002D0490" w:rsidRDefault="00673E40" w:rsidP="00673E40">
      <w:r w:rsidRPr="009D60C1">
        <w:t>Kapitálové transfery zahŕňajú platby vykonávané s cieľom umožniť príjemcovi nadobudnúť kapitálové aktíva alebo kompenzovať ich poškodenie alebo zničenie. Schválený rozpočet pre rok 201</w:t>
      </w:r>
      <w:r w:rsidR="006C0026">
        <w:t>8</w:t>
      </w:r>
      <w:r w:rsidRPr="009D60C1">
        <w:t xml:space="preserve"> </w:t>
      </w:r>
      <w:r w:rsidRPr="004142C3">
        <w:t xml:space="preserve">bol stanovený sumou </w:t>
      </w:r>
      <w:r w:rsidR="006C0026">
        <w:t>688 198</w:t>
      </w:r>
      <w:r w:rsidRPr="004142C3">
        <w:t xml:space="preserve"> tis. eur. V skutočnosti kapitálové transfery boli vo výške </w:t>
      </w:r>
      <w:r w:rsidR="006C0026">
        <w:t>1</w:t>
      </w:r>
      <w:r w:rsidR="00423874">
        <w:t> 681</w:t>
      </w:r>
      <w:r>
        <w:t> </w:t>
      </w:r>
      <w:r w:rsidR="00423874">
        <w:t>176</w:t>
      </w:r>
      <w:r>
        <w:t> </w:t>
      </w:r>
      <w:r w:rsidRPr="004142C3">
        <w:t>tis. eur (201</w:t>
      </w:r>
      <w:r w:rsidR="006C0026">
        <w:t>7</w:t>
      </w:r>
      <w:r w:rsidRPr="004142C3">
        <w:t>: </w:t>
      </w:r>
      <w:r w:rsidR="006C0026">
        <w:t>947 164 </w:t>
      </w:r>
      <w:r w:rsidRPr="004142C3">
        <w:t xml:space="preserve">tis. eur) </w:t>
      </w:r>
      <w:r w:rsidRPr="00480961">
        <w:t xml:space="preserve">a tvoria takmer </w:t>
      </w:r>
      <w:r w:rsidR="00423874">
        <w:t>70</w:t>
      </w:r>
      <w:r w:rsidRPr="00480961">
        <w:t>,0 % z celkových kapitálových výdavkov.</w:t>
      </w:r>
      <w:r>
        <w:t xml:space="preserve"> </w:t>
      </w:r>
      <w:r w:rsidRPr="00BF1387">
        <w:t xml:space="preserve">Z celkovej sumy kapitálových transferov bolo </w:t>
      </w:r>
      <w:r w:rsidR="00BF1387" w:rsidRPr="00BF1387">
        <w:t xml:space="preserve">zo zdrojov EÚ použitých 972 147 tis. eur </w:t>
      </w:r>
      <w:r w:rsidR="00BF1387">
        <w:t xml:space="preserve">a </w:t>
      </w:r>
      <w:r w:rsidR="00BF1387" w:rsidRPr="00BF1387">
        <w:t>zo zdroja ŠR 559</w:t>
      </w:r>
      <w:r w:rsidR="00BF1387">
        <w:t> </w:t>
      </w:r>
      <w:r w:rsidR="00BF1387" w:rsidRPr="00BF1387">
        <w:t>04</w:t>
      </w:r>
      <w:r w:rsidR="00E73897">
        <w:t>8</w:t>
      </w:r>
      <w:r w:rsidR="00BF1387">
        <w:t> </w:t>
      </w:r>
      <w:r w:rsidR="00BF1387" w:rsidRPr="00BF1387">
        <w:t xml:space="preserve">tis. eur </w:t>
      </w:r>
      <w:r w:rsidRPr="00BF1387">
        <w:t xml:space="preserve">(spolufinancovanie v sume </w:t>
      </w:r>
      <w:r w:rsidR="00BF1387" w:rsidRPr="00BF1387">
        <w:t>149 981</w:t>
      </w:r>
      <w:r w:rsidRPr="00BF1387">
        <w:t> tis. eur).</w:t>
      </w:r>
      <w:r w:rsidR="00B94D28">
        <w:t xml:space="preserve"> </w:t>
      </w:r>
    </w:p>
    <w:p w14:paraId="37F07AC3" w14:textId="2A088219" w:rsidR="00673E40" w:rsidRPr="00DE765D" w:rsidRDefault="00673E40" w:rsidP="008772BC">
      <w:r w:rsidRPr="000F73C2">
        <w:rPr>
          <w:b/>
          <w:i/>
        </w:rPr>
        <w:t>Transfery v rámci verejnej správy</w:t>
      </w:r>
      <w:r w:rsidRPr="000F73C2">
        <w:t xml:space="preserve"> tvorili </w:t>
      </w:r>
      <w:r w:rsidR="00956C56">
        <w:t xml:space="preserve">1 319 259 tis. eur (2017: </w:t>
      </w:r>
      <w:r w:rsidRPr="000F73C2">
        <w:t>734 040 tis. eur</w:t>
      </w:r>
      <w:r w:rsidR="00956C56">
        <w:t>)</w:t>
      </w:r>
      <w:r w:rsidRPr="000F73C2">
        <w:t xml:space="preserve">, </w:t>
      </w:r>
      <w:r w:rsidR="00B94D28">
        <w:t xml:space="preserve">čo predstavuje až 78,5 % z celkových kapitálových transferov. </w:t>
      </w:r>
      <w:r>
        <w:t>Ministerstvo dopravy a</w:t>
      </w:r>
      <w:r w:rsidRPr="00B63CDD">
        <w:t xml:space="preserve"> výstavby SR poskytlo </w:t>
      </w:r>
      <w:r w:rsidR="00B94D28">
        <w:t xml:space="preserve">transfer v celkovej hodnote </w:t>
      </w:r>
      <w:r w:rsidR="00956C56">
        <w:t>821</w:t>
      </w:r>
      <w:r w:rsidRPr="00B63CDD">
        <w:t> </w:t>
      </w:r>
      <w:r w:rsidR="00956C56">
        <w:t>62</w:t>
      </w:r>
      <w:r w:rsidR="00B94D28">
        <w:t>7</w:t>
      </w:r>
      <w:r w:rsidRPr="00500399">
        <w:t> tis</w:t>
      </w:r>
      <w:r w:rsidRPr="00B63CDD">
        <w:t xml:space="preserve">. eur, </w:t>
      </w:r>
      <w:r>
        <w:t>a to</w:t>
      </w:r>
      <w:r w:rsidRPr="00B63CDD">
        <w:t xml:space="preserve"> </w:t>
      </w:r>
      <w:r w:rsidR="00B94D28">
        <w:t xml:space="preserve">najmä </w:t>
      </w:r>
      <w:r w:rsidRPr="00B94D28">
        <w:t>Národnej diaľničnej spoločnosti, a. s.</w:t>
      </w:r>
      <w:r w:rsidR="00B94D28" w:rsidRPr="00B94D28">
        <w:t>, Železniciam SR a Železničnej spoločnosti Slovensko, a. s.</w:t>
      </w:r>
      <w:r w:rsidRPr="00B63CDD">
        <w:t xml:space="preserve"> </w:t>
      </w:r>
      <w:r w:rsidR="00B94D28">
        <w:t xml:space="preserve">Transfery určené </w:t>
      </w:r>
      <w:r w:rsidR="00B94D28" w:rsidRPr="0092508E">
        <w:rPr>
          <w:i/>
          <w:u w:val="single"/>
        </w:rPr>
        <w:t>Národnej diaľničnej spoločnosti, a. s.</w:t>
      </w:r>
      <w:r w:rsidR="00B94D28">
        <w:t xml:space="preserve"> boli </w:t>
      </w:r>
      <w:r w:rsidRPr="00B63CDD">
        <w:t xml:space="preserve">v hodnote </w:t>
      </w:r>
      <w:r w:rsidR="00956C56">
        <w:t>510</w:t>
      </w:r>
      <w:r w:rsidRPr="00B63CDD">
        <w:t> </w:t>
      </w:r>
      <w:r w:rsidR="00956C56">
        <w:t>072</w:t>
      </w:r>
      <w:r w:rsidRPr="00B63CDD">
        <w:t xml:space="preserve"> tis. eur, </w:t>
      </w:r>
      <w:r w:rsidR="00B94D28">
        <w:t xml:space="preserve">pričom </w:t>
      </w:r>
      <w:r w:rsidR="007C7FB5">
        <w:t>išlo o</w:t>
      </w:r>
      <w:r w:rsidR="004D66A6">
        <w:t> </w:t>
      </w:r>
      <w:r w:rsidR="007C7FB5">
        <w:t>nenávratný finančný príspevok</w:t>
      </w:r>
      <w:r w:rsidRPr="00670486">
        <w:t xml:space="preserve"> v</w:t>
      </w:r>
      <w:r w:rsidR="00670486" w:rsidRPr="00670486">
        <w:t> </w:t>
      </w:r>
      <w:r w:rsidRPr="00670486">
        <w:t>rámci</w:t>
      </w:r>
      <w:r w:rsidR="00670486" w:rsidRPr="00670486">
        <w:t xml:space="preserve"> programu</w:t>
      </w:r>
      <w:r w:rsidR="00670486">
        <w:t xml:space="preserve"> Cestná infraštruktúra </w:t>
      </w:r>
      <w:r w:rsidR="008772BC">
        <w:t xml:space="preserve">na investičné akcie </w:t>
      </w:r>
      <w:r w:rsidR="00550549">
        <w:t xml:space="preserve">napr. </w:t>
      </w:r>
      <w:r w:rsidR="008772BC">
        <w:t xml:space="preserve">D1 Lietavská Lúčka – Višňové – </w:t>
      </w:r>
      <w:proofErr w:type="spellStart"/>
      <w:r w:rsidR="008772BC">
        <w:t>Dubná</w:t>
      </w:r>
      <w:proofErr w:type="spellEnd"/>
      <w:r w:rsidR="008772BC">
        <w:t xml:space="preserve"> Skala II. fáza (125 888 tis. eur), D1 Budimír – Bidovce (103 267 tis. eur), D1 Hričovské Podhradie – Lietavská Lúčk</w:t>
      </w:r>
      <w:r w:rsidR="00406EBD">
        <w:t xml:space="preserve">a, II. fáza (62 436 tis. eur) a </w:t>
      </w:r>
      <w:r w:rsidR="008772BC">
        <w:t>ďalšie</w:t>
      </w:r>
      <w:r w:rsidR="009B5822">
        <w:t>.</w:t>
      </w:r>
      <w:r>
        <w:t xml:space="preserve"> </w:t>
      </w:r>
      <w:r w:rsidRPr="0092508E">
        <w:rPr>
          <w:i/>
          <w:u w:val="single"/>
        </w:rPr>
        <w:t>Železniciam SR</w:t>
      </w:r>
      <w:r>
        <w:t xml:space="preserve"> </w:t>
      </w:r>
      <w:r w:rsidR="008772BC">
        <w:t xml:space="preserve">boli poskytnuté transfery </w:t>
      </w:r>
      <w:r w:rsidR="00B94D28">
        <w:t>v sume 209 519</w:t>
      </w:r>
      <w:r w:rsidR="00792BAC" w:rsidRPr="00500399">
        <w:t> tis. eur</w:t>
      </w:r>
      <w:r w:rsidR="00792BAC">
        <w:t xml:space="preserve"> </w:t>
      </w:r>
      <w:r w:rsidR="00912E50">
        <w:t>na výstavbu, obnovu a modernizáciu železničnej siete</w:t>
      </w:r>
      <w:r w:rsidR="008772BC">
        <w:t>,</w:t>
      </w:r>
      <w:r w:rsidR="00550549">
        <w:t xml:space="preserve"> </w:t>
      </w:r>
      <w:r w:rsidR="008772BC">
        <w:t>v rámci programu Železničná infra</w:t>
      </w:r>
      <w:r w:rsidR="00D43B14">
        <w:t>štruktúra na modernizáciu železničnej trate Púchov – Žilina pre traťovú rýchlosť do 160 km/hod (139 </w:t>
      </w:r>
      <w:r w:rsidR="00912E50">
        <w:t>369</w:t>
      </w:r>
      <w:r w:rsidR="00D43B14">
        <w:t> tis. eur</w:t>
      </w:r>
      <w:r w:rsidR="00912E50">
        <w:t>.</w:t>
      </w:r>
      <w:r>
        <w:t xml:space="preserve"> </w:t>
      </w:r>
      <w:r w:rsidR="00956C56" w:rsidRPr="0092508E">
        <w:rPr>
          <w:i/>
          <w:u w:val="single"/>
        </w:rPr>
        <w:t xml:space="preserve">Železničnej spoločnosti Slovensko, a. s. </w:t>
      </w:r>
      <w:r w:rsidR="00792BAC" w:rsidRPr="00792BAC">
        <w:t xml:space="preserve">sa </w:t>
      </w:r>
      <w:r w:rsidR="00DE765D" w:rsidRPr="00DE765D">
        <w:t>poskytli finančné prostriedky v sume 18 319 tis. eur</w:t>
      </w:r>
      <w:r w:rsidR="00792BAC">
        <w:t>,</w:t>
      </w:r>
      <w:r w:rsidR="00912E50">
        <w:t xml:space="preserve"> napr. v rámci programu Železničná infraštruktúra a obnova mobilných prostriedkov</w:t>
      </w:r>
      <w:r w:rsidR="007C7FB5">
        <w:t xml:space="preserve"> na modernizáciu vozového parku železničných koľajových vozidiel (15 835 tis. eur).</w:t>
      </w:r>
      <w:r w:rsidR="005E0D3F">
        <w:t xml:space="preserve"> Nárast skutočne čerpaných transferov oproti schválenému rozpočtu v celkovej sume 562 32</w:t>
      </w:r>
      <w:r w:rsidR="00B94D28">
        <w:t>2</w:t>
      </w:r>
      <w:r w:rsidR="00550549">
        <w:t> tis. eur bol</w:t>
      </w:r>
      <w:r w:rsidR="005E0D3F">
        <w:t xml:space="preserve"> spôsoben</w:t>
      </w:r>
      <w:r w:rsidR="00550549">
        <w:t>ý</w:t>
      </w:r>
      <w:r w:rsidR="005E0D3F">
        <w:t xml:space="preserve"> uvoľnením finančných prostriedkov, z</w:t>
      </w:r>
      <w:r w:rsidR="00B94D28">
        <w:t>a</w:t>
      </w:r>
      <w:r w:rsidR="005E0D3F">
        <w:t>viazaných v predchádzajúcom roku v nadväznosti na časový posun realizácie investičných projektov do nasledujúceho obdobia.</w:t>
      </w:r>
    </w:p>
    <w:p w14:paraId="1FA24968" w14:textId="77777777" w:rsidR="00673E40" w:rsidRPr="00120749" w:rsidRDefault="00673E40" w:rsidP="00673E40">
      <w:r w:rsidRPr="0092508E">
        <w:rPr>
          <w:i/>
          <w:u w:val="single"/>
        </w:rPr>
        <w:t>Príspevkovým organizáciám</w:t>
      </w:r>
      <w:r w:rsidRPr="00120749">
        <w:t xml:space="preserve"> bolo poskytnutých </w:t>
      </w:r>
      <w:r w:rsidR="00120749">
        <w:t>118</w:t>
      </w:r>
      <w:r w:rsidRPr="00120749">
        <w:t> </w:t>
      </w:r>
      <w:r w:rsidR="00120749">
        <w:t>995</w:t>
      </w:r>
      <w:r w:rsidRPr="00120749">
        <w:t xml:space="preserve"> tis. eur. Najviac poskytlo </w:t>
      </w:r>
      <w:r w:rsidR="00120749" w:rsidRPr="00120749">
        <w:t>Ministerstvo zdravotníctva SR (</w:t>
      </w:r>
      <w:r w:rsidR="00120749">
        <w:t>75</w:t>
      </w:r>
      <w:r w:rsidR="00120749" w:rsidRPr="00120749">
        <w:t> </w:t>
      </w:r>
      <w:r w:rsidR="00120749">
        <w:t>103</w:t>
      </w:r>
      <w:r w:rsidR="00120749" w:rsidRPr="00120749">
        <w:t> tis. eur)</w:t>
      </w:r>
      <w:r w:rsidR="00120749">
        <w:t xml:space="preserve">, Ministerstvo životného prostredia SR (19 842 tis. eur), </w:t>
      </w:r>
      <w:r w:rsidRPr="00120749">
        <w:t>Ministerstvo kultúry SR (</w:t>
      </w:r>
      <w:r w:rsidR="000D18AA">
        <w:t>8</w:t>
      </w:r>
      <w:r w:rsidRPr="00120749">
        <w:t> </w:t>
      </w:r>
      <w:r w:rsidR="000D18AA">
        <w:t>475 tis. eur)</w:t>
      </w:r>
      <w:r w:rsidR="00B84957">
        <w:t>,</w:t>
      </w:r>
      <w:r w:rsidRPr="00120749">
        <w:t xml:space="preserve"> Ministerstvo školstva, vedy, výskumu a športu SR (</w:t>
      </w:r>
      <w:r w:rsidR="000D18AA">
        <w:t>6</w:t>
      </w:r>
      <w:r w:rsidRPr="00120749">
        <w:t> </w:t>
      </w:r>
      <w:r w:rsidR="000D18AA">
        <w:t>674</w:t>
      </w:r>
      <w:r w:rsidR="00B84957">
        <w:t> tis. eur) a Ministerstvo pôdohospodárstva a rozvoja vidieka SR (4 563 tis. eur).</w:t>
      </w:r>
    </w:p>
    <w:p w14:paraId="2FE6E7F5" w14:textId="77777777" w:rsidR="00B73898" w:rsidRPr="00120749" w:rsidRDefault="00B73898" w:rsidP="00B73898">
      <w:r w:rsidRPr="00120749">
        <w:t xml:space="preserve">Ministerstvo zdravotníctva SR </w:t>
      </w:r>
      <w:r w:rsidRPr="001A66EA">
        <w:t xml:space="preserve">poskytlo transfery </w:t>
      </w:r>
      <w:r w:rsidR="001A66EA" w:rsidRPr="001A66EA">
        <w:t>na</w:t>
      </w:r>
      <w:r w:rsidR="001A66EA">
        <w:t xml:space="preserve"> rekonštrukciu, stavebné úpravy a modernizáciu priestorov a budov zdravotníckych zariadení, na obstaranie nového prístrojového vybavenia zdravotníckych zariadení, a to najmä Univerzitnej nemocnici Bratislava (34 516 tis. eur), Národnému ústavu detských chorôb Bratislava (9 592 tis. eur), Fakultnej nemocnici Trnava (5 068 tis. eur), Fakultnej nemocnici s poliklinikou J. A. </w:t>
      </w:r>
      <w:proofErr w:type="spellStart"/>
      <w:r w:rsidR="001A66EA">
        <w:t>Reimana</w:t>
      </w:r>
      <w:proofErr w:type="spellEnd"/>
      <w:r w:rsidR="001A66EA">
        <w:t xml:space="preserve"> Prešov (5 037 tis. eur) a ďalším.</w:t>
      </w:r>
    </w:p>
    <w:p w14:paraId="485D7F4A" w14:textId="77777777" w:rsidR="00B84957" w:rsidRPr="00D7452C" w:rsidRDefault="00B84957" w:rsidP="00673E40">
      <w:r>
        <w:t>Ministerstvo životného prostredia SR</w:t>
      </w:r>
      <w:r w:rsidR="00192270">
        <w:t xml:space="preserve"> poskytlo transfe</w:t>
      </w:r>
      <w:r w:rsidR="00F30250">
        <w:t xml:space="preserve">r </w:t>
      </w:r>
      <w:r w:rsidR="00D7452C">
        <w:t xml:space="preserve">pre </w:t>
      </w:r>
      <w:r w:rsidR="00F30250">
        <w:t>Národn</w:t>
      </w:r>
      <w:r w:rsidR="00D7452C">
        <w:t>ú</w:t>
      </w:r>
      <w:r w:rsidR="00F30250">
        <w:t xml:space="preserve"> zoologick</w:t>
      </w:r>
      <w:r w:rsidR="00D7452C">
        <w:t>ú</w:t>
      </w:r>
      <w:r w:rsidR="00F30250">
        <w:t xml:space="preserve"> záhrad</w:t>
      </w:r>
      <w:r w:rsidR="00D7452C">
        <w:t>u</w:t>
      </w:r>
      <w:r w:rsidR="00F30250">
        <w:t xml:space="preserve"> B</w:t>
      </w:r>
      <w:r w:rsidR="00192270">
        <w:t>ojnice</w:t>
      </w:r>
      <w:r w:rsidR="00F30250">
        <w:t xml:space="preserve"> </w:t>
      </w:r>
      <w:r w:rsidR="00D7452C">
        <w:t xml:space="preserve">(6 358 tis. eur) na </w:t>
      </w:r>
      <w:r w:rsidR="00F30250" w:rsidRPr="00F30250">
        <w:t xml:space="preserve">obstaranie stavieb </w:t>
      </w:r>
      <w:r w:rsidR="00F30250">
        <w:t>af</w:t>
      </w:r>
      <w:r w:rsidR="00F30250" w:rsidRPr="00F30250">
        <w:t>rickej fauny</w:t>
      </w:r>
      <w:r w:rsidR="00D7452C">
        <w:t xml:space="preserve">, </w:t>
      </w:r>
      <w:r w:rsidR="00F30250" w:rsidRPr="00F30250">
        <w:t>dobudovanie vstupného areálu, vybudovanie skladu krmovín</w:t>
      </w:r>
      <w:r w:rsidR="00935CD2">
        <w:t xml:space="preserve">, </w:t>
      </w:r>
      <w:r w:rsidR="00D7452C">
        <w:t>voliér pre dravé vtáky</w:t>
      </w:r>
      <w:r w:rsidR="00935CD2">
        <w:t xml:space="preserve"> a pod.</w:t>
      </w:r>
      <w:r w:rsidR="00D7452C">
        <w:t>, pre Výskumný ústav vodného hospodárstva (6 156 tis. eur) na monitorovanie a hodnotenie stavu vôd</w:t>
      </w:r>
      <w:r w:rsidR="00C96910">
        <w:t xml:space="preserve"> </w:t>
      </w:r>
      <w:r w:rsidR="00D7452C">
        <w:t xml:space="preserve">- III. etapa, pre Štátny geologický ústav </w:t>
      </w:r>
      <w:r w:rsidR="00C96910">
        <w:t xml:space="preserve">Dionýza Štúra </w:t>
      </w:r>
      <w:r w:rsidR="00D7452C">
        <w:t xml:space="preserve">(3 356 tis. eur) na monitorovanie </w:t>
      </w:r>
      <w:r w:rsidR="00C96910">
        <w:t>chemického stavu a hodnotenie kvality podzemných vôd SR a zabezpečenie monitorovania environmentálnych záťaží Slovenska.</w:t>
      </w:r>
    </w:p>
    <w:p w14:paraId="45E91931" w14:textId="77777777" w:rsidR="00B73898" w:rsidRDefault="00673E40" w:rsidP="00673E40">
      <w:pPr>
        <w:rPr>
          <w:lang w:eastAsia="sk-SK"/>
        </w:rPr>
      </w:pPr>
      <w:r w:rsidRPr="00120749">
        <w:t xml:space="preserve">Kapitola Ministerstva kultúry SR poskytla transfery </w:t>
      </w:r>
      <w:r w:rsidR="00B73898">
        <w:t xml:space="preserve">predovšetkým </w:t>
      </w:r>
      <w:r w:rsidR="00B73898">
        <w:rPr>
          <w:lang w:eastAsia="sk-SK"/>
        </w:rPr>
        <w:t>pre Slovenské národné divadlo (1 230 tis. eur) na obnovu nástrojového vybavenia a rekonštrukciu objektov divadla, pre Slovenské technické múzeum (1 020 tis. eur) na výstavbu provizórnej haly v Múzeu letectva, pre Slovenské národné múzeum (825 tis. eur) na vybudovanie Múzea holokaustu v Seredi. Pokles skutočnosti oproti schválenému rozpočtu (o 20 744 tis. eur) ovplyvnilo viazanie prostriedkov na použitie v roku 2019 napr. na celkovú rekonštrukciu a modernizáciu Slovenskej národnej galérie.</w:t>
      </w:r>
    </w:p>
    <w:p w14:paraId="1A784871" w14:textId="77777777" w:rsidR="00520A6F" w:rsidRPr="00520A6F" w:rsidRDefault="00673E40" w:rsidP="00520A6F">
      <w:r w:rsidRPr="00120749">
        <w:t xml:space="preserve">Ministerstvo školstva, vedy, výskumu a športu SR </w:t>
      </w:r>
      <w:r w:rsidRPr="00520A6F">
        <w:t xml:space="preserve">poskytlo transfer </w:t>
      </w:r>
      <w:r w:rsidR="00566D5A" w:rsidRPr="00520A6F">
        <w:t xml:space="preserve">pre Centrum vedecko – technických informácií SR v sume 5 888 tis. eur, na </w:t>
      </w:r>
      <w:r w:rsidR="00520A6F" w:rsidRPr="00520A6F">
        <w:t>projekt Horizontálna I</w:t>
      </w:r>
      <w:r w:rsidR="00520A6F">
        <w:t xml:space="preserve">KT </w:t>
      </w:r>
      <w:r w:rsidR="00520A6F" w:rsidRPr="00520A6F">
        <w:t>podpora a centrálna infraštruktúra pre inštitúcie výsk</w:t>
      </w:r>
      <w:r w:rsidR="00520A6F">
        <w:t>umu a vývoja, na základe existujúceho Dátového centra pre výskum a vývoj v Žiline. Ide o viacročný projekt inovácie vybudovania komplexnej infraštruktúry na národnej úrovni tak, aby v plnej miere slúžila pre celý rad výskumných oblastí.</w:t>
      </w:r>
    </w:p>
    <w:p w14:paraId="29610504" w14:textId="77777777" w:rsidR="00673E40" w:rsidRPr="007D5107" w:rsidRDefault="00673E40" w:rsidP="00673E40">
      <w:r w:rsidRPr="003566E5">
        <w:rPr>
          <w:i/>
          <w:u w:val="single"/>
        </w:rPr>
        <w:t>Obciam</w:t>
      </w:r>
      <w:r w:rsidRPr="007D5107">
        <w:t xml:space="preserve"> bolo poskytnutých </w:t>
      </w:r>
      <w:r w:rsidR="00DE765D">
        <w:t>351 293 </w:t>
      </w:r>
      <w:r w:rsidRPr="007D5107">
        <w:t>tis. eur (201</w:t>
      </w:r>
      <w:r w:rsidR="00DE765D">
        <w:t>7</w:t>
      </w:r>
      <w:r w:rsidRPr="007D5107">
        <w:t>: </w:t>
      </w:r>
      <w:r w:rsidR="00DE765D">
        <w:t>168 930 </w:t>
      </w:r>
      <w:r w:rsidRPr="007D5107">
        <w:t>tis.</w:t>
      </w:r>
      <w:r>
        <w:t> eur).</w:t>
      </w:r>
      <w:r w:rsidRPr="007D5107">
        <w:t xml:space="preserve"> </w:t>
      </w:r>
      <w:r>
        <w:t>N</w:t>
      </w:r>
      <w:r w:rsidRPr="007D5107">
        <w:t>ajvyšš</w:t>
      </w:r>
      <w:r w:rsidR="006777E3">
        <w:t>ími</w:t>
      </w:r>
      <w:r w:rsidRPr="007D5107">
        <w:t xml:space="preserve"> sum</w:t>
      </w:r>
      <w:r w:rsidR="006777E3">
        <w:t>ami</w:t>
      </w:r>
      <w:r w:rsidRPr="007D5107">
        <w:t xml:space="preserve"> sa </w:t>
      </w:r>
      <w:r w:rsidR="006777E3">
        <w:t>na transferoch obciam podieľali</w:t>
      </w:r>
      <w:r w:rsidRPr="007D5107">
        <w:t xml:space="preserve"> </w:t>
      </w:r>
      <w:r w:rsidR="006777E3" w:rsidRPr="007D5107">
        <w:t>Ministerstvo životného prostredia SR</w:t>
      </w:r>
      <w:r w:rsidR="006777E3">
        <w:t xml:space="preserve"> </w:t>
      </w:r>
      <w:r w:rsidR="006777E3" w:rsidRPr="007D5107">
        <w:t>(</w:t>
      </w:r>
      <w:r w:rsidR="006777E3">
        <w:t>125 965 </w:t>
      </w:r>
      <w:r w:rsidR="006777E3" w:rsidRPr="007D5107">
        <w:t>tis. eur),</w:t>
      </w:r>
      <w:r w:rsidR="006777E3">
        <w:t xml:space="preserve"> </w:t>
      </w:r>
      <w:r>
        <w:t>Ministerstvo dopravy a</w:t>
      </w:r>
      <w:r w:rsidRPr="007D5107">
        <w:t xml:space="preserve"> výstavby</w:t>
      </w:r>
      <w:r>
        <w:t xml:space="preserve"> SR (6</w:t>
      </w:r>
      <w:r w:rsidR="006777E3">
        <w:t>2</w:t>
      </w:r>
      <w:r>
        <w:t> </w:t>
      </w:r>
      <w:r w:rsidR="006777E3">
        <w:t>704</w:t>
      </w:r>
      <w:r>
        <w:t> tis. </w:t>
      </w:r>
      <w:r w:rsidRPr="007D5107">
        <w:t>eur), Ministerstvo vnútra SR (</w:t>
      </w:r>
      <w:r w:rsidR="006777E3">
        <w:t>51 361 </w:t>
      </w:r>
      <w:r w:rsidRPr="007D5107">
        <w:t>tis. eur)</w:t>
      </w:r>
      <w:r w:rsidR="006777E3">
        <w:t>,</w:t>
      </w:r>
      <w:r>
        <w:t xml:space="preserve"> </w:t>
      </w:r>
      <w:r w:rsidRPr="007D5107">
        <w:t>Ministerstvo pôdohosp</w:t>
      </w:r>
      <w:r w:rsidR="006777E3">
        <w:t>odárstva a rozvoja vidieka SR (4</w:t>
      </w:r>
      <w:r w:rsidRPr="007D5107">
        <w:t>4 </w:t>
      </w:r>
      <w:r w:rsidR="006777E3">
        <w:t>046</w:t>
      </w:r>
      <w:r w:rsidRPr="007D5107">
        <w:t> tis. eur)</w:t>
      </w:r>
      <w:r w:rsidR="006777E3">
        <w:t>, Všeobecná pokla</w:t>
      </w:r>
      <w:r w:rsidR="00FE205C">
        <w:t>dničná správa (39 115 tis. eur)</w:t>
      </w:r>
      <w:r w:rsidR="006777E3">
        <w:t xml:space="preserve"> a Úrad vlády SR (10 904 tis. eur).</w:t>
      </w:r>
    </w:p>
    <w:p w14:paraId="0A0A41AC" w14:textId="7E4CF84A" w:rsidR="006777E3" w:rsidRDefault="00673E40" w:rsidP="006777E3">
      <w:r w:rsidRPr="00DA0827">
        <w:t xml:space="preserve">Ministerstvo životného prostredia SR poskytlo transfery obciam </w:t>
      </w:r>
      <w:r w:rsidR="00C96910">
        <w:t xml:space="preserve">v rámci operačného programu Kvalita životného prostredia </w:t>
      </w:r>
      <w:r w:rsidRPr="00DA0827">
        <w:t xml:space="preserve">predovšetkým na </w:t>
      </w:r>
      <w:r w:rsidRPr="00C96910">
        <w:t>dobudovanie, rekonštrukciu a modernizáciu kanalizačných sietí a čističiek odpadových vôd</w:t>
      </w:r>
      <w:r w:rsidR="00EE615D">
        <w:t xml:space="preserve">, </w:t>
      </w:r>
      <w:r w:rsidRPr="00C96910">
        <w:t>na zníženie ener</w:t>
      </w:r>
      <w:r w:rsidR="00EE615D">
        <w:t>getickej náročnosti budov, na zvyšovanie energetickej efektívnosti budov, na budovanie zberných dvorov, na protipovodňovú ochranu obcí a pod.</w:t>
      </w:r>
      <w:r w:rsidR="00A92E0A">
        <w:t xml:space="preserve"> </w:t>
      </w:r>
      <w:r w:rsidR="003566E5">
        <w:t>Pozitívny r</w:t>
      </w:r>
      <w:r w:rsidR="00A92E0A">
        <w:t>ozdiel medzi skutočne čerpanými výdavkami a schváleným rozpočtom bol v sume 125 965 tis. eur</w:t>
      </w:r>
      <w:r w:rsidR="00863D3D">
        <w:t>.</w:t>
      </w:r>
      <w:r w:rsidR="00A92E0A">
        <w:t xml:space="preserve"> </w:t>
      </w:r>
      <w:r w:rsidR="00863D3D">
        <w:t>D</w:t>
      </w:r>
      <w:r w:rsidR="00A92E0A">
        <w:t>ôvodom bolo použitie prostriedkov z E</w:t>
      </w:r>
      <w:r w:rsidR="00A869E6">
        <w:t>Ú</w:t>
      </w:r>
      <w:r w:rsidR="00A92E0A">
        <w:t xml:space="preserve"> zdrojov z predchádzajúcich rokov.</w:t>
      </w:r>
    </w:p>
    <w:p w14:paraId="15DE2239" w14:textId="77777777" w:rsidR="00ED35DC" w:rsidRDefault="00ED35DC">
      <w:pPr>
        <w:spacing w:after="160" w:line="259" w:lineRule="auto"/>
        <w:jc w:val="left"/>
      </w:pPr>
      <w:r>
        <w:br w:type="page"/>
      </w:r>
    </w:p>
    <w:p w14:paraId="46862772" w14:textId="6BB83BE1" w:rsidR="006777E3" w:rsidRPr="001A0B42" w:rsidRDefault="006777E3" w:rsidP="006777E3">
      <w:pPr>
        <w:rPr>
          <w:color w:val="1F497D"/>
        </w:rPr>
      </w:pPr>
      <w:r w:rsidRPr="001A0B42">
        <w:t xml:space="preserve">Ministerstvo dopravy a výstavby SR </w:t>
      </w:r>
      <w:r w:rsidR="00CC6D25">
        <w:t>realizovalo</w:t>
      </w:r>
      <w:r w:rsidR="00863D3D">
        <w:t xml:space="preserve"> transfer</w:t>
      </w:r>
      <w:r w:rsidRPr="001A0B42">
        <w:t xml:space="preserve"> </w:t>
      </w:r>
      <w:r w:rsidRPr="004D66A6">
        <w:t xml:space="preserve">predovšetkým </w:t>
      </w:r>
      <w:r w:rsidR="004D66A6" w:rsidRPr="004D66A6">
        <w:t>mestu</w:t>
      </w:r>
      <w:r w:rsidR="004D66A6">
        <w:t xml:space="preserve"> Košice na modernizáciu električkových tratí v sume 30 977 </w:t>
      </w:r>
      <w:r w:rsidR="00CC6D25">
        <w:t xml:space="preserve">tis. eur a transfer </w:t>
      </w:r>
      <w:r w:rsidR="00D24024">
        <w:t>v rámci programu Výstavba a obnova bytového fondu napr. na obstaranie nájomných bytov na účel sociálneho bývania v sume 27 862 tis. eur.</w:t>
      </w:r>
    </w:p>
    <w:p w14:paraId="23A41097" w14:textId="77777777" w:rsidR="00FD1BDD" w:rsidRDefault="00673E40" w:rsidP="00673E40">
      <w:pPr>
        <w:rPr>
          <w:color w:val="000000"/>
        </w:rPr>
      </w:pPr>
      <w:r w:rsidRPr="00DA0827">
        <w:t xml:space="preserve">Ministerstvo vnútra SR poskytlo </w:t>
      </w:r>
      <w:r w:rsidRPr="000B0251">
        <w:t>obciam t</w:t>
      </w:r>
      <w:r w:rsidRPr="00DA0827">
        <w:t xml:space="preserve">ransfery najmä </w:t>
      </w:r>
      <w:r>
        <w:rPr>
          <w:color w:val="000000"/>
        </w:rPr>
        <w:t xml:space="preserve">na </w:t>
      </w:r>
      <w:r w:rsidR="00FD1BDD">
        <w:t>projekty zamerané na prevenciu kriminality na regionálnej úrovni prostredníctvom okresných úradov v rámci programu Efektívna a</w:t>
      </w:r>
      <w:r w:rsidR="00931F7D">
        <w:t xml:space="preserve"> </w:t>
      </w:r>
      <w:r w:rsidR="00FD1BDD">
        <w:t>spoľahlivá štátna správa (34 045 tis. eur) a v rámci programu Ľudské zdroje (13 960 tis. eur).</w:t>
      </w:r>
    </w:p>
    <w:p w14:paraId="681D31F7" w14:textId="49511FAB" w:rsidR="00791C06" w:rsidRDefault="00673E40" w:rsidP="00791C06">
      <w:pPr>
        <w:rPr>
          <w:bCs/>
        </w:rPr>
      </w:pPr>
      <w:r>
        <w:t xml:space="preserve">Transfery </w:t>
      </w:r>
      <w:r w:rsidRPr="00E1613B">
        <w:t xml:space="preserve">Ministerstva pôdohospodárstva a rozvoja vidieka SR </w:t>
      </w:r>
      <w:r w:rsidR="00791C06">
        <w:t>boli p</w:t>
      </w:r>
      <w:r w:rsidR="00791C06" w:rsidRPr="00EC1F36">
        <w:t>oskytnu</w:t>
      </w:r>
      <w:r w:rsidR="00791C06">
        <w:t>té formou n</w:t>
      </w:r>
      <w:r w:rsidR="00791C06" w:rsidRPr="00EC1F36">
        <w:t>enávratný</w:t>
      </w:r>
      <w:r w:rsidR="00791C06">
        <w:t>ch</w:t>
      </w:r>
      <w:r w:rsidR="00791C06" w:rsidRPr="00EC1F36">
        <w:t xml:space="preserve"> finančný</w:t>
      </w:r>
      <w:r w:rsidR="00791C06">
        <w:t>ch</w:t>
      </w:r>
      <w:r w:rsidR="00791C06" w:rsidRPr="00EC1F36">
        <w:t xml:space="preserve"> príspev</w:t>
      </w:r>
      <w:r w:rsidR="00791C06">
        <w:t>kov z</w:t>
      </w:r>
      <w:r w:rsidR="00791C06">
        <w:rPr>
          <w:bCs/>
        </w:rPr>
        <w:t xml:space="preserve"> Európskeho poľnohospodárskeho fondu pre rozvoj vidieka (26 728 tis. eur) a z Európskeho fondu regionálneho rozvoja</w:t>
      </w:r>
      <w:r w:rsidR="00863D3D">
        <w:rPr>
          <w:bCs/>
        </w:rPr>
        <w:t xml:space="preserve"> (EFRR)</w:t>
      </w:r>
      <w:r w:rsidR="00791C06">
        <w:rPr>
          <w:bCs/>
        </w:rPr>
        <w:t xml:space="preserve"> (17 318 tis. eur). </w:t>
      </w:r>
      <w:r w:rsidR="00EE615D">
        <w:rPr>
          <w:bCs/>
        </w:rPr>
        <w:t xml:space="preserve">Išlo o investície do infraštruktúry súvisiacej s modernizáciou poľnohospodárstva a lesného hospodárstva, do </w:t>
      </w:r>
      <w:r w:rsidR="00FD412A">
        <w:rPr>
          <w:bCs/>
        </w:rPr>
        <w:t>vytvárania a rozširovania miestnych základných služieb pre vidiecke obyvateľstvo, investície do rekreačnej infraštruktúry, na obnovu lesov poškodených požiarmi a prírodnými katastrofami. Z EFRR boli čerpané transfery v rámci Integrovaného regionálneho operačného programu 2014</w:t>
      </w:r>
      <w:r w:rsidR="00935CD2">
        <w:rPr>
          <w:bCs/>
        </w:rPr>
        <w:t xml:space="preserve"> </w:t>
      </w:r>
      <w:r w:rsidR="00FD412A">
        <w:rPr>
          <w:bCs/>
        </w:rPr>
        <w:t>-</w:t>
      </w:r>
      <w:r w:rsidR="00935CD2">
        <w:rPr>
          <w:bCs/>
        </w:rPr>
        <w:t xml:space="preserve"> </w:t>
      </w:r>
      <w:r w:rsidR="00FD412A">
        <w:rPr>
          <w:bCs/>
        </w:rPr>
        <w:t xml:space="preserve">2020 na zlepšenie kvality života v regiónoch a v rámci Operačného programu cezhraničnej spolupráce </w:t>
      </w:r>
      <w:proofErr w:type="spellStart"/>
      <w:r w:rsidR="00FD412A">
        <w:rPr>
          <w:bCs/>
        </w:rPr>
        <w:t>Interreg</w:t>
      </w:r>
      <w:proofErr w:type="spellEnd"/>
      <w:r w:rsidR="00FD412A">
        <w:rPr>
          <w:bCs/>
        </w:rPr>
        <w:t xml:space="preserve"> V – A Poľsko – Slovensko a Slovensko </w:t>
      </w:r>
      <w:r w:rsidR="00416834">
        <w:rPr>
          <w:bCs/>
        </w:rPr>
        <w:t xml:space="preserve">– </w:t>
      </w:r>
      <w:r w:rsidR="00FD412A">
        <w:rPr>
          <w:bCs/>
        </w:rPr>
        <w:t>Česká republika.</w:t>
      </w:r>
    </w:p>
    <w:p w14:paraId="4312CB03" w14:textId="7756E776" w:rsidR="00AA43DB" w:rsidRDefault="00AA43DB" w:rsidP="00AA43DB">
      <w:r>
        <w:t xml:space="preserve">Všeobecná pokladničná správa poskytla finančné prostriedky na rekonštrukciu komunikácií pre hlavné mesto Bratislava (10 000 tis. eur), na akčné plány rozvoja okresov východného Slovenska, na individuálne potreby obcí </w:t>
      </w:r>
      <w:r w:rsidR="00863D3D">
        <w:t>(13 258 tis. eur), na záchranu</w:t>
      </w:r>
      <w:r w:rsidR="0062185B">
        <w:t xml:space="preserve"> a obnovu kultúrnych pamiatok v </w:t>
      </w:r>
      <w:r w:rsidR="00863D3D">
        <w:t xml:space="preserve">Banskej Štiavnici, Levoči, Bardejove, Kremnici, Martine a Spišskom Podhradí (2 250 tis. eur) </w:t>
      </w:r>
      <w:r>
        <w:t>a pod.</w:t>
      </w:r>
    </w:p>
    <w:p w14:paraId="43031CB7" w14:textId="651BF78C" w:rsidR="00FE0A2F" w:rsidRDefault="00FE0A2F" w:rsidP="00791C06">
      <w:pPr>
        <w:rPr>
          <w:bCs/>
        </w:rPr>
      </w:pPr>
      <w:r>
        <w:rPr>
          <w:bCs/>
        </w:rPr>
        <w:t xml:space="preserve">Úrad </w:t>
      </w:r>
      <w:r w:rsidRPr="000F7DD7">
        <w:rPr>
          <w:bCs/>
        </w:rPr>
        <w:t>vlády poskytol transfery</w:t>
      </w:r>
      <w:r w:rsidR="00931F7D" w:rsidRPr="000F7DD7">
        <w:rPr>
          <w:bCs/>
        </w:rPr>
        <w:t xml:space="preserve"> </w:t>
      </w:r>
      <w:r w:rsidR="00931F7D">
        <w:rPr>
          <w:bCs/>
        </w:rPr>
        <w:t>obciam a</w:t>
      </w:r>
      <w:r w:rsidR="000F7DD7">
        <w:rPr>
          <w:bCs/>
        </w:rPr>
        <w:t xml:space="preserve"> </w:t>
      </w:r>
      <w:r w:rsidR="00931F7D">
        <w:rPr>
          <w:bCs/>
        </w:rPr>
        <w:t xml:space="preserve">mestám napr. na </w:t>
      </w:r>
      <w:r w:rsidR="000F7DD7">
        <w:rPr>
          <w:bCs/>
        </w:rPr>
        <w:t xml:space="preserve">rekonštrukciu a výstavbu detských a multifunkčných ihrísk (4 548 tis. eur) v rámci programu Podpora rozvoja športu, </w:t>
      </w:r>
      <w:r w:rsidR="002D7346">
        <w:rPr>
          <w:bCs/>
        </w:rPr>
        <w:t xml:space="preserve">na rekonštrukcie mestských parkov, mostov, </w:t>
      </w:r>
      <w:proofErr w:type="spellStart"/>
      <w:r w:rsidR="002D7346">
        <w:rPr>
          <w:bCs/>
        </w:rPr>
        <w:t>cyklochodníkov</w:t>
      </w:r>
      <w:proofErr w:type="spellEnd"/>
      <w:r w:rsidR="002D7346">
        <w:rPr>
          <w:bCs/>
        </w:rPr>
        <w:t xml:space="preserve"> a</w:t>
      </w:r>
      <w:r w:rsidR="00935CD2">
        <w:rPr>
          <w:bCs/>
        </w:rPr>
        <w:t> </w:t>
      </w:r>
      <w:r w:rsidR="002D7346">
        <w:rPr>
          <w:bCs/>
        </w:rPr>
        <w:t>pod</w:t>
      </w:r>
      <w:r w:rsidR="00935CD2">
        <w:rPr>
          <w:bCs/>
        </w:rPr>
        <w:t>.</w:t>
      </w:r>
      <w:r w:rsidR="002D7346">
        <w:rPr>
          <w:bCs/>
        </w:rPr>
        <w:t xml:space="preserve"> </w:t>
      </w:r>
      <w:r w:rsidR="00BB26F9">
        <w:rPr>
          <w:bCs/>
        </w:rPr>
        <w:t xml:space="preserve">v najmenej rozvinutých okresoch </w:t>
      </w:r>
      <w:r w:rsidR="002D7346">
        <w:rPr>
          <w:bCs/>
        </w:rPr>
        <w:t xml:space="preserve">(4 475 tis. eur) v rámci programu </w:t>
      </w:r>
      <w:r w:rsidR="000265AB">
        <w:rPr>
          <w:bCs/>
        </w:rPr>
        <w:t xml:space="preserve">na </w:t>
      </w:r>
      <w:r w:rsidR="002D7346">
        <w:rPr>
          <w:bCs/>
        </w:rPr>
        <w:t>P</w:t>
      </w:r>
      <w:r w:rsidR="000265AB">
        <w:rPr>
          <w:bCs/>
        </w:rPr>
        <w:t>odporu regionálneho rozvoja.</w:t>
      </w:r>
      <w:r w:rsidR="00BB26F9">
        <w:rPr>
          <w:bCs/>
        </w:rPr>
        <w:t xml:space="preserve"> Nárast skutočne čerpaných finančných prostriedkov oproti schválenému rozpočtu o 10 904 tis. eur spôsobil dodatočný presun </w:t>
      </w:r>
      <w:r w:rsidR="00863D3D">
        <w:rPr>
          <w:bCs/>
        </w:rPr>
        <w:t xml:space="preserve">prostriedkov štátneho rozpočtu </w:t>
      </w:r>
      <w:r w:rsidR="00BB26F9">
        <w:rPr>
          <w:bCs/>
        </w:rPr>
        <w:t>z</w:t>
      </w:r>
      <w:r w:rsidR="00863D3D">
        <w:rPr>
          <w:bCs/>
        </w:rPr>
        <w:t xml:space="preserve"> kapitoly </w:t>
      </w:r>
      <w:r w:rsidR="00BB26F9">
        <w:rPr>
          <w:bCs/>
        </w:rPr>
        <w:t>Všeobecn</w:t>
      </w:r>
      <w:r w:rsidR="00863D3D">
        <w:rPr>
          <w:bCs/>
        </w:rPr>
        <w:t>á</w:t>
      </w:r>
      <w:r w:rsidR="00BB26F9">
        <w:rPr>
          <w:bCs/>
        </w:rPr>
        <w:t xml:space="preserve"> pokladničn</w:t>
      </w:r>
      <w:r w:rsidR="00863D3D">
        <w:rPr>
          <w:bCs/>
        </w:rPr>
        <w:t>á</w:t>
      </w:r>
      <w:r w:rsidR="00BB26F9">
        <w:rPr>
          <w:bCs/>
        </w:rPr>
        <w:t xml:space="preserve"> správ</w:t>
      </w:r>
      <w:r w:rsidR="00863D3D">
        <w:rPr>
          <w:bCs/>
        </w:rPr>
        <w:t>a</w:t>
      </w:r>
      <w:r w:rsidR="00BB26F9">
        <w:rPr>
          <w:bCs/>
        </w:rPr>
        <w:t xml:space="preserve">. </w:t>
      </w:r>
    </w:p>
    <w:p w14:paraId="0C95E8B5" w14:textId="77777777" w:rsidR="00673E40" w:rsidRPr="00D42F2A" w:rsidRDefault="00673E40" w:rsidP="00673E40">
      <w:r w:rsidRPr="00D42F2A">
        <w:t>Transfery</w:t>
      </w:r>
      <w:r w:rsidRPr="00D42F2A">
        <w:rPr>
          <w:b/>
          <w:i/>
        </w:rPr>
        <w:t xml:space="preserve"> nefinančným subjektom a príspevkovým organizáciám nezaradeným vo verejnej správe</w:t>
      </w:r>
      <w:r w:rsidRPr="00D42F2A">
        <w:t xml:space="preserve"> tvorili </w:t>
      </w:r>
      <w:r w:rsidR="00D42F2A" w:rsidRPr="00D42F2A">
        <w:t>331 57</w:t>
      </w:r>
      <w:r w:rsidR="00792BAC">
        <w:t>8</w:t>
      </w:r>
      <w:r w:rsidRPr="00D42F2A">
        <w:t xml:space="preserve"> tis. eur, čo predstavuje </w:t>
      </w:r>
      <w:r w:rsidR="00D42F2A" w:rsidRPr="00D42F2A">
        <w:t>19</w:t>
      </w:r>
      <w:r w:rsidRPr="00D42F2A">
        <w:t>,7</w:t>
      </w:r>
      <w:r w:rsidRPr="00D42F2A">
        <w:rPr>
          <w:color w:val="FF0000"/>
        </w:rPr>
        <w:t xml:space="preserve"> </w:t>
      </w:r>
      <w:r w:rsidRPr="00D42F2A">
        <w:t xml:space="preserve">% z celkovej výšky kapitálových transferov. Najvyššiu hodnotu vykazovali kapitoly </w:t>
      </w:r>
      <w:r w:rsidR="00D42F2A" w:rsidRPr="00D42F2A">
        <w:t>Ministerstva životného prostredia SR (</w:t>
      </w:r>
      <w:r w:rsidR="00D42F2A">
        <w:t>130</w:t>
      </w:r>
      <w:r w:rsidR="00D42F2A" w:rsidRPr="00D42F2A">
        <w:t> </w:t>
      </w:r>
      <w:r w:rsidR="00D42F2A">
        <w:t>976</w:t>
      </w:r>
      <w:r w:rsidR="00D42F2A" w:rsidRPr="00D42F2A">
        <w:t xml:space="preserve"> tis. eur), </w:t>
      </w:r>
      <w:r w:rsidRPr="00D42F2A">
        <w:t>Ministerstva pôdohospodárstva a rozvoja vidieka SR (</w:t>
      </w:r>
      <w:r w:rsidR="00D42F2A">
        <w:t>94</w:t>
      </w:r>
      <w:r w:rsidRPr="00D42F2A">
        <w:t> </w:t>
      </w:r>
      <w:r w:rsidR="00D42F2A">
        <w:t>878</w:t>
      </w:r>
      <w:r w:rsidRPr="00D42F2A">
        <w:t> tis. eur), Ministerstva hospodárstva SR (</w:t>
      </w:r>
      <w:r w:rsidR="00D42F2A">
        <w:t>89</w:t>
      </w:r>
      <w:r w:rsidRPr="00D42F2A">
        <w:t> </w:t>
      </w:r>
      <w:r w:rsidR="00D42F2A">
        <w:t>167 tis. eur) a Všeobecná pokladničná správa (9 303 tis. eur)</w:t>
      </w:r>
    </w:p>
    <w:p w14:paraId="6E0D27D1" w14:textId="16148221" w:rsidR="00956BDB" w:rsidRDefault="00956BDB" w:rsidP="00956BDB">
      <w:r w:rsidRPr="00956BDB">
        <w:t xml:space="preserve">Ministerstvo životného prostredia SR poskytlo transfery na podpoložke </w:t>
      </w:r>
      <w:r w:rsidRPr="00847B6D">
        <w:rPr>
          <w:i/>
          <w:u w:val="single"/>
        </w:rPr>
        <w:t>právnickej osobe založenej štátom, obcou, alebo vyšším územným celkom</w:t>
      </w:r>
      <w:r w:rsidRPr="00956BDB">
        <w:t xml:space="preserve"> v sume </w:t>
      </w:r>
      <w:r>
        <w:t>81</w:t>
      </w:r>
      <w:r w:rsidRPr="00956BDB">
        <w:t> </w:t>
      </w:r>
      <w:r>
        <w:t>408</w:t>
      </w:r>
      <w:r w:rsidR="00FF0041">
        <w:t> tis. eur.</w:t>
      </w:r>
      <w:r w:rsidRPr="00956BDB">
        <w:t xml:space="preserve"> </w:t>
      </w:r>
      <w:r w:rsidR="00FF0041">
        <w:t>I</w:t>
      </w:r>
      <w:r>
        <w:t xml:space="preserve">šlo predovšetkým o transfery vodárenským spoločnostiam na výstavbu a rekonštrukciu kanalizácií a čističiek odpadových vôd (Stredoslovenská vodárenská 22 787 tis. eur, Východoslovenská vodárenská 17 996 tis. eur, Regionálna vodárenská spoločnosť Vlára – Váh 10 259 tis. eur a ďalšie). </w:t>
      </w:r>
      <w:r>
        <w:rPr>
          <w:i/>
        </w:rPr>
        <w:t>Ostatnej právnickej osobe</w:t>
      </w:r>
      <w:r w:rsidR="00FF0041">
        <w:rPr>
          <w:i/>
        </w:rPr>
        <w:t xml:space="preserve"> </w:t>
      </w:r>
      <w:r w:rsidR="00FF0041" w:rsidRPr="00FF0041">
        <w:t xml:space="preserve">boli </w:t>
      </w:r>
      <w:r>
        <w:t>poskyt</w:t>
      </w:r>
      <w:r w:rsidR="00FF0041">
        <w:t>nuté finančné prostriedky</w:t>
      </w:r>
      <w:r>
        <w:t xml:space="preserve"> v sume 49 568 ti</w:t>
      </w:r>
      <w:r w:rsidR="005C251B">
        <w:t>s</w:t>
      </w:r>
      <w:r>
        <w:t>. </w:t>
      </w:r>
      <w:r w:rsidR="005C251B">
        <w:t>e</w:t>
      </w:r>
      <w:r>
        <w:t>ur</w:t>
      </w:r>
      <w:r w:rsidR="005C251B">
        <w:t xml:space="preserve">, najviac spoločnosti U. S. Steel Košice (19 019 tis. eur) na modernizáciu systému odprašovania na rôznych technologických zariadeniach, ďalej </w:t>
      </w:r>
      <w:r w:rsidR="00A13E42">
        <w:t>Regionálnej</w:t>
      </w:r>
      <w:r w:rsidR="005C251B">
        <w:t xml:space="preserve"> vodárensk</w:t>
      </w:r>
      <w:r w:rsidR="00A13E42">
        <w:t>ej</w:t>
      </w:r>
      <w:r w:rsidR="005C251B">
        <w:t xml:space="preserve"> spoločnos</w:t>
      </w:r>
      <w:r w:rsidR="00A13E42">
        <w:t>ti</w:t>
      </w:r>
      <w:r w:rsidR="005C251B">
        <w:t xml:space="preserve"> Vlára – Váh</w:t>
      </w:r>
      <w:r w:rsidR="00A13E42">
        <w:t xml:space="preserve"> (10 167 tis. eur) na </w:t>
      </w:r>
      <w:proofErr w:type="spellStart"/>
      <w:r w:rsidR="00A13E42">
        <w:t>odkanalizovanie</w:t>
      </w:r>
      <w:proofErr w:type="spellEnd"/>
      <w:r w:rsidR="00A13E42">
        <w:t xml:space="preserve"> mikroregiónu Vlára – Váh a</w:t>
      </w:r>
      <w:r w:rsidR="00CA0809">
        <w:t xml:space="preserve"> </w:t>
      </w:r>
      <w:r w:rsidR="00A13E42">
        <w:t xml:space="preserve">intenzifikáciu čističky odpadových vôd Nemšová, spoločnosti KOSIT, a. s. (7 625 tis. eur) na </w:t>
      </w:r>
      <w:r w:rsidR="00CA0809">
        <w:t>z</w:t>
      </w:r>
      <w:r w:rsidR="00CA0809" w:rsidRPr="00CA0809">
        <w:t>níženie emisií znečisťujúcich látok zo Spaľovne odpadov</w:t>
      </w:r>
      <w:r w:rsidR="00CA0809">
        <w:t xml:space="preserve"> a pod.</w:t>
      </w:r>
    </w:p>
    <w:p w14:paraId="09BD6262" w14:textId="56005596" w:rsidR="00A869E6" w:rsidRDefault="00673E40" w:rsidP="00673E40">
      <w:r w:rsidRPr="00AE2893">
        <w:t>Ministerstvo pôdohospodárstva a</w:t>
      </w:r>
      <w:r w:rsidR="00AE2893">
        <w:t xml:space="preserve"> </w:t>
      </w:r>
      <w:r w:rsidRPr="00AE2893">
        <w:t xml:space="preserve">rozvoja vidieka SR poskytlo </w:t>
      </w:r>
      <w:r w:rsidRPr="00847B6D">
        <w:rPr>
          <w:i/>
          <w:u w:val="single"/>
        </w:rPr>
        <w:t>ostatnej právnickej osobe</w:t>
      </w:r>
      <w:r w:rsidRPr="00AE2893">
        <w:t xml:space="preserve"> transfery v sume </w:t>
      </w:r>
      <w:r w:rsidR="00AE2893">
        <w:t>84</w:t>
      </w:r>
      <w:r w:rsidRPr="00AE2893">
        <w:t> </w:t>
      </w:r>
      <w:r w:rsidR="00AE2893">
        <w:t xml:space="preserve">312 tis. eur, </w:t>
      </w:r>
      <w:r w:rsidR="00FF0041">
        <w:t>na</w:t>
      </w:r>
      <w:r w:rsidRPr="00AE2893">
        <w:t xml:space="preserve"> projektové výdavky v rámci </w:t>
      </w:r>
      <w:r w:rsidR="00AE2893" w:rsidRPr="00AE2893">
        <w:t>Európskeho poľnohospodárskeho fondu pre rozvoj vidiek</w:t>
      </w:r>
      <w:r w:rsidR="00AE2893">
        <w:t>a</w:t>
      </w:r>
      <w:r w:rsidR="00BE095B">
        <w:t xml:space="preserve">, napr. </w:t>
      </w:r>
      <w:proofErr w:type="spellStart"/>
      <w:r w:rsidR="00047F86">
        <w:t>urbariálnym</w:t>
      </w:r>
      <w:proofErr w:type="spellEnd"/>
      <w:r w:rsidR="00BE095B">
        <w:t xml:space="preserve"> spoločnosti</w:t>
      </w:r>
      <w:r w:rsidR="00047F86">
        <w:t>am, pozemkovým spoločenstvám</w:t>
      </w:r>
      <w:r w:rsidR="00BE095B">
        <w:t xml:space="preserve"> a</w:t>
      </w:r>
      <w:r w:rsidR="00792BAC">
        <w:t xml:space="preserve"> </w:t>
      </w:r>
      <w:r w:rsidR="00BE095B">
        <w:t>mnohým ďalším</w:t>
      </w:r>
      <w:r w:rsidR="00AE2893">
        <w:t xml:space="preserve">. </w:t>
      </w:r>
      <w:r w:rsidR="00A869E6">
        <w:t xml:space="preserve">Finančné prostriedky v tejto podpoložke neboli rozpočtované, vzhľadom na to, že v schválenom </w:t>
      </w:r>
      <w:r w:rsidR="005E0D3F">
        <w:t>rozpočte</w:t>
      </w:r>
      <w:r w:rsidR="00A869E6">
        <w:t xml:space="preserve"> nie je možné presne definovať finančné objemy podľa konečných prijímateľo</w:t>
      </w:r>
      <w:r w:rsidR="005E0D3F">
        <w:t>v pomoci.</w:t>
      </w:r>
    </w:p>
    <w:p w14:paraId="19703D90" w14:textId="36496A03" w:rsidR="00FF1A40" w:rsidRDefault="00673E40" w:rsidP="00673E40">
      <w:pPr>
        <w:rPr>
          <w:rFonts w:cs="Times New Roman"/>
        </w:rPr>
      </w:pPr>
      <w:r w:rsidRPr="00FF1A40">
        <w:t xml:space="preserve">Transfery Ministerstva hospodárstva SR </w:t>
      </w:r>
      <w:r w:rsidRPr="00FF1A40">
        <w:rPr>
          <w:i/>
        </w:rPr>
        <w:t>ostatnej právnickej osobe</w:t>
      </w:r>
      <w:r w:rsidRPr="00FF1A40">
        <w:t xml:space="preserve"> vo výške </w:t>
      </w:r>
      <w:r w:rsidR="00FF1A40" w:rsidRPr="00FF1A40">
        <w:t>86 552 </w:t>
      </w:r>
      <w:r w:rsidRPr="00FF1A40">
        <w:t xml:space="preserve">tis. eur boli poskytnuté </w:t>
      </w:r>
      <w:r w:rsidR="00FF1A40">
        <w:t>predovšetkým v rámci operačného programu Výskum a</w:t>
      </w:r>
      <w:r w:rsidR="00FF0041">
        <w:t> </w:t>
      </w:r>
      <w:r w:rsidR="00FF1A40">
        <w:t>inovácie</w:t>
      </w:r>
      <w:r w:rsidR="00FF0041">
        <w:t>,</w:t>
      </w:r>
      <w:r w:rsidR="00FF1A40">
        <w:t xml:space="preserve"> najmä za účelom </w:t>
      </w:r>
      <w:r w:rsidR="00FF1A40" w:rsidRPr="00B77D5C">
        <w:rPr>
          <w:rFonts w:cs="Times New Roman"/>
        </w:rPr>
        <w:t>rozvoja podnikateľského prostredia, podpory rozvoja priemy</w:t>
      </w:r>
      <w:r w:rsidR="00FF1A40">
        <w:rPr>
          <w:rFonts w:cs="Times New Roman"/>
        </w:rPr>
        <w:t xml:space="preserve">slu SR, rozvoja </w:t>
      </w:r>
      <w:proofErr w:type="spellStart"/>
      <w:r w:rsidR="00FF1A40">
        <w:rPr>
          <w:rFonts w:cs="Times New Roman"/>
        </w:rPr>
        <w:t>excelentnosti</w:t>
      </w:r>
      <w:proofErr w:type="spellEnd"/>
      <w:r w:rsidR="00FF1A40">
        <w:rPr>
          <w:rFonts w:cs="Times New Roman"/>
        </w:rPr>
        <w:t xml:space="preserve"> v </w:t>
      </w:r>
      <w:r w:rsidR="00FF1A40" w:rsidRPr="00B77D5C">
        <w:rPr>
          <w:rFonts w:cs="Times New Roman"/>
        </w:rPr>
        <w:t>oblasti výskumu a inovácií a na zabezpečenie financovania poradenstva a podporných služieb s cieľom zabezpečiť dlhodobý rast konkurencieschopnosti malého a stredného podnikania.</w:t>
      </w:r>
    </w:p>
    <w:p w14:paraId="5000B624" w14:textId="176B997C" w:rsidR="005301DF" w:rsidRDefault="00673E40" w:rsidP="00673E40">
      <w:r w:rsidRPr="00636E18">
        <w:rPr>
          <w:b/>
          <w:i/>
        </w:rPr>
        <w:t>Transfery jednotlivcom a neziskovým právnickým osobám</w:t>
      </w:r>
      <w:r w:rsidRPr="00636E18">
        <w:t xml:space="preserve"> boli poskytnuté vo výške </w:t>
      </w:r>
      <w:r w:rsidR="00636E18">
        <w:t>22</w:t>
      </w:r>
      <w:r w:rsidRPr="00636E18">
        <w:t> </w:t>
      </w:r>
      <w:r w:rsidR="00636E18">
        <w:t>417</w:t>
      </w:r>
      <w:r w:rsidRPr="00636E18">
        <w:t> tis. eur (201</w:t>
      </w:r>
      <w:r w:rsidR="00636E18">
        <w:t>7</w:t>
      </w:r>
      <w:r w:rsidRPr="00636E18">
        <w:t>: </w:t>
      </w:r>
      <w:r w:rsidR="00636E18">
        <w:t>3</w:t>
      </w:r>
      <w:r w:rsidRPr="00636E18">
        <w:t>5 </w:t>
      </w:r>
      <w:r w:rsidR="00636E18">
        <w:t>049</w:t>
      </w:r>
      <w:r w:rsidRPr="00636E18">
        <w:t xml:space="preserve"> tis. eur), z toho </w:t>
      </w:r>
      <w:r w:rsidRPr="00FF0041">
        <w:rPr>
          <w:i/>
        </w:rPr>
        <w:t>ob</w:t>
      </w:r>
      <w:r w:rsidRPr="009E404B">
        <w:rPr>
          <w:i/>
          <w:u w:val="single"/>
        </w:rPr>
        <w:t>čianskym združeniam, nadáciám a neinvestičným fondom</w:t>
      </w:r>
      <w:r w:rsidRPr="00636E18">
        <w:t xml:space="preserve"> </w:t>
      </w:r>
      <w:r w:rsidR="00636E18">
        <w:t>8 56</w:t>
      </w:r>
      <w:r w:rsidR="00FF0041">
        <w:t>3</w:t>
      </w:r>
      <w:r w:rsidRPr="00636E18">
        <w:t> tis. eur (201</w:t>
      </w:r>
      <w:r w:rsidR="005301DF">
        <w:t>7</w:t>
      </w:r>
      <w:r w:rsidRPr="00636E18">
        <w:t xml:space="preserve">: </w:t>
      </w:r>
      <w:r w:rsidR="00636E18" w:rsidRPr="00636E18">
        <w:t>27</w:t>
      </w:r>
      <w:r w:rsidR="00636E18">
        <w:t> </w:t>
      </w:r>
      <w:r w:rsidR="00636E18" w:rsidRPr="00636E18">
        <w:t>332 </w:t>
      </w:r>
      <w:r w:rsidRPr="00636E18">
        <w:t>tis. eur), pričom najviac prostriedkov poskytlo Ministerstvo školstva, vedy, výskumu a športu SR (6 </w:t>
      </w:r>
      <w:r w:rsidR="00636E18">
        <w:t>840</w:t>
      </w:r>
      <w:r w:rsidRPr="00636E18">
        <w:t xml:space="preserve"> tis. eur) na rekonštrukcie </w:t>
      </w:r>
      <w:r w:rsidR="00DC6D03" w:rsidRPr="00DC6D03">
        <w:t>futbalových štadiónov S</w:t>
      </w:r>
      <w:r w:rsidR="00DC6D03">
        <w:t>lovenského futbalového zväzu, na rozvoj a</w:t>
      </w:r>
      <w:r w:rsidR="005301DF">
        <w:t xml:space="preserve"> </w:t>
      </w:r>
      <w:r w:rsidR="00DC6D03">
        <w:t>dobudovanie infraštruktúry v Národnom biatlonovom areáli v</w:t>
      </w:r>
      <w:r w:rsidR="005301DF">
        <w:t> </w:t>
      </w:r>
      <w:r w:rsidR="00DC6D03">
        <w:t>Osrblí</w:t>
      </w:r>
      <w:r w:rsidR="005301DF">
        <w:t>,</w:t>
      </w:r>
      <w:r w:rsidR="00DC6D03">
        <w:t xml:space="preserve"> na zimný štadión O. </w:t>
      </w:r>
      <w:proofErr w:type="spellStart"/>
      <w:r w:rsidR="00DC6D03">
        <w:t>Nepelu</w:t>
      </w:r>
      <w:proofErr w:type="spellEnd"/>
      <w:r w:rsidR="00DC6D03">
        <w:t xml:space="preserve"> </w:t>
      </w:r>
      <w:r w:rsidR="005301DF">
        <w:t xml:space="preserve">v Bratislave </w:t>
      </w:r>
      <w:r w:rsidR="00DC6D03">
        <w:t>a Steel Arénu v </w:t>
      </w:r>
      <w:r w:rsidR="005301DF">
        <w:t>Košiciach</w:t>
      </w:r>
      <w:r w:rsidR="00DC6D03">
        <w:t xml:space="preserve">. </w:t>
      </w:r>
    </w:p>
    <w:p w14:paraId="4A472EA2" w14:textId="64D551A2" w:rsidR="00DC03E6" w:rsidRPr="005301DF" w:rsidRDefault="00673E40" w:rsidP="00673E40">
      <w:r w:rsidRPr="009E404B">
        <w:rPr>
          <w:i/>
          <w:u w:val="single"/>
        </w:rPr>
        <w:t>Cirkvi</w:t>
      </w:r>
      <w:r w:rsidRPr="00636E18">
        <w:t xml:space="preserve"> sa poskytlo celkovo </w:t>
      </w:r>
      <w:r w:rsidR="005301DF">
        <w:t xml:space="preserve">5 745 </w:t>
      </w:r>
      <w:r w:rsidRPr="00636E18">
        <w:t>tis. eur (201</w:t>
      </w:r>
      <w:r w:rsidR="005301DF">
        <w:t>7</w:t>
      </w:r>
      <w:r w:rsidRPr="00636E18">
        <w:t xml:space="preserve">: </w:t>
      </w:r>
      <w:r w:rsidR="005301DF">
        <w:t>4 507</w:t>
      </w:r>
      <w:r w:rsidRPr="00636E18">
        <w:t>tis. eur)</w:t>
      </w:r>
      <w:r w:rsidR="00680064">
        <w:t xml:space="preserve"> a</w:t>
      </w:r>
      <w:r w:rsidRPr="00636E18">
        <w:t xml:space="preserve"> </w:t>
      </w:r>
      <w:r w:rsidR="004B4F61" w:rsidRPr="009E404B">
        <w:rPr>
          <w:i/>
          <w:u w:val="single"/>
        </w:rPr>
        <w:t>n</w:t>
      </w:r>
      <w:r w:rsidR="00E66ADE" w:rsidRPr="009E404B">
        <w:rPr>
          <w:i/>
          <w:u w:val="single"/>
        </w:rPr>
        <w:t>eziskovej právnickej osobe</w:t>
      </w:r>
      <w:r w:rsidR="00E66ADE">
        <w:t xml:space="preserve"> boli poskytnuté transfery vo výške 7 171 tis. eur</w:t>
      </w:r>
      <w:r w:rsidR="00FF0041">
        <w:t xml:space="preserve"> (2017: 2 305 tis. eur)</w:t>
      </w:r>
      <w:r w:rsidR="004B4F61">
        <w:t>.</w:t>
      </w:r>
    </w:p>
    <w:p w14:paraId="27D4D9EA" w14:textId="66CB8988" w:rsidR="00ED35DC" w:rsidRDefault="00673E40" w:rsidP="00673E40">
      <w:pPr>
        <w:rPr>
          <w:color w:val="000000"/>
        </w:rPr>
      </w:pPr>
      <w:r w:rsidRPr="003A21ED">
        <w:rPr>
          <w:b/>
          <w:i/>
          <w:color w:val="000000"/>
        </w:rPr>
        <w:t xml:space="preserve">Transfery </w:t>
      </w:r>
      <w:r w:rsidR="003A21ED" w:rsidRPr="003A21ED">
        <w:rPr>
          <w:b/>
          <w:i/>
          <w:color w:val="000000"/>
        </w:rPr>
        <w:t>finančným inštitúciám</w:t>
      </w:r>
      <w:r w:rsidRPr="003A21ED">
        <w:rPr>
          <w:color w:val="000000"/>
        </w:rPr>
        <w:t xml:space="preserve"> tvorili </w:t>
      </w:r>
      <w:r w:rsidR="003A21ED">
        <w:rPr>
          <w:color w:val="000000"/>
        </w:rPr>
        <w:t>7 647 </w:t>
      </w:r>
      <w:r w:rsidRPr="003A21ED">
        <w:rPr>
          <w:color w:val="000000"/>
        </w:rPr>
        <w:t>tis. eur</w:t>
      </w:r>
      <w:r w:rsidR="00AE34EE">
        <w:rPr>
          <w:color w:val="000000"/>
        </w:rPr>
        <w:t>,</w:t>
      </w:r>
      <w:r w:rsidRPr="003A21ED">
        <w:rPr>
          <w:color w:val="000000"/>
        </w:rPr>
        <w:t xml:space="preserve"> celú sumu predstavoval príspevok </w:t>
      </w:r>
      <w:r w:rsidR="00361085">
        <w:rPr>
          <w:color w:val="000000"/>
        </w:rPr>
        <w:t>Ministerstv</w:t>
      </w:r>
      <w:r w:rsidR="00FF0041">
        <w:rPr>
          <w:color w:val="000000"/>
        </w:rPr>
        <w:t>a</w:t>
      </w:r>
      <w:r w:rsidR="00361085">
        <w:rPr>
          <w:color w:val="000000"/>
        </w:rPr>
        <w:t xml:space="preserve"> životného prostredia SR pre National </w:t>
      </w:r>
      <w:proofErr w:type="spellStart"/>
      <w:r w:rsidR="00361085">
        <w:rPr>
          <w:color w:val="000000"/>
        </w:rPr>
        <w:t>Development</w:t>
      </w:r>
      <w:proofErr w:type="spellEnd"/>
      <w:r w:rsidR="00361085">
        <w:rPr>
          <w:color w:val="000000"/>
        </w:rPr>
        <w:t xml:space="preserve"> </w:t>
      </w:r>
      <w:proofErr w:type="spellStart"/>
      <w:r w:rsidR="00361085">
        <w:rPr>
          <w:color w:val="000000"/>
        </w:rPr>
        <w:t>Fund</w:t>
      </w:r>
      <w:proofErr w:type="spellEnd"/>
      <w:r w:rsidR="00361085">
        <w:rPr>
          <w:color w:val="000000"/>
        </w:rPr>
        <w:t xml:space="preserve"> II. na podporu energetickej efektívnosti, inteligentného riadenia energie a využívania ene</w:t>
      </w:r>
      <w:r w:rsidR="00DC03E6">
        <w:rPr>
          <w:color w:val="000000"/>
        </w:rPr>
        <w:t>rgie z obnoviteľných zdrojov vo </w:t>
      </w:r>
      <w:r w:rsidR="00361085">
        <w:rPr>
          <w:color w:val="000000"/>
        </w:rPr>
        <w:t>verejných infraštruktúrach, vrátane verejných budov.</w:t>
      </w:r>
    </w:p>
    <w:p w14:paraId="29681035" w14:textId="77777777" w:rsidR="00ED35DC" w:rsidRDefault="00ED35DC">
      <w:pPr>
        <w:spacing w:after="160" w:line="259" w:lineRule="auto"/>
        <w:jc w:val="left"/>
        <w:rPr>
          <w:color w:val="000000"/>
        </w:rPr>
      </w:pPr>
      <w:r>
        <w:rPr>
          <w:color w:val="000000"/>
        </w:rPr>
        <w:br w:type="page"/>
      </w:r>
    </w:p>
    <w:p w14:paraId="67549425" w14:textId="77777777" w:rsidR="008254BE" w:rsidRDefault="008254BE" w:rsidP="00C34E95">
      <w:pPr>
        <w:pStyle w:val="Nadpis3"/>
      </w:pPr>
      <w:bookmarkStart w:id="49" w:name="_Toc6415647"/>
      <w:bookmarkStart w:id="50" w:name="_Toc7502839"/>
      <w:r>
        <w:t>Výdavky podľa funkčnej klasifikácie</w:t>
      </w:r>
      <w:bookmarkEnd w:id="49"/>
      <w:bookmarkEnd w:id="50"/>
    </w:p>
    <w:p w14:paraId="32C42DC7" w14:textId="6218C219" w:rsidR="003721C9" w:rsidRPr="00625B62" w:rsidRDefault="003721C9" w:rsidP="003721C9">
      <w:r w:rsidRPr="00625B62">
        <w:t>Výdavky štátneho rozpočtu podľa funkčnej klasifikácie sa triedia v súlade s vyhláškou Štatistického úradu SR č. 257/2014 Z. z. (tzv. COFOG). Táto klasifikácia predstavuje rozdelenie výdavkov podľa funkcie, pričom funkciou sa rozumie určitá oblasť činností, ktorú daná organizácia financuje napr. oblasť školstva, zdravotníctva</w:t>
      </w:r>
      <w:r w:rsidR="00412666">
        <w:t>, kultúry, bezpečnosti</w:t>
      </w:r>
      <w:r w:rsidRPr="00625B62">
        <w:t xml:space="preserve"> a podobne. Výdavky sa triedia do tej funkcie, s ktorou súvisia, bez ohľadu na hlavný predmet činnosti samotnej organizácie. </w:t>
      </w:r>
    </w:p>
    <w:p w14:paraId="2B1CF912" w14:textId="1142C877" w:rsidR="003721C9" w:rsidRDefault="003721C9" w:rsidP="003721C9">
      <w:r w:rsidRPr="00625B62">
        <w:t xml:space="preserve">Celkové výdavky podľa funkčnej klasifikácie sú zhodné s výdavkami podľa ekonomickej klasifikácie, sú </w:t>
      </w:r>
      <w:r w:rsidR="000B3FA7">
        <w:t xml:space="preserve">však </w:t>
      </w:r>
      <w:r w:rsidRPr="00625B62">
        <w:t>opisované z pohľadu činnosti, ktoré financujú rozpočtové organizácie štátnej správy. V prípade metodicky správneho uplatňovania tejto klasifikácie sú zdôvodnenia plnenia alebo prekročenia schváleného rozpočtu totožné</w:t>
      </w:r>
      <w:r>
        <w:t xml:space="preserve"> s tými, ktoré sú uvedené</w:t>
      </w:r>
      <w:r w:rsidRPr="00625B62">
        <w:t xml:space="preserve"> </w:t>
      </w:r>
      <w:r>
        <w:t>v</w:t>
      </w:r>
      <w:r w:rsidRPr="00625B62">
        <w:t> kapitol</w:t>
      </w:r>
      <w:r>
        <w:t>e</w:t>
      </w:r>
      <w:r w:rsidRPr="00625B62">
        <w:t xml:space="preserve"> 3.2.1.</w:t>
      </w:r>
    </w:p>
    <w:tbl>
      <w:tblPr>
        <w:tblW w:w="8495" w:type="dxa"/>
        <w:tblLayout w:type="fixed"/>
        <w:tblCellMar>
          <w:left w:w="70" w:type="dxa"/>
          <w:right w:w="70" w:type="dxa"/>
        </w:tblCellMar>
        <w:tblLook w:val="04A0" w:firstRow="1" w:lastRow="0" w:firstColumn="1" w:lastColumn="0" w:noHBand="0" w:noVBand="1"/>
      </w:tblPr>
      <w:tblGrid>
        <w:gridCol w:w="2460"/>
        <w:gridCol w:w="1074"/>
        <w:gridCol w:w="1134"/>
        <w:gridCol w:w="1134"/>
        <w:gridCol w:w="1025"/>
        <w:gridCol w:w="818"/>
        <w:gridCol w:w="850"/>
      </w:tblGrid>
      <w:tr w:rsidR="004F1EFC" w:rsidRPr="004F1EFC" w14:paraId="407D162C" w14:textId="77777777" w:rsidTr="003F5C26">
        <w:trPr>
          <w:trHeight w:val="450"/>
        </w:trPr>
        <w:tc>
          <w:tcPr>
            <w:tcW w:w="8495" w:type="dxa"/>
            <w:gridSpan w:val="7"/>
            <w:tcBorders>
              <w:top w:val="nil"/>
              <w:left w:val="single" w:sz="8" w:space="0" w:color="auto"/>
              <w:bottom w:val="nil"/>
              <w:right w:val="nil"/>
            </w:tcBorders>
            <w:shd w:val="clear" w:color="000000" w:fill="000000"/>
            <w:vAlign w:val="center"/>
            <w:hideMark/>
          </w:tcPr>
          <w:p w14:paraId="118BEFD9" w14:textId="77777777" w:rsidR="004F1EFC" w:rsidRPr="004F1EFC" w:rsidRDefault="004F1EFC" w:rsidP="003F5C26">
            <w:pPr>
              <w:spacing w:after="0" w:line="240" w:lineRule="auto"/>
              <w:jc w:val="left"/>
              <w:rPr>
                <w:rFonts w:eastAsia="Times New Roman" w:cs="Times New Roman"/>
                <w:b/>
                <w:bCs/>
                <w:color w:val="FFFFFF"/>
                <w:sz w:val="18"/>
                <w:szCs w:val="18"/>
                <w:lang w:eastAsia="sk-SK"/>
              </w:rPr>
            </w:pPr>
            <w:r w:rsidRPr="004F1EFC">
              <w:rPr>
                <w:rFonts w:eastAsia="Times New Roman" w:cs="Times New Roman"/>
                <w:b/>
                <w:bCs/>
                <w:color w:val="FFFFFF"/>
                <w:sz w:val="18"/>
                <w:szCs w:val="18"/>
                <w:lang w:eastAsia="sk-SK"/>
              </w:rPr>
              <w:t>Výdavky štátneho rozpočtu podľa funkčnej klasifikácie                                                                           v tis. eur</w:t>
            </w:r>
          </w:p>
        </w:tc>
      </w:tr>
      <w:tr w:rsidR="004F1EFC" w:rsidRPr="004F1EFC" w14:paraId="1C05295C" w14:textId="77777777" w:rsidTr="003F5C26">
        <w:trPr>
          <w:trHeight w:val="300"/>
        </w:trPr>
        <w:tc>
          <w:tcPr>
            <w:tcW w:w="2460" w:type="dxa"/>
            <w:tcBorders>
              <w:top w:val="nil"/>
              <w:left w:val="nil"/>
              <w:bottom w:val="nil"/>
              <w:right w:val="nil"/>
            </w:tcBorders>
            <w:shd w:val="clear" w:color="000000" w:fill="BFBFBF"/>
            <w:vAlign w:val="center"/>
            <w:hideMark/>
          </w:tcPr>
          <w:p w14:paraId="19C8749F" w14:textId="77777777" w:rsidR="004F1EFC" w:rsidRPr="004F1EFC" w:rsidRDefault="004F1EFC" w:rsidP="004F1EFC">
            <w:pPr>
              <w:spacing w:after="0" w:line="240" w:lineRule="auto"/>
              <w:jc w:val="center"/>
              <w:rPr>
                <w:rFonts w:eastAsia="Times New Roman" w:cs="Times New Roman"/>
                <w:b/>
                <w:bCs/>
                <w:color w:val="000000"/>
                <w:sz w:val="18"/>
                <w:szCs w:val="18"/>
                <w:lang w:eastAsia="sk-SK"/>
              </w:rPr>
            </w:pPr>
            <w:r w:rsidRPr="004F1EFC">
              <w:rPr>
                <w:rFonts w:eastAsia="Times New Roman" w:cs="Times New Roman"/>
                <w:b/>
                <w:bCs/>
                <w:color w:val="000000"/>
                <w:sz w:val="18"/>
                <w:szCs w:val="18"/>
                <w:lang w:eastAsia="sk-SK"/>
              </w:rPr>
              <w:t> </w:t>
            </w:r>
          </w:p>
        </w:tc>
        <w:tc>
          <w:tcPr>
            <w:tcW w:w="2208" w:type="dxa"/>
            <w:gridSpan w:val="2"/>
            <w:tcBorders>
              <w:top w:val="nil"/>
              <w:left w:val="nil"/>
              <w:bottom w:val="nil"/>
              <w:right w:val="nil"/>
            </w:tcBorders>
            <w:shd w:val="clear" w:color="000000" w:fill="BFBFBF"/>
            <w:vAlign w:val="center"/>
            <w:hideMark/>
          </w:tcPr>
          <w:p w14:paraId="3A2EBB0C" w14:textId="77777777" w:rsidR="004F1EFC" w:rsidRPr="004F1EFC" w:rsidRDefault="004F1EFC" w:rsidP="004F1EFC">
            <w:pPr>
              <w:spacing w:after="0" w:line="240" w:lineRule="auto"/>
              <w:jc w:val="center"/>
              <w:rPr>
                <w:rFonts w:eastAsia="Times New Roman" w:cs="Times New Roman"/>
                <w:b/>
                <w:bCs/>
                <w:color w:val="000000"/>
                <w:sz w:val="18"/>
                <w:szCs w:val="18"/>
                <w:lang w:eastAsia="sk-SK"/>
              </w:rPr>
            </w:pPr>
            <w:r w:rsidRPr="004F1EFC">
              <w:rPr>
                <w:rFonts w:eastAsia="Times New Roman" w:cs="Times New Roman"/>
                <w:b/>
                <w:bCs/>
                <w:color w:val="000000"/>
                <w:sz w:val="18"/>
                <w:szCs w:val="18"/>
                <w:lang w:eastAsia="sk-SK"/>
              </w:rPr>
              <w:t>Skutočnosť</w:t>
            </w:r>
          </w:p>
        </w:tc>
        <w:tc>
          <w:tcPr>
            <w:tcW w:w="1134" w:type="dxa"/>
            <w:tcBorders>
              <w:top w:val="nil"/>
              <w:left w:val="nil"/>
              <w:bottom w:val="nil"/>
              <w:right w:val="nil"/>
            </w:tcBorders>
            <w:shd w:val="clear" w:color="000000" w:fill="BFBFBF"/>
            <w:vAlign w:val="center"/>
            <w:hideMark/>
          </w:tcPr>
          <w:p w14:paraId="2DCA998C" w14:textId="77777777" w:rsidR="004F1EFC" w:rsidRPr="004F1EFC" w:rsidRDefault="004F1EFC" w:rsidP="004F1EFC">
            <w:pPr>
              <w:spacing w:after="0" w:line="240" w:lineRule="auto"/>
              <w:jc w:val="center"/>
              <w:rPr>
                <w:rFonts w:eastAsia="Times New Roman" w:cs="Times New Roman"/>
                <w:b/>
                <w:bCs/>
                <w:color w:val="000000"/>
                <w:sz w:val="18"/>
                <w:szCs w:val="18"/>
                <w:lang w:eastAsia="sk-SK"/>
              </w:rPr>
            </w:pPr>
            <w:r w:rsidRPr="004F1EFC">
              <w:rPr>
                <w:rFonts w:eastAsia="Times New Roman" w:cs="Times New Roman"/>
                <w:b/>
                <w:bCs/>
                <w:color w:val="000000"/>
                <w:sz w:val="18"/>
                <w:szCs w:val="18"/>
                <w:lang w:eastAsia="sk-SK"/>
              </w:rPr>
              <w:t>Rozpočet</w:t>
            </w:r>
          </w:p>
        </w:tc>
        <w:tc>
          <w:tcPr>
            <w:tcW w:w="1025" w:type="dxa"/>
            <w:tcBorders>
              <w:top w:val="nil"/>
              <w:left w:val="nil"/>
              <w:bottom w:val="nil"/>
              <w:right w:val="nil"/>
            </w:tcBorders>
            <w:shd w:val="clear" w:color="000000" w:fill="BFBFBF"/>
            <w:vAlign w:val="center"/>
            <w:hideMark/>
          </w:tcPr>
          <w:p w14:paraId="50714FB3" w14:textId="77777777" w:rsidR="004F1EFC" w:rsidRPr="004F1EFC" w:rsidRDefault="004F1EFC" w:rsidP="004F1EFC">
            <w:pPr>
              <w:spacing w:after="0" w:line="240" w:lineRule="auto"/>
              <w:jc w:val="center"/>
              <w:rPr>
                <w:rFonts w:eastAsia="Times New Roman" w:cs="Times New Roman"/>
                <w:b/>
                <w:bCs/>
                <w:color w:val="000000"/>
                <w:sz w:val="18"/>
                <w:szCs w:val="18"/>
                <w:lang w:eastAsia="sk-SK"/>
              </w:rPr>
            </w:pPr>
            <w:r w:rsidRPr="004F1EFC">
              <w:rPr>
                <w:rFonts w:eastAsia="Times New Roman" w:cs="Times New Roman"/>
                <w:b/>
                <w:bCs/>
                <w:color w:val="000000"/>
                <w:sz w:val="18"/>
                <w:szCs w:val="18"/>
                <w:lang w:eastAsia="sk-SK"/>
              </w:rPr>
              <w:t>Skutočnosť</w:t>
            </w:r>
          </w:p>
        </w:tc>
        <w:tc>
          <w:tcPr>
            <w:tcW w:w="1668" w:type="dxa"/>
            <w:gridSpan w:val="2"/>
            <w:tcBorders>
              <w:top w:val="nil"/>
              <w:left w:val="nil"/>
              <w:bottom w:val="nil"/>
              <w:right w:val="nil"/>
            </w:tcBorders>
            <w:shd w:val="clear" w:color="000000" w:fill="BFBFBF"/>
            <w:vAlign w:val="center"/>
            <w:hideMark/>
          </w:tcPr>
          <w:p w14:paraId="260B5694" w14:textId="77777777" w:rsidR="004F1EFC" w:rsidRPr="004F1EFC" w:rsidRDefault="004F1EFC" w:rsidP="004F1EFC">
            <w:pPr>
              <w:spacing w:after="0" w:line="240" w:lineRule="auto"/>
              <w:jc w:val="center"/>
              <w:rPr>
                <w:rFonts w:eastAsia="Times New Roman" w:cs="Times New Roman"/>
                <w:b/>
                <w:bCs/>
                <w:color w:val="000000"/>
                <w:sz w:val="18"/>
                <w:szCs w:val="18"/>
                <w:lang w:eastAsia="sk-SK"/>
              </w:rPr>
            </w:pPr>
            <w:r w:rsidRPr="004F1EFC">
              <w:rPr>
                <w:rFonts w:eastAsia="Times New Roman" w:cs="Times New Roman"/>
                <w:b/>
                <w:bCs/>
                <w:color w:val="000000"/>
                <w:sz w:val="18"/>
                <w:szCs w:val="18"/>
                <w:lang w:eastAsia="sk-SK"/>
              </w:rPr>
              <w:t>Rozdiel</w:t>
            </w:r>
          </w:p>
        </w:tc>
      </w:tr>
      <w:tr w:rsidR="004F1EFC" w:rsidRPr="004F1EFC" w14:paraId="172AE920" w14:textId="77777777" w:rsidTr="003F5C26">
        <w:trPr>
          <w:trHeight w:val="300"/>
        </w:trPr>
        <w:tc>
          <w:tcPr>
            <w:tcW w:w="2460" w:type="dxa"/>
            <w:tcBorders>
              <w:top w:val="nil"/>
              <w:left w:val="nil"/>
              <w:bottom w:val="nil"/>
              <w:right w:val="nil"/>
            </w:tcBorders>
            <w:shd w:val="clear" w:color="000000" w:fill="BFBFBF"/>
            <w:vAlign w:val="center"/>
            <w:hideMark/>
          </w:tcPr>
          <w:p w14:paraId="0D106DBD" w14:textId="77777777" w:rsidR="004F1EFC" w:rsidRPr="004F1EFC" w:rsidRDefault="004F1EFC" w:rsidP="004F1EFC">
            <w:pPr>
              <w:spacing w:after="0" w:line="240" w:lineRule="auto"/>
              <w:jc w:val="center"/>
              <w:rPr>
                <w:rFonts w:eastAsia="Times New Roman" w:cs="Times New Roman"/>
                <w:b/>
                <w:bCs/>
                <w:color w:val="000000"/>
                <w:sz w:val="18"/>
                <w:szCs w:val="18"/>
                <w:lang w:eastAsia="sk-SK"/>
              </w:rPr>
            </w:pPr>
            <w:r w:rsidRPr="004F1EFC">
              <w:rPr>
                <w:rFonts w:eastAsia="Times New Roman" w:cs="Times New Roman"/>
                <w:b/>
                <w:bCs/>
                <w:color w:val="000000"/>
                <w:sz w:val="18"/>
                <w:szCs w:val="18"/>
                <w:lang w:eastAsia="sk-SK"/>
              </w:rPr>
              <w:t> </w:t>
            </w:r>
          </w:p>
        </w:tc>
        <w:tc>
          <w:tcPr>
            <w:tcW w:w="1074" w:type="dxa"/>
            <w:tcBorders>
              <w:top w:val="nil"/>
              <w:left w:val="nil"/>
              <w:bottom w:val="nil"/>
              <w:right w:val="nil"/>
            </w:tcBorders>
            <w:shd w:val="clear" w:color="000000" w:fill="BFBFBF"/>
            <w:vAlign w:val="center"/>
            <w:hideMark/>
          </w:tcPr>
          <w:p w14:paraId="4A4EB1CB" w14:textId="77777777" w:rsidR="004F1EFC" w:rsidRPr="004F1EFC" w:rsidRDefault="004F1EFC" w:rsidP="004F1EFC">
            <w:pPr>
              <w:spacing w:after="0" w:line="240" w:lineRule="auto"/>
              <w:jc w:val="center"/>
              <w:rPr>
                <w:rFonts w:eastAsia="Times New Roman" w:cs="Times New Roman"/>
                <w:b/>
                <w:bCs/>
                <w:color w:val="000000"/>
                <w:sz w:val="18"/>
                <w:szCs w:val="18"/>
                <w:lang w:eastAsia="sk-SK"/>
              </w:rPr>
            </w:pPr>
            <w:r w:rsidRPr="004F1EFC">
              <w:rPr>
                <w:rFonts w:eastAsia="Times New Roman" w:cs="Times New Roman"/>
                <w:b/>
                <w:bCs/>
                <w:color w:val="000000"/>
                <w:sz w:val="18"/>
                <w:szCs w:val="18"/>
                <w:lang w:eastAsia="sk-SK"/>
              </w:rPr>
              <w:t>2016</w:t>
            </w:r>
          </w:p>
        </w:tc>
        <w:tc>
          <w:tcPr>
            <w:tcW w:w="1134" w:type="dxa"/>
            <w:tcBorders>
              <w:top w:val="nil"/>
              <w:left w:val="nil"/>
              <w:bottom w:val="nil"/>
              <w:right w:val="nil"/>
            </w:tcBorders>
            <w:shd w:val="clear" w:color="000000" w:fill="BFBFBF"/>
            <w:vAlign w:val="center"/>
            <w:hideMark/>
          </w:tcPr>
          <w:p w14:paraId="4807932F" w14:textId="77777777" w:rsidR="004F1EFC" w:rsidRPr="004F1EFC" w:rsidRDefault="004F1EFC" w:rsidP="00EC7566">
            <w:pPr>
              <w:spacing w:after="0" w:line="240" w:lineRule="auto"/>
              <w:jc w:val="center"/>
              <w:rPr>
                <w:rFonts w:eastAsia="Times New Roman" w:cs="Times New Roman"/>
                <w:b/>
                <w:bCs/>
                <w:color w:val="000000"/>
                <w:sz w:val="18"/>
                <w:szCs w:val="18"/>
                <w:lang w:eastAsia="sk-SK"/>
              </w:rPr>
            </w:pPr>
            <w:r w:rsidRPr="004F1EFC">
              <w:rPr>
                <w:rFonts w:eastAsia="Times New Roman" w:cs="Times New Roman"/>
                <w:b/>
                <w:bCs/>
                <w:color w:val="000000"/>
                <w:sz w:val="18"/>
                <w:szCs w:val="18"/>
                <w:lang w:eastAsia="sk-SK"/>
              </w:rPr>
              <w:t>201</w:t>
            </w:r>
            <w:r w:rsidR="00EC7566">
              <w:rPr>
                <w:rFonts w:eastAsia="Times New Roman" w:cs="Times New Roman"/>
                <w:b/>
                <w:bCs/>
                <w:color w:val="000000"/>
                <w:sz w:val="18"/>
                <w:szCs w:val="18"/>
                <w:lang w:eastAsia="sk-SK"/>
              </w:rPr>
              <w:t>7</w:t>
            </w:r>
          </w:p>
        </w:tc>
        <w:tc>
          <w:tcPr>
            <w:tcW w:w="1134" w:type="dxa"/>
            <w:tcBorders>
              <w:top w:val="nil"/>
              <w:left w:val="nil"/>
              <w:bottom w:val="nil"/>
              <w:right w:val="nil"/>
            </w:tcBorders>
            <w:shd w:val="clear" w:color="000000" w:fill="BFBFBF"/>
            <w:vAlign w:val="center"/>
            <w:hideMark/>
          </w:tcPr>
          <w:p w14:paraId="65A65521" w14:textId="77777777" w:rsidR="004F1EFC" w:rsidRPr="004F1EFC" w:rsidRDefault="004F1EFC" w:rsidP="00EC7566">
            <w:pPr>
              <w:spacing w:after="0" w:line="240" w:lineRule="auto"/>
              <w:jc w:val="center"/>
              <w:rPr>
                <w:rFonts w:eastAsia="Times New Roman" w:cs="Times New Roman"/>
                <w:b/>
                <w:bCs/>
                <w:color w:val="000000"/>
                <w:sz w:val="18"/>
                <w:szCs w:val="18"/>
                <w:lang w:eastAsia="sk-SK"/>
              </w:rPr>
            </w:pPr>
            <w:r w:rsidRPr="004F1EFC">
              <w:rPr>
                <w:rFonts w:eastAsia="Times New Roman" w:cs="Times New Roman"/>
                <w:b/>
                <w:bCs/>
                <w:color w:val="000000"/>
                <w:sz w:val="18"/>
                <w:szCs w:val="18"/>
                <w:lang w:eastAsia="sk-SK"/>
              </w:rPr>
              <w:t>201</w:t>
            </w:r>
            <w:r w:rsidR="00EC7566">
              <w:rPr>
                <w:rFonts w:eastAsia="Times New Roman" w:cs="Times New Roman"/>
                <w:b/>
                <w:bCs/>
                <w:color w:val="000000"/>
                <w:sz w:val="18"/>
                <w:szCs w:val="18"/>
                <w:lang w:eastAsia="sk-SK"/>
              </w:rPr>
              <w:t>8</w:t>
            </w:r>
          </w:p>
        </w:tc>
        <w:tc>
          <w:tcPr>
            <w:tcW w:w="1025" w:type="dxa"/>
            <w:tcBorders>
              <w:top w:val="nil"/>
              <w:left w:val="nil"/>
              <w:bottom w:val="nil"/>
              <w:right w:val="nil"/>
            </w:tcBorders>
            <w:shd w:val="clear" w:color="000000" w:fill="BFBFBF"/>
            <w:vAlign w:val="center"/>
            <w:hideMark/>
          </w:tcPr>
          <w:p w14:paraId="391CB1C6" w14:textId="77777777" w:rsidR="004F1EFC" w:rsidRPr="004F1EFC" w:rsidRDefault="004F1EFC" w:rsidP="00EC7566">
            <w:pPr>
              <w:spacing w:after="0" w:line="240" w:lineRule="auto"/>
              <w:jc w:val="center"/>
              <w:rPr>
                <w:rFonts w:eastAsia="Times New Roman" w:cs="Times New Roman"/>
                <w:b/>
                <w:bCs/>
                <w:color w:val="000000"/>
                <w:sz w:val="18"/>
                <w:szCs w:val="18"/>
                <w:lang w:eastAsia="sk-SK"/>
              </w:rPr>
            </w:pPr>
            <w:r w:rsidRPr="004F1EFC">
              <w:rPr>
                <w:rFonts w:eastAsia="Times New Roman" w:cs="Times New Roman"/>
                <w:b/>
                <w:bCs/>
                <w:color w:val="000000"/>
                <w:sz w:val="18"/>
                <w:szCs w:val="18"/>
                <w:lang w:eastAsia="sk-SK"/>
              </w:rPr>
              <w:t>201</w:t>
            </w:r>
            <w:r w:rsidR="00EC7566">
              <w:rPr>
                <w:rFonts w:eastAsia="Times New Roman" w:cs="Times New Roman"/>
                <w:b/>
                <w:bCs/>
                <w:color w:val="000000"/>
                <w:sz w:val="18"/>
                <w:szCs w:val="18"/>
                <w:lang w:eastAsia="sk-SK"/>
              </w:rPr>
              <w:t>8</w:t>
            </w:r>
          </w:p>
        </w:tc>
        <w:tc>
          <w:tcPr>
            <w:tcW w:w="818" w:type="dxa"/>
            <w:tcBorders>
              <w:top w:val="nil"/>
              <w:left w:val="nil"/>
              <w:bottom w:val="nil"/>
              <w:right w:val="nil"/>
            </w:tcBorders>
            <w:shd w:val="clear" w:color="000000" w:fill="BFBFBF"/>
            <w:vAlign w:val="center"/>
            <w:hideMark/>
          </w:tcPr>
          <w:p w14:paraId="1CDCCA28" w14:textId="77777777" w:rsidR="004F1EFC" w:rsidRPr="004F1EFC" w:rsidRDefault="004F1EFC" w:rsidP="004F1EFC">
            <w:pPr>
              <w:spacing w:after="0" w:line="240" w:lineRule="auto"/>
              <w:jc w:val="center"/>
              <w:rPr>
                <w:rFonts w:eastAsia="Times New Roman" w:cs="Times New Roman"/>
                <w:b/>
                <w:bCs/>
                <w:color w:val="000000"/>
                <w:sz w:val="18"/>
                <w:szCs w:val="18"/>
                <w:lang w:eastAsia="sk-SK"/>
              </w:rPr>
            </w:pPr>
            <w:r w:rsidRPr="004F1EFC">
              <w:rPr>
                <w:rFonts w:eastAsia="Times New Roman" w:cs="Times New Roman"/>
                <w:b/>
                <w:bCs/>
                <w:color w:val="000000"/>
                <w:sz w:val="18"/>
                <w:szCs w:val="18"/>
                <w:lang w:eastAsia="sk-SK"/>
              </w:rPr>
              <w:t xml:space="preserve"> v tis. eur</w:t>
            </w:r>
          </w:p>
        </w:tc>
        <w:tc>
          <w:tcPr>
            <w:tcW w:w="850" w:type="dxa"/>
            <w:tcBorders>
              <w:top w:val="nil"/>
              <w:left w:val="nil"/>
              <w:bottom w:val="nil"/>
              <w:right w:val="nil"/>
            </w:tcBorders>
            <w:shd w:val="clear" w:color="000000" w:fill="BFBFBF"/>
            <w:vAlign w:val="center"/>
            <w:hideMark/>
          </w:tcPr>
          <w:p w14:paraId="5D44101C" w14:textId="77777777" w:rsidR="004F1EFC" w:rsidRPr="004F1EFC" w:rsidRDefault="004F1EFC" w:rsidP="004F1EFC">
            <w:pPr>
              <w:spacing w:after="0" w:line="240" w:lineRule="auto"/>
              <w:jc w:val="center"/>
              <w:rPr>
                <w:rFonts w:eastAsia="Times New Roman" w:cs="Times New Roman"/>
                <w:b/>
                <w:bCs/>
                <w:color w:val="000000"/>
                <w:sz w:val="18"/>
                <w:szCs w:val="18"/>
                <w:lang w:eastAsia="sk-SK"/>
              </w:rPr>
            </w:pPr>
            <w:r w:rsidRPr="004F1EFC">
              <w:rPr>
                <w:rFonts w:eastAsia="Times New Roman" w:cs="Times New Roman"/>
                <w:b/>
                <w:bCs/>
                <w:color w:val="000000"/>
                <w:sz w:val="18"/>
                <w:szCs w:val="18"/>
                <w:lang w:eastAsia="sk-SK"/>
              </w:rPr>
              <w:t>v %</w:t>
            </w:r>
          </w:p>
        </w:tc>
      </w:tr>
      <w:tr w:rsidR="004F1EFC" w:rsidRPr="004F1EFC" w14:paraId="4A663F26" w14:textId="77777777" w:rsidTr="003F5C26">
        <w:trPr>
          <w:trHeight w:val="315"/>
        </w:trPr>
        <w:tc>
          <w:tcPr>
            <w:tcW w:w="2460" w:type="dxa"/>
            <w:tcBorders>
              <w:top w:val="nil"/>
              <w:left w:val="nil"/>
              <w:bottom w:val="single" w:sz="8" w:space="0" w:color="auto"/>
              <w:right w:val="nil"/>
            </w:tcBorders>
            <w:shd w:val="clear" w:color="000000" w:fill="BFBFBF"/>
            <w:vAlign w:val="center"/>
            <w:hideMark/>
          </w:tcPr>
          <w:p w14:paraId="643E3A21" w14:textId="77777777" w:rsidR="004F1EFC" w:rsidRPr="004F1EFC" w:rsidRDefault="004F1EFC" w:rsidP="004F1EFC">
            <w:pPr>
              <w:spacing w:after="0" w:line="240" w:lineRule="auto"/>
              <w:jc w:val="center"/>
              <w:rPr>
                <w:rFonts w:eastAsia="Times New Roman" w:cs="Times New Roman"/>
                <w:b/>
                <w:bCs/>
                <w:color w:val="000000"/>
                <w:sz w:val="18"/>
                <w:szCs w:val="18"/>
                <w:lang w:eastAsia="sk-SK"/>
              </w:rPr>
            </w:pPr>
            <w:r w:rsidRPr="004F1EFC">
              <w:rPr>
                <w:rFonts w:eastAsia="Times New Roman" w:cs="Times New Roman"/>
                <w:b/>
                <w:bCs/>
                <w:color w:val="000000"/>
                <w:sz w:val="18"/>
                <w:szCs w:val="18"/>
                <w:lang w:eastAsia="sk-SK"/>
              </w:rPr>
              <w:t> </w:t>
            </w:r>
          </w:p>
        </w:tc>
        <w:tc>
          <w:tcPr>
            <w:tcW w:w="1074" w:type="dxa"/>
            <w:tcBorders>
              <w:top w:val="nil"/>
              <w:left w:val="nil"/>
              <w:bottom w:val="single" w:sz="8" w:space="0" w:color="auto"/>
              <w:right w:val="nil"/>
            </w:tcBorders>
            <w:shd w:val="clear" w:color="000000" w:fill="BFBFBF"/>
            <w:vAlign w:val="center"/>
            <w:hideMark/>
          </w:tcPr>
          <w:p w14:paraId="4248E518" w14:textId="77777777" w:rsidR="004F1EFC" w:rsidRPr="004F1EFC" w:rsidRDefault="004F1EFC" w:rsidP="004F1EFC">
            <w:pPr>
              <w:spacing w:after="0" w:line="240" w:lineRule="auto"/>
              <w:jc w:val="center"/>
              <w:rPr>
                <w:rFonts w:eastAsia="Times New Roman" w:cs="Times New Roman"/>
                <w:b/>
                <w:bCs/>
                <w:color w:val="000000"/>
                <w:sz w:val="18"/>
                <w:szCs w:val="18"/>
                <w:lang w:eastAsia="sk-SK"/>
              </w:rPr>
            </w:pPr>
            <w:r w:rsidRPr="004F1EFC">
              <w:rPr>
                <w:rFonts w:eastAsia="Times New Roman" w:cs="Times New Roman"/>
                <w:b/>
                <w:bCs/>
                <w:color w:val="000000"/>
                <w:sz w:val="18"/>
                <w:szCs w:val="18"/>
                <w:lang w:eastAsia="sk-SK"/>
              </w:rPr>
              <w:t>1</w:t>
            </w:r>
          </w:p>
        </w:tc>
        <w:tc>
          <w:tcPr>
            <w:tcW w:w="1134" w:type="dxa"/>
            <w:tcBorders>
              <w:top w:val="nil"/>
              <w:left w:val="nil"/>
              <w:bottom w:val="single" w:sz="8" w:space="0" w:color="auto"/>
              <w:right w:val="nil"/>
            </w:tcBorders>
            <w:shd w:val="clear" w:color="000000" w:fill="BFBFBF"/>
            <w:vAlign w:val="center"/>
            <w:hideMark/>
          </w:tcPr>
          <w:p w14:paraId="0189B326" w14:textId="77777777" w:rsidR="004F1EFC" w:rsidRPr="004F1EFC" w:rsidRDefault="004F1EFC" w:rsidP="004F1EFC">
            <w:pPr>
              <w:spacing w:after="0" w:line="240" w:lineRule="auto"/>
              <w:jc w:val="center"/>
              <w:rPr>
                <w:rFonts w:eastAsia="Times New Roman" w:cs="Times New Roman"/>
                <w:b/>
                <w:bCs/>
                <w:color w:val="000000"/>
                <w:sz w:val="18"/>
                <w:szCs w:val="18"/>
                <w:lang w:eastAsia="sk-SK"/>
              </w:rPr>
            </w:pPr>
            <w:r w:rsidRPr="004F1EFC">
              <w:rPr>
                <w:rFonts w:eastAsia="Times New Roman" w:cs="Times New Roman"/>
                <w:b/>
                <w:bCs/>
                <w:color w:val="000000"/>
                <w:sz w:val="18"/>
                <w:szCs w:val="18"/>
                <w:lang w:eastAsia="sk-SK"/>
              </w:rPr>
              <w:t>2</w:t>
            </w:r>
          </w:p>
        </w:tc>
        <w:tc>
          <w:tcPr>
            <w:tcW w:w="1134" w:type="dxa"/>
            <w:tcBorders>
              <w:top w:val="nil"/>
              <w:left w:val="nil"/>
              <w:bottom w:val="single" w:sz="8" w:space="0" w:color="auto"/>
              <w:right w:val="nil"/>
            </w:tcBorders>
            <w:shd w:val="clear" w:color="000000" w:fill="BFBFBF"/>
            <w:vAlign w:val="center"/>
            <w:hideMark/>
          </w:tcPr>
          <w:p w14:paraId="1AAA5BB9" w14:textId="77777777" w:rsidR="004F1EFC" w:rsidRPr="004F1EFC" w:rsidRDefault="004F1EFC" w:rsidP="004F1EFC">
            <w:pPr>
              <w:spacing w:after="0" w:line="240" w:lineRule="auto"/>
              <w:jc w:val="center"/>
              <w:rPr>
                <w:rFonts w:eastAsia="Times New Roman" w:cs="Times New Roman"/>
                <w:b/>
                <w:bCs/>
                <w:color w:val="000000"/>
                <w:sz w:val="18"/>
                <w:szCs w:val="18"/>
                <w:lang w:eastAsia="sk-SK"/>
              </w:rPr>
            </w:pPr>
            <w:r w:rsidRPr="004F1EFC">
              <w:rPr>
                <w:rFonts w:eastAsia="Times New Roman" w:cs="Times New Roman"/>
                <w:b/>
                <w:bCs/>
                <w:color w:val="000000"/>
                <w:sz w:val="18"/>
                <w:szCs w:val="18"/>
                <w:lang w:eastAsia="sk-SK"/>
              </w:rPr>
              <w:t>3</w:t>
            </w:r>
          </w:p>
        </w:tc>
        <w:tc>
          <w:tcPr>
            <w:tcW w:w="1025" w:type="dxa"/>
            <w:tcBorders>
              <w:top w:val="nil"/>
              <w:left w:val="nil"/>
              <w:bottom w:val="single" w:sz="8" w:space="0" w:color="auto"/>
              <w:right w:val="nil"/>
            </w:tcBorders>
            <w:shd w:val="clear" w:color="000000" w:fill="BFBFBF"/>
            <w:vAlign w:val="center"/>
            <w:hideMark/>
          </w:tcPr>
          <w:p w14:paraId="148D946A" w14:textId="77777777" w:rsidR="004F1EFC" w:rsidRPr="004F1EFC" w:rsidRDefault="004F1EFC" w:rsidP="004F1EFC">
            <w:pPr>
              <w:spacing w:after="0" w:line="240" w:lineRule="auto"/>
              <w:jc w:val="center"/>
              <w:rPr>
                <w:rFonts w:eastAsia="Times New Roman" w:cs="Times New Roman"/>
                <w:b/>
                <w:bCs/>
                <w:color w:val="000000"/>
                <w:sz w:val="18"/>
                <w:szCs w:val="18"/>
                <w:lang w:eastAsia="sk-SK"/>
              </w:rPr>
            </w:pPr>
            <w:r w:rsidRPr="004F1EFC">
              <w:rPr>
                <w:rFonts w:eastAsia="Times New Roman" w:cs="Times New Roman"/>
                <w:b/>
                <w:bCs/>
                <w:color w:val="000000"/>
                <w:sz w:val="18"/>
                <w:szCs w:val="18"/>
                <w:lang w:eastAsia="sk-SK"/>
              </w:rPr>
              <w:t>4</w:t>
            </w:r>
          </w:p>
        </w:tc>
        <w:tc>
          <w:tcPr>
            <w:tcW w:w="818" w:type="dxa"/>
            <w:tcBorders>
              <w:top w:val="nil"/>
              <w:left w:val="nil"/>
              <w:bottom w:val="single" w:sz="8" w:space="0" w:color="auto"/>
              <w:right w:val="nil"/>
            </w:tcBorders>
            <w:shd w:val="clear" w:color="000000" w:fill="BFBFBF"/>
            <w:vAlign w:val="center"/>
            <w:hideMark/>
          </w:tcPr>
          <w:p w14:paraId="16835B13" w14:textId="77777777" w:rsidR="004F1EFC" w:rsidRPr="004F1EFC" w:rsidRDefault="004F1EFC" w:rsidP="004F1EFC">
            <w:pPr>
              <w:spacing w:after="0" w:line="240" w:lineRule="auto"/>
              <w:jc w:val="center"/>
              <w:rPr>
                <w:rFonts w:eastAsia="Times New Roman" w:cs="Times New Roman"/>
                <w:b/>
                <w:bCs/>
                <w:color w:val="000000"/>
                <w:sz w:val="18"/>
                <w:szCs w:val="18"/>
                <w:lang w:eastAsia="sk-SK"/>
              </w:rPr>
            </w:pPr>
            <w:r w:rsidRPr="004F1EFC">
              <w:rPr>
                <w:rFonts w:eastAsia="Times New Roman" w:cs="Times New Roman"/>
                <w:b/>
                <w:bCs/>
                <w:color w:val="000000"/>
                <w:sz w:val="18"/>
                <w:szCs w:val="18"/>
                <w:lang w:eastAsia="sk-SK"/>
              </w:rPr>
              <w:t>5=4-3</w:t>
            </w:r>
          </w:p>
        </w:tc>
        <w:tc>
          <w:tcPr>
            <w:tcW w:w="850" w:type="dxa"/>
            <w:tcBorders>
              <w:top w:val="nil"/>
              <w:left w:val="nil"/>
              <w:bottom w:val="single" w:sz="8" w:space="0" w:color="auto"/>
              <w:right w:val="nil"/>
            </w:tcBorders>
            <w:shd w:val="clear" w:color="000000" w:fill="BFBFBF"/>
            <w:vAlign w:val="center"/>
            <w:hideMark/>
          </w:tcPr>
          <w:p w14:paraId="48499858" w14:textId="77777777" w:rsidR="004F1EFC" w:rsidRPr="004F1EFC" w:rsidRDefault="004F1EFC" w:rsidP="004F1EFC">
            <w:pPr>
              <w:spacing w:after="0" w:line="240" w:lineRule="auto"/>
              <w:jc w:val="center"/>
              <w:rPr>
                <w:rFonts w:eastAsia="Times New Roman" w:cs="Times New Roman"/>
                <w:b/>
                <w:bCs/>
                <w:color w:val="000000"/>
                <w:sz w:val="18"/>
                <w:szCs w:val="18"/>
                <w:lang w:eastAsia="sk-SK"/>
              </w:rPr>
            </w:pPr>
            <w:r w:rsidRPr="004F1EFC">
              <w:rPr>
                <w:rFonts w:eastAsia="Times New Roman" w:cs="Times New Roman"/>
                <w:b/>
                <w:bCs/>
                <w:color w:val="000000"/>
                <w:sz w:val="18"/>
                <w:szCs w:val="18"/>
                <w:lang w:eastAsia="sk-SK"/>
              </w:rPr>
              <w:t>6=4-3</w:t>
            </w:r>
          </w:p>
        </w:tc>
      </w:tr>
      <w:tr w:rsidR="004F1EFC" w:rsidRPr="004F1EFC" w14:paraId="2B6E1B7A" w14:textId="77777777" w:rsidTr="003F5C26">
        <w:trPr>
          <w:trHeight w:val="300"/>
        </w:trPr>
        <w:tc>
          <w:tcPr>
            <w:tcW w:w="2460" w:type="dxa"/>
            <w:tcBorders>
              <w:top w:val="nil"/>
              <w:left w:val="nil"/>
              <w:bottom w:val="nil"/>
              <w:right w:val="nil"/>
            </w:tcBorders>
            <w:shd w:val="clear" w:color="auto" w:fill="auto"/>
            <w:vAlign w:val="center"/>
            <w:hideMark/>
          </w:tcPr>
          <w:p w14:paraId="4F91686D" w14:textId="77777777" w:rsidR="004F1EFC" w:rsidRPr="004F1EFC" w:rsidRDefault="004F1EFC" w:rsidP="004F1EFC">
            <w:pPr>
              <w:spacing w:after="0" w:line="240" w:lineRule="auto"/>
              <w:rPr>
                <w:rFonts w:eastAsia="Times New Roman" w:cs="Times New Roman"/>
                <w:color w:val="000000"/>
                <w:sz w:val="18"/>
                <w:szCs w:val="18"/>
                <w:lang w:eastAsia="sk-SK"/>
              </w:rPr>
            </w:pPr>
            <w:r w:rsidRPr="004F1EFC">
              <w:rPr>
                <w:rFonts w:eastAsia="Times New Roman" w:cs="Times New Roman"/>
                <w:color w:val="000000"/>
                <w:sz w:val="18"/>
                <w:szCs w:val="18"/>
                <w:lang w:eastAsia="sk-SK"/>
              </w:rPr>
              <w:t>Všeobecné verejné služby</w:t>
            </w:r>
          </w:p>
        </w:tc>
        <w:tc>
          <w:tcPr>
            <w:tcW w:w="1074" w:type="dxa"/>
            <w:tcBorders>
              <w:top w:val="nil"/>
              <w:left w:val="nil"/>
              <w:bottom w:val="nil"/>
              <w:right w:val="nil"/>
            </w:tcBorders>
            <w:shd w:val="clear" w:color="auto" w:fill="auto"/>
            <w:noWrap/>
            <w:vAlign w:val="center"/>
            <w:hideMark/>
          </w:tcPr>
          <w:p w14:paraId="185FEC5A" w14:textId="77777777" w:rsidR="004F1EFC" w:rsidRPr="004F1EFC" w:rsidRDefault="004F1EFC" w:rsidP="004F1EFC">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3 107 621</w:t>
            </w:r>
          </w:p>
        </w:tc>
        <w:tc>
          <w:tcPr>
            <w:tcW w:w="1134" w:type="dxa"/>
            <w:tcBorders>
              <w:top w:val="nil"/>
              <w:left w:val="nil"/>
              <w:bottom w:val="nil"/>
              <w:right w:val="nil"/>
            </w:tcBorders>
            <w:shd w:val="clear" w:color="000000" w:fill="FFFFFF"/>
            <w:noWrap/>
            <w:vAlign w:val="center"/>
            <w:hideMark/>
          </w:tcPr>
          <w:p w14:paraId="32FAE880" w14:textId="77777777" w:rsidR="004F1EFC" w:rsidRPr="004F1EFC" w:rsidRDefault="004F1EFC" w:rsidP="004F1EFC">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3 065 266</w:t>
            </w:r>
          </w:p>
        </w:tc>
        <w:tc>
          <w:tcPr>
            <w:tcW w:w="1134" w:type="dxa"/>
            <w:tcBorders>
              <w:top w:val="nil"/>
              <w:left w:val="nil"/>
              <w:bottom w:val="nil"/>
              <w:right w:val="nil"/>
            </w:tcBorders>
            <w:shd w:val="clear" w:color="000000" w:fill="FFFFFF"/>
            <w:noWrap/>
            <w:vAlign w:val="center"/>
            <w:hideMark/>
          </w:tcPr>
          <w:p w14:paraId="5EB64BFE" w14:textId="77777777" w:rsidR="004F1EFC" w:rsidRPr="004F1EFC" w:rsidRDefault="004F1EFC" w:rsidP="004F1EFC">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3 548 648</w:t>
            </w:r>
          </w:p>
        </w:tc>
        <w:tc>
          <w:tcPr>
            <w:tcW w:w="1025" w:type="dxa"/>
            <w:tcBorders>
              <w:top w:val="nil"/>
              <w:left w:val="nil"/>
              <w:bottom w:val="nil"/>
              <w:right w:val="nil"/>
            </w:tcBorders>
            <w:shd w:val="clear" w:color="000000" w:fill="BFBFBF"/>
            <w:noWrap/>
            <w:vAlign w:val="center"/>
            <w:hideMark/>
          </w:tcPr>
          <w:p w14:paraId="128E32C8" w14:textId="00749660" w:rsidR="004F1EFC" w:rsidRPr="004F1EFC" w:rsidRDefault="004F1EFC" w:rsidP="004706F8">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3 243 9</w:t>
            </w:r>
            <w:r w:rsidR="004706F8">
              <w:rPr>
                <w:rFonts w:eastAsia="Times New Roman" w:cs="Times New Roman"/>
                <w:color w:val="000000"/>
                <w:sz w:val="18"/>
                <w:szCs w:val="18"/>
                <w:lang w:eastAsia="sk-SK"/>
              </w:rPr>
              <w:t>26</w:t>
            </w:r>
          </w:p>
        </w:tc>
        <w:tc>
          <w:tcPr>
            <w:tcW w:w="818" w:type="dxa"/>
            <w:tcBorders>
              <w:top w:val="nil"/>
              <w:left w:val="nil"/>
              <w:bottom w:val="nil"/>
              <w:right w:val="nil"/>
            </w:tcBorders>
            <w:shd w:val="clear" w:color="000000" w:fill="FFFFFF"/>
            <w:vAlign w:val="center"/>
            <w:hideMark/>
          </w:tcPr>
          <w:p w14:paraId="743EDE85" w14:textId="6CCB21F4" w:rsidR="004F1EFC" w:rsidRPr="004F1EFC" w:rsidRDefault="004F1EFC" w:rsidP="004706F8">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-304 7</w:t>
            </w:r>
            <w:r w:rsidR="004706F8">
              <w:rPr>
                <w:rFonts w:eastAsia="Times New Roman" w:cs="Times New Roman"/>
                <w:color w:val="000000"/>
                <w:sz w:val="18"/>
                <w:szCs w:val="18"/>
                <w:lang w:eastAsia="sk-SK"/>
              </w:rPr>
              <w:t>22</w:t>
            </w:r>
          </w:p>
        </w:tc>
        <w:tc>
          <w:tcPr>
            <w:tcW w:w="850" w:type="dxa"/>
            <w:tcBorders>
              <w:top w:val="nil"/>
              <w:left w:val="nil"/>
              <w:bottom w:val="nil"/>
              <w:right w:val="nil"/>
            </w:tcBorders>
            <w:shd w:val="clear" w:color="000000" w:fill="FFFFFF"/>
            <w:vAlign w:val="center"/>
            <w:hideMark/>
          </w:tcPr>
          <w:p w14:paraId="2AEB998A" w14:textId="77777777" w:rsidR="004F1EFC" w:rsidRPr="004F1EFC" w:rsidRDefault="004F1EFC" w:rsidP="004F1EFC">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-8,59</w:t>
            </w:r>
          </w:p>
        </w:tc>
      </w:tr>
      <w:tr w:rsidR="004F1EFC" w:rsidRPr="004F1EFC" w14:paraId="61216A56" w14:textId="77777777" w:rsidTr="003F5C26">
        <w:trPr>
          <w:trHeight w:val="300"/>
        </w:trPr>
        <w:tc>
          <w:tcPr>
            <w:tcW w:w="2460" w:type="dxa"/>
            <w:tcBorders>
              <w:top w:val="nil"/>
              <w:left w:val="nil"/>
              <w:bottom w:val="nil"/>
              <w:right w:val="nil"/>
            </w:tcBorders>
            <w:shd w:val="clear" w:color="auto" w:fill="auto"/>
            <w:vAlign w:val="center"/>
            <w:hideMark/>
          </w:tcPr>
          <w:p w14:paraId="3A20D0B7" w14:textId="77777777" w:rsidR="004F1EFC" w:rsidRPr="004F1EFC" w:rsidRDefault="004F1EFC" w:rsidP="004F1EFC">
            <w:pPr>
              <w:spacing w:after="0" w:line="240" w:lineRule="auto"/>
              <w:jc w:val="left"/>
              <w:rPr>
                <w:rFonts w:eastAsia="Times New Roman" w:cs="Times New Roman"/>
                <w:color w:val="000000"/>
                <w:sz w:val="18"/>
                <w:szCs w:val="18"/>
                <w:lang w:eastAsia="sk-SK"/>
              </w:rPr>
            </w:pPr>
            <w:r w:rsidRPr="004F1EFC">
              <w:rPr>
                <w:rFonts w:eastAsia="Times New Roman" w:cs="Times New Roman"/>
                <w:color w:val="000000"/>
                <w:sz w:val="18"/>
                <w:szCs w:val="18"/>
                <w:lang w:eastAsia="sk-SK"/>
              </w:rPr>
              <w:t>Obrana</w:t>
            </w:r>
          </w:p>
        </w:tc>
        <w:tc>
          <w:tcPr>
            <w:tcW w:w="1074" w:type="dxa"/>
            <w:tcBorders>
              <w:top w:val="nil"/>
              <w:left w:val="nil"/>
              <w:bottom w:val="nil"/>
              <w:right w:val="nil"/>
            </w:tcBorders>
            <w:shd w:val="clear" w:color="auto" w:fill="auto"/>
            <w:noWrap/>
            <w:vAlign w:val="center"/>
            <w:hideMark/>
          </w:tcPr>
          <w:p w14:paraId="17F3DB91" w14:textId="77777777" w:rsidR="004F1EFC" w:rsidRPr="004F1EFC" w:rsidRDefault="004F1EFC" w:rsidP="004F1EFC">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800 328</w:t>
            </w:r>
          </w:p>
        </w:tc>
        <w:tc>
          <w:tcPr>
            <w:tcW w:w="1134" w:type="dxa"/>
            <w:tcBorders>
              <w:top w:val="nil"/>
              <w:left w:val="nil"/>
              <w:bottom w:val="nil"/>
              <w:right w:val="nil"/>
            </w:tcBorders>
            <w:shd w:val="clear" w:color="000000" w:fill="FFFFFF"/>
            <w:noWrap/>
            <w:vAlign w:val="center"/>
            <w:hideMark/>
          </w:tcPr>
          <w:p w14:paraId="013B106A" w14:textId="77777777" w:rsidR="004F1EFC" w:rsidRPr="004F1EFC" w:rsidRDefault="004F1EFC" w:rsidP="004F1EFC">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835 442</w:t>
            </w:r>
          </w:p>
        </w:tc>
        <w:tc>
          <w:tcPr>
            <w:tcW w:w="1134" w:type="dxa"/>
            <w:tcBorders>
              <w:top w:val="nil"/>
              <w:left w:val="nil"/>
              <w:bottom w:val="nil"/>
              <w:right w:val="nil"/>
            </w:tcBorders>
            <w:shd w:val="clear" w:color="000000" w:fill="FFFFFF"/>
            <w:noWrap/>
            <w:vAlign w:val="center"/>
            <w:hideMark/>
          </w:tcPr>
          <w:p w14:paraId="51F1519A" w14:textId="67731881" w:rsidR="004F1EFC" w:rsidRPr="004F1EFC" w:rsidRDefault="004F1EFC" w:rsidP="004706F8">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 xml:space="preserve">975 </w:t>
            </w:r>
            <w:r w:rsidR="004706F8">
              <w:rPr>
                <w:rFonts w:eastAsia="Times New Roman" w:cs="Times New Roman"/>
                <w:color w:val="000000"/>
                <w:sz w:val="18"/>
                <w:szCs w:val="18"/>
                <w:lang w:eastAsia="sk-SK"/>
              </w:rPr>
              <w:t>300</w:t>
            </w:r>
          </w:p>
        </w:tc>
        <w:tc>
          <w:tcPr>
            <w:tcW w:w="1025" w:type="dxa"/>
            <w:tcBorders>
              <w:top w:val="nil"/>
              <w:left w:val="nil"/>
              <w:bottom w:val="nil"/>
              <w:right w:val="nil"/>
            </w:tcBorders>
            <w:shd w:val="clear" w:color="000000" w:fill="BFBFBF"/>
            <w:noWrap/>
            <w:vAlign w:val="center"/>
            <w:hideMark/>
          </w:tcPr>
          <w:p w14:paraId="31D46966" w14:textId="5185B1FB" w:rsidR="004F1EFC" w:rsidRPr="004F1EFC" w:rsidRDefault="004F1EFC" w:rsidP="004706F8">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988 36</w:t>
            </w:r>
            <w:r w:rsidR="004706F8">
              <w:rPr>
                <w:rFonts w:eastAsia="Times New Roman" w:cs="Times New Roman"/>
                <w:color w:val="000000"/>
                <w:sz w:val="18"/>
                <w:szCs w:val="18"/>
                <w:lang w:eastAsia="sk-SK"/>
              </w:rPr>
              <w:t>1</w:t>
            </w:r>
          </w:p>
        </w:tc>
        <w:tc>
          <w:tcPr>
            <w:tcW w:w="818" w:type="dxa"/>
            <w:tcBorders>
              <w:top w:val="nil"/>
              <w:left w:val="nil"/>
              <w:bottom w:val="nil"/>
              <w:right w:val="nil"/>
            </w:tcBorders>
            <w:shd w:val="clear" w:color="000000" w:fill="FFFFFF"/>
            <w:vAlign w:val="center"/>
            <w:hideMark/>
          </w:tcPr>
          <w:p w14:paraId="3CDC34F0" w14:textId="56591C7E" w:rsidR="004F1EFC" w:rsidRPr="004F1EFC" w:rsidRDefault="004F1EFC" w:rsidP="004706F8">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13 06</w:t>
            </w:r>
            <w:r w:rsidR="004706F8">
              <w:rPr>
                <w:rFonts w:eastAsia="Times New Roman" w:cs="Times New Roman"/>
                <w:color w:val="000000"/>
                <w:sz w:val="18"/>
                <w:szCs w:val="18"/>
                <w:lang w:eastAsia="sk-SK"/>
              </w:rPr>
              <w:t>1</w:t>
            </w:r>
          </w:p>
        </w:tc>
        <w:tc>
          <w:tcPr>
            <w:tcW w:w="850" w:type="dxa"/>
            <w:tcBorders>
              <w:top w:val="nil"/>
              <w:left w:val="nil"/>
              <w:bottom w:val="nil"/>
              <w:right w:val="nil"/>
            </w:tcBorders>
            <w:shd w:val="clear" w:color="000000" w:fill="FFFFFF"/>
            <w:vAlign w:val="center"/>
            <w:hideMark/>
          </w:tcPr>
          <w:p w14:paraId="66E7AE95" w14:textId="77777777" w:rsidR="004F1EFC" w:rsidRPr="004F1EFC" w:rsidRDefault="004F1EFC" w:rsidP="004F1EFC">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1,34</w:t>
            </w:r>
          </w:p>
        </w:tc>
      </w:tr>
      <w:tr w:rsidR="004F1EFC" w:rsidRPr="004F1EFC" w14:paraId="10743036" w14:textId="77777777" w:rsidTr="003F5C26">
        <w:trPr>
          <w:trHeight w:val="300"/>
        </w:trPr>
        <w:tc>
          <w:tcPr>
            <w:tcW w:w="2460" w:type="dxa"/>
            <w:tcBorders>
              <w:top w:val="nil"/>
              <w:left w:val="nil"/>
              <w:bottom w:val="nil"/>
              <w:right w:val="nil"/>
            </w:tcBorders>
            <w:shd w:val="clear" w:color="auto" w:fill="auto"/>
            <w:vAlign w:val="center"/>
            <w:hideMark/>
          </w:tcPr>
          <w:p w14:paraId="59F947C6" w14:textId="77777777" w:rsidR="004F1EFC" w:rsidRPr="004F1EFC" w:rsidRDefault="004F1EFC" w:rsidP="004F1EFC">
            <w:pPr>
              <w:spacing w:after="0" w:line="240" w:lineRule="auto"/>
              <w:jc w:val="left"/>
              <w:rPr>
                <w:rFonts w:eastAsia="Times New Roman" w:cs="Times New Roman"/>
                <w:color w:val="000000"/>
                <w:sz w:val="18"/>
                <w:szCs w:val="18"/>
                <w:lang w:eastAsia="sk-SK"/>
              </w:rPr>
            </w:pPr>
            <w:r w:rsidRPr="004F1EFC">
              <w:rPr>
                <w:rFonts w:eastAsia="Times New Roman" w:cs="Times New Roman"/>
                <w:color w:val="000000"/>
                <w:sz w:val="18"/>
                <w:szCs w:val="18"/>
                <w:lang w:eastAsia="sk-SK"/>
              </w:rPr>
              <w:t>Verejný poriadok a bezpečnosť</w:t>
            </w:r>
          </w:p>
        </w:tc>
        <w:tc>
          <w:tcPr>
            <w:tcW w:w="1074" w:type="dxa"/>
            <w:tcBorders>
              <w:top w:val="nil"/>
              <w:left w:val="nil"/>
              <w:bottom w:val="nil"/>
              <w:right w:val="nil"/>
            </w:tcBorders>
            <w:shd w:val="clear" w:color="auto" w:fill="auto"/>
            <w:noWrap/>
            <w:vAlign w:val="center"/>
            <w:hideMark/>
          </w:tcPr>
          <w:p w14:paraId="4B434B4C" w14:textId="77777777" w:rsidR="004F1EFC" w:rsidRPr="004F1EFC" w:rsidRDefault="004F1EFC" w:rsidP="004F1EFC">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1 801 271</w:t>
            </w:r>
          </w:p>
        </w:tc>
        <w:tc>
          <w:tcPr>
            <w:tcW w:w="1134" w:type="dxa"/>
            <w:tcBorders>
              <w:top w:val="nil"/>
              <w:left w:val="nil"/>
              <w:bottom w:val="nil"/>
              <w:right w:val="nil"/>
            </w:tcBorders>
            <w:shd w:val="clear" w:color="000000" w:fill="FFFFFF"/>
            <w:noWrap/>
            <w:vAlign w:val="center"/>
            <w:hideMark/>
          </w:tcPr>
          <w:p w14:paraId="6FAC90AD" w14:textId="77777777" w:rsidR="004F1EFC" w:rsidRPr="004F1EFC" w:rsidRDefault="004F1EFC" w:rsidP="004F1EFC">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1 743 624</w:t>
            </w:r>
          </w:p>
        </w:tc>
        <w:tc>
          <w:tcPr>
            <w:tcW w:w="1134" w:type="dxa"/>
            <w:tcBorders>
              <w:top w:val="nil"/>
              <w:left w:val="nil"/>
              <w:bottom w:val="nil"/>
              <w:right w:val="nil"/>
            </w:tcBorders>
            <w:shd w:val="clear" w:color="000000" w:fill="FFFFFF"/>
            <w:noWrap/>
            <w:vAlign w:val="center"/>
            <w:hideMark/>
          </w:tcPr>
          <w:p w14:paraId="4A373688" w14:textId="5C205B3E" w:rsidR="004F1EFC" w:rsidRPr="004F1EFC" w:rsidRDefault="004F1EFC" w:rsidP="004706F8">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1 714 42</w:t>
            </w:r>
            <w:r w:rsidR="004706F8">
              <w:rPr>
                <w:rFonts w:eastAsia="Times New Roman" w:cs="Times New Roman"/>
                <w:color w:val="000000"/>
                <w:sz w:val="18"/>
                <w:szCs w:val="18"/>
                <w:lang w:eastAsia="sk-SK"/>
              </w:rPr>
              <w:t>8</w:t>
            </w:r>
          </w:p>
        </w:tc>
        <w:tc>
          <w:tcPr>
            <w:tcW w:w="1025" w:type="dxa"/>
            <w:tcBorders>
              <w:top w:val="nil"/>
              <w:left w:val="nil"/>
              <w:bottom w:val="nil"/>
              <w:right w:val="nil"/>
            </w:tcBorders>
            <w:shd w:val="clear" w:color="000000" w:fill="BFBFBF"/>
            <w:noWrap/>
            <w:vAlign w:val="center"/>
            <w:hideMark/>
          </w:tcPr>
          <w:p w14:paraId="4333D8A5" w14:textId="3E7F9E14" w:rsidR="004F1EFC" w:rsidRPr="004F1EFC" w:rsidRDefault="004F1EFC" w:rsidP="004706F8">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1 968 6</w:t>
            </w:r>
            <w:r w:rsidR="004706F8">
              <w:rPr>
                <w:rFonts w:eastAsia="Times New Roman" w:cs="Times New Roman"/>
                <w:color w:val="000000"/>
                <w:sz w:val="18"/>
                <w:szCs w:val="18"/>
                <w:lang w:eastAsia="sk-SK"/>
              </w:rPr>
              <w:t>4</w:t>
            </w:r>
            <w:r w:rsidRPr="004F1EFC">
              <w:rPr>
                <w:rFonts w:eastAsia="Times New Roman" w:cs="Times New Roman"/>
                <w:color w:val="000000"/>
                <w:sz w:val="18"/>
                <w:szCs w:val="18"/>
                <w:lang w:eastAsia="sk-SK"/>
              </w:rPr>
              <w:t>0</w:t>
            </w:r>
          </w:p>
        </w:tc>
        <w:tc>
          <w:tcPr>
            <w:tcW w:w="818" w:type="dxa"/>
            <w:tcBorders>
              <w:top w:val="nil"/>
              <w:left w:val="nil"/>
              <w:bottom w:val="nil"/>
              <w:right w:val="nil"/>
            </w:tcBorders>
            <w:shd w:val="clear" w:color="000000" w:fill="FFFFFF"/>
            <w:vAlign w:val="center"/>
            <w:hideMark/>
          </w:tcPr>
          <w:p w14:paraId="370B1898" w14:textId="15193C4C" w:rsidR="004F1EFC" w:rsidRPr="004F1EFC" w:rsidRDefault="004F1EFC" w:rsidP="004706F8">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254 2</w:t>
            </w:r>
            <w:r w:rsidR="004706F8">
              <w:rPr>
                <w:rFonts w:eastAsia="Times New Roman" w:cs="Times New Roman"/>
                <w:color w:val="000000"/>
                <w:sz w:val="18"/>
                <w:szCs w:val="18"/>
                <w:lang w:eastAsia="sk-SK"/>
              </w:rPr>
              <w:t>12</w:t>
            </w:r>
          </w:p>
        </w:tc>
        <w:tc>
          <w:tcPr>
            <w:tcW w:w="850" w:type="dxa"/>
            <w:tcBorders>
              <w:top w:val="nil"/>
              <w:left w:val="nil"/>
              <w:bottom w:val="nil"/>
              <w:right w:val="nil"/>
            </w:tcBorders>
            <w:shd w:val="clear" w:color="000000" w:fill="FFFFFF"/>
            <w:vAlign w:val="center"/>
            <w:hideMark/>
          </w:tcPr>
          <w:p w14:paraId="3FBB5337" w14:textId="77777777" w:rsidR="004F1EFC" w:rsidRPr="004F1EFC" w:rsidRDefault="004F1EFC" w:rsidP="004F1EFC">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14,83</w:t>
            </w:r>
          </w:p>
        </w:tc>
      </w:tr>
      <w:tr w:rsidR="004F1EFC" w:rsidRPr="004F1EFC" w14:paraId="12666BFF" w14:textId="77777777" w:rsidTr="003F5C26">
        <w:trPr>
          <w:trHeight w:val="300"/>
        </w:trPr>
        <w:tc>
          <w:tcPr>
            <w:tcW w:w="2460" w:type="dxa"/>
            <w:tcBorders>
              <w:top w:val="nil"/>
              <w:left w:val="nil"/>
              <w:bottom w:val="nil"/>
              <w:right w:val="nil"/>
            </w:tcBorders>
            <w:shd w:val="clear" w:color="auto" w:fill="auto"/>
            <w:vAlign w:val="center"/>
            <w:hideMark/>
          </w:tcPr>
          <w:p w14:paraId="546A492E" w14:textId="77777777" w:rsidR="004F1EFC" w:rsidRPr="004F1EFC" w:rsidRDefault="004F1EFC" w:rsidP="004F1EFC">
            <w:pPr>
              <w:spacing w:after="0" w:line="240" w:lineRule="auto"/>
              <w:jc w:val="left"/>
              <w:rPr>
                <w:rFonts w:eastAsia="Times New Roman" w:cs="Times New Roman"/>
                <w:color w:val="000000"/>
                <w:sz w:val="18"/>
                <w:szCs w:val="18"/>
                <w:lang w:eastAsia="sk-SK"/>
              </w:rPr>
            </w:pPr>
            <w:r w:rsidRPr="004F1EFC">
              <w:rPr>
                <w:rFonts w:eastAsia="Times New Roman" w:cs="Times New Roman"/>
                <w:color w:val="000000"/>
                <w:sz w:val="18"/>
                <w:szCs w:val="18"/>
                <w:lang w:eastAsia="sk-SK"/>
              </w:rPr>
              <w:t>Ekonomická oblasť</w:t>
            </w:r>
          </w:p>
        </w:tc>
        <w:tc>
          <w:tcPr>
            <w:tcW w:w="1074" w:type="dxa"/>
            <w:tcBorders>
              <w:top w:val="nil"/>
              <w:left w:val="nil"/>
              <w:bottom w:val="nil"/>
              <w:right w:val="nil"/>
            </w:tcBorders>
            <w:shd w:val="clear" w:color="auto" w:fill="auto"/>
            <w:noWrap/>
            <w:vAlign w:val="center"/>
            <w:hideMark/>
          </w:tcPr>
          <w:p w14:paraId="0C864115" w14:textId="77777777" w:rsidR="004F1EFC" w:rsidRPr="004F1EFC" w:rsidRDefault="004F1EFC" w:rsidP="004F1EFC">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2 791 762</w:t>
            </w:r>
          </w:p>
        </w:tc>
        <w:tc>
          <w:tcPr>
            <w:tcW w:w="1134" w:type="dxa"/>
            <w:tcBorders>
              <w:top w:val="nil"/>
              <w:left w:val="nil"/>
              <w:bottom w:val="nil"/>
              <w:right w:val="nil"/>
            </w:tcBorders>
            <w:shd w:val="clear" w:color="000000" w:fill="FFFFFF"/>
            <w:noWrap/>
            <w:vAlign w:val="center"/>
            <w:hideMark/>
          </w:tcPr>
          <w:p w14:paraId="157B6E2A" w14:textId="77777777" w:rsidR="004F1EFC" w:rsidRPr="004F1EFC" w:rsidRDefault="004F1EFC" w:rsidP="004F1EFC">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2 815 990</w:t>
            </w:r>
          </w:p>
        </w:tc>
        <w:tc>
          <w:tcPr>
            <w:tcW w:w="1134" w:type="dxa"/>
            <w:tcBorders>
              <w:top w:val="nil"/>
              <w:left w:val="nil"/>
              <w:bottom w:val="nil"/>
              <w:right w:val="nil"/>
            </w:tcBorders>
            <w:shd w:val="clear" w:color="000000" w:fill="FFFFFF"/>
            <w:noWrap/>
            <w:vAlign w:val="center"/>
            <w:hideMark/>
          </w:tcPr>
          <w:p w14:paraId="3B3E0931" w14:textId="5CC31E09" w:rsidR="004F1EFC" w:rsidRPr="004F1EFC" w:rsidRDefault="004F1EFC" w:rsidP="004706F8">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2 870 40</w:t>
            </w:r>
            <w:r w:rsidR="004706F8">
              <w:rPr>
                <w:rFonts w:eastAsia="Times New Roman" w:cs="Times New Roman"/>
                <w:color w:val="000000"/>
                <w:sz w:val="18"/>
                <w:szCs w:val="18"/>
                <w:lang w:eastAsia="sk-SK"/>
              </w:rPr>
              <w:t>8</w:t>
            </w:r>
          </w:p>
        </w:tc>
        <w:tc>
          <w:tcPr>
            <w:tcW w:w="1025" w:type="dxa"/>
            <w:tcBorders>
              <w:top w:val="nil"/>
              <w:left w:val="nil"/>
              <w:bottom w:val="nil"/>
              <w:right w:val="nil"/>
            </w:tcBorders>
            <w:shd w:val="clear" w:color="000000" w:fill="BFBFBF"/>
            <w:noWrap/>
            <w:vAlign w:val="center"/>
            <w:hideMark/>
          </w:tcPr>
          <w:p w14:paraId="55F35EA9" w14:textId="749A0F38" w:rsidR="004F1EFC" w:rsidRPr="004F1EFC" w:rsidRDefault="004F1EFC" w:rsidP="004706F8">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3 425 05</w:t>
            </w:r>
            <w:r w:rsidR="004706F8">
              <w:rPr>
                <w:rFonts w:eastAsia="Times New Roman" w:cs="Times New Roman"/>
                <w:color w:val="000000"/>
                <w:sz w:val="18"/>
                <w:szCs w:val="18"/>
                <w:lang w:eastAsia="sk-SK"/>
              </w:rPr>
              <w:t>3</w:t>
            </w:r>
          </w:p>
        </w:tc>
        <w:tc>
          <w:tcPr>
            <w:tcW w:w="818" w:type="dxa"/>
            <w:tcBorders>
              <w:top w:val="nil"/>
              <w:left w:val="nil"/>
              <w:bottom w:val="nil"/>
              <w:right w:val="nil"/>
            </w:tcBorders>
            <w:shd w:val="clear" w:color="000000" w:fill="FFFFFF"/>
            <w:vAlign w:val="center"/>
            <w:hideMark/>
          </w:tcPr>
          <w:p w14:paraId="74836CA2" w14:textId="7E6D3C9B" w:rsidR="004F1EFC" w:rsidRPr="004F1EFC" w:rsidRDefault="004F1EFC" w:rsidP="004706F8">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554 64</w:t>
            </w:r>
            <w:r w:rsidR="004706F8">
              <w:rPr>
                <w:rFonts w:eastAsia="Times New Roman" w:cs="Times New Roman"/>
                <w:color w:val="000000"/>
                <w:sz w:val="18"/>
                <w:szCs w:val="18"/>
                <w:lang w:eastAsia="sk-SK"/>
              </w:rPr>
              <w:t>5</w:t>
            </w:r>
          </w:p>
        </w:tc>
        <w:tc>
          <w:tcPr>
            <w:tcW w:w="850" w:type="dxa"/>
            <w:tcBorders>
              <w:top w:val="nil"/>
              <w:left w:val="nil"/>
              <w:bottom w:val="nil"/>
              <w:right w:val="nil"/>
            </w:tcBorders>
            <w:shd w:val="clear" w:color="000000" w:fill="FFFFFF"/>
            <w:vAlign w:val="center"/>
            <w:hideMark/>
          </w:tcPr>
          <w:p w14:paraId="70EB6AA0" w14:textId="77777777" w:rsidR="004F1EFC" w:rsidRPr="004F1EFC" w:rsidRDefault="004F1EFC" w:rsidP="004F1EFC">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19,32</w:t>
            </w:r>
          </w:p>
        </w:tc>
      </w:tr>
      <w:tr w:rsidR="004F1EFC" w:rsidRPr="004F1EFC" w14:paraId="712EA99D" w14:textId="77777777" w:rsidTr="003F5C26">
        <w:trPr>
          <w:trHeight w:val="300"/>
        </w:trPr>
        <w:tc>
          <w:tcPr>
            <w:tcW w:w="2460" w:type="dxa"/>
            <w:tcBorders>
              <w:top w:val="nil"/>
              <w:left w:val="nil"/>
              <w:bottom w:val="nil"/>
              <w:right w:val="nil"/>
            </w:tcBorders>
            <w:shd w:val="clear" w:color="auto" w:fill="auto"/>
            <w:vAlign w:val="center"/>
            <w:hideMark/>
          </w:tcPr>
          <w:p w14:paraId="7E49D074" w14:textId="77777777" w:rsidR="004F1EFC" w:rsidRPr="004F1EFC" w:rsidRDefault="004F1EFC" w:rsidP="004F1EFC">
            <w:pPr>
              <w:spacing w:after="0" w:line="240" w:lineRule="auto"/>
              <w:jc w:val="left"/>
              <w:rPr>
                <w:rFonts w:eastAsia="Times New Roman" w:cs="Times New Roman"/>
                <w:color w:val="000000"/>
                <w:sz w:val="18"/>
                <w:szCs w:val="18"/>
                <w:lang w:eastAsia="sk-SK"/>
              </w:rPr>
            </w:pPr>
            <w:r w:rsidRPr="004F1EFC">
              <w:rPr>
                <w:rFonts w:eastAsia="Times New Roman" w:cs="Times New Roman"/>
                <w:color w:val="000000"/>
                <w:sz w:val="18"/>
                <w:szCs w:val="18"/>
                <w:lang w:eastAsia="sk-SK"/>
              </w:rPr>
              <w:t>Ochrana životného prostredia</w:t>
            </w:r>
          </w:p>
        </w:tc>
        <w:tc>
          <w:tcPr>
            <w:tcW w:w="1074" w:type="dxa"/>
            <w:tcBorders>
              <w:top w:val="nil"/>
              <w:left w:val="nil"/>
              <w:bottom w:val="nil"/>
              <w:right w:val="nil"/>
            </w:tcBorders>
            <w:shd w:val="clear" w:color="auto" w:fill="auto"/>
            <w:noWrap/>
            <w:vAlign w:val="center"/>
            <w:hideMark/>
          </w:tcPr>
          <w:p w14:paraId="70CEE288" w14:textId="77777777" w:rsidR="004F1EFC" w:rsidRPr="004F1EFC" w:rsidRDefault="004F1EFC" w:rsidP="004F1EFC">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322 540</w:t>
            </w:r>
          </w:p>
        </w:tc>
        <w:tc>
          <w:tcPr>
            <w:tcW w:w="1134" w:type="dxa"/>
            <w:tcBorders>
              <w:top w:val="nil"/>
              <w:left w:val="nil"/>
              <w:bottom w:val="nil"/>
              <w:right w:val="nil"/>
            </w:tcBorders>
            <w:shd w:val="clear" w:color="000000" w:fill="FFFFFF"/>
            <w:noWrap/>
            <w:vAlign w:val="center"/>
            <w:hideMark/>
          </w:tcPr>
          <w:p w14:paraId="4BD566EE" w14:textId="77777777" w:rsidR="004F1EFC" w:rsidRPr="004F1EFC" w:rsidRDefault="004F1EFC" w:rsidP="004F1EFC">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276 449</w:t>
            </w:r>
          </w:p>
        </w:tc>
        <w:tc>
          <w:tcPr>
            <w:tcW w:w="1134" w:type="dxa"/>
            <w:tcBorders>
              <w:top w:val="nil"/>
              <w:left w:val="nil"/>
              <w:bottom w:val="nil"/>
              <w:right w:val="nil"/>
            </w:tcBorders>
            <w:shd w:val="clear" w:color="000000" w:fill="FFFFFF"/>
            <w:noWrap/>
            <w:vAlign w:val="center"/>
            <w:hideMark/>
          </w:tcPr>
          <w:p w14:paraId="54DA851D" w14:textId="77777777" w:rsidR="004F1EFC" w:rsidRPr="004F1EFC" w:rsidRDefault="004F1EFC" w:rsidP="004F1EFC">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234 935</w:t>
            </w:r>
          </w:p>
        </w:tc>
        <w:tc>
          <w:tcPr>
            <w:tcW w:w="1025" w:type="dxa"/>
            <w:tcBorders>
              <w:top w:val="nil"/>
              <w:left w:val="nil"/>
              <w:bottom w:val="nil"/>
              <w:right w:val="nil"/>
            </w:tcBorders>
            <w:shd w:val="clear" w:color="000000" w:fill="BFBFBF"/>
            <w:noWrap/>
            <w:vAlign w:val="center"/>
            <w:hideMark/>
          </w:tcPr>
          <w:p w14:paraId="5E317C68" w14:textId="1B20D817" w:rsidR="004F1EFC" w:rsidRPr="004F1EFC" w:rsidRDefault="004F1EFC" w:rsidP="004706F8">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472 39</w:t>
            </w:r>
            <w:r w:rsidR="004706F8">
              <w:rPr>
                <w:rFonts w:eastAsia="Times New Roman" w:cs="Times New Roman"/>
                <w:color w:val="000000"/>
                <w:sz w:val="18"/>
                <w:szCs w:val="18"/>
                <w:lang w:eastAsia="sk-SK"/>
              </w:rPr>
              <w:t>0</w:t>
            </w:r>
          </w:p>
        </w:tc>
        <w:tc>
          <w:tcPr>
            <w:tcW w:w="818" w:type="dxa"/>
            <w:tcBorders>
              <w:top w:val="nil"/>
              <w:left w:val="nil"/>
              <w:bottom w:val="nil"/>
              <w:right w:val="nil"/>
            </w:tcBorders>
            <w:shd w:val="clear" w:color="000000" w:fill="FFFFFF"/>
            <w:vAlign w:val="center"/>
            <w:hideMark/>
          </w:tcPr>
          <w:p w14:paraId="2B7E7793" w14:textId="050120D3" w:rsidR="004F1EFC" w:rsidRPr="004F1EFC" w:rsidRDefault="004F1EFC" w:rsidP="004706F8">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237 45</w:t>
            </w:r>
            <w:r w:rsidR="004706F8">
              <w:rPr>
                <w:rFonts w:eastAsia="Times New Roman" w:cs="Times New Roman"/>
                <w:color w:val="000000"/>
                <w:sz w:val="18"/>
                <w:szCs w:val="18"/>
                <w:lang w:eastAsia="sk-SK"/>
              </w:rPr>
              <w:t>5</w:t>
            </w:r>
          </w:p>
        </w:tc>
        <w:tc>
          <w:tcPr>
            <w:tcW w:w="850" w:type="dxa"/>
            <w:tcBorders>
              <w:top w:val="nil"/>
              <w:left w:val="nil"/>
              <w:bottom w:val="nil"/>
              <w:right w:val="nil"/>
            </w:tcBorders>
            <w:shd w:val="clear" w:color="000000" w:fill="FFFFFF"/>
            <w:vAlign w:val="center"/>
            <w:hideMark/>
          </w:tcPr>
          <w:p w14:paraId="2DBE1B6B" w14:textId="77777777" w:rsidR="004F1EFC" w:rsidRPr="004F1EFC" w:rsidRDefault="004F1EFC" w:rsidP="004F1EFC">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101,07</w:t>
            </w:r>
          </w:p>
        </w:tc>
      </w:tr>
      <w:tr w:rsidR="004F1EFC" w:rsidRPr="004F1EFC" w14:paraId="039B85E7" w14:textId="77777777" w:rsidTr="003F5C26">
        <w:trPr>
          <w:trHeight w:val="300"/>
        </w:trPr>
        <w:tc>
          <w:tcPr>
            <w:tcW w:w="2460" w:type="dxa"/>
            <w:tcBorders>
              <w:top w:val="nil"/>
              <w:left w:val="nil"/>
              <w:bottom w:val="nil"/>
              <w:right w:val="nil"/>
            </w:tcBorders>
            <w:shd w:val="clear" w:color="auto" w:fill="auto"/>
            <w:vAlign w:val="center"/>
            <w:hideMark/>
          </w:tcPr>
          <w:p w14:paraId="262DF2C2" w14:textId="77777777" w:rsidR="004F1EFC" w:rsidRPr="004F1EFC" w:rsidRDefault="004F1EFC" w:rsidP="004F1EFC">
            <w:pPr>
              <w:spacing w:after="0" w:line="240" w:lineRule="auto"/>
              <w:jc w:val="left"/>
              <w:rPr>
                <w:rFonts w:eastAsia="Times New Roman" w:cs="Times New Roman"/>
                <w:color w:val="000000"/>
                <w:sz w:val="18"/>
                <w:szCs w:val="18"/>
                <w:lang w:eastAsia="sk-SK"/>
              </w:rPr>
            </w:pPr>
            <w:r w:rsidRPr="004F1EFC">
              <w:rPr>
                <w:rFonts w:eastAsia="Times New Roman" w:cs="Times New Roman"/>
                <w:color w:val="000000"/>
                <w:sz w:val="18"/>
                <w:szCs w:val="18"/>
                <w:lang w:eastAsia="sk-SK"/>
              </w:rPr>
              <w:t>Bývanie a občianska vybavenosť</w:t>
            </w:r>
          </w:p>
        </w:tc>
        <w:tc>
          <w:tcPr>
            <w:tcW w:w="1074" w:type="dxa"/>
            <w:tcBorders>
              <w:top w:val="nil"/>
              <w:left w:val="nil"/>
              <w:bottom w:val="nil"/>
              <w:right w:val="nil"/>
            </w:tcBorders>
            <w:shd w:val="clear" w:color="auto" w:fill="auto"/>
            <w:noWrap/>
            <w:vAlign w:val="center"/>
            <w:hideMark/>
          </w:tcPr>
          <w:p w14:paraId="4BC6C6BB" w14:textId="77777777" w:rsidR="004F1EFC" w:rsidRPr="004F1EFC" w:rsidRDefault="004F1EFC" w:rsidP="004F1EFC">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185 914</w:t>
            </w:r>
          </w:p>
        </w:tc>
        <w:tc>
          <w:tcPr>
            <w:tcW w:w="1134" w:type="dxa"/>
            <w:tcBorders>
              <w:top w:val="nil"/>
              <w:left w:val="nil"/>
              <w:bottom w:val="nil"/>
              <w:right w:val="nil"/>
            </w:tcBorders>
            <w:shd w:val="clear" w:color="000000" w:fill="FFFFFF"/>
            <w:noWrap/>
            <w:vAlign w:val="center"/>
            <w:hideMark/>
          </w:tcPr>
          <w:p w14:paraId="23C2CE00" w14:textId="77777777" w:rsidR="004F1EFC" w:rsidRPr="004F1EFC" w:rsidRDefault="004F1EFC" w:rsidP="004F1EFC">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126 359</w:t>
            </w:r>
          </w:p>
        </w:tc>
        <w:tc>
          <w:tcPr>
            <w:tcW w:w="1134" w:type="dxa"/>
            <w:tcBorders>
              <w:top w:val="nil"/>
              <w:left w:val="nil"/>
              <w:bottom w:val="nil"/>
              <w:right w:val="nil"/>
            </w:tcBorders>
            <w:shd w:val="clear" w:color="000000" w:fill="FFFFFF"/>
            <w:noWrap/>
            <w:vAlign w:val="center"/>
            <w:hideMark/>
          </w:tcPr>
          <w:p w14:paraId="03659638" w14:textId="5379A6EC" w:rsidR="004F1EFC" w:rsidRPr="004F1EFC" w:rsidRDefault="004F1EFC" w:rsidP="004706F8">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152 03</w:t>
            </w:r>
            <w:r w:rsidR="004706F8">
              <w:rPr>
                <w:rFonts w:eastAsia="Times New Roman" w:cs="Times New Roman"/>
                <w:color w:val="000000"/>
                <w:sz w:val="18"/>
                <w:szCs w:val="18"/>
                <w:lang w:eastAsia="sk-SK"/>
              </w:rPr>
              <w:t>4</w:t>
            </w:r>
          </w:p>
        </w:tc>
        <w:tc>
          <w:tcPr>
            <w:tcW w:w="1025" w:type="dxa"/>
            <w:tcBorders>
              <w:top w:val="nil"/>
              <w:left w:val="nil"/>
              <w:bottom w:val="nil"/>
              <w:right w:val="nil"/>
            </w:tcBorders>
            <w:shd w:val="clear" w:color="000000" w:fill="BFBFBF"/>
            <w:noWrap/>
            <w:vAlign w:val="center"/>
            <w:hideMark/>
          </w:tcPr>
          <w:p w14:paraId="6B408901" w14:textId="0B64D390" w:rsidR="004F1EFC" w:rsidRPr="004F1EFC" w:rsidRDefault="004F1EFC" w:rsidP="004706F8">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146 35</w:t>
            </w:r>
            <w:r w:rsidR="004706F8">
              <w:rPr>
                <w:rFonts w:eastAsia="Times New Roman" w:cs="Times New Roman"/>
                <w:color w:val="000000"/>
                <w:sz w:val="18"/>
                <w:szCs w:val="18"/>
                <w:lang w:eastAsia="sk-SK"/>
              </w:rPr>
              <w:t>5</w:t>
            </w:r>
          </w:p>
        </w:tc>
        <w:tc>
          <w:tcPr>
            <w:tcW w:w="818" w:type="dxa"/>
            <w:tcBorders>
              <w:top w:val="nil"/>
              <w:left w:val="nil"/>
              <w:bottom w:val="nil"/>
              <w:right w:val="nil"/>
            </w:tcBorders>
            <w:shd w:val="clear" w:color="000000" w:fill="FFFFFF"/>
            <w:vAlign w:val="center"/>
            <w:hideMark/>
          </w:tcPr>
          <w:p w14:paraId="25D4E114" w14:textId="5F530253" w:rsidR="004F1EFC" w:rsidRPr="004F1EFC" w:rsidRDefault="004F1EFC" w:rsidP="004706F8">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-5 6</w:t>
            </w:r>
            <w:r w:rsidR="004706F8">
              <w:rPr>
                <w:rFonts w:eastAsia="Times New Roman" w:cs="Times New Roman"/>
                <w:color w:val="000000"/>
                <w:sz w:val="18"/>
                <w:szCs w:val="18"/>
                <w:lang w:eastAsia="sk-SK"/>
              </w:rPr>
              <w:t>79</w:t>
            </w:r>
          </w:p>
        </w:tc>
        <w:tc>
          <w:tcPr>
            <w:tcW w:w="850" w:type="dxa"/>
            <w:tcBorders>
              <w:top w:val="nil"/>
              <w:left w:val="nil"/>
              <w:bottom w:val="nil"/>
              <w:right w:val="nil"/>
            </w:tcBorders>
            <w:shd w:val="clear" w:color="000000" w:fill="FFFFFF"/>
            <w:vAlign w:val="center"/>
            <w:hideMark/>
          </w:tcPr>
          <w:p w14:paraId="72CB7D87" w14:textId="77777777" w:rsidR="004F1EFC" w:rsidRPr="004F1EFC" w:rsidRDefault="004F1EFC" w:rsidP="004F1EFC">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-3,74</w:t>
            </w:r>
          </w:p>
        </w:tc>
      </w:tr>
      <w:tr w:rsidR="004F1EFC" w:rsidRPr="004F1EFC" w14:paraId="44FE0D6E" w14:textId="77777777" w:rsidTr="003F5C26">
        <w:trPr>
          <w:trHeight w:val="300"/>
        </w:trPr>
        <w:tc>
          <w:tcPr>
            <w:tcW w:w="2460" w:type="dxa"/>
            <w:tcBorders>
              <w:top w:val="nil"/>
              <w:left w:val="nil"/>
              <w:bottom w:val="nil"/>
              <w:right w:val="nil"/>
            </w:tcBorders>
            <w:shd w:val="clear" w:color="auto" w:fill="auto"/>
            <w:vAlign w:val="center"/>
            <w:hideMark/>
          </w:tcPr>
          <w:p w14:paraId="006CAB17" w14:textId="77777777" w:rsidR="004F1EFC" w:rsidRPr="004F1EFC" w:rsidRDefault="004F1EFC" w:rsidP="004F1EFC">
            <w:pPr>
              <w:spacing w:after="0" w:line="240" w:lineRule="auto"/>
              <w:jc w:val="left"/>
              <w:rPr>
                <w:rFonts w:eastAsia="Times New Roman" w:cs="Times New Roman"/>
                <w:color w:val="000000"/>
                <w:sz w:val="18"/>
                <w:szCs w:val="18"/>
                <w:lang w:eastAsia="sk-SK"/>
              </w:rPr>
            </w:pPr>
            <w:r w:rsidRPr="004F1EFC">
              <w:rPr>
                <w:rFonts w:eastAsia="Times New Roman" w:cs="Times New Roman"/>
                <w:color w:val="000000"/>
                <w:sz w:val="18"/>
                <w:szCs w:val="18"/>
                <w:lang w:eastAsia="sk-SK"/>
              </w:rPr>
              <w:t>Zdravotníctvo</w:t>
            </w:r>
          </w:p>
        </w:tc>
        <w:tc>
          <w:tcPr>
            <w:tcW w:w="1074" w:type="dxa"/>
            <w:tcBorders>
              <w:top w:val="nil"/>
              <w:left w:val="nil"/>
              <w:bottom w:val="nil"/>
              <w:right w:val="nil"/>
            </w:tcBorders>
            <w:shd w:val="clear" w:color="auto" w:fill="auto"/>
            <w:noWrap/>
            <w:vAlign w:val="center"/>
            <w:hideMark/>
          </w:tcPr>
          <w:p w14:paraId="63EC3F5C" w14:textId="77777777" w:rsidR="004F1EFC" w:rsidRPr="004F1EFC" w:rsidRDefault="004F1EFC" w:rsidP="004F1EFC">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134 124</w:t>
            </w:r>
          </w:p>
        </w:tc>
        <w:tc>
          <w:tcPr>
            <w:tcW w:w="1134" w:type="dxa"/>
            <w:tcBorders>
              <w:top w:val="nil"/>
              <w:left w:val="nil"/>
              <w:bottom w:val="nil"/>
              <w:right w:val="nil"/>
            </w:tcBorders>
            <w:shd w:val="clear" w:color="000000" w:fill="FFFFFF"/>
            <w:noWrap/>
            <w:vAlign w:val="center"/>
            <w:hideMark/>
          </w:tcPr>
          <w:p w14:paraId="79479A7D" w14:textId="77777777" w:rsidR="004F1EFC" w:rsidRPr="004F1EFC" w:rsidRDefault="004F1EFC" w:rsidP="004F1EFC">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119 451</w:t>
            </w:r>
          </w:p>
        </w:tc>
        <w:tc>
          <w:tcPr>
            <w:tcW w:w="1134" w:type="dxa"/>
            <w:tcBorders>
              <w:top w:val="nil"/>
              <w:left w:val="nil"/>
              <w:bottom w:val="nil"/>
              <w:right w:val="nil"/>
            </w:tcBorders>
            <w:shd w:val="clear" w:color="000000" w:fill="FFFFFF"/>
            <w:noWrap/>
            <w:vAlign w:val="center"/>
            <w:hideMark/>
          </w:tcPr>
          <w:p w14:paraId="4AFEB28F" w14:textId="5AE4876A" w:rsidR="004F1EFC" w:rsidRPr="004F1EFC" w:rsidRDefault="004F1EFC" w:rsidP="004706F8">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192 88</w:t>
            </w:r>
            <w:r w:rsidR="004706F8">
              <w:rPr>
                <w:rFonts w:eastAsia="Times New Roman" w:cs="Times New Roman"/>
                <w:color w:val="000000"/>
                <w:sz w:val="18"/>
                <w:szCs w:val="18"/>
                <w:lang w:eastAsia="sk-SK"/>
              </w:rPr>
              <w:t>2</w:t>
            </w:r>
          </w:p>
        </w:tc>
        <w:tc>
          <w:tcPr>
            <w:tcW w:w="1025" w:type="dxa"/>
            <w:tcBorders>
              <w:top w:val="nil"/>
              <w:left w:val="nil"/>
              <w:bottom w:val="nil"/>
              <w:right w:val="nil"/>
            </w:tcBorders>
            <w:shd w:val="clear" w:color="000000" w:fill="BFBFBF"/>
            <w:noWrap/>
            <w:vAlign w:val="center"/>
            <w:hideMark/>
          </w:tcPr>
          <w:p w14:paraId="2814E940" w14:textId="14BC2A5D" w:rsidR="004F1EFC" w:rsidRPr="004F1EFC" w:rsidRDefault="004F1EFC" w:rsidP="004706F8">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197 2</w:t>
            </w:r>
            <w:r w:rsidR="004706F8">
              <w:rPr>
                <w:rFonts w:eastAsia="Times New Roman" w:cs="Times New Roman"/>
                <w:color w:val="000000"/>
                <w:sz w:val="18"/>
                <w:szCs w:val="18"/>
                <w:lang w:eastAsia="sk-SK"/>
              </w:rPr>
              <w:t>86</w:t>
            </w:r>
          </w:p>
        </w:tc>
        <w:tc>
          <w:tcPr>
            <w:tcW w:w="818" w:type="dxa"/>
            <w:tcBorders>
              <w:top w:val="nil"/>
              <w:left w:val="nil"/>
              <w:bottom w:val="nil"/>
              <w:right w:val="nil"/>
            </w:tcBorders>
            <w:shd w:val="clear" w:color="000000" w:fill="FFFFFF"/>
            <w:vAlign w:val="center"/>
            <w:hideMark/>
          </w:tcPr>
          <w:p w14:paraId="4544F2CC" w14:textId="1D36A8EE" w:rsidR="004F1EFC" w:rsidRPr="004F1EFC" w:rsidRDefault="004F1EFC" w:rsidP="004706F8">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 xml:space="preserve">4 </w:t>
            </w:r>
            <w:r w:rsidR="004706F8">
              <w:rPr>
                <w:rFonts w:eastAsia="Times New Roman" w:cs="Times New Roman"/>
                <w:color w:val="000000"/>
                <w:sz w:val="18"/>
                <w:szCs w:val="18"/>
                <w:lang w:eastAsia="sk-SK"/>
              </w:rPr>
              <w:t>404</w:t>
            </w:r>
          </w:p>
        </w:tc>
        <w:tc>
          <w:tcPr>
            <w:tcW w:w="850" w:type="dxa"/>
            <w:tcBorders>
              <w:top w:val="nil"/>
              <w:left w:val="nil"/>
              <w:bottom w:val="nil"/>
              <w:right w:val="nil"/>
            </w:tcBorders>
            <w:shd w:val="clear" w:color="000000" w:fill="FFFFFF"/>
            <w:vAlign w:val="center"/>
            <w:hideMark/>
          </w:tcPr>
          <w:p w14:paraId="01235EF2" w14:textId="77777777" w:rsidR="004F1EFC" w:rsidRPr="004F1EFC" w:rsidRDefault="004F1EFC" w:rsidP="004F1EFC">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2,28</w:t>
            </w:r>
          </w:p>
        </w:tc>
      </w:tr>
      <w:tr w:rsidR="004F1EFC" w:rsidRPr="004F1EFC" w14:paraId="588A24E1" w14:textId="77777777" w:rsidTr="003F5C26">
        <w:trPr>
          <w:trHeight w:val="300"/>
        </w:trPr>
        <w:tc>
          <w:tcPr>
            <w:tcW w:w="2460" w:type="dxa"/>
            <w:tcBorders>
              <w:top w:val="nil"/>
              <w:left w:val="nil"/>
              <w:bottom w:val="nil"/>
              <w:right w:val="nil"/>
            </w:tcBorders>
            <w:shd w:val="clear" w:color="auto" w:fill="auto"/>
            <w:vAlign w:val="center"/>
            <w:hideMark/>
          </w:tcPr>
          <w:p w14:paraId="6156128C" w14:textId="77777777" w:rsidR="004F1EFC" w:rsidRPr="004F1EFC" w:rsidRDefault="004F1EFC" w:rsidP="004F1EFC">
            <w:pPr>
              <w:spacing w:after="0" w:line="240" w:lineRule="auto"/>
              <w:jc w:val="left"/>
              <w:rPr>
                <w:rFonts w:eastAsia="Times New Roman" w:cs="Times New Roman"/>
                <w:color w:val="000000"/>
                <w:sz w:val="18"/>
                <w:szCs w:val="18"/>
                <w:lang w:eastAsia="sk-SK"/>
              </w:rPr>
            </w:pPr>
            <w:r w:rsidRPr="004F1EFC">
              <w:rPr>
                <w:rFonts w:eastAsia="Times New Roman" w:cs="Times New Roman"/>
                <w:color w:val="000000"/>
                <w:sz w:val="18"/>
                <w:szCs w:val="18"/>
                <w:lang w:eastAsia="sk-SK"/>
              </w:rPr>
              <w:t>Rekreácia, kultúra a náboženstvo</w:t>
            </w:r>
          </w:p>
        </w:tc>
        <w:tc>
          <w:tcPr>
            <w:tcW w:w="1074" w:type="dxa"/>
            <w:tcBorders>
              <w:top w:val="nil"/>
              <w:left w:val="nil"/>
              <w:bottom w:val="nil"/>
              <w:right w:val="nil"/>
            </w:tcBorders>
            <w:shd w:val="clear" w:color="auto" w:fill="auto"/>
            <w:noWrap/>
            <w:vAlign w:val="center"/>
            <w:hideMark/>
          </w:tcPr>
          <w:p w14:paraId="3E126525" w14:textId="77777777" w:rsidR="004F1EFC" w:rsidRPr="004F1EFC" w:rsidRDefault="004F1EFC" w:rsidP="004F1EFC">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332 321</w:t>
            </w:r>
          </w:p>
        </w:tc>
        <w:tc>
          <w:tcPr>
            <w:tcW w:w="1134" w:type="dxa"/>
            <w:tcBorders>
              <w:top w:val="nil"/>
              <w:left w:val="nil"/>
              <w:bottom w:val="nil"/>
              <w:right w:val="nil"/>
            </w:tcBorders>
            <w:shd w:val="clear" w:color="000000" w:fill="FFFFFF"/>
            <w:noWrap/>
            <w:vAlign w:val="center"/>
            <w:hideMark/>
          </w:tcPr>
          <w:p w14:paraId="62BEFF93" w14:textId="77777777" w:rsidR="004F1EFC" w:rsidRPr="004F1EFC" w:rsidRDefault="004F1EFC" w:rsidP="004F1EFC">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383 921</w:t>
            </w:r>
          </w:p>
        </w:tc>
        <w:tc>
          <w:tcPr>
            <w:tcW w:w="1134" w:type="dxa"/>
            <w:tcBorders>
              <w:top w:val="nil"/>
              <w:left w:val="nil"/>
              <w:bottom w:val="nil"/>
              <w:right w:val="nil"/>
            </w:tcBorders>
            <w:shd w:val="clear" w:color="000000" w:fill="FFFFFF"/>
            <w:noWrap/>
            <w:vAlign w:val="center"/>
            <w:hideMark/>
          </w:tcPr>
          <w:p w14:paraId="545FA103" w14:textId="7B62CB61" w:rsidR="004F1EFC" w:rsidRPr="004F1EFC" w:rsidRDefault="004F1EFC" w:rsidP="004706F8">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429 7</w:t>
            </w:r>
            <w:r w:rsidR="004706F8">
              <w:rPr>
                <w:rFonts w:eastAsia="Times New Roman" w:cs="Times New Roman"/>
                <w:color w:val="000000"/>
                <w:sz w:val="18"/>
                <w:szCs w:val="18"/>
                <w:lang w:eastAsia="sk-SK"/>
              </w:rPr>
              <w:t>76</w:t>
            </w:r>
          </w:p>
        </w:tc>
        <w:tc>
          <w:tcPr>
            <w:tcW w:w="1025" w:type="dxa"/>
            <w:tcBorders>
              <w:top w:val="nil"/>
              <w:left w:val="nil"/>
              <w:bottom w:val="nil"/>
              <w:right w:val="nil"/>
            </w:tcBorders>
            <w:shd w:val="clear" w:color="000000" w:fill="BFBFBF"/>
            <w:noWrap/>
            <w:vAlign w:val="center"/>
            <w:hideMark/>
          </w:tcPr>
          <w:p w14:paraId="73B0DE88" w14:textId="6FBDD822" w:rsidR="004F1EFC" w:rsidRPr="004F1EFC" w:rsidRDefault="004F1EFC" w:rsidP="004706F8">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401 62</w:t>
            </w:r>
            <w:r w:rsidR="004706F8">
              <w:rPr>
                <w:rFonts w:eastAsia="Times New Roman" w:cs="Times New Roman"/>
                <w:color w:val="000000"/>
                <w:sz w:val="18"/>
                <w:szCs w:val="18"/>
                <w:lang w:eastAsia="sk-SK"/>
              </w:rPr>
              <w:t>1</w:t>
            </w:r>
          </w:p>
        </w:tc>
        <w:tc>
          <w:tcPr>
            <w:tcW w:w="818" w:type="dxa"/>
            <w:tcBorders>
              <w:top w:val="nil"/>
              <w:left w:val="nil"/>
              <w:bottom w:val="nil"/>
              <w:right w:val="nil"/>
            </w:tcBorders>
            <w:shd w:val="clear" w:color="000000" w:fill="FFFFFF"/>
            <w:vAlign w:val="center"/>
            <w:hideMark/>
          </w:tcPr>
          <w:p w14:paraId="6355FD91" w14:textId="4AF88011" w:rsidR="004F1EFC" w:rsidRPr="004F1EFC" w:rsidRDefault="004F1EFC" w:rsidP="004706F8">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-28 15</w:t>
            </w:r>
            <w:r w:rsidR="004706F8">
              <w:rPr>
                <w:rFonts w:eastAsia="Times New Roman" w:cs="Times New Roman"/>
                <w:color w:val="000000"/>
                <w:sz w:val="18"/>
                <w:szCs w:val="18"/>
                <w:lang w:eastAsia="sk-SK"/>
              </w:rPr>
              <w:t>5</w:t>
            </w:r>
          </w:p>
        </w:tc>
        <w:tc>
          <w:tcPr>
            <w:tcW w:w="850" w:type="dxa"/>
            <w:tcBorders>
              <w:top w:val="nil"/>
              <w:left w:val="nil"/>
              <w:bottom w:val="nil"/>
              <w:right w:val="nil"/>
            </w:tcBorders>
            <w:shd w:val="clear" w:color="000000" w:fill="FFFFFF"/>
            <w:vAlign w:val="center"/>
            <w:hideMark/>
          </w:tcPr>
          <w:p w14:paraId="74ED8EBF" w14:textId="77777777" w:rsidR="004F1EFC" w:rsidRPr="004F1EFC" w:rsidRDefault="004F1EFC" w:rsidP="004F1EFC">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-6,55</w:t>
            </w:r>
          </w:p>
        </w:tc>
      </w:tr>
      <w:tr w:rsidR="004F1EFC" w:rsidRPr="004F1EFC" w14:paraId="6BC0B379" w14:textId="77777777" w:rsidTr="003F5C26">
        <w:trPr>
          <w:trHeight w:val="300"/>
        </w:trPr>
        <w:tc>
          <w:tcPr>
            <w:tcW w:w="2460" w:type="dxa"/>
            <w:tcBorders>
              <w:top w:val="nil"/>
              <w:left w:val="nil"/>
              <w:bottom w:val="nil"/>
              <w:right w:val="nil"/>
            </w:tcBorders>
            <w:shd w:val="clear" w:color="auto" w:fill="auto"/>
            <w:vAlign w:val="center"/>
            <w:hideMark/>
          </w:tcPr>
          <w:p w14:paraId="46B5B05E" w14:textId="77777777" w:rsidR="004F1EFC" w:rsidRPr="004F1EFC" w:rsidRDefault="004F1EFC" w:rsidP="004F1EFC">
            <w:pPr>
              <w:spacing w:after="0" w:line="240" w:lineRule="auto"/>
              <w:jc w:val="left"/>
              <w:rPr>
                <w:rFonts w:eastAsia="Times New Roman" w:cs="Times New Roman"/>
                <w:color w:val="000000"/>
                <w:sz w:val="18"/>
                <w:szCs w:val="18"/>
                <w:lang w:eastAsia="sk-SK"/>
              </w:rPr>
            </w:pPr>
            <w:r w:rsidRPr="004F1EFC">
              <w:rPr>
                <w:rFonts w:eastAsia="Times New Roman" w:cs="Times New Roman"/>
                <w:color w:val="000000"/>
                <w:sz w:val="18"/>
                <w:szCs w:val="18"/>
                <w:lang w:eastAsia="sk-SK"/>
              </w:rPr>
              <w:t>Vzdelávanie</w:t>
            </w:r>
          </w:p>
        </w:tc>
        <w:tc>
          <w:tcPr>
            <w:tcW w:w="1074" w:type="dxa"/>
            <w:tcBorders>
              <w:top w:val="nil"/>
              <w:left w:val="nil"/>
              <w:bottom w:val="nil"/>
              <w:right w:val="nil"/>
            </w:tcBorders>
            <w:shd w:val="clear" w:color="auto" w:fill="auto"/>
            <w:noWrap/>
            <w:vAlign w:val="center"/>
            <w:hideMark/>
          </w:tcPr>
          <w:p w14:paraId="433BDDD1" w14:textId="77777777" w:rsidR="004F1EFC" w:rsidRPr="004F1EFC" w:rsidRDefault="004F1EFC" w:rsidP="004F1EFC">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1 995 694</w:t>
            </w:r>
          </w:p>
        </w:tc>
        <w:tc>
          <w:tcPr>
            <w:tcW w:w="1134" w:type="dxa"/>
            <w:tcBorders>
              <w:top w:val="nil"/>
              <w:left w:val="nil"/>
              <w:bottom w:val="nil"/>
              <w:right w:val="nil"/>
            </w:tcBorders>
            <w:shd w:val="clear" w:color="000000" w:fill="FFFFFF"/>
            <w:noWrap/>
            <w:vAlign w:val="center"/>
            <w:hideMark/>
          </w:tcPr>
          <w:p w14:paraId="6AB96255" w14:textId="77777777" w:rsidR="004F1EFC" w:rsidRPr="004F1EFC" w:rsidRDefault="004F1EFC" w:rsidP="004F1EFC">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2 085 399</w:t>
            </w:r>
          </w:p>
        </w:tc>
        <w:tc>
          <w:tcPr>
            <w:tcW w:w="1134" w:type="dxa"/>
            <w:tcBorders>
              <w:top w:val="nil"/>
              <w:left w:val="nil"/>
              <w:bottom w:val="nil"/>
              <w:right w:val="nil"/>
            </w:tcBorders>
            <w:shd w:val="clear" w:color="000000" w:fill="FFFFFF"/>
            <w:noWrap/>
            <w:vAlign w:val="center"/>
            <w:hideMark/>
          </w:tcPr>
          <w:p w14:paraId="64FE34B0" w14:textId="49520CAB" w:rsidR="004F1EFC" w:rsidRPr="004F1EFC" w:rsidRDefault="004F1EFC" w:rsidP="004706F8">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2 152 5</w:t>
            </w:r>
            <w:r w:rsidR="004706F8">
              <w:rPr>
                <w:rFonts w:eastAsia="Times New Roman" w:cs="Times New Roman"/>
                <w:color w:val="000000"/>
                <w:sz w:val="18"/>
                <w:szCs w:val="18"/>
                <w:lang w:eastAsia="sk-SK"/>
              </w:rPr>
              <w:t>25</w:t>
            </w:r>
          </w:p>
        </w:tc>
        <w:tc>
          <w:tcPr>
            <w:tcW w:w="1025" w:type="dxa"/>
            <w:tcBorders>
              <w:top w:val="nil"/>
              <w:left w:val="nil"/>
              <w:bottom w:val="nil"/>
              <w:right w:val="nil"/>
            </w:tcBorders>
            <w:shd w:val="clear" w:color="000000" w:fill="BFBFBF"/>
            <w:noWrap/>
            <w:vAlign w:val="center"/>
            <w:hideMark/>
          </w:tcPr>
          <w:p w14:paraId="07382DAA" w14:textId="7DA8F588" w:rsidR="004F1EFC" w:rsidRPr="004F1EFC" w:rsidRDefault="004F1EFC" w:rsidP="004706F8">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2 230 5</w:t>
            </w:r>
            <w:r w:rsidR="004706F8">
              <w:rPr>
                <w:rFonts w:eastAsia="Times New Roman" w:cs="Times New Roman"/>
                <w:color w:val="000000"/>
                <w:sz w:val="18"/>
                <w:szCs w:val="18"/>
                <w:lang w:eastAsia="sk-SK"/>
              </w:rPr>
              <w:t>37</w:t>
            </w:r>
          </w:p>
        </w:tc>
        <w:tc>
          <w:tcPr>
            <w:tcW w:w="818" w:type="dxa"/>
            <w:tcBorders>
              <w:top w:val="nil"/>
              <w:left w:val="nil"/>
              <w:bottom w:val="nil"/>
              <w:right w:val="nil"/>
            </w:tcBorders>
            <w:shd w:val="clear" w:color="000000" w:fill="FFFFFF"/>
            <w:vAlign w:val="center"/>
            <w:hideMark/>
          </w:tcPr>
          <w:p w14:paraId="113C918D" w14:textId="0D3AAF8F" w:rsidR="004F1EFC" w:rsidRPr="004F1EFC" w:rsidRDefault="004F1EFC" w:rsidP="004706F8">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78 01</w:t>
            </w:r>
            <w:r w:rsidR="004706F8">
              <w:rPr>
                <w:rFonts w:eastAsia="Times New Roman" w:cs="Times New Roman"/>
                <w:color w:val="000000"/>
                <w:sz w:val="18"/>
                <w:szCs w:val="18"/>
                <w:lang w:eastAsia="sk-SK"/>
              </w:rPr>
              <w:t>2</w:t>
            </w:r>
          </w:p>
        </w:tc>
        <w:tc>
          <w:tcPr>
            <w:tcW w:w="850" w:type="dxa"/>
            <w:tcBorders>
              <w:top w:val="nil"/>
              <w:left w:val="nil"/>
              <w:bottom w:val="nil"/>
              <w:right w:val="nil"/>
            </w:tcBorders>
            <w:shd w:val="clear" w:color="000000" w:fill="FFFFFF"/>
            <w:vAlign w:val="center"/>
            <w:hideMark/>
          </w:tcPr>
          <w:p w14:paraId="5BA889F0" w14:textId="77777777" w:rsidR="004F1EFC" w:rsidRPr="004F1EFC" w:rsidRDefault="004F1EFC" w:rsidP="004F1EFC">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3,62</w:t>
            </w:r>
          </w:p>
        </w:tc>
      </w:tr>
      <w:tr w:rsidR="004F1EFC" w:rsidRPr="004F1EFC" w14:paraId="24734C36" w14:textId="77777777" w:rsidTr="003F5C26">
        <w:trPr>
          <w:trHeight w:val="315"/>
        </w:trPr>
        <w:tc>
          <w:tcPr>
            <w:tcW w:w="2460" w:type="dxa"/>
            <w:tcBorders>
              <w:top w:val="nil"/>
              <w:left w:val="nil"/>
              <w:bottom w:val="single" w:sz="8" w:space="0" w:color="auto"/>
              <w:right w:val="nil"/>
            </w:tcBorders>
            <w:shd w:val="clear" w:color="auto" w:fill="auto"/>
            <w:vAlign w:val="center"/>
            <w:hideMark/>
          </w:tcPr>
          <w:p w14:paraId="5AB20963" w14:textId="77777777" w:rsidR="004F1EFC" w:rsidRPr="004F1EFC" w:rsidRDefault="004F1EFC" w:rsidP="004F1EFC">
            <w:pPr>
              <w:spacing w:after="0" w:line="240" w:lineRule="auto"/>
              <w:jc w:val="left"/>
              <w:rPr>
                <w:rFonts w:eastAsia="Times New Roman" w:cs="Times New Roman"/>
                <w:color w:val="000000"/>
                <w:sz w:val="18"/>
                <w:szCs w:val="18"/>
                <w:lang w:eastAsia="sk-SK"/>
              </w:rPr>
            </w:pPr>
            <w:r w:rsidRPr="004F1EFC">
              <w:rPr>
                <w:rFonts w:eastAsia="Times New Roman" w:cs="Times New Roman"/>
                <w:color w:val="000000"/>
                <w:sz w:val="18"/>
                <w:szCs w:val="18"/>
                <w:lang w:eastAsia="sk-SK"/>
              </w:rPr>
              <w:t>Sociálne zabezpečenie</w:t>
            </w:r>
          </w:p>
        </w:tc>
        <w:tc>
          <w:tcPr>
            <w:tcW w:w="1074" w:type="dxa"/>
            <w:tcBorders>
              <w:top w:val="nil"/>
              <w:left w:val="nil"/>
              <w:bottom w:val="nil"/>
              <w:right w:val="nil"/>
            </w:tcBorders>
            <w:shd w:val="clear" w:color="auto" w:fill="auto"/>
            <w:noWrap/>
            <w:vAlign w:val="center"/>
            <w:hideMark/>
          </w:tcPr>
          <w:p w14:paraId="7B1F1279" w14:textId="77777777" w:rsidR="004F1EFC" w:rsidRPr="004F1EFC" w:rsidRDefault="004F1EFC" w:rsidP="004F1EFC">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3 784 597</w:t>
            </w:r>
          </w:p>
        </w:tc>
        <w:tc>
          <w:tcPr>
            <w:tcW w:w="1134" w:type="dxa"/>
            <w:tcBorders>
              <w:top w:val="nil"/>
              <w:left w:val="nil"/>
              <w:bottom w:val="nil"/>
              <w:right w:val="nil"/>
            </w:tcBorders>
            <w:shd w:val="clear" w:color="000000" w:fill="FFFFFF"/>
            <w:noWrap/>
            <w:vAlign w:val="center"/>
            <w:hideMark/>
          </w:tcPr>
          <w:p w14:paraId="7214A14B" w14:textId="77777777" w:rsidR="004F1EFC" w:rsidRPr="004F1EFC" w:rsidRDefault="004F1EFC" w:rsidP="004F1EFC">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3 782 359</w:t>
            </w:r>
          </w:p>
        </w:tc>
        <w:tc>
          <w:tcPr>
            <w:tcW w:w="1134" w:type="dxa"/>
            <w:tcBorders>
              <w:top w:val="nil"/>
              <w:left w:val="nil"/>
              <w:bottom w:val="nil"/>
              <w:right w:val="nil"/>
            </w:tcBorders>
            <w:shd w:val="clear" w:color="000000" w:fill="FFFFFF"/>
            <w:noWrap/>
            <w:vAlign w:val="center"/>
            <w:hideMark/>
          </w:tcPr>
          <w:p w14:paraId="1C7CA579" w14:textId="77777777" w:rsidR="004F1EFC" w:rsidRPr="004F1EFC" w:rsidRDefault="004F1EFC" w:rsidP="004F1EFC">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3 684 778</w:t>
            </w:r>
          </w:p>
        </w:tc>
        <w:tc>
          <w:tcPr>
            <w:tcW w:w="1025" w:type="dxa"/>
            <w:tcBorders>
              <w:top w:val="nil"/>
              <w:left w:val="nil"/>
              <w:bottom w:val="nil"/>
              <w:right w:val="nil"/>
            </w:tcBorders>
            <w:shd w:val="clear" w:color="000000" w:fill="BFBFBF"/>
            <w:noWrap/>
            <w:vAlign w:val="center"/>
            <w:hideMark/>
          </w:tcPr>
          <w:p w14:paraId="74E4C3BC" w14:textId="1A9B9EC9" w:rsidR="004F1EFC" w:rsidRPr="004F1EFC" w:rsidRDefault="004F1EFC" w:rsidP="004706F8">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3 489 08</w:t>
            </w:r>
            <w:r w:rsidR="004706F8">
              <w:rPr>
                <w:rFonts w:eastAsia="Times New Roman" w:cs="Times New Roman"/>
                <w:color w:val="000000"/>
                <w:sz w:val="18"/>
                <w:szCs w:val="18"/>
                <w:lang w:eastAsia="sk-SK"/>
              </w:rPr>
              <w:t>6</w:t>
            </w:r>
          </w:p>
        </w:tc>
        <w:tc>
          <w:tcPr>
            <w:tcW w:w="818" w:type="dxa"/>
            <w:tcBorders>
              <w:top w:val="nil"/>
              <w:left w:val="nil"/>
              <w:bottom w:val="nil"/>
              <w:right w:val="nil"/>
            </w:tcBorders>
            <w:shd w:val="clear" w:color="000000" w:fill="FFFFFF"/>
            <w:vAlign w:val="center"/>
            <w:hideMark/>
          </w:tcPr>
          <w:p w14:paraId="0735E6A8" w14:textId="4EE908AF" w:rsidR="004F1EFC" w:rsidRPr="004F1EFC" w:rsidRDefault="004F1EFC" w:rsidP="004706F8">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-195 69</w:t>
            </w:r>
            <w:r w:rsidR="004706F8">
              <w:rPr>
                <w:rFonts w:eastAsia="Times New Roman" w:cs="Times New Roman"/>
                <w:color w:val="000000"/>
                <w:sz w:val="18"/>
                <w:szCs w:val="18"/>
                <w:lang w:eastAsia="sk-SK"/>
              </w:rPr>
              <w:t>2</w:t>
            </w:r>
          </w:p>
        </w:tc>
        <w:tc>
          <w:tcPr>
            <w:tcW w:w="850" w:type="dxa"/>
            <w:tcBorders>
              <w:top w:val="nil"/>
              <w:left w:val="nil"/>
              <w:bottom w:val="single" w:sz="8" w:space="0" w:color="auto"/>
              <w:right w:val="nil"/>
            </w:tcBorders>
            <w:shd w:val="clear" w:color="000000" w:fill="FFFFFF"/>
            <w:vAlign w:val="center"/>
            <w:hideMark/>
          </w:tcPr>
          <w:p w14:paraId="39DE691D" w14:textId="77777777" w:rsidR="004F1EFC" w:rsidRPr="004F1EFC" w:rsidRDefault="004F1EFC" w:rsidP="004F1EFC">
            <w:pPr>
              <w:spacing w:after="0" w:line="240" w:lineRule="auto"/>
              <w:jc w:val="right"/>
              <w:rPr>
                <w:rFonts w:eastAsia="Times New Roman" w:cs="Times New Roman"/>
                <w:color w:val="000000"/>
                <w:sz w:val="18"/>
                <w:szCs w:val="18"/>
                <w:lang w:eastAsia="sk-SK"/>
              </w:rPr>
            </w:pPr>
            <w:r w:rsidRPr="004F1EFC">
              <w:rPr>
                <w:rFonts w:eastAsia="Times New Roman" w:cs="Times New Roman"/>
                <w:color w:val="000000"/>
                <w:sz w:val="18"/>
                <w:szCs w:val="18"/>
                <w:lang w:eastAsia="sk-SK"/>
              </w:rPr>
              <w:t>-5,31</w:t>
            </w:r>
          </w:p>
        </w:tc>
      </w:tr>
      <w:tr w:rsidR="004F1EFC" w:rsidRPr="004F1EFC" w14:paraId="053FAF2B" w14:textId="77777777" w:rsidTr="003F5C26">
        <w:trPr>
          <w:trHeight w:val="315"/>
        </w:trPr>
        <w:tc>
          <w:tcPr>
            <w:tcW w:w="2460" w:type="dxa"/>
            <w:tcBorders>
              <w:top w:val="nil"/>
              <w:left w:val="nil"/>
              <w:bottom w:val="single" w:sz="8" w:space="0" w:color="auto"/>
              <w:right w:val="nil"/>
            </w:tcBorders>
            <w:shd w:val="clear" w:color="000000" w:fill="FFFFFF"/>
            <w:noWrap/>
            <w:vAlign w:val="center"/>
            <w:hideMark/>
          </w:tcPr>
          <w:p w14:paraId="763F82D0" w14:textId="77777777" w:rsidR="004F1EFC" w:rsidRPr="004F1EFC" w:rsidRDefault="004F1EFC" w:rsidP="004F1EFC">
            <w:pPr>
              <w:spacing w:after="0" w:line="240" w:lineRule="auto"/>
              <w:jc w:val="left"/>
              <w:rPr>
                <w:rFonts w:eastAsia="Times New Roman" w:cs="Times New Roman"/>
                <w:b/>
                <w:bCs/>
                <w:color w:val="000000"/>
                <w:sz w:val="18"/>
                <w:szCs w:val="18"/>
                <w:lang w:eastAsia="sk-SK"/>
              </w:rPr>
            </w:pPr>
            <w:r w:rsidRPr="004F1EFC">
              <w:rPr>
                <w:rFonts w:eastAsia="Times New Roman" w:cs="Times New Roman"/>
                <w:b/>
                <w:bCs/>
                <w:color w:val="000000"/>
                <w:sz w:val="18"/>
                <w:szCs w:val="18"/>
                <w:lang w:eastAsia="sk-SK"/>
              </w:rPr>
              <w:t>Spolu</w:t>
            </w:r>
          </w:p>
        </w:tc>
        <w:tc>
          <w:tcPr>
            <w:tcW w:w="1074" w:type="dxa"/>
            <w:tcBorders>
              <w:top w:val="single" w:sz="8" w:space="0" w:color="auto"/>
              <w:left w:val="nil"/>
              <w:bottom w:val="single" w:sz="8" w:space="0" w:color="auto"/>
              <w:right w:val="nil"/>
            </w:tcBorders>
            <w:shd w:val="clear" w:color="auto" w:fill="auto"/>
            <w:noWrap/>
            <w:vAlign w:val="center"/>
            <w:hideMark/>
          </w:tcPr>
          <w:p w14:paraId="7D8A6589" w14:textId="77777777" w:rsidR="004F1EFC" w:rsidRPr="004F1EFC" w:rsidRDefault="004F1EFC" w:rsidP="004F1EFC">
            <w:pPr>
              <w:spacing w:after="0" w:line="240" w:lineRule="auto"/>
              <w:jc w:val="right"/>
              <w:rPr>
                <w:rFonts w:eastAsia="Times New Roman" w:cs="Times New Roman"/>
                <w:b/>
                <w:bCs/>
                <w:color w:val="000000"/>
                <w:sz w:val="18"/>
                <w:szCs w:val="18"/>
                <w:lang w:eastAsia="sk-SK"/>
              </w:rPr>
            </w:pPr>
            <w:r w:rsidRPr="004F1EFC">
              <w:rPr>
                <w:rFonts w:eastAsia="Times New Roman" w:cs="Times New Roman"/>
                <w:b/>
                <w:bCs/>
                <w:color w:val="000000"/>
                <w:sz w:val="18"/>
                <w:szCs w:val="18"/>
                <w:lang w:eastAsia="sk-SK"/>
              </w:rPr>
              <w:t>15 256 172</w:t>
            </w:r>
          </w:p>
        </w:tc>
        <w:tc>
          <w:tcPr>
            <w:tcW w:w="1134" w:type="dxa"/>
            <w:tcBorders>
              <w:top w:val="single" w:sz="8" w:space="0" w:color="auto"/>
              <w:left w:val="nil"/>
              <w:bottom w:val="single" w:sz="8" w:space="0" w:color="auto"/>
              <w:right w:val="nil"/>
            </w:tcBorders>
            <w:shd w:val="clear" w:color="000000" w:fill="FFFFFF"/>
            <w:noWrap/>
            <w:vAlign w:val="center"/>
            <w:hideMark/>
          </w:tcPr>
          <w:p w14:paraId="41664243" w14:textId="77777777" w:rsidR="004F1EFC" w:rsidRPr="004F1EFC" w:rsidRDefault="004F1EFC" w:rsidP="004F1EFC">
            <w:pPr>
              <w:spacing w:after="0" w:line="240" w:lineRule="auto"/>
              <w:jc w:val="right"/>
              <w:rPr>
                <w:rFonts w:eastAsia="Times New Roman" w:cs="Times New Roman"/>
                <w:b/>
                <w:bCs/>
                <w:color w:val="000000"/>
                <w:sz w:val="18"/>
                <w:szCs w:val="18"/>
                <w:lang w:eastAsia="sk-SK"/>
              </w:rPr>
            </w:pPr>
            <w:r w:rsidRPr="004F1EFC">
              <w:rPr>
                <w:rFonts w:eastAsia="Times New Roman" w:cs="Times New Roman"/>
                <w:b/>
                <w:bCs/>
                <w:color w:val="000000"/>
                <w:sz w:val="18"/>
                <w:szCs w:val="18"/>
                <w:lang w:eastAsia="sk-SK"/>
              </w:rPr>
              <w:t>15 234 260</w:t>
            </w:r>
          </w:p>
        </w:tc>
        <w:tc>
          <w:tcPr>
            <w:tcW w:w="1134" w:type="dxa"/>
            <w:tcBorders>
              <w:top w:val="single" w:sz="8" w:space="0" w:color="auto"/>
              <w:left w:val="nil"/>
              <w:bottom w:val="single" w:sz="8" w:space="0" w:color="auto"/>
              <w:right w:val="nil"/>
            </w:tcBorders>
            <w:shd w:val="clear" w:color="000000" w:fill="FFFFFF"/>
            <w:noWrap/>
            <w:vAlign w:val="center"/>
            <w:hideMark/>
          </w:tcPr>
          <w:p w14:paraId="0B08EA2C" w14:textId="77777777" w:rsidR="004F1EFC" w:rsidRPr="004F1EFC" w:rsidRDefault="004F1EFC" w:rsidP="004F1EFC">
            <w:pPr>
              <w:spacing w:after="0" w:line="240" w:lineRule="auto"/>
              <w:jc w:val="right"/>
              <w:rPr>
                <w:rFonts w:eastAsia="Times New Roman" w:cs="Times New Roman"/>
                <w:b/>
                <w:bCs/>
                <w:color w:val="000000"/>
                <w:sz w:val="18"/>
                <w:szCs w:val="18"/>
                <w:lang w:eastAsia="sk-SK"/>
              </w:rPr>
            </w:pPr>
            <w:r w:rsidRPr="004F1EFC">
              <w:rPr>
                <w:rFonts w:eastAsia="Times New Roman" w:cs="Times New Roman"/>
                <w:b/>
                <w:bCs/>
                <w:color w:val="000000"/>
                <w:sz w:val="18"/>
                <w:szCs w:val="18"/>
                <w:lang w:eastAsia="sk-SK"/>
              </w:rPr>
              <w:t>15 955 714</w:t>
            </w:r>
          </w:p>
        </w:tc>
        <w:tc>
          <w:tcPr>
            <w:tcW w:w="1025" w:type="dxa"/>
            <w:tcBorders>
              <w:top w:val="single" w:sz="8" w:space="0" w:color="auto"/>
              <w:left w:val="nil"/>
              <w:bottom w:val="single" w:sz="8" w:space="0" w:color="auto"/>
              <w:right w:val="nil"/>
            </w:tcBorders>
            <w:shd w:val="clear" w:color="000000" w:fill="BFBFBF"/>
            <w:noWrap/>
            <w:vAlign w:val="center"/>
            <w:hideMark/>
          </w:tcPr>
          <w:p w14:paraId="700C47B0" w14:textId="011EF5C0" w:rsidR="004F1EFC" w:rsidRPr="004F1EFC" w:rsidRDefault="004F1EFC" w:rsidP="004706F8">
            <w:pPr>
              <w:spacing w:after="0" w:line="240" w:lineRule="auto"/>
              <w:jc w:val="right"/>
              <w:rPr>
                <w:rFonts w:eastAsia="Times New Roman" w:cs="Times New Roman"/>
                <w:b/>
                <w:bCs/>
                <w:color w:val="000000"/>
                <w:sz w:val="18"/>
                <w:szCs w:val="18"/>
                <w:lang w:eastAsia="sk-SK"/>
              </w:rPr>
            </w:pPr>
            <w:r w:rsidRPr="004F1EFC">
              <w:rPr>
                <w:rFonts w:eastAsia="Times New Roman" w:cs="Times New Roman"/>
                <w:b/>
                <w:bCs/>
                <w:color w:val="000000"/>
                <w:sz w:val="18"/>
                <w:szCs w:val="18"/>
                <w:lang w:eastAsia="sk-SK"/>
              </w:rPr>
              <w:t>16 563 25</w:t>
            </w:r>
            <w:r w:rsidR="004706F8">
              <w:rPr>
                <w:rFonts w:eastAsia="Times New Roman" w:cs="Times New Roman"/>
                <w:b/>
                <w:bCs/>
                <w:color w:val="000000"/>
                <w:sz w:val="18"/>
                <w:szCs w:val="18"/>
                <w:lang w:eastAsia="sk-SK"/>
              </w:rPr>
              <w:t>5</w:t>
            </w:r>
          </w:p>
        </w:tc>
        <w:tc>
          <w:tcPr>
            <w:tcW w:w="818" w:type="dxa"/>
            <w:tcBorders>
              <w:top w:val="single" w:sz="8" w:space="0" w:color="auto"/>
              <w:left w:val="nil"/>
              <w:bottom w:val="single" w:sz="8" w:space="0" w:color="auto"/>
              <w:right w:val="nil"/>
            </w:tcBorders>
            <w:shd w:val="clear" w:color="000000" w:fill="FFFFFF"/>
            <w:noWrap/>
            <w:vAlign w:val="center"/>
            <w:hideMark/>
          </w:tcPr>
          <w:p w14:paraId="22272380" w14:textId="3C142DC9" w:rsidR="004F1EFC" w:rsidRPr="004F1EFC" w:rsidRDefault="004F1EFC" w:rsidP="004706F8">
            <w:pPr>
              <w:spacing w:after="0" w:line="240" w:lineRule="auto"/>
              <w:jc w:val="right"/>
              <w:rPr>
                <w:rFonts w:eastAsia="Times New Roman" w:cs="Times New Roman"/>
                <w:b/>
                <w:bCs/>
                <w:color w:val="000000"/>
                <w:sz w:val="18"/>
                <w:szCs w:val="18"/>
                <w:lang w:eastAsia="sk-SK"/>
              </w:rPr>
            </w:pPr>
            <w:r w:rsidRPr="004F1EFC">
              <w:rPr>
                <w:rFonts w:eastAsia="Times New Roman" w:cs="Times New Roman"/>
                <w:b/>
                <w:bCs/>
                <w:color w:val="000000"/>
                <w:sz w:val="18"/>
                <w:szCs w:val="18"/>
                <w:lang w:eastAsia="sk-SK"/>
              </w:rPr>
              <w:t>607 54</w:t>
            </w:r>
            <w:r w:rsidR="004706F8">
              <w:rPr>
                <w:rFonts w:eastAsia="Times New Roman" w:cs="Times New Roman"/>
                <w:b/>
                <w:bCs/>
                <w:color w:val="000000"/>
                <w:sz w:val="18"/>
                <w:szCs w:val="18"/>
                <w:lang w:eastAsia="sk-SK"/>
              </w:rPr>
              <w:t>1</w:t>
            </w:r>
          </w:p>
        </w:tc>
        <w:tc>
          <w:tcPr>
            <w:tcW w:w="850" w:type="dxa"/>
            <w:tcBorders>
              <w:top w:val="nil"/>
              <w:left w:val="nil"/>
              <w:bottom w:val="single" w:sz="8" w:space="0" w:color="auto"/>
              <w:right w:val="nil"/>
            </w:tcBorders>
            <w:shd w:val="clear" w:color="000000" w:fill="FFFFFF"/>
            <w:vAlign w:val="center"/>
            <w:hideMark/>
          </w:tcPr>
          <w:p w14:paraId="5289A304" w14:textId="77777777" w:rsidR="004F1EFC" w:rsidRPr="004F1EFC" w:rsidRDefault="004F1EFC" w:rsidP="004F1EFC">
            <w:pPr>
              <w:spacing w:after="0" w:line="240" w:lineRule="auto"/>
              <w:jc w:val="right"/>
              <w:rPr>
                <w:rFonts w:eastAsia="Times New Roman" w:cs="Times New Roman"/>
                <w:b/>
                <w:bCs/>
                <w:color w:val="000000"/>
                <w:sz w:val="18"/>
                <w:szCs w:val="18"/>
                <w:lang w:eastAsia="sk-SK"/>
              </w:rPr>
            </w:pPr>
            <w:r w:rsidRPr="004F1EFC">
              <w:rPr>
                <w:rFonts w:eastAsia="Times New Roman" w:cs="Times New Roman"/>
                <w:b/>
                <w:bCs/>
                <w:color w:val="000000"/>
                <w:sz w:val="18"/>
                <w:szCs w:val="18"/>
                <w:lang w:eastAsia="sk-SK"/>
              </w:rPr>
              <w:t>3,81</w:t>
            </w:r>
          </w:p>
        </w:tc>
      </w:tr>
    </w:tbl>
    <w:p w14:paraId="772FA882" w14:textId="77777777" w:rsidR="003721C9" w:rsidRPr="00D95B42" w:rsidRDefault="003721C9" w:rsidP="003721C9">
      <w:pPr>
        <w:jc w:val="right"/>
        <w:rPr>
          <w:sz w:val="18"/>
          <w:szCs w:val="18"/>
        </w:rPr>
      </w:pPr>
      <w:r w:rsidRPr="00D95B42">
        <w:rPr>
          <w:sz w:val="18"/>
          <w:szCs w:val="18"/>
        </w:rPr>
        <w:t>Zdroj: MF SR</w:t>
      </w:r>
    </w:p>
    <w:p w14:paraId="7A6083A7" w14:textId="77777777" w:rsidR="003721C9" w:rsidRPr="00424C65" w:rsidRDefault="003721C9" w:rsidP="003721C9">
      <w:pPr>
        <w:tabs>
          <w:tab w:val="left" w:pos="284"/>
        </w:tabs>
        <w:rPr>
          <w:b/>
        </w:rPr>
      </w:pPr>
      <w:r w:rsidRPr="00424C65">
        <w:rPr>
          <w:b/>
        </w:rPr>
        <w:t>Všeobecné verejné služby</w:t>
      </w:r>
    </w:p>
    <w:p w14:paraId="63A78465" w14:textId="45DBA322" w:rsidR="003721C9" w:rsidRPr="00424C65" w:rsidRDefault="003721C9" w:rsidP="003721C9">
      <w:r w:rsidRPr="00424C65">
        <w:t xml:space="preserve">Výdavky na všeobecné verejné služby tvorili </w:t>
      </w:r>
      <w:r w:rsidR="003853C7">
        <w:t>19</w:t>
      </w:r>
      <w:r w:rsidRPr="00424C65">
        <w:t>,</w:t>
      </w:r>
      <w:r w:rsidR="003853C7">
        <w:t>6</w:t>
      </w:r>
      <w:r w:rsidRPr="00424C65">
        <w:t xml:space="preserve"> % podiel z celkových výdavkov štátneho rozpočtu. Tieto výdavky zahrňujú prostriedky verejnej správy na činnosť vymedzeného okruhu ústredných orgánov štátnej správy, výdavky na správu štátneho dlhu, na základný výskum, </w:t>
      </w:r>
      <w:r w:rsidR="00F41CD6">
        <w:t>na </w:t>
      </w:r>
      <w:r w:rsidRPr="00424C65">
        <w:t>zahraničnú hospodársku pomoc</w:t>
      </w:r>
      <w:r>
        <w:t>.</w:t>
      </w:r>
      <w:r w:rsidRPr="00424C65">
        <w:t xml:space="preserve"> V porovnaní s minulým rokom došlo k </w:t>
      </w:r>
      <w:r w:rsidR="003853C7">
        <w:t>zvýšeniu</w:t>
      </w:r>
      <w:r w:rsidRPr="00424C65">
        <w:t xml:space="preserve"> výdavkov o </w:t>
      </w:r>
      <w:r w:rsidR="003853C7">
        <w:t>178</w:t>
      </w:r>
      <w:r w:rsidRPr="00424C65">
        <w:t> </w:t>
      </w:r>
      <w:r w:rsidR="003853C7">
        <w:t>66</w:t>
      </w:r>
      <w:r w:rsidR="001C159F">
        <w:t>0</w:t>
      </w:r>
      <w:r w:rsidRPr="00424C65">
        <w:t> tis. eur.</w:t>
      </w:r>
    </w:p>
    <w:p w14:paraId="2C8EF1BB" w14:textId="4E8345DC" w:rsidR="003721C9" w:rsidRDefault="003721C9" w:rsidP="003721C9">
      <w:r w:rsidRPr="00424C65">
        <w:t>Najviac finančných prostriedkov bolo čerpaných v oblasti Výkonné a zákonodarné orgány, finančné a rozpočtové záležitosti, zahraničné vzťahy (1 </w:t>
      </w:r>
      <w:r w:rsidR="003853C7">
        <w:t>616</w:t>
      </w:r>
      <w:r w:rsidRPr="00424C65">
        <w:t> </w:t>
      </w:r>
      <w:r w:rsidR="003853C7">
        <w:t>3</w:t>
      </w:r>
      <w:r w:rsidR="002E0DFC">
        <w:t>2</w:t>
      </w:r>
      <w:r w:rsidR="003853C7">
        <w:t>7</w:t>
      </w:r>
      <w:r w:rsidRPr="00424C65">
        <w:t xml:space="preserve"> tis. eur), kde odvody do rozpočtu Európskej únie založené na dani z pridanej hodnoty a hrubom národnom produkte dosiahli v kapitole Všeobecná pokladničná správa </w:t>
      </w:r>
      <w:r w:rsidR="003B3FA1">
        <w:t>sumu 731 424</w:t>
      </w:r>
      <w:r w:rsidRPr="00424C65">
        <w:t xml:space="preserve"> tis. eur. Výdavky Ministerstva financií SR predstavovali </w:t>
      </w:r>
      <w:r w:rsidR="003853C7">
        <w:t>412</w:t>
      </w:r>
      <w:r w:rsidRPr="00424C65">
        <w:t> </w:t>
      </w:r>
      <w:r w:rsidR="003853C7">
        <w:t>23</w:t>
      </w:r>
      <w:r w:rsidR="00FF0041">
        <w:t>7</w:t>
      </w:r>
      <w:r>
        <w:t> tis. eur.</w:t>
      </w:r>
    </w:p>
    <w:p w14:paraId="02DC6103" w14:textId="77777777" w:rsidR="003721C9" w:rsidRPr="008A09E1" w:rsidRDefault="003721C9" w:rsidP="003721C9">
      <w:pPr>
        <w:tabs>
          <w:tab w:val="left" w:pos="284"/>
        </w:tabs>
      </w:pPr>
      <w:r w:rsidRPr="008A09E1">
        <w:rPr>
          <w:b/>
        </w:rPr>
        <w:t>Ekonomická oblasť</w:t>
      </w:r>
    </w:p>
    <w:p w14:paraId="5B826DE8" w14:textId="0458DCB3" w:rsidR="003721C9" w:rsidRPr="00A339AF" w:rsidRDefault="003721C9" w:rsidP="003721C9">
      <w:pPr>
        <w:rPr>
          <w:highlight w:val="yellow"/>
        </w:rPr>
      </w:pPr>
      <w:r w:rsidRPr="008A09E1">
        <w:t xml:space="preserve">Výdavky v tomto oddiele tvorili </w:t>
      </w:r>
      <w:r w:rsidR="003853C7">
        <w:t>20</w:t>
      </w:r>
      <w:r w:rsidRPr="008A09E1">
        <w:t>,</w:t>
      </w:r>
      <w:r w:rsidR="003853C7">
        <w:t>7</w:t>
      </w:r>
      <w:r w:rsidRPr="008A09E1">
        <w:t xml:space="preserve"> % z celkových výdavkov. V rámci ekonomickej oblasti sa triedia výdavky súvisiace s rôznymi druhmi dopravy a budovaním dopravnej infraštruktúry, s poľnohospodárstvom, lesníctvom, odvetviami palív a energií, ťažbou nerastných surovín a pod. Najvyššie výdavky v tejto oblasti malo </w:t>
      </w:r>
      <w:r>
        <w:t>Ministerstvo dopravy a</w:t>
      </w:r>
      <w:r w:rsidRPr="008A09E1">
        <w:t xml:space="preserve"> výstavby SR </w:t>
      </w:r>
      <w:r>
        <w:t>(1 </w:t>
      </w:r>
      <w:r w:rsidR="003853C7">
        <w:t>849</w:t>
      </w:r>
      <w:r>
        <w:t> </w:t>
      </w:r>
      <w:r w:rsidR="003853C7">
        <w:t>41</w:t>
      </w:r>
      <w:r w:rsidR="00FF0041">
        <w:t>6</w:t>
      </w:r>
      <w:r>
        <w:t xml:space="preserve"> tis. eur) </w:t>
      </w:r>
      <w:r w:rsidRPr="008A09E1">
        <w:t>a</w:t>
      </w:r>
      <w:r>
        <w:t xml:space="preserve"> </w:t>
      </w:r>
      <w:r w:rsidRPr="008A09E1">
        <w:t xml:space="preserve">Ministerstvo </w:t>
      </w:r>
      <w:r>
        <w:t>pôdo</w:t>
      </w:r>
      <w:r w:rsidRPr="008A09E1">
        <w:t xml:space="preserve">hospodárstva </w:t>
      </w:r>
      <w:r>
        <w:t xml:space="preserve">a rozvoja vidieka </w:t>
      </w:r>
      <w:r w:rsidRPr="008A09E1">
        <w:t>SR (</w:t>
      </w:r>
      <w:r w:rsidR="003853C7">
        <w:t>1 028</w:t>
      </w:r>
      <w:r w:rsidRPr="008A09E1">
        <w:t> </w:t>
      </w:r>
      <w:r w:rsidR="003853C7">
        <w:t>918</w:t>
      </w:r>
      <w:r w:rsidRPr="008A09E1">
        <w:t> tis. eur).</w:t>
      </w:r>
    </w:p>
    <w:p w14:paraId="35BF3181" w14:textId="276FDD9C" w:rsidR="003721C9" w:rsidRPr="008A09E1" w:rsidRDefault="003721C9" w:rsidP="003853C7">
      <w:r w:rsidRPr="008A09E1">
        <w:t xml:space="preserve">V skupine </w:t>
      </w:r>
      <w:r w:rsidRPr="003853C7">
        <w:rPr>
          <w:i/>
        </w:rPr>
        <w:t>Doprava</w:t>
      </w:r>
      <w:r w:rsidRPr="008A09E1">
        <w:t xml:space="preserve"> dosiahli skutočné výdavky </w:t>
      </w:r>
      <w:r w:rsidR="003853C7">
        <w:t>1 800 3</w:t>
      </w:r>
      <w:r w:rsidR="002E0DFC">
        <w:t>55</w:t>
      </w:r>
      <w:r w:rsidR="003853C7">
        <w:t> </w:t>
      </w:r>
      <w:r w:rsidRPr="008A09E1">
        <w:t>tis. eur (201</w:t>
      </w:r>
      <w:r w:rsidR="003853C7">
        <w:t>7</w:t>
      </w:r>
      <w:r w:rsidRPr="008A09E1">
        <w:t xml:space="preserve">: </w:t>
      </w:r>
      <w:r w:rsidR="003853C7" w:rsidRPr="008A09E1">
        <w:t>1 548</w:t>
      </w:r>
      <w:r w:rsidR="003853C7">
        <w:t> 824 </w:t>
      </w:r>
      <w:r w:rsidRPr="008A09E1">
        <w:t>tis. eur), a v porovnaní so schváleným rozpočtom došlo k </w:t>
      </w:r>
      <w:r w:rsidR="003853C7">
        <w:t>nárastu</w:t>
      </w:r>
      <w:r w:rsidRPr="008A09E1">
        <w:t xml:space="preserve"> o</w:t>
      </w:r>
      <w:r w:rsidR="003853C7">
        <w:t> 901 1</w:t>
      </w:r>
      <w:r w:rsidR="002E0DFC">
        <w:t>95</w:t>
      </w:r>
      <w:r w:rsidR="003B4DC9">
        <w:t> tis. eur v súvislosti s výstavbou, rekonštrukciou a modernizáciou cestnej a železničnej dopravy</w:t>
      </w:r>
    </w:p>
    <w:p w14:paraId="02DAF2A4" w14:textId="199EB7CE" w:rsidR="003721C9" w:rsidRPr="00812961" w:rsidRDefault="003721C9" w:rsidP="003721C9">
      <w:r w:rsidRPr="00812961">
        <w:t xml:space="preserve">V skupine </w:t>
      </w:r>
      <w:r w:rsidRPr="00812961">
        <w:rPr>
          <w:i/>
        </w:rPr>
        <w:t>Poľnohospodárstvo, lesníctvo, rybárstvo a poľovníctvo</w:t>
      </w:r>
      <w:r w:rsidRPr="00812961">
        <w:t xml:space="preserve"> bola dosiahnutá skutočnosť </w:t>
      </w:r>
      <w:r w:rsidR="00370401">
        <w:t>903</w:t>
      </w:r>
      <w:r w:rsidRPr="00812961">
        <w:t> </w:t>
      </w:r>
      <w:r w:rsidR="00370401">
        <w:t>8</w:t>
      </w:r>
      <w:r w:rsidR="002E0DFC">
        <w:t>04</w:t>
      </w:r>
      <w:r w:rsidRPr="00812961">
        <w:t> tis. eur (201</w:t>
      </w:r>
      <w:r w:rsidR="00370401">
        <w:t>7</w:t>
      </w:r>
      <w:r w:rsidRPr="00812961">
        <w:t xml:space="preserve">: </w:t>
      </w:r>
      <w:r w:rsidR="00370401" w:rsidRPr="00812961">
        <w:t>804</w:t>
      </w:r>
      <w:r w:rsidR="00370401">
        <w:t> </w:t>
      </w:r>
      <w:r w:rsidR="00370401" w:rsidRPr="00812961">
        <w:t>237 </w:t>
      </w:r>
      <w:r w:rsidRPr="00812961">
        <w:t>tis. eur), pričom ide najmä o financovanie operačných programov v oblasti poľnohospodárstva zo zdrojov EÚ.</w:t>
      </w:r>
    </w:p>
    <w:p w14:paraId="249B29B7" w14:textId="69491874" w:rsidR="003721C9" w:rsidRDefault="003721C9" w:rsidP="003721C9">
      <w:r w:rsidRPr="00812961">
        <w:t xml:space="preserve">V skupine </w:t>
      </w:r>
      <w:r w:rsidRPr="00812961">
        <w:rPr>
          <w:i/>
        </w:rPr>
        <w:t>Všeobecná ekonomická, obchodná a pracovná oblasť</w:t>
      </w:r>
      <w:r w:rsidRPr="00812961">
        <w:t xml:space="preserve"> došlo k zníženiu skutočnosti (</w:t>
      </w:r>
      <w:r w:rsidR="00370401">
        <w:t>542</w:t>
      </w:r>
      <w:r w:rsidRPr="00812961">
        <w:t> </w:t>
      </w:r>
      <w:r w:rsidR="00370401">
        <w:t>95</w:t>
      </w:r>
      <w:r w:rsidR="002E0DFC">
        <w:t>6</w:t>
      </w:r>
      <w:r w:rsidRPr="00812961">
        <w:t> tis. eur) v porovnaní so schváleným rozpočtom o </w:t>
      </w:r>
      <w:r w:rsidR="00370401">
        <w:t>341</w:t>
      </w:r>
      <w:r w:rsidRPr="00812961">
        <w:t> </w:t>
      </w:r>
      <w:r w:rsidR="00370401">
        <w:t>5</w:t>
      </w:r>
      <w:r w:rsidR="002E0DFC">
        <w:t>16</w:t>
      </w:r>
      <w:r w:rsidRPr="00812961">
        <w:t> tis. eu</w:t>
      </w:r>
      <w:r w:rsidR="00370401">
        <w:t xml:space="preserve">r. Najväčšie zníženie nastalo u Všeobecnej pokladničnej správy </w:t>
      </w:r>
      <w:r w:rsidRPr="00812961">
        <w:t xml:space="preserve">vo výške </w:t>
      </w:r>
      <w:r w:rsidR="00370401">
        <w:t>226 834</w:t>
      </w:r>
      <w:r w:rsidRPr="00812961">
        <w:t> tis. eur.</w:t>
      </w:r>
    </w:p>
    <w:p w14:paraId="6F9C046E" w14:textId="77777777" w:rsidR="003721C9" w:rsidRPr="00504D39" w:rsidRDefault="003721C9" w:rsidP="003721C9">
      <w:pPr>
        <w:tabs>
          <w:tab w:val="left" w:pos="284"/>
        </w:tabs>
        <w:rPr>
          <w:b/>
        </w:rPr>
      </w:pPr>
      <w:r w:rsidRPr="00504D39">
        <w:rPr>
          <w:b/>
        </w:rPr>
        <w:t>Sociálne zabezpečenie</w:t>
      </w:r>
    </w:p>
    <w:p w14:paraId="4F62F495" w14:textId="7EDFE9C0" w:rsidR="003721C9" w:rsidRPr="00504D39" w:rsidRDefault="003721C9" w:rsidP="003721C9">
      <w:r w:rsidRPr="00504D39">
        <w:t>Výdavky v oddiele sociálne zabezpečenie tvorili 2</w:t>
      </w:r>
      <w:r w:rsidR="00B44B76">
        <w:t>1</w:t>
      </w:r>
      <w:r w:rsidRPr="00504D39">
        <w:t>,</w:t>
      </w:r>
      <w:r w:rsidR="00FF0041">
        <w:t>1</w:t>
      </w:r>
      <w:r w:rsidRPr="00504D39">
        <w:t xml:space="preserve"> % z celkových výdavkov. Ide o prostriedky štátneho rozpočtu, ktoré sa vynakladajú na poskytovanie sociálnej ochrany v starobe, na podporu </w:t>
      </w:r>
      <w:r>
        <w:t xml:space="preserve">rodiny a </w:t>
      </w:r>
      <w:r w:rsidRPr="00504D39">
        <w:t>detí, na sociálnu pomoc občanom v hmotnej a</w:t>
      </w:r>
      <w:r>
        <w:t xml:space="preserve"> </w:t>
      </w:r>
      <w:r w:rsidRPr="00504D39">
        <w:t>sociálnej núdzi, na chorobu, invaliditu a</w:t>
      </w:r>
      <w:r>
        <w:t xml:space="preserve"> </w:t>
      </w:r>
      <w:r w:rsidRPr="00504D39">
        <w:t>ťažké zdravotné postihnutie a</w:t>
      </w:r>
      <w:r>
        <w:t xml:space="preserve"> </w:t>
      </w:r>
      <w:r w:rsidRPr="00504D39">
        <w:t xml:space="preserve">pod. Najväčšia úspora vo výške </w:t>
      </w:r>
      <w:r w:rsidR="00B44B76">
        <w:t>152</w:t>
      </w:r>
      <w:r>
        <w:t> </w:t>
      </w:r>
      <w:r w:rsidR="00B44B76">
        <w:t>06</w:t>
      </w:r>
      <w:r w:rsidR="002E0DFC">
        <w:t>3</w:t>
      </w:r>
      <w:r>
        <w:t> </w:t>
      </w:r>
      <w:r w:rsidRPr="00504D39">
        <w:t xml:space="preserve">tis. eur bola v skupine </w:t>
      </w:r>
      <w:r w:rsidRPr="00504D39">
        <w:rPr>
          <w:i/>
        </w:rPr>
        <w:t>Staroba</w:t>
      </w:r>
      <w:r w:rsidRPr="00504D39">
        <w:t>, kde k predmetnej úspore došlo z dôvodu zlepšeného výberu poistného od ekonomicky aktívneho obyvateľstva oproti plánovaným predpokladom.</w:t>
      </w:r>
    </w:p>
    <w:p w14:paraId="224DE574" w14:textId="77777777" w:rsidR="003721C9" w:rsidRDefault="003721C9" w:rsidP="003721C9">
      <w:r w:rsidRPr="00504D39">
        <w:t xml:space="preserve">Druhou najvyššou úsporou v sume </w:t>
      </w:r>
      <w:r w:rsidR="00887DCB">
        <w:t>28</w:t>
      </w:r>
      <w:r w:rsidRPr="00504D39">
        <w:t> </w:t>
      </w:r>
      <w:r w:rsidR="00887DCB">
        <w:t>339</w:t>
      </w:r>
      <w:r w:rsidRPr="00504D39">
        <w:t xml:space="preserve"> tis. eur boli výdavky v skupine </w:t>
      </w:r>
      <w:r w:rsidRPr="00504D39">
        <w:rPr>
          <w:i/>
        </w:rPr>
        <w:t>Sociálna pomoc občanom v hmotnej a sociálnej núdzi</w:t>
      </w:r>
      <w:r w:rsidRPr="00504D39">
        <w:t>. Nižšie výdavky ako plánované</w:t>
      </w:r>
      <w:r w:rsidR="00064D2C">
        <w:t>,</w:t>
      </w:r>
      <w:r w:rsidRPr="00504D39">
        <w:t xml:space="preserve"> boli z dôvodu poklesu počtu poberateľov najmä dávky v hmotnej núdzi.</w:t>
      </w:r>
      <w:r>
        <w:t xml:space="preserve"> </w:t>
      </w:r>
    </w:p>
    <w:p w14:paraId="21684725" w14:textId="77777777" w:rsidR="003721C9" w:rsidRPr="00504D39" w:rsidRDefault="003721C9" w:rsidP="003721C9">
      <w:pPr>
        <w:rPr>
          <w:b/>
        </w:rPr>
      </w:pPr>
      <w:r w:rsidRPr="00504D39">
        <w:rPr>
          <w:b/>
        </w:rPr>
        <w:t>Vzdelávanie</w:t>
      </w:r>
    </w:p>
    <w:p w14:paraId="387E0C2A" w14:textId="33E13D83" w:rsidR="003721C9" w:rsidRPr="00504D39" w:rsidRDefault="003721C9" w:rsidP="003721C9">
      <w:r w:rsidRPr="00504D39">
        <w:t>Výdavky na vzdelávanie v roku 201</w:t>
      </w:r>
      <w:r w:rsidR="00887DCB">
        <w:t>8 predstavovali 13,5</w:t>
      </w:r>
      <w:r w:rsidRPr="00504D39">
        <w:t xml:space="preserve"> % z celkových výdavkov. Okrem financovania všetkých stupňov vzdelávania sa výdavky vynaložili aj na služby v školstve, napr. v oblasti stravovania, dopravy, lekárskej starostlivosti a</w:t>
      </w:r>
      <w:r>
        <w:t xml:space="preserve"> na činnosť orgánov a </w:t>
      </w:r>
      <w:r w:rsidRPr="00504D39">
        <w:t xml:space="preserve">organizácií, ktoré vzdelávanie zabezpečujú. Oproti minulému roku výdavky </w:t>
      </w:r>
      <w:r>
        <w:t>vzrástli</w:t>
      </w:r>
      <w:r w:rsidRPr="00504D39">
        <w:t xml:space="preserve"> o </w:t>
      </w:r>
      <w:r w:rsidR="00887DCB">
        <w:t>145</w:t>
      </w:r>
      <w:r w:rsidRPr="002F6FF1">
        <w:t> </w:t>
      </w:r>
      <w:r w:rsidR="00887DCB">
        <w:t>1</w:t>
      </w:r>
      <w:r w:rsidR="001C159F">
        <w:t>38</w:t>
      </w:r>
      <w:r w:rsidRPr="002F6FF1">
        <w:t> tis. eur.</w:t>
      </w:r>
      <w:r w:rsidRPr="00504D39">
        <w:t xml:space="preserve"> Najvyššie výdavky boli na kapitole Ministerstva vnútra SR (1 </w:t>
      </w:r>
      <w:r>
        <w:t>2</w:t>
      </w:r>
      <w:r w:rsidR="00887DCB">
        <w:t>88</w:t>
      </w:r>
      <w:r w:rsidRPr="00504D39">
        <w:t> </w:t>
      </w:r>
      <w:r w:rsidR="00887DCB">
        <w:t>727</w:t>
      </w:r>
      <w:r w:rsidRPr="00504D39">
        <w:t> tis. eur) a kapitole Ministerstva školstva, vedy, výskumu a športu SR (</w:t>
      </w:r>
      <w:r w:rsidR="00887DCB">
        <w:t>917</w:t>
      </w:r>
      <w:r w:rsidRPr="00504D39">
        <w:t> </w:t>
      </w:r>
      <w:r w:rsidR="00887DCB">
        <w:t>497</w:t>
      </w:r>
      <w:r w:rsidRPr="00504D39">
        <w:t xml:space="preserve"> tis. eur). Najvyššie výdavky boli v oblasti </w:t>
      </w:r>
      <w:r>
        <w:t>v</w:t>
      </w:r>
      <w:r w:rsidRPr="00637766">
        <w:rPr>
          <w:i/>
        </w:rPr>
        <w:t>zdelávanie inde neklasifikované</w:t>
      </w:r>
      <w:r w:rsidRPr="00504D39">
        <w:t xml:space="preserve"> vo výške 1 </w:t>
      </w:r>
      <w:r w:rsidR="00887DCB">
        <w:t>175</w:t>
      </w:r>
      <w:r w:rsidRPr="00504D39">
        <w:t> </w:t>
      </w:r>
      <w:r w:rsidR="00887DCB">
        <w:t>502</w:t>
      </w:r>
      <w:r w:rsidRPr="00504D39">
        <w:t xml:space="preserve"> tis. eur, </w:t>
      </w:r>
      <w:r>
        <w:t xml:space="preserve">na </w:t>
      </w:r>
      <w:r w:rsidRPr="00637766">
        <w:rPr>
          <w:i/>
        </w:rPr>
        <w:t>sekundárne vzdelávanie</w:t>
      </w:r>
      <w:r w:rsidRPr="00504D39">
        <w:t xml:space="preserve"> vo výške </w:t>
      </w:r>
      <w:r>
        <w:t>5</w:t>
      </w:r>
      <w:r w:rsidR="00887DCB">
        <w:t>12</w:t>
      </w:r>
      <w:r w:rsidRPr="00504D39">
        <w:t> </w:t>
      </w:r>
      <w:r w:rsidR="00887DCB">
        <w:t>54</w:t>
      </w:r>
      <w:r w:rsidR="002E0DFC">
        <w:t>6</w:t>
      </w:r>
      <w:r>
        <w:t xml:space="preserve"> tis. eur a na </w:t>
      </w:r>
      <w:r w:rsidRPr="00637766">
        <w:rPr>
          <w:i/>
        </w:rPr>
        <w:t>terciárne vzdelávanie</w:t>
      </w:r>
      <w:r w:rsidRPr="00504D39">
        <w:t xml:space="preserve"> vo výške 3</w:t>
      </w:r>
      <w:r w:rsidR="00887DCB">
        <w:t>43</w:t>
      </w:r>
      <w:r w:rsidRPr="00504D39">
        <w:t> </w:t>
      </w:r>
      <w:r w:rsidR="00887DCB">
        <w:t>77</w:t>
      </w:r>
      <w:r w:rsidR="002E0DFC">
        <w:t>3</w:t>
      </w:r>
      <w:r w:rsidRPr="00504D39">
        <w:t> tis. eur.</w:t>
      </w:r>
    </w:p>
    <w:p w14:paraId="4B425C0D" w14:textId="77777777" w:rsidR="00ED35DC" w:rsidRDefault="00ED35DC">
      <w:pPr>
        <w:spacing w:after="160" w:line="259" w:lineRule="auto"/>
        <w:jc w:val="left"/>
        <w:rPr>
          <w:b/>
        </w:rPr>
      </w:pPr>
      <w:r>
        <w:rPr>
          <w:b/>
        </w:rPr>
        <w:br w:type="page"/>
      </w:r>
    </w:p>
    <w:p w14:paraId="56A58A29" w14:textId="18428704" w:rsidR="003721C9" w:rsidRPr="00961BF4" w:rsidRDefault="003721C9" w:rsidP="003721C9">
      <w:pPr>
        <w:rPr>
          <w:b/>
        </w:rPr>
      </w:pPr>
      <w:r w:rsidRPr="00961BF4">
        <w:rPr>
          <w:b/>
        </w:rPr>
        <w:t>Verejný poriadok a bezpečnosť</w:t>
      </w:r>
    </w:p>
    <w:p w14:paraId="27B23E1B" w14:textId="500E0D24" w:rsidR="003721C9" w:rsidRDefault="003721C9" w:rsidP="003721C9">
      <w:r w:rsidRPr="00961BF4">
        <w:t>Výdavky predstavovali 11,</w:t>
      </w:r>
      <w:r w:rsidR="00887DCB">
        <w:t>9</w:t>
      </w:r>
      <w:r w:rsidRPr="00961BF4">
        <w:t xml:space="preserve"> % z celkových výdavkov. Ide o oblasť činností štátnej polície, súdov, potreby väzenstva, ochranu pred požiarmi ako aj financovanie ústredných orgánov, ktoré tieto činnosti kompetenčne zabezpečujú. </w:t>
      </w:r>
      <w:r w:rsidRPr="00304439">
        <w:t>Výdavky oproti</w:t>
      </w:r>
      <w:r w:rsidRPr="00843964">
        <w:t xml:space="preserve"> minulému roku poklesli o </w:t>
      </w:r>
      <w:r w:rsidR="00887DCB">
        <w:t>225</w:t>
      </w:r>
      <w:r w:rsidRPr="00843964">
        <w:t> </w:t>
      </w:r>
      <w:r w:rsidR="001C159F">
        <w:t>01</w:t>
      </w:r>
      <w:r w:rsidR="00887DCB">
        <w:t>6</w:t>
      </w:r>
      <w:r w:rsidRPr="00843964">
        <w:t xml:space="preserve"> tis. eur. </w:t>
      </w:r>
      <w:r>
        <w:t>Najpo</w:t>
      </w:r>
      <w:r w:rsidRPr="00843964">
        <w:t>dstatn</w:t>
      </w:r>
      <w:r>
        <w:t>ejší vplyv</w:t>
      </w:r>
      <w:r w:rsidRPr="00843964">
        <w:t xml:space="preserve"> </w:t>
      </w:r>
      <w:r>
        <w:t xml:space="preserve">na </w:t>
      </w:r>
      <w:r w:rsidR="00FF0041">
        <w:t xml:space="preserve">celkovom </w:t>
      </w:r>
      <w:r w:rsidRPr="00843964">
        <w:t>prekročen</w:t>
      </w:r>
      <w:r>
        <w:t xml:space="preserve">í schváleného rozpočtu </w:t>
      </w:r>
      <w:r w:rsidR="00FF0041">
        <w:t>o 254 2</w:t>
      </w:r>
      <w:r w:rsidR="002E0DFC">
        <w:t>12</w:t>
      </w:r>
      <w:r w:rsidR="00FF0041">
        <w:t xml:space="preserve"> tis. eur </w:t>
      </w:r>
      <w:r w:rsidRPr="00843964">
        <w:t>tvori</w:t>
      </w:r>
      <w:r>
        <w:t>li</w:t>
      </w:r>
      <w:r w:rsidRPr="00843964">
        <w:t xml:space="preserve"> výdavky na</w:t>
      </w:r>
      <w:r w:rsidRPr="00852DC5">
        <w:rPr>
          <w:i/>
        </w:rPr>
        <w:t xml:space="preserve"> </w:t>
      </w:r>
      <w:r w:rsidR="00306A2A" w:rsidRPr="00843964">
        <w:rPr>
          <w:i/>
        </w:rPr>
        <w:t xml:space="preserve">verejný poriadok </w:t>
      </w:r>
      <w:r w:rsidR="00F30CD1">
        <w:rPr>
          <w:i/>
        </w:rPr>
        <w:t xml:space="preserve">a </w:t>
      </w:r>
      <w:r w:rsidR="00306A2A" w:rsidRPr="00843964">
        <w:rPr>
          <w:i/>
        </w:rPr>
        <w:t>bezpečnosť</w:t>
      </w:r>
      <w:r w:rsidR="00306A2A" w:rsidRPr="00843964">
        <w:t xml:space="preserve"> </w:t>
      </w:r>
      <w:r w:rsidR="00306A2A">
        <w:rPr>
          <w:i/>
        </w:rPr>
        <w:t xml:space="preserve">inde neklasifikované </w:t>
      </w:r>
      <w:r w:rsidR="00306A2A">
        <w:t>(o 9</w:t>
      </w:r>
      <w:r w:rsidR="00FF0041">
        <w:t>0</w:t>
      </w:r>
      <w:r w:rsidR="00306A2A">
        <w:t> </w:t>
      </w:r>
      <w:r w:rsidR="00306A2A" w:rsidRPr="00843964">
        <w:t>8</w:t>
      </w:r>
      <w:r w:rsidR="00306A2A">
        <w:t>07 tis. </w:t>
      </w:r>
      <w:r w:rsidR="00306A2A" w:rsidRPr="00843964">
        <w:t>eur</w:t>
      </w:r>
      <w:r w:rsidR="00306A2A">
        <w:t xml:space="preserve">) a na </w:t>
      </w:r>
      <w:r>
        <w:rPr>
          <w:i/>
        </w:rPr>
        <w:t xml:space="preserve">ochranu pred požiarmi, </w:t>
      </w:r>
      <w:r w:rsidR="00306A2A">
        <w:t>(o 66</w:t>
      </w:r>
      <w:r>
        <w:t> </w:t>
      </w:r>
      <w:r w:rsidR="00306A2A">
        <w:t>8</w:t>
      </w:r>
      <w:r w:rsidR="002E0DFC">
        <w:t>30</w:t>
      </w:r>
      <w:r w:rsidR="00306A2A">
        <w:t> tis. eur)</w:t>
      </w:r>
      <w:r>
        <w:t>.</w:t>
      </w:r>
    </w:p>
    <w:p w14:paraId="7C056B45" w14:textId="77777777" w:rsidR="003721C9" w:rsidRPr="00843964" w:rsidRDefault="003721C9" w:rsidP="003721C9">
      <w:pPr>
        <w:rPr>
          <w:b/>
        </w:rPr>
      </w:pPr>
      <w:r w:rsidRPr="00843964">
        <w:rPr>
          <w:b/>
        </w:rPr>
        <w:t>Obrana</w:t>
      </w:r>
    </w:p>
    <w:p w14:paraId="76F1319F" w14:textId="14B49E4F" w:rsidR="003721C9" w:rsidRPr="00843964" w:rsidRDefault="003721C9" w:rsidP="003721C9">
      <w:r w:rsidRPr="00843964">
        <w:t xml:space="preserve">Výdavky v oddiele Obrana tvoria </w:t>
      </w:r>
      <w:r w:rsidR="00873FAD">
        <w:t>5</w:t>
      </w:r>
      <w:r w:rsidRPr="00843964">
        <w:t>,</w:t>
      </w:r>
      <w:r w:rsidR="00873FAD">
        <w:t>9</w:t>
      </w:r>
      <w:r w:rsidRPr="00843964">
        <w:t xml:space="preserve"> % z celkových výdavkov. Ide hlavne o výdavky na vojenskú a civilnú ochranu a zahraničnú vojenskú pomoc. Výdavky na </w:t>
      </w:r>
      <w:r w:rsidRPr="00843964">
        <w:rPr>
          <w:i/>
        </w:rPr>
        <w:t>vojenskú obranu</w:t>
      </w:r>
      <w:r w:rsidRPr="00843964">
        <w:t xml:space="preserve"> dosiahli </w:t>
      </w:r>
      <w:r w:rsidR="00603353">
        <w:t>933</w:t>
      </w:r>
      <w:r w:rsidRPr="00843964">
        <w:t> </w:t>
      </w:r>
      <w:r w:rsidR="00603353">
        <w:t>9</w:t>
      </w:r>
      <w:r w:rsidR="00954EA5">
        <w:t>94</w:t>
      </w:r>
      <w:r w:rsidRPr="00843964">
        <w:t xml:space="preserve"> tis. eur, z toho výdavky Ministerstva obrany SR boli v celkovej hodnote </w:t>
      </w:r>
      <w:r w:rsidR="00064D2C">
        <w:t>928 295 </w:t>
      </w:r>
      <w:r w:rsidRPr="00843964">
        <w:t>tis. eur</w:t>
      </w:r>
      <w:r>
        <w:t>,</w:t>
      </w:r>
      <w:r w:rsidRPr="00843964">
        <w:t xml:space="preserve"> z </w:t>
      </w:r>
      <w:r w:rsidRPr="00780CA6">
        <w:t>toho na obstar</w:t>
      </w:r>
      <w:r w:rsidR="007639FE">
        <w:t xml:space="preserve">anie tovarov a </w:t>
      </w:r>
      <w:r w:rsidRPr="00780CA6">
        <w:t xml:space="preserve">služieb sa použilo </w:t>
      </w:r>
      <w:r w:rsidR="00780CA6" w:rsidRPr="001C531B">
        <w:t>2</w:t>
      </w:r>
      <w:r w:rsidR="001C531B" w:rsidRPr="001C531B">
        <w:t>49 662</w:t>
      </w:r>
      <w:r w:rsidR="00780CA6" w:rsidRPr="001C531B">
        <w:t> </w:t>
      </w:r>
      <w:r w:rsidRPr="001C531B">
        <w:t>tis. eur</w:t>
      </w:r>
      <w:r w:rsidRPr="00F30CD1">
        <w:t xml:space="preserve"> a na mzdové prostriedky </w:t>
      </w:r>
      <w:r w:rsidR="001C531B" w:rsidRPr="001C531B">
        <w:t>287</w:t>
      </w:r>
      <w:r w:rsidR="00780CA6" w:rsidRPr="001C531B">
        <w:t> </w:t>
      </w:r>
      <w:r w:rsidR="001C531B" w:rsidRPr="001C531B">
        <w:t>696</w:t>
      </w:r>
      <w:r w:rsidR="00780CA6" w:rsidRPr="001C531B">
        <w:t> </w:t>
      </w:r>
      <w:r w:rsidRPr="001C531B">
        <w:t>tis.</w:t>
      </w:r>
      <w:r w:rsidRPr="00F30CD1">
        <w:t> eur.</w:t>
      </w:r>
    </w:p>
    <w:p w14:paraId="1E098ED5" w14:textId="77777777" w:rsidR="003721C9" w:rsidRPr="00843964" w:rsidRDefault="003721C9" w:rsidP="003721C9">
      <w:pPr>
        <w:tabs>
          <w:tab w:val="left" w:pos="284"/>
        </w:tabs>
        <w:rPr>
          <w:b/>
        </w:rPr>
      </w:pPr>
      <w:r w:rsidRPr="00843964">
        <w:rPr>
          <w:b/>
        </w:rPr>
        <w:t>Ochrana životného prostredia</w:t>
      </w:r>
    </w:p>
    <w:p w14:paraId="6FB954C6" w14:textId="375D7E46" w:rsidR="003721C9" w:rsidRPr="00843964" w:rsidRDefault="003721C9" w:rsidP="003721C9">
      <w:r w:rsidRPr="00843964">
        <w:t xml:space="preserve">Výdavky v tomto oddiele tvoria </w:t>
      </w:r>
      <w:r w:rsidR="00603353">
        <w:t>2</w:t>
      </w:r>
      <w:r w:rsidRPr="00843964">
        <w:t>,</w:t>
      </w:r>
      <w:r w:rsidR="00FF0041">
        <w:t>9</w:t>
      </w:r>
      <w:r w:rsidRPr="00843964">
        <w:t xml:space="preserve"> % z celkových výdavkov. V tomto odvetví boli výdavky v hodnote </w:t>
      </w:r>
      <w:r w:rsidR="00603353">
        <w:t>472</w:t>
      </w:r>
      <w:r w:rsidRPr="00843964">
        <w:t> </w:t>
      </w:r>
      <w:r w:rsidR="00603353">
        <w:t>39</w:t>
      </w:r>
      <w:r w:rsidR="00954EA5">
        <w:t>0</w:t>
      </w:r>
      <w:r w:rsidRPr="00843964">
        <w:t xml:space="preserve"> tis. eur rovnako ako v predchádzajúcich rozpočtových obdobiach vynaložené najmä na </w:t>
      </w:r>
      <w:r w:rsidR="00603353" w:rsidRPr="00603353">
        <w:rPr>
          <w:i/>
        </w:rPr>
        <w:t>nakladanie s odpadmi</w:t>
      </w:r>
      <w:r w:rsidR="00603353" w:rsidRPr="00843964">
        <w:t xml:space="preserve"> </w:t>
      </w:r>
      <w:r w:rsidRPr="00843964">
        <w:t>(</w:t>
      </w:r>
      <w:r w:rsidR="00603353">
        <w:t>134</w:t>
      </w:r>
      <w:r>
        <w:t> </w:t>
      </w:r>
      <w:r w:rsidR="00603353">
        <w:t>70</w:t>
      </w:r>
      <w:r w:rsidR="00954EA5">
        <w:t>1</w:t>
      </w:r>
      <w:r>
        <w:t> </w:t>
      </w:r>
      <w:r w:rsidRPr="00843964">
        <w:t xml:space="preserve">tis. eur) </w:t>
      </w:r>
      <w:r w:rsidR="00603353">
        <w:t>a</w:t>
      </w:r>
      <w:r w:rsidR="00F30CD1">
        <w:t xml:space="preserve"> </w:t>
      </w:r>
      <w:r w:rsidR="00603353">
        <w:t xml:space="preserve">na </w:t>
      </w:r>
      <w:r w:rsidR="00603353" w:rsidRPr="00843964">
        <w:rPr>
          <w:i/>
        </w:rPr>
        <w:t>nakladanie s odpadovými vodami</w:t>
      </w:r>
      <w:r w:rsidRPr="00843964">
        <w:t xml:space="preserve"> (</w:t>
      </w:r>
      <w:r w:rsidR="00603353">
        <w:t>118</w:t>
      </w:r>
      <w:r>
        <w:t> </w:t>
      </w:r>
      <w:r w:rsidR="00603353">
        <w:t>979</w:t>
      </w:r>
      <w:r>
        <w:t> </w:t>
      </w:r>
      <w:r w:rsidRPr="00843964">
        <w:t xml:space="preserve">tis. eur). Výdavky </w:t>
      </w:r>
      <w:r w:rsidR="00603353">
        <w:t>vzrástli</w:t>
      </w:r>
      <w:r w:rsidRPr="00843964">
        <w:t xml:space="preserve"> oproti minulému roku o </w:t>
      </w:r>
      <w:r w:rsidR="00603353">
        <w:t>195</w:t>
      </w:r>
      <w:r>
        <w:t> </w:t>
      </w:r>
      <w:r w:rsidR="00603353">
        <w:t>94</w:t>
      </w:r>
      <w:r w:rsidR="00A83FD8">
        <w:t>1</w:t>
      </w:r>
      <w:r w:rsidRPr="00843964">
        <w:t xml:space="preserve"> tis. eur. </w:t>
      </w:r>
    </w:p>
    <w:p w14:paraId="33F61024" w14:textId="77777777" w:rsidR="003721C9" w:rsidRPr="00FB0C4C" w:rsidRDefault="003721C9" w:rsidP="003721C9">
      <w:pPr>
        <w:tabs>
          <w:tab w:val="left" w:pos="284"/>
        </w:tabs>
        <w:rPr>
          <w:b/>
        </w:rPr>
      </w:pPr>
      <w:r w:rsidRPr="00FB0C4C">
        <w:rPr>
          <w:b/>
        </w:rPr>
        <w:t>Rekreácia, kultúra a náboženstvo</w:t>
      </w:r>
    </w:p>
    <w:p w14:paraId="01D5F140" w14:textId="195320F0" w:rsidR="003721C9" w:rsidRPr="00FB0C4C" w:rsidRDefault="003721C9" w:rsidP="003721C9">
      <w:r w:rsidRPr="00FB0C4C">
        <w:t xml:space="preserve">Výdavky na rekreáciu, kultúru a náboženstvo boli realizované vo výške </w:t>
      </w:r>
      <w:r w:rsidR="00B7729C">
        <w:t>401</w:t>
      </w:r>
      <w:r w:rsidRPr="00FB0C4C">
        <w:t> </w:t>
      </w:r>
      <w:r w:rsidR="00954EA5">
        <w:t>621</w:t>
      </w:r>
      <w:r w:rsidR="00B7729C">
        <w:t> tis. eur.</w:t>
      </w:r>
      <w:r w:rsidRPr="00FB0C4C">
        <w:t xml:space="preserve"> Najväčšia časť výdavkov bola v kapitole Ministerstva kultúry SR (</w:t>
      </w:r>
      <w:r>
        <w:t>2</w:t>
      </w:r>
      <w:r w:rsidR="00B7729C">
        <w:t>79</w:t>
      </w:r>
      <w:r>
        <w:t> </w:t>
      </w:r>
      <w:r w:rsidR="00B7729C">
        <w:t>344</w:t>
      </w:r>
      <w:r>
        <w:t xml:space="preserve"> </w:t>
      </w:r>
      <w:r w:rsidRPr="00FB0C4C">
        <w:t xml:space="preserve">tis. eur). Najvyššie výdavky boli v oblasti </w:t>
      </w:r>
      <w:r w:rsidRPr="00FB0C4C">
        <w:rPr>
          <w:i/>
        </w:rPr>
        <w:t>kultúrnych služieb</w:t>
      </w:r>
      <w:r w:rsidRPr="00FB0C4C">
        <w:t xml:space="preserve"> v celkovej výške 1</w:t>
      </w:r>
      <w:r w:rsidR="00B7729C">
        <w:t>87</w:t>
      </w:r>
      <w:r w:rsidRPr="00FB0C4C">
        <w:t> </w:t>
      </w:r>
      <w:r w:rsidR="00954EA5">
        <w:t>598</w:t>
      </w:r>
      <w:r w:rsidRPr="00FB0C4C">
        <w:t xml:space="preserve"> tis. eur. </w:t>
      </w:r>
    </w:p>
    <w:p w14:paraId="0794D242" w14:textId="77777777" w:rsidR="003721C9" w:rsidRPr="00FB0C4C" w:rsidRDefault="003721C9" w:rsidP="003721C9">
      <w:pPr>
        <w:tabs>
          <w:tab w:val="left" w:pos="284"/>
        </w:tabs>
      </w:pPr>
      <w:r w:rsidRPr="00FB0C4C">
        <w:rPr>
          <w:b/>
        </w:rPr>
        <w:t>Bývanie a občianska vybavenosť</w:t>
      </w:r>
    </w:p>
    <w:p w14:paraId="7352F5AF" w14:textId="3F6A4F53" w:rsidR="003721C9" w:rsidRPr="00FB0C4C" w:rsidRDefault="003721C9" w:rsidP="003721C9">
      <w:r w:rsidRPr="00FB0C4C">
        <w:t>Výdavky v tomto oddiele dosiahli výšku 1</w:t>
      </w:r>
      <w:r w:rsidR="00B7729C">
        <w:t>46</w:t>
      </w:r>
      <w:r w:rsidRPr="00FB0C4C">
        <w:t> 35</w:t>
      </w:r>
      <w:r w:rsidR="00BF0355">
        <w:t>5</w:t>
      </w:r>
      <w:r w:rsidRPr="00FB0C4C">
        <w:t> tis. eur a v rozhodujúcej miere sa na nich podieľalo Ministerstvo dopravy</w:t>
      </w:r>
      <w:r>
        <w:t xml:space="preserve"> a</w:t>
      </w:r>
      <w:r w:rsidRPr="00FB0C4C">
        <w:t xml:space="preserve"> výstavby SR (11</w:t>
      </w:r>
      <w:r w:rsidR="00B7729C">
        <w:t>0</w:t>
      </w:r>
      <w:r w:rsidRPr="00FB0C4C">
        <w:t> </w:t>
      </w:r>
      <w:r w:rsidR="00F7014B">
        <w:t>660</w:t>
      </w:r>
      <w:r w:rsidRPr="00FB0C4C">
        <w:t xml:space="preserve"> tis. eur). Výdavky boli použité na výstavbu a obnovu bytového fondu, </w:t>
      </w:r>
      <w:r w:rsidRPr="00F30CD1">
        <w:t>pre Štátny fond rozvoja bývania, na štátnu prémiu k stavebnému sporeniu, na poskytnutie štátneho príspevku a štátneho príspevku pre mladých k</w:t>
      </w:r>
      <w:r w:rsidR="00F30CD1">
        <w:t> </w:t>
      </w:r>
      <w:r w:rsidRPr="00FB0C4C">
        <w:t>hypotekárnym úverom, na náhradné nájomné byty.</w:t>
      </w:r>
    </w:p>
    <w:p w14:paraId="50A824E3" w14:textId="77777777" w:rsidR="003721C9" w:rsidRPr="00FB0C4C" w:rsidRDefault="003721C9" w:rsidP="003721C9">
      <w:pPr>
        <w:tabs>
          <w:tab w:val="left" w:pos="284"/>
        </w:tabs>
        <w:rPr>
          <w:b/>
        </w:rPr>
      </w:pPr>
      <w:r w:rsidRPr="00FB0C4C">
        <w:rPr>
          <w:b/>
        </w:rPr>
        <w:t>Zdravotníctvo</w:t>
      </w:r>
    </w:p>
    <w:p w14:paraId="5D9BFFCA" w14:textId="549C9FF3" w:rsidR="003721C9" w:rsidRPr="000B5744" w:rsidRDefault="003721C9" w:rsidP="003721C9">
      <w:r w:rsidRPr="00FB0C4C">
        <w:t xml:space="preserve">Výdavky v tomto oddiele tvorili len </w:t>
      </w:r>
      <w:r w:rsidR="00B7729C">
        <w:t>1,2</w:t>
      </w:r>
      <w:r w:rsidRPr="00FB0C4C">
        <w:t xml:space="preserve"> % z celkových výdavkov. Do tohto oddielu patria výdavky, ktoré zahŕňajú činnosti ako je ústavná a ambulantná zdravotná starostlivosť, verejné zdravotné služby (prevádzka krvnej banky, zisťovanie chorôb, zber epidemiologických údajov). Na </w:t>
      </w:r>
      <w:r w:rsidRPr="000B5744">
        <w:t>výdavkoch sa najväčšou mierou podieľalo Ministerstvo zdravotníctva SR (</w:t>
      </w:r>
      <w:r w:rsidR="00B7729C">
        <w:t>166</w:t>
      </w:r>
      <w:r w:rsidRPr="000B5744">
        <w:t> </w:t>
      </w:r>
      <w:r w:rsidR="00B7729C">
        <w:t>582</w:t>
      </w:r>
      <w:r w:rsidRPr="000B5744">
        <w:t xml:space="preserve"> tis. eur), ktoré v skupine </w:t>
      </w:r>
      <w:r w:rsidR="00B7729C" w:rsidRPr="00B7729C">
        <w:rPr>
          <w:i/>
        </w:rPr>
        <w:t>ústavná zdravotná starostlivosť</w:t>
      </w:r>
      <w:r w:rsidR="00B7729C">
        <w:t xml:space="preserve"> </w:t>
      </w:r>
      <w:r w:rsidRPr="000B5744">
        <w:t xml:space="preserve">realizovalo výdavky vo výške </w:t>
      </w:r>
      <w:r w:rsidR="00BF0355">
        <w:t>85 827</w:t>
      </w:r>
      <w:r w:rsidRPr="000B5744">
        <w:t xml:space="preserve"> tis. eur najmä v oblasti dotácií, </w:t>
      </w:r>
      <w:r w:rsidR="00690B9D">
        <w:t xml:space="preserve">riešenia </w:t>
      </w:r>
      <w:r w:rsidRPr="000B5744">
        <w:t>drogovej problematiky, farmácie, informatiky, na činnosť Inšpektorátu kúpeľov a žriediel M</w:t>
      </w:r>
      <w:r>
        <w:t>inisterstva zdravotníctva</w:t>
      </w:r>
      <w:r w:rsidRPr="000B5744">
        <w:t xml:space="preserve"> SR, Národné monitorovacie centrum pre drogy a</w:t>
      </w:r>
      <w:r w:rsidR="006552A0">
        <w:t xml:space="preserve"> na </w:t>
      </w:r>
      <w:r w:rsidRPr="000B5744">
        <w:t xml:space="preserve">zabezpečenie zdravotnej starostlivosti v zmysle § 9 </w:t>
      </w:r>
      <w:r w:rsidR="006552A0">
        <w:t>zákona NR SR č. 580/2004</w:t>
      </w:r>
      <w:r w:rsidR="006552A0">
        <w:br/>
        <w:t>Z. z.</w:t>
      </w:r>
      <w:r w:rsidRPr="000B5744">
        <w:t xml:space="preserve"> V skupine </w:t>
      </w:r>
      <w:r w:rsidR="00B7729C">
        <w:t>z</w:t>
      </w:r>
      <w:r w:rsidR="00B7729C">
        <w:rPr>
          <w:i/>
        </w:rPr>
        <w:t>dravotníctvo inde neklasifikované</w:t>
      </w:r>
      <w:r w:rsidRPr="000B5744">
        <w:t xml:space="preserve"> čerpalo Ministerstvo zdr</w:t>
      </w:r>
      <w:r w:rsidR="00B7729C">
        <w:t xml:space="preserve">avotníctva SR výdavky vo výške </w:t>
      </w:r>
      <w:r w:rsidR="00231D4D">
        <w:t>65</w:t>
      </w:r>
      <w:r w:rsidRPr="000B5744">
        <w:t> </w:t>
      </w:r>
      <w:r w:rsidR="00231D4D">
        <w:t>319</w:t>
      </w:r>
      <w:r w:rsidRPr="000B5744">
        <w:t xml:space="preserve"> tis. eur určené pre regionálne úrady verejného zdravotníctva a</w:t>
      </w:r>
      <w:r>
        <w:t xml:space="preserve"> </w:t>
      </w:r>
      <w:r w:rsidRPr="000B5744">
        <w:t>Úrad verejného zdravotníctva SR.</w:t>
      </w:r>
    </w:p>
    <w:p w14:paraId="44B0D4BB" w14:textId="77777777" w:rsidR="003721C9" w:rsidRPr="008A0E0C" w:rsidRDefault="003721C9" w:rsidP="003721C9">
      <w:pPr>
        <w:rPr>
          <w:b/>
        </w:rPr>
      </w:pPr>
      <w:r w:rsidRPr="008A0E0C">
        <w:rPr>
          <w:b/>
          <w:i/>
        </w:rPr>
        <w:t>Podrobný prehľad o výdavkov štátneho rozpočtu podľa funkčnej klasifikácie je uvedený v tab. č. 11 tabuľkovej prílohy štátneho záverečného účtu.</w:t>
      </w:r>
    </w:p>
    <w:p w14:paraId="2F784B9F" w14:textId="0FBE2C11" w:rsidR="008254BE" w:rsidRDefault="008254BE" w:rsidP="00C34E95">
      <w:pPr>
        <w:pStyle w:val="Nadpis3"/>
      </w:pPr>
      <w:bookmarkStart w:id="51" w:name="_Toc6415648"/>
      <w:bookmarkStart w:id="52" w:name="_Toc7502840"/>
      <w:r>
        <w:t>Vzťahy štátneho rozpočtu k</w:t>
      </w:r>
      <w:r w:rsidR="00DC2F84">
        <w:t> </w:t>
      </w:r>
      <w:r>
        <w:t>obciam</w:t>
      </w:r>
      <w:bookmarkEnd w:id="51"/>
      <w:bookmarkEnd w:id="52"/>
    </w:p>
    <w:p w14:paraId="62659DB0" w14:textId="56F10331" w:rsidR="00DC2F84" w:rsidRPr="006951CC" w:rsidRDefault="00DC2F84" w:rsidP="00DC2F84">
      <w:pPr>
        <w:suppressAutoHyphens/>
        <w:rPr>
          <w:color w:val="000000" w:themeColor="text1"/>
        </w:rPr>
      </w:pPr>
      <w:r w:rsidRPr="00382840">
        <w:rPr>
          <w:color w:val="000000" w:themeColor="text1"/>
        </w:rPr>
        <w:t xml:space="preserve">V roku 2018 bolo </w:t>
      </w:r>
      <w:r w:rsidR="00C00E65">
        <w:rPr>
          <w:color w:val="000000" w:themeColor="text1"/>
        </w:rPr>
        <w:t>zo štátneho rozpočtu</w:t>
      </w:r>
      <w:r w:rsidRPr="00382840">
        <w:rPr>
          <w:color w:val="000000" w:themeColor="text1"/>
        </w:rPr>
        <w:t xml:space="preserve"> do rozpočtov obcí poskytnutých </w:t>
      </w:r>
      <w:r w:rsidR="00C00E65">
        <w:rPr>
          <w:color w:val="000000" w:themeColor="text1"/>
        </w:rPr>
        <w:t xml:space="preserve">celkovo </w:t>
      </w:r>
      <w:r w:rsidRPr="006951CC">
        <w:rPr>
          <w:color w:val="000000" w:themeColor="text1"/>
        </w:rPr>
        <w:t xml:space="preserve">1 345 539 tis. eur vo forme bežných a kapitálových grantov a transferov, z toho bežné granty a transfery tvorili sumu 994 246 tis. eur a kapitálové granty a transfery čiastku 351 293 tis. eur. V porovnaní so skutočnosťou 2017 je to v úhrne za všetky zdroje výdavkov (vrátane EÚ a mimorozpočtových zdrojov) viac až o 247 802 tis. eur, zo </w:t>
      </w:r>
      <w:r w:rsidR="00EE41F9">
        <w:rPr>
          <w:color w:val="000000" w:themeColor="text1"/>
        </w:rPr>
        <w:t>zdroja 111 (</w:t>
      </w:r>
      <w:r w:rsidRPr="006951CC">
        <w:rPr>
          <w:color w:val="000000" w:themeColor="text1"/>
        </w:rPr>
        <w:t>štátn</w:t>
      </w:r>
      <w:r w:rsidR="00EE41F9">
        <w:rPr>
          <w:color w:val="000000" w:themeColor="text1"/>
        </w:rPr>
        <w:t>y</w:t>
      </w:r>
      <w:r w:rsidRPr="006951CC">
        <w:rPr>
          <w:color w:val="000000" w:themeColor="text1"/>
        </w:rPr>
        <w:t xml:space="preserve"> rozpoč</w:t>
      </w:r>
      <w:r w:rsidR="00EE41F9">
        <w:rPr>
          <w:color w:val="000000" w:themeColor="text1"/>
        </w:rPr>
        <w:t>e</w:t>
      </w:r>
      <w:r w:rsidRPr="006951CC">
        <w:rPr>
          <w:color w:val="000000" w:themeColor="text1"/>
        </w:rPr>
        <w:t>t</w:t>
      </w:r>
      <w:r w:rsidR="00EE41F9">
        <w:rPr>
          <w:color w:val="000000" w:themeColor="text1"/>
        </w:rPr>
        <w:t>)</w:t>
      </w:r>
      <w:r w:rsidRPr="006951CC">
        <w:rPr>
          <w:color w:val="000000" w:themeColor="text1"/>
        </w:rPr>
        <w:t xml:space="preserve"> o 54 733 tis. eur viac.</w:t>
      </w:r>
    </w:p>
    <w:p w14:paraId="6F5F4C71" w14:textId="79BA1718" w:rsidR="00DC2F84" w:rsidRPr="00B12D12" w:rsidRDefault="00DC2F84" w:rsidP="00DC2F84">
      <w:pPr>
        <w:suppressAutoHyphens/>
        <w:rPr>
          <w:color w:val="FF0000"/>
        </w:rPr>
      </w:pPr>
      <w:r w:rsidRPr="006951CC">
        <w:rPr>
          <w:color w:val="000000" w:themeColor="text1"/>
        </w:rPr>
        <w:t>Gr</w:t>
      </w:r>
      <w:r w:rsidRPr="00D96BF2">
        <w:rPr>
          <w:color w:val="000000" w:themeColor="text1"/>
        </w:rPr>
        <w:t>anty a transfery zo zdroja 111 boli poskytnuté v sume 1 016 120 tis. eur. Z toho bežné granty a transfery tvorili čiastku 957 022 tis. eur a kapitálové granty a transfery sumu 59 098</w:t>
      </w:r>
      <w:r w:rsidRPr="00306F1A">
        <w:rPr>
          <w:color w:val="000000" w:themeColor="text1"/>
        </w:rPr>
        <w:t> tis. eur. Na financovanie kompetencií preneseného výkonu štátnej správy bolo poskytnutých 892 678 tis. eur len v rámci bežných transferov, a to v kapitolách Ministerstva vnútra SR (</w:t>
      </w:r>
      <w:r w:rsidRPr="00B12D12">
        <w:rPr>
          <w:color w:val="000000" w:themeColor="text1"/>
        </w:rPr>
        <w:t xml:space="preserve">885 247 tis. eur) a Ministerstva dopravy a výstavby SR (7 431 tis. eur). </w:t>
      </w:r>
    </w:p>
    <w:p w14:paraId="36046D48" w14:textId="77777777" w:rsidR="00DC2F84" w:rsidRDefault="00DC2F84" w:rsidP="00DC2F84">
      <w:pPr>
        <w:suppressAutoHyphens/>
        <w:rPr>
          <w:color w:val="000000" w:themeColor="text1"/>
        </w:rPr>
      </w:pPr>
      <w:r w:rsidRPr="00B12D12">
        <w:rPr>
          <w:color w:val="000000" w:themeColor="text1"/>
        </w:rPr>
        <w:t>Súhrnný prehľad grantov a transferov poskytnutých obciam podľa jednotlivých oddielov funkčnej klasifikácie poskytujú údaje v nasledujúcej tabuľke:</w:t>
      </w:r>
    </w:p>
    <w:tbl>
      <w:tblPr>
        <w:tblW w:w="9660" w:type="dxa"/>
        <w:tblCellMar>
          <w:left w:w="70" w:type="dxa"/>
          <w:right w:w="70" w:type="dxa"/>
        </w:tblCellMar>
        <w:tblLook w:val="04A0" w:firstRow="1" w:lastRow="0" w:firstColumn="1" w:lastColumn="0" w:noHBand="0" w:noVBand="1"/>
      </w:tblPr>
      <w:tblGrid>
        <w:gridCol w:w="2980"/>
        <w:gridCol w:w="980"/>
        <w:gridCol w:w="940"/>
        <w:gridCol w:w="940"/>
        <w:gridCol w:w="1060"/>
        <w:gridCol w:w="1000"/>
        <w:gridCol w:w="840"/>
        <w:gridCol w:w="920"/>
      </w:tblGrid>
      <w:tr w:rsidR="006E6CD9" w:rsidRPr="006E6CD9" w14:paraId="51A3D8FB" w14:textId="77777777" w:rsidTr="006E6CD9">
        <w:trPr>
          <w:trHeight w:val="330"/>
        </w:trPr>
        <w:tc>
          <w:tcPr>
            <w:tcW w:w="8740" w:type="dxa"/>
            <w:gridSpan w:val="7"/>
            <w:tcBorders>
              <w:top w:val="nil"/>
              <w:left w:val="single" w:sz="8" w:space="0" w:color="auto"/>
              <w:bottom w:val="nil"/>
              <w:right w:val="nil"/>
            </w:tcBorders>
            <w:shd w:val="clear" w:color="000000" w:fill="000000"/>
            <w:vAlign w:val="center"/>
            <w:hideMark/>
          </w:tcPr>
          <w:p w14:paraId="76FDB1E7" w14:textId="77777777" w:rsidR="006E6CD9" w:rsidRPr="006E6CD9" w:rsidRDefault="006E6CD9" w:rsidP="006E6CD9">
            <w:pPr>
              <w:spacing w:after="0" w:line="240" w:lineRule="auto"/>
              <w:jc w:val="left"/>
              <w:rPr>
                <w:rFonts w:eastAsia="Times New Roman" w:cs="Times New Roman"/>
                <w:b/>
                <w:bCs/>
                <w:color w:val="FFFFFF"/>
                <w:sz w:val="20"/>
                <w:szCs w:val="20"/>
                <w:lang w:eastAsia="sk-SK"/>
              </w:rPr>
            </w:pPr>
            <w:bookmarkStart w:id="53" w:name="RANGE!B5:I18"/>
            <w:r w:rsidRPr="006E6CD9">
              <w:rPr>
                <w:rFonts w:eastAsia="Times New Roman" w:cs="Times New Roman"/>
                <w:b/>
                <w:bCs/>
                <w:color w:val="FFFFFF"/>
                <w:sz w:val="20"/>
                <w:szCs w:val="20"/>
                <w:lang w:eastAsia="sk-SK"/>
              </w:rPr>
              <w:t>Granty a transfery poskytnuté obciam podľa oddielov funkčnej klasifikácie</w:t>
            </w:r>
            <w:bookmarkEnd w:id="53"/>
          </w:p>
        </w:tc>
        <w:tc>
          <w:tcPr>
            <w:tcW w:w="920" w:type="dxa"/>
            <w:tcBorders>
              <w:top w:val="nil"/>
              <w:left w:val="nil"/>
              <w:bottom w:val="nil"/>
              <w:right w:val="nil"/>
            </w:tcBorders>
            <w:shd w:val="clear" w:color="000000" w:fill="000000"/>
            <w:noWrap/>
            <w:vAlign w:val="bottom"/>
            <w:hideMark/>
          </w:tcPr>
          <w:p w14:paraId="7D9ED6D0" w14:textId="55930D36" w:rsidR="006E6CD9" w:rsidRPr="006E6CD9" w:rsidRDefault="006E6CD9" w:rsidP="006E6CD9">
            <w:pPr>
              <w:spacing w:after="0" w:line="240" w:lineRule="auto"/>
              <w:jc w:val="right"/>
              <w:rPr>
                <w:rFonts w:eastAsia="Times New Roman" w:cs="Times New Roman"/>
                <w:b/>
                <w:bCs/>
                <w:color w:val="FFFFFF"/>
                <w:sz w:val="20"/>
                <w:szCs w:val="20"/>
                <w:lang w:eastAsia="sk-SK"/>
              </w:rPr>
            </w:pPr>
            <w:r w:rsidRPr="006E6CD9">
              <w:rPr>
                <w:rFonts w:eastAsia="Times New Roman" w:cs="Times New Roman"/>
                <w:b/>
                <w:bCs/>
                <w:color w:val="FFFFFF"/>
                <w:sz w:val="20"/>
                <w:szCs w:val="20"/>
                <w:lang w:eastAsia="sk-SK"/>
              </w:rPr>
              <w:t>v tis.</w:t>
            </w:r>
            <w:r w:rsidR="00715186">
              <w:rPr>
                <w:rFonts w:eastAsia="Times New Roman" w:cs="Times New Roman"/>
                <w:b/>
                <w:bCs/>
                <w:color w:val="FFFFFF"/>
                <w:sz w:val="20"/>
                <w:szCs w:val="20"/>
                <w:lang w:eastAsia="sk-SK"/>
              </w:rPr>
              <w:t xml:space="preserve"> </w:t>
            </w:r>
            <w:r w:rsidRPr="006E6CD9">
              <w:rPr>
                <w:rFonts w:eastAsia="Times New Roman" w:cs="Times New Roman"/>
                <w:b/>
                <w:bCs/>
                <w:color w:val="FFFFFF"/>
                <w:sz w:val="20"/>
                <w:szCs w:val="20"/>
                <w:lang w:eastAsia="sk-SK"/>
              </w:rPr>
              <w:t>eur</w:t>
            </w:r>
          </w:p>
        </w:tc>
      </w:tr>
      <w:tr w:rsidR="006E6CD9" w:rsidRPr="006E6CD9" w14:paraId="0BD63CC6" w14:textId="77777777" w:rsidTr="006E6CD9">
        <w:trPr>
          <w:trHeight w:val="510"/>
        </w:trPr>
        <w:tc>
          <w:tcPr>
            <w:tcW w:w="2980" w:type="dxa"/>
            <w:tcBorders>
              <w:top w:val="nil"/>
              <w:left w:val="nil"/>
              <w:bottom w:val="nil"/>
              <w:right w:val="nil"/>
            </w:tcBorders>
            <w:shd w:val="clear" w:color="000000" w:fill="BFBFBF"/>
            <w:vAlign w:val="center"/>
            <w:hideMark/>
          </w:tcPr>
          <w:p w14:paraId="15C7F2EC" w14:textId="77777777" w:rsidR="006E6CD9" w:rsidRPr="009051A6" w:rsidRDefault="006E6CD9" w:rsidP="009051A6">
            <w:pPr>
              <w:spacing w:after="0" w:line="240" w:lineRule="auto"/>
              <w:jc w:val="center"/>
              <w:rPr>
                <w:rFonts w:eastAsia="Times New Roman" w:cs="Times New Roman"/>
                <w:b/>
                <w:bCs/>
                <w:color w:val="000000"/>
                <w:sz w:val="18"/>
                <w:szCs w:val="18"/>
                <w:lang w:eastAsia="sk-SK"/>
              </w:rPr>
            </w:pPr>
            <w:r w:rsidRPr="009051A6">
              <w:rPr>
                <w:rFonts w:eastAsia="Times New Roman" w:cs="Times New Roman"/>
                <w:b/>
                <w:bCs/>
                <w:color w:val="000000"/>
                <w:sz w:val="18"/>
                <w:szCs w:val="18"/>
                <w:lang w:eastAsia="sk-SK"/>
              </w:rPr>
              <w:t> </w:t>
            </w:r>
          </w:p>
        </w:tc>
        <w:tc>
          <w:tcPr>
            <w:tcW w:w="1920" w:type="dxa"/>
            <w:gridSpan w:val="2"/>
            <w:tcBorders>
              <w:top w:val="nil"/>
              <w:left w:val="nil"/>
              <w:bottom w:val="nil"/>
              <w:right w:val="nil"/>
            </w:tcBorders>
            <w:shd w:val="clear" w:color="000000" w:fill="BFBFBF"/>
            <w:vAlign w:val="center"/>
            <w:hideMark/>
          </w:tcPr>
          <w:p w14:paraId="32BF0421" w14:textId="77777777" w:rsidR="006E6CD9" w:rsidRPr="009051A6" w:rsidRDefault="006E6CD9" w:rsidP="009051A6">
            <w:pPr>
              <w:spacing w:after="0" w:line="240" w:lineRule="auto"/>
              <w:jc w:val="center"/>
              <w:rPr>
                <w:rFonts w:eastAsia="Times New Roman" w:cs="Times New Roman"/>
                <w:b/>
                <w:bCs/>
                <w:color w:val="000000"/>
                <w:sz w:val="18"/>
                <w:szCs w:val="18"/>
                <w:lang w:eastAsia="sk-SK"/>
              </w:rPr>
            </w:pPr>
            <w:r w:rsidRPr="009051A6">
              <w:rPr>
                <w:rFonts w:eastAsia="Times New Roman" w:cs="Times New Roman"/>
                <w:b/>
                <w:bCs/>
                <w:color w:val="000000"/>
                <w:sz w:val="18"/>
                <w:szCs w:val="18"/>
                <w:lang w:eastAsia="sk-SK"/>
              </w:rPr>
              <w:t>Skutočnosť</w:t>
            </w:r>
          </w:p>
        </w:tc>
        <w:tc>
          <w:tcPr>
            <w:tcW w:w="940" w:type="dxa"/>
            <w:tcBorders>
              <w:top w:val="nil"/>
              <w:left w:val="nil"/>
              <w:bottom w:val="nil"/>
              <w:right w:val="nil"/>
            </w:tcBorders>
            <w:shd w:val="clear" w:color="000000" w:fill="BFBFBF"/>
            <w:vAlign w:val="center"/>
            <w:hideMark/>
          </w:tcPr>
          <w:p w14:paraId="650E28E6" w14:textId="77777777" w:rsidR="006E6CD9" w:rsidRPr="009051A6" w:rsidRDefault="006E6CD9" w:rsidP="009051A6">
            <w:pPr>
              <w:spacing w:after="0" w:line="240" w:lineRule="auto"/>
              <w:jc w:val="center"/>
              <w:rPr>
                <w:rFonts w:eastAsia="Times New Roman" w:cs="Times New Roman"/>
                <w:b/>
                <w:bCs/>
                <w:color w:val="000000"/>
                <w:sz w:val="18"/>
                <w:szCs w:val="18"/>
                <w:lang w:eastAsia="sk-SK"/>
              </w:rPr>
            </w:pPr>
            <w:r w:rsidRPr="009051A6">
              <w:rPr>
                <w:rFonts w:eastAsia="Times New Roman" w:cs="Times New Roman"/>
                <w:b/>
                <w:bCs/>
                <w:color w:val="000000"/>
                <w:sz w:val="18"/>
                <w:szCs w:val="18"/>
                <w:lang w:eastAsia="sk-SK"/>
              </w:rPr>
              <w:t>Rozpočet</w:t>
            </w:r>
          </w:p>
        </w:tc>
        <w:tc>
          <w:tcPr>
            <w:tcW w:w="2060" w:type="dxa"/>
            <w:gridSpan w:val="2"/>
            <w:tcBorders>
              <w:top w:val="nil"/>
              <w:left w:val="nil"/>
              <w:bottom w:val="nil"/>
              <w:right w:val="nil"/>
            </w:tcBorders>
            <w:shd w:val="clear" w:color="000000" w:fill="BFBFBF"/>
            <w:vAlign w:val="center"/>
            <w:hideMark/>
          </w:tcPr>
          <w:p w14:paraId="6B43E142" w14:textId="77777777" w:rsidR="006E6CD9" w:rsidRPr="009051A6" w:rsidRDefault="006E6CD9" w:rsidP="009051A6">
            <w:pPr>
              <w:spacing w:after="0" w:line="240" w:lineRule="auto"/>
              <w:jc w:val="center"/>
              <w:rPr>
                <w:rFonts w:eastAsia="Times New Roman" w:cs="Times New Roman"/>
                <w:b/>
                <w:bCs/>
                <w:color w:val="000000"/>
                <w:sz w:val="18"/>
                <w:szCs w:val="18"/>
                <w:lang w:eastAsia="sk-SK"/>
              </w:rPr>
            </w:pPr>
            <w:r w:rsidRPr="009051A6">
              <w:rPr>
                <w:rFonts w:eastAsia="Times New Roman" w:cs="Times New Roman"/>
                <w:b/>
                <w:bCs/>
                <w:color w:val="000000"/>
                <w:sz w:val="18"/>
                <w:szCs w:val="18"/>
                <w:lang w:eastAsia="sk-SK"/>
              </w:rPr>
              <w:t>Skutočnosť</w:t>
            </w:r>
          </w:p>
        </w:tc>
        <w:tc>
          <w:tcPr>
            <w:tcW w:w="1760" w:type="dxa"/>
            <w:gridSpan w:val="2"/>
            <w:tcBorders>
              <w:top w:val="nil"/>
              <w:left w:val="nil"/>
              <w:bottom w:val="nil"/>
              <w:right w:val="nil"/>
            </w:tcBorders>
            <w:shd w:val="clear" w:color="000000" w:fill="BFBFBF"/>
            <w:vAlign w:val="center"/>
            <w:hideMark/>
          </w:tcPr>
          <w:p w14:paraId="26259BC9" w14:textId="77777777" w:rsidR="006E6CD9" w:rsidRPr="009051A6" w:rsidRDefault="006E6CD9" w:rsidP="009051A6">
            <w:pPr>
              <w:spacing w:after="0" w:line="240" w:lineRule="auto"/>
              <w:jc w:val="center"/>
              <w:rPr>
                <w:rFonts w:eastAsia="Times New Roman" w:cs="Times New Roman"/>
                <w:b/>
                <w:bCs/>
                <w:color w:val="000000"/>
                <w:sz w:val="18"/>
                <w:szCs w:val="18"/>
                <w:lang w:eastAsia="sk-SK"/>
              </w:rPr>
            </w:pPr>
            <w:r w:rsidRPr="009051A6">
              <w:rPr>
                <w:rFonts w:eastAsia="Times New Roman" w:cs="Times New Roman"/>
                <w:b/>
                <w:bCs/>
                <w:color w:val="000000"/>
                <w:sz w:val="18"/>
                <w:szCs w:val="18"/>
                <w:lang w:eastAsia="sk-SK"/>
              </w:rPr>
              <w:t>Rozdiel</w:t>
            </w:r>
          </w:p>
        </w:tc>
      </w:tr>
      <w:tr w:rsidR="006E6CD9" w:rsidRPr="006E6CD9" w14:paraId="6CCBD4BC" w14:textId="77777777" w:rsidTr="006E6CD9">
        <w:trPr>
          <w:trHeight w:val="510"/>
        </w:trPr>
        <w:tc>
          <w:tcPr>
            <w:tcW w:w="2980" w:type="dxa"/>
            <w:tcBorders>
              <w:top w:val="nil"/>
              <w:left w:val="nil"/>
              <w:bottom w:val="nil"/>
              <w:right w:val="nil"/>
            </w:tcBorders>
            <w:shd w:val="clear" w:color="000000" w:fill="BFBFBF"/>
            <w:vAlign w:val="center"/>
            <w:hideMark/>
          </w:tcPr>
          <w:p w14:paraId="34E627BC" w14:textId="77777777" w:rsidR="006E6CD9" w:rsidRPr="009051A6" w:rsidRDefault="006E6CD9" w:rsidP="006E6CD9">
            <w:pPr>
              <w:spacing w:after="0" w:line="240" w:lineRule="auto"/>
              <w:jc w:val="center"/>
              <w:rPr>
                <w:rFonts w:eastAsia="Times New Roman" w:cs="Times New Roman"/>
                <w:b/>
                <w:bCs/>
                <w:color w:val="000000"/>
                <w:sz w:val="18"/>
                <w:szCs w:val="18"/>
                <w:lang w:eastAsia="sk-SK"/>
              </w:rPr>
            </w:pPr>
            <w:r w:rsidRPr="009051A6">
              <w:rPr>
                <w:rFonts w:eastAsia="Times New Roman" w:cs="Times New Roman"/>
                <w:b/>
                <w:bCs/>
                <w:color w:val="000000"/>
                <w:sz w:val="18"/>
                <w:szCs w:val="18"/>
                <w:lang w:eastAsia="sk-SK"/>
              </w:rPr>
              <w:t> </w:t>
            </w:r>
          </w:p>
        </w:tc>
        <w:tc>
          <w:tcPr>
            <w:tcW w:w="980" w:type="dxa"/>
            <w:tcBorders>
              <w:top w:val="nil"/>
              <w:left w:val="nil"/>
              <w:bottom w:val="nil"/>
              <w:right w:val="nil"/>
            </w:tcBorders>
            <w:shd w:val="clear" w:color="000000" w:fill="BFBFBF"/>
            <w:vAlign w:val="center"/>
            <w:hideMark/>
          </w:tcPr>
          <w:p w14:paraId="7C8F2CC9" w14:textId="77777777" w:rsidR="006E6CD9" w:rsidRPr="009051A6" w:rsidRDefault="006E6CD9" w:rsidP="006E6CD9">
            <w:pPr>
              <w:spacing w:after="0" w:line="240" w:lineRule="auto"/>
              <w:jc w:val="center"/>
              <w:rPr>
                <w:rFonts w:eastAsia="Times New Roman" w:cs="Times New Roman"/>
                <w:b/>
                <w:bCs/>
                <w:color w:val="000000"/>
                <w:sz w:val="18"/>
                <w:szCs w:val="18"/>
                <w:lang w:eastAsia="sk-SK"/>
              </w:rPr>
            </w:pPr>
            <w:r w:rsidRPr="009051A6">
              <w:rPr>
                <w:rFonts w:eastAsia="Times New Roman" w:cs="Times New Roman"/>
                <w:b/>
                <w:bCs/>
                <w:color w:val="000000"/>
                <w:sz w:val="18"/>
                <w:szCs w:val="18"/>
                <w:lang w:eastAsia="sk-SK"/>
              </w:rPr>
              <w:t>2016</w:t>
            </w:r>
          </w:p>
        </w:tc>
        <w:tc>
          <w:tcPr>
            <w:tcW w:w="940" w:type="dxa"/>
            <w:tcBorders>
              <w:top w:val="nil"/>
              <w:left w:val="nil"/>
              <w:bottom w:val="nil"/>
              <w:right w:val="nil"/>
            </w:tcBorders>
            <w:shd w:val="clear" w:color="000000" w:fill="BFBFBF"/>
            <w:vAlign w:val="center"/>
            <w:hideMark/>
          </w:tcPr>
          <w:p w14:paraId="1BB624E4" w14:textId="77777777" w:rsidR="006E6CD9" w:rsidRPr="009051A6" w:rsidRDefault="006E6CD9" w:rsidP="006E6CD9">
            <w:pPr>
              <w:spacing w:after="0" w:line="240" w:lineRule="auto"/>
              <w:jc w:val="center"/>
              <w:rPr>
                <w:rFonts w:eastAsia="Times New Roman" w:cs="Times New Roman"/>
                <w:b/>
                <w:bCs/>
                <w:color w:val="000000"/>
                <w:sz w:val="18"/>
                <w:szCs w:val="18"/>
                <w:lang w:eastAsia="sk-SK"/>
              </w:rPr>
            </w:pPr>
            <w:r w:rsidRPr="009051A6">
              <w:rPr>
                <w:rFonts w:eastAsia="Times New Roman" w:cs="Times New Roman"/>
                <w:b/>
                <w:bCs/>
                <w:color w:val="000000"/>
                <w:sz w:val="18"/>
                <w:szCs w:val="18"/>
                <w:lang w:eastAsia="sk-SK"/>
              </w:rPr>
              <w:t>2017</w:t>
            </w:r>
          </w:p>
        </w:tc>
        <w:tc>
          <w:tcPr>
            <w:tcW w:w="940" w:type="dxa"/>
            <w:tcBorders>
              <w:top w:val="nil"/>
              <w:left w:val="nil"/>
              <w:bottom w:val="nil"/>
              <w:right w:val="nil"/>
            </w:tcBorders>
            <w:shd w:val="clear" w:color="000000" w:fill="BFBFBF"/>
            <w:vAlign w:val="center"/>
            <w:hideMark/>
          </w:tcPr>
          <w:p w14:paraId="35B1FAB2" w14:textId="77777777" w:rsidR="006E6CD9" w:rsidRPr="009051A6" w:rsidRDefault="006E6CD9" w:rsidP="006E6CD9">
            <w:pPr>
              <w:spacing w:after="0" w:line="240" w:lineRule="auto"/>
              <w:jc w:val="center"/>
              <w:rPr>
                <w:rFonts w:eastAsia="Times New Roman" w:cs="Times New Roman"/>
                <w:b/>
                <w:bCs/>
                <w:color w:val="000000"/>
                <w:sz w:val="18"/>
                <w:szCs w:val="18"/>
                <w:lang w:eastAsia="sk-SK"/>
              </w:rPr>
            </w:pPr>
            <w:r w:rsidRPr="009051A6">
              <w:rPr>
                <w:rFonts w:eastAsia="Times New Roman" w:cs="Times New Roman"/>
                <w:b/>
                <w:bCs/>
                <w:color w:val="000000"/>
                <w:sz w:val="18"/>
                <w:szCs w:val="18"/>
                <w:lang w:eastAsia="sk-SK"/>
              </w:rPr>
              <w:t>2018</w:t>
            </w:r>
          </w:p>
        </w:tc>
        <w:tc>
          <w:tcPr>
            <w:tcW w:w="1060" w:type="dxa"/>
            <w:tcBorders>
              <w:top w:val="nil"/>
              <w:left w:val="nil"/>
              <w:bottom w:val="nil"/>
              <w:right w:val="nil"/>
            </w:tcBorders>
            <w:shd w:val="clear" w:color="000000" w:fill="BFBFBF"/>
            <w:vAlign w:val="center"/>
            <w:hideMark/>
          </w:tcPr>
          <w:p w14:paraId="07EB5D87" w14:textId="77777777" w:rsidR="006E6CD9" w:rsidRPr="009051A6" w:rsidRDefault="006E6CD9" w:rsidP="006E6CD9">
            <w:pPr>
              <w:spacing w:after="0" w:line="240" w:lineRule="auto"/>
              <w:jc w:val="center"/>
              <w:rPr>
                <w:rFonts w:eastAsia="Times New Roman" w:cs="Times New Roman"/>
                <w:b/>
                <w:bCs/>
                <w:color w:val="000000"/>
                <w:sz w:val="18"/>
                <w:szCs w:val="18"/>
                <w:lang w:eastAsia="sk-SK"/>
              </w:rPr>
            </w:pPr>
            <w:r w:rsidRPr="009051A6">
              <w:rPr>
                <w:rFonts w:eastAsia="Times New Roman" w:cs="Times New Roman"/>
                <w:b/>
                <w:bCs/>
                <w:color w:val="000000"/>
                <w:sz w:val="18"/>
                <w:szCs w:val="18"/>
                <w:lang w:eastAsia="sk-SK"/>
              </w:rPr>
              <w:t>2018</w:t>
            </w:r>
          </w:p>
        </w:tc>
        <w:tc>
          <w:tcPr>
            <w:tcW w:w="1000" w:type="dxa"/>
            <w:tcBorders>
              <w:top w:val="nil"/>
              <w:left w:val="nil"/>
              <w:bottom w:val="nil"/>
              <w:right w:val="nil"/>
            </w:tcBorders>
            <w:shd w:val="clear" w:color="000000" w:fill="BFBFBF"/>
            <w:vAlign w:val="center"/>
            <w:hideMark/>
          </w:tcPr>
          <w:p w14:paraId="6B6FB5DE" w14:textId="77777777" w:rsidR="006E6CD9" w:rsidRPr="009051A6" w:rsidRDefault="006E6CD9" w:rsidP="006E6CD9">
            <w:pPr>
              <w:spacing w:after="0" w:line="240" w:lineRule="auto"/>
              <w:jc w:val="center"/>
              <w:rPr>
                <w:rFonts w:eastAsia="Times New Roman" w:cs="Times New Roman"/>
                <w:b/>
                <w:bCs/>
                <w:color w:val="000000"/>
                <w:sz w:val="18"/>
                <w:szCs w:val="18"/>
                <w:lang w:eastAsia="sk-SK"/>
              </w:rPr>
            </w:pPr>
            <w:r w:rsidRPr="009051A6">
              <w:rPr>
                <w:rFonts w:eastAsia="Times New Roman" w:cs="Times New Roman"/>
                <w:b/>
                <w:bCs/>
                <w:color w:val="000000"/>
                <w:sz w:val="18"/>
                <w:szCs w:val="18"/>
                <w:lang w:eastAsia="sk-SK"/>
              </w:rPr>
              <w:t>z toho: zdroj 111*</w:t>
            </w:r>
          </w:p>
        </w:tc>
        <w:tc>
          <w:tcPr>
            <w:tcW w:w="840" w:type="dxa"/>
            <w:tcBorders>
              <w:top w:val="nil"/>
              <w:left w:val="nil"/>
              <w:bottom w:val="nil"/>
              <w:right w:val="nil"/>
            </w:tcBorders>
            <w:shd w:val="clear" w:color="000000" w:fill="BFBFBF"/>
            <w:vAlign w:val="center"/>
            <w:hideMark/>
          </w:tcPr>
          <w:p w14:paraId="37A0FDD6" w14:textId="77777777" w:rsidR="006E6CD9" w:rsidRPr="009051A6" w:rsidRDefault="006E6CD9" w:rsidP="006E6CD9">
            <w:pPr>
              <w:spacing w:after="0" w:line="240" w:lineRule="auto"/>
              <w:jc w:val="center"/>
              <w:rPr>
                <w:rFonts w:eastAsia="Times New Roman" w:cs="Times New Roman"/>
                <w:b/>
                <w:bCs/>
                <w:color w:val="000000"/>
                <w:sz w:val="18"/>
                <w:szCs w:val="18"/>
                <w:lang w:eastAsia="sk-SK"/>
              </w:rPr>
            </w:pPr>
            <w:r w:rsidRPr="009051A6">
              <w:rPr>
                <w:rFonts w:eastAsia="Times New Roman" w:cs="Times New Roman"/>
                <w:b/>
                <w:bCs/>
                <w:color w:val="000000"/>
                <w:sz w:val="18"/>
                <w:szCs w:val="18"/>
                <w:lang w:eastAsia="sk-SK"/>
              </w:rPr>
              <w:t xml:space="preserve"> v tis. eur</w:t>
            </w:r>
          </w:p>
        </w:tc>
        <w:tc>
          <w:tcPr>
            <w:tcW w:w="920" w:type="dxa"/>
            <w:tcBorders>
              <w:top w:val="nil"/>
              <w:left w:val="nil"/>
              <w:bottom w:val="nil"/>
              <w:right w:val="nil"/>
            </w:tcBorders>
            <w:shd w:val="clear" w:color="000000" w:fill="BFBFBF"/>
            <w:vAlign w:val="center"/>
            <w:hideMark/>
          </w:tcPr>
          <w:p w14:paraId="3636BBB5" w14:textId="77777777" w:rsidR="006E6CD9" w:rsidRPr="009051A6" w:rsidRDefault="006E6CD9" w:rsidP="006E6CD9">
            <w:pPr>
              <w:spacing w:after="0" w:line="240" w:lineRule="auto"/>
              <w:jc w:val="center"/>
              <w:rPr>
                <w:rFonts w:eastAsia="Times New Roman" w:cs="Times New Roman"/>
                <w:b/>
                <w:bCs/>
                <w:color w:val="000000"/>
                <w:sz w:val="18"/>
                <w:szCs w:val="18"/>
                <w:lang w:eastAsia="sk-SK"/>
              </w:rPr>
            </w:pPr>
            <w:r w:rsidRPr="009051A6">
              <w:rPr>
                <w:rFonts w:eastAsia="Times New Roman" w:cs="Times New Roman"/>
                <w:b/>
                <w:bCs/>
                <w:color w:val="000000"/>
                <w:sz w:val="18"/>
                <w:szCs w:val="18"/>
                <w:lang w:eastAsia="sk-SK"/>
              </w:rPr>
              <w:t>v %</w:t>
            </w:r>
          </w:p>
        </w:tc>
      </w:tr>
      <w:tr w:rsidR="006E6CD9" w:rsidRPr="006E6CD9" w14:paraId="54DA29E8" w14:textId="77777777" w:rsidTr="006E6CD9">
        <w:trPr>
          <w:trHeight w:val="345"/>
        </w:trPr>
        <w:tc>
          <w:tcPr>
            <w:tcW w:w="2980" w:type="dxa"/>
            <w:tcBorders>
              <w:top w:val="nil"/>
              <w:left w:val="nil"/>
              <w:bottom w:val="single" w:sz="8" w:space="0" w:color="auto"/>
              <w:right w:val="nil"/>
            </w:tcBorders>
            <w:shd w:val="clear" w:color="000000" w:fill="BFBFBF"/>
            <w:vAlign w:val="center"/>
            <w:hideMark/>
          </w:tcPr>
          <w:p w14:paraId="62AD2329" w14:textId="77777777" w:rsidR="006E6CD9" w:rsidRPr="009051A6" w:rsidRDefault="006E6CD9" w:rsidP="009051A6">
            <w:pPr>
              <w:spacing w:after="0" w:line="240" w:lineRule="auto"/>
              <w:jc w:val="center"/>
              <w:rPr>
                <w:rFonts w:eastAsia="Times New Roman" w:cs="Times New Roman"/>
                <w:b/>
                <w:bCs/>
                <w:color w:val="000000"/>
                <w:sz w:val="18"/>
                <w:szCs w:val="18"/>
                <w:lang w:eastAsia="sk-SK"/>
              </w:rPr>
            </w:pPr>
            <w:r w:rsidRPr="009051A6">
              <w:rPr>
                <w:rFonts w:eastAsia="Times New Roman" w:cs="Times New Roman"/>
                <w:b/>
                <w:bCs/>
                <w:color w:val="000000"/>
                <w:sz w:val="18"/>
                <w:szCs w:val="18"/>
                <w:lang w:eastAsia="sk-SK"/>
              </w:rPr>
              <w:t> </w:t>
            </w:r>
          </w:p>
        </w:tc>
        <w:tc>
          <w:tcPr>
            <w:tcW w:w="980" w:type="dxa"/>
            <w:tcBorders>
              <w:top w:val="nil"/>
              <w:left w:val="nil"/>
              <w:bottom w:val="single" w:sz="8" w:space="0" w:color="auto"/>
              <w:right w:val="nil"/>
            </w:tcBorders>
            <w:shd w:val="clear" w:color="000000" w:fill="BFBFBF"/>
            <w:vAlign w:val="center"/>
            <w:hideMark/>
          </w:tcPr>
          <w:p w14:paraId="272AC745" w14:textId="77777777" w:rsidR="006E6CD9" w:rsidRPr="009051A6" w:rsidRDefault="006E6CD9" w:rsidP="009051A6">
            <w:pPr>
              <w:spacing w:after="0" w:line="240" w:lineRule="auto"/>
              <w:jc w:val="center"/>
              <w:rPr>
                <w:rFonts w:eastAsia="Times New Roman" w:cs="Times New Roman"/>
                <w:b/>
                <w:bCs/>
                <w:color w:val="000000"/>
                <w:sz w:val="18"/>
                <w:szCs w:val="18"/>
                <w:lang w:eastAsia="sk-SK"/>
              </w:rPr>
            </w:pPr>
            <w:r w:rsidRPr="009051A6">
              <w:rPr>
                <w:rFonts w:eastAsia="Times New Roman" w:cs="Times New Roman"/>
                <w:b/>
                <w:bCs/>
                <w:color w:val="000000"/>
                <w:sz w:val="18"/>
                <w:szCs w:val="18"/>
                <w:lang w:eastAsia="sk-SK"/>
              </w:rPr>
              <w:t>1</w:t>
            </w:r>
          </w:p>
        </w:tc>
        <w:tc>
          <w:tcPr>
            <w:tcW w:w="940" w:type="dxa"/>
            <w:tcBorders>
              <w:top w:val="nil"/>
              <w:left w:val="nil"/>
              <w:bottom w:val="single" w:sz="8" w:space="0" w:color="auto"/>
              <w:right w:val="nil"/>
            </w:tcBorders>
            <w:shd w:val="clear" w:color="000000" w:fill="BFBFBF"/>
            <w:vAlign w:val="center"/>
            <w:hideMark/>
          </w:tcPr>
          <w:p w14:paraId="2F2B60B5" w14:textId="77777777" w:rsidR="006E6CD9" w:rsidRPr="009051A6" w:rsidRDefault="006E6CD9" w:rsidP="009051A6">
            <w:pPr>
              <w:spacing w:after="0" w:line="240" w:lineRule="auto"/>
              <w:jc w:val="center"/>
              <w:rPr>
                <w:rFonts w:eastAsia="Times New Roman" w:cs="Times New Roman"/>
                <w:b/>
                <w:bCs/>
                <w:color w:val="000000"/>
                <w:sz w:val="18"/>
                <w:szCs w:val="18"/>
                <w:lang w:eastAsia="sk-SK"/>
              </w:rPr>
            </w:pPr>
            <w:r w:rsidRPr="009051A6">
              <w:rPr>
                <w:rFonts w:eastAsia="Times New Roman" w:cs="Times New Roman"/>
                <w:b/>
                <w:bCs/>
                <w:color w:val="000000"/>
                <w:sz w:val="18"/>
                <w:szCs w:val="18"/>
                <w:lang w:eastAsia="sk-SK"/>
              </w:rPr>
              <w:t>2</w:t>
            </w:r>
          </w:p>
        </w:tc>
        <w:tc>
          <w:tcPr>
            <w:tcW w:w="940" w:type="dxa"/>
            <w:tcBorders>
              <w:top w:val="nil"/>
              <w:left w:val="nil"/>
              <w:bottom w:val="single" w:sz="8" w:space="0" w:color="auto"/>
              <w:right w:val="nil"/>
            </w:tcBorders>
            <w:shd w:val="clear" w:color="000000" w:fill="BFBFBF"/>
            <w:vAlign w:val="center"/>
            <w:hideMark/>
          </w:tcPr>
          <w:p w14:paraId="2E29D3E6" w14:textId="77777777" w:rsidR="006E6CD9" w:rsidRPr="009051A6" w:rsidRDefault="006E6CD9" w:rsidP="009051A6">
            <w:pPr>
              <w:spacing w:after="0" w:line="240" w:lineRule="auto"/>
              <w:jc w:val="center"/>
              <w:rPr>
                <w:rFonts w:eastAsia="Times New Roman" w:cs="Times New Roman"/>
                <w:b/>
                <w:bCs/>
                <w:color w:val="000000"/>
                <w:sz w:val="18"/>
                <w:szCs w:val="18"/>
                <w:lang w:eastAsia="sk-SK"/>
              </w:rPr>
            </w:pPr>
            <w:r w:rsidRPr="009051A6">
              <w:rPr>
                <w:rFonts w:eastAsia="Times New Roman" w:cs="Times New Roman"/>
                <w:b/>
                <w:bCs/>
                <w:color w:val="000000"/>
                <w:sz w:val="18"/>
                <w:szCs w:val="18"/>
                <w:lang w:eastAsia="sk-SK"/>
              </w:rPr>
              <w:t>3</w:t>
            </w:r>
          </w:p>
        </w:tc>
        <w:tc>
          <w:tcPr>
            <w:tcW w:w="1060" w:type="dxa"/>
            <w:tcBorders>
              <w:top w:val="nil"/>
              <w:left w:val="nil"/>
              <w:bottom w:val="single" w:sz="8" w:space="0" w:color="auto"/>
              <w:right w:val="nil"/>
            </w:tcBorders>
            <w:shd w:val="clear" w:color="000000" w:fill="BFBFBF"/>
            <w:vAlign w:val="center"/>
            <w:hideMark/>
          </w:tcPr>
          <w:p w14:paraId="15B2F7B9" w14:textId="77777777" w:rsidR="006E6CD9" w:rsidRPr="009051A6" w:rsidRDefault="006E6CD9" w:rsidP="009051A6">
            <w:pPr>
              <w:spacing w:after="0" w:line="240" w:lineRule="auto"/>
              <w:jc w:val="center"/>
              <w:rPr>
                <w:rFonts w:eastAsia="Times New Roman" w:cs="Times New Roman"/>
                <w:b/>
                <w:bCs/>
                <w:color w:val="000000"/>
                <w:sz w:val="18"/>
                <w:szCs w:val="18"/>
                <w:lang w:eastAsia="sk-SK"/>
              </w:rPr>
            </w:pPr>
            <w:r w:rsidRPr="009051A6">
              <w:rPr>
                <w:rFonts w:eastAsia="Times New Roman" w:cs="Times New Roman"/>
                <w:b/>
                <w:bCs/>
                <w:color w:val="000000"/>
                <w:sz w:val="18"/>
                <w:szCs w:val="18"/>
                <w:lang w:eastAsia="sk-SK"/>
              </w:rPr>
              <w:t>4</w:t>
            </w:r>
          </w:p>
        </w:tc>
        <w:tc>
          <w:tcPr>
            <w:tcW w:w="1000" w:type="dxa"/>
            <w:tcBorders>
              <w:top w:val="nil"/>
              <w:left w:val="nil"/>
              <w:bottom w:val="single" w:sz="8" w:space="0" w:color="auto"/>
              <w:right w:val="nil"/>
            </w:tcBorders>
            <w:shd w:val="clear" w:color="000000" w:fill="BFBFBF"/>
            <w:vAlign w:val="center"/>
            <w:hideMark/>
          </w:tcPr>
          <w:p w14:paraId="0DD62D88" w14:textId="77777777" w:rsidR="006E6CD9" w:rsidRPr="009051A6" w:rsidRDefault="006E6CD9" w:rsidP="009051A6">
            <w:pPr>
              <w:spacing w:after="0" w:line="240" w:lineRule="auto"/>
              <w:jc w:val="center"/>
              <w:rPr>
                <w:rFonts w:eastAsia="Times New Roman" w:cs="Times New Roman"/>
                <w:b/>
                <w:bCs/>
                <w:color w:val="000000"/>
                <w:sz w:val="18"/>
                <w:szCs w:val="18"/>
                <w:lang w:eastAsia="sk-SK"/>
              </w:rPr>
            </w:pPr>
            <w:r w:rsidRPr="009051A6">
              <w:rPr>
                <w:rFonts w:eastAsia="Times New Roman" w:cs="Times New Roman"/>
                <w:b/>
                <w:bCs/>
                <w:color w:val="000000"/>
                <w:sz w:val="18"/>
                <w:szCs w:val="18"/>
                <w:lang w:eastAsia="sk-SK"/>
              </w:rPr>
              <w:t>5</w:t>
            </w:r>
          </w:p>
        </w:tc>
        <w:tc>
          <w:tcPr>
            <w:tcW w:w="840" w:type="dxa"/>
            <w:tcBorders>
              <w:top w:val="nil"/>
              <w:left w:val="nil"/>
              <w:bottom w:val="single" w:sz="8" w:space="0" w:color="auto"/>
              <w:right w:val="nil"/>
            </w:tcBorders>
            <w:shd w:val="clear" w:color="000000" w:fill="BFBFBF"/>
            <w:vAlign w:val="center"/>
            <w:hideMark/>
          </w:tcPr>
          <w:p w14:paraId="6C9D6C28" w14:textId="77777777" w:rsidR="006E6CD9" w:rsidRPr="009051A6" w:rsidRDefault="006E6CD9" w:rsidP="009051A6">
            <w:pPr>
              <w:spacing w:after="0" w:line="240" w:lineRule="auto"/>
              <w:jc w:val="center"/>
              <w:rPr>
                <w:rFonts w:eastAsia="Times New Roman" w:cs="Times New Roman"/>
                <w:b/>
                <w:bCs/>
                <w:color w:val="000000"/>
                <w:sz w:val="18"/>
                <w:szCs w:val="18"/>
                <w:lang w:eastAsia="sk-SK"/>
              </w:rPr>
            </w:pPr>
            <w:r w:rsidRPr="009051A6">
              <w:rPr>
                <w:rFonts w:eastAsia="Times New Roman" w:cs="Times New Roman"/>
                <w:b/>
                <w:bCs/>
                <w:color w:val="000000"/>
                <w:sz w:val="18"/>
                <w:szCs w:val="18"/>
                <w:lang w:eastAsia="sk-SK"/>
              </w:rPr>
              <w:t>6=4-3</w:t>
            </w:r>
          </w:p>
        </w:tc>
        <w:tc>
          <w:tcPr>
            <w:tcW w:w="920" w:type="dxa"/>
            <w:tcBorders>
              <w:top w:val="nil"/>
              <w:left w:val="nil"/>
              <w:bottom w:val="single" w:sz="8" w:space="0" w:color="auto"/>
              <w:right w:val="nil"/>
            </w:tcBorders>
            <w:shd w:val="clear" w:color="000000" w:fill="BFBFBF"/>
            <w:vAlign w:val="center"/>
            <w:hideMark/>
          </w:tcPr>
          <w:p w14:paraId="6E4B2BBF" w14:textId="77777777" w:rsidR="006E6CD9" w:rsidRPr="009051A6" w:rsidRDefault="006E6CD9" w:rsidP="009051A6">
            <w:pPr>
              <w:spacing w:after="0" w:line="240" w:lineRule="auto"/>
              <w:jc w:val="center"/>
              <w:rPr>
                <w:rFonts w:eastAsia="Times New Roman" w:cs="Times New Roman"/>
                <w:b/>
                <w:bCs/>
                <w:color w:val="000000"/>
                <w:sz w:val="18"/>
                <w:szCs w:val="18"/>
                <w:lang w:eastAsia="sk-SK"/>
              </w:rPr>
            </w:pPr>
            <w:r w:rsidRPr="009051A6">
              <w:rPr>
                <w:rFonts w:eastAsia="Times New Roman" w:cs="Times New Roman"/>
                <w:b/>
                <w:bCs/>
                <w:color w:val="000000"/>
                <w:sz w:val="18"/>
                <w:szCs w:val="18"/>
                <w:lang w:eastAsia="sk-SK"/>
              </w:rPr>
              <w:t>7=4-3</w:t>
            </w:r>
          </w:p>
        </w:tc>
      </w:tr>
      <w:tr w:rsidR="006E6CD9" w:rsidRPr="006E6CD9" w14:paraId="61F9FEFD" w14:textId="77777777" w:rsidTr="009051A6">
        <w:trPr>
          <w:trHeight w:val="330"/>
        </w:trPr>
        <w:tc>
          <w:tcPr>
            <w:tcW w:w="2980" w:type="dxa"/>
            <w:tcBorders>
              <w:top w:val="nil"/>
              <w:left w:val="nil"/>
              <w:bottom w:val="nil"/>
              <w:right w:val="nil"/>
            </w:tcBorders>
            <w:shd w:val="clear" w:color="000000" w:fill="FFFFFF"/>
            <w:vAlign w:val="center"/>
            <w:hideMark/>
          </w:tcPr>
          <w:p w14:paraId="50869C4C" w14:textId="77777777" w:rsidR="006E6CD9" w:rsidRPr="006E6CD9" w:rsidRDefault="006E6CD9" w:rsidP="006E6CD9">
            <w:pPr>
              <w:spacing w:after="0" w:line="240" w:lineRule="auto"/>
              <w:jc w:val="left"/>
              <w:rPr>
                <w:rFonts w:eastAsia="Times New Roman" w:cs="Times New Roman"/>
                <w:color w:val="000000"/>
                <w:sz w:val="20"/>
                <w:szCs w:val="20"/>
                <w:lang w:eastAsia="sk-SK"/>
              </w:rPr>
            </w:pPr>
            <w:r w:rsidRPr="006E6CD9">
              <w:rPr>
                <w:rFonts w:eastAsia="Times New Roman" w:cs="Times New Roman"/>
                <w:color w:val="000000"/>
                <w:sz w:val="20"/>
                <w:szCs w:val="20"/>
                <w:lang w:eastAsia="sk-SK"/>
              </w:rPr>
              <w:t>Vzdelávanie</w:t>
            </w:r>
          </w:p>
        </w:tc>
        <w:tc>
          <w:tcPr>
            <w:tcW w:w="980" w:type="dxa"/>
            <w:tcBorders>
              <w:top w:val="nil"/>
              <w:left w:val="nil"/>
              <w:bottom w:val="nil"/>
              <w:right w:val="nil"/>
            </w:tcBorders>
            <w:shd w:val="clear" w:color="000000" w:fill="FFFFFF"/>
            <w:noWrap/>
            <w:vAlign w:val="center"/>
            <w:hideMark/>
          </w:tcPr>
          <w:p w14:paraId="5726E27B"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796 447</w:t>
            </w:r>
          </w:p>
        </w:tc>
        <w:tc>
          <w:tcPr>
            <w:tcW w:w="940" w:type="dxa"/>
            <w:tcBorders>
              <w:top w:val="nil"/>
              <w:left w:val="nil"/>
              <w:bottom w:val="nil"/>
              <w:right w:val="nil"/>
            </w:tcBorders>
            <w:shd w:val="clear" w:color="000000" w:fill="FFFFFF"/>
            <w:noWrap/>
            <w:vAlign w:val="center"/>
            <w:hideMark/>
          </w:tcPr>
          <w:p w14:paraId="09CB5E7B"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839 651</w:t>
            </w:r>
          </w:p>
        </w:tc>
        <w:tc>
          <w:tcPr>
            <w:tcW w:w="940" w:type="dxa"/>
            <w:tcBorders>
              <w:top w:val="nil"/>
              <w:left w:val="nil"/>
              <w:bottom w:val="nil"/>
              <w:right w:val="nil"/>
            </w:tcBorders>
            <w:shd w:val="clear" w:color="000000" w:fill="FFFFFF"/>
            <w:noWrap/>
            <w:vAlign w:val="center"/>
            <w:hideMark/>
          </w:tcPr>
          <w:p w14:paraId="59F44755"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811 013</w:t>
            </w:r>
          </w:p>
        </w:tc>
        <w:tc>
          <w:tcPr>
            <w:tcW w:w="1060" w:type="dxa"/>
            <w:tcBorders>
              <w:top w:val="nil"/>
              <w:left w:val="nil"/>
              <w:bottom w:val="nil"/>
              <w:right w:val="nil"/>
            </w:tcBorders>
            <w:shd w:val="clear" w:color="000000" w:fill="BFBFBF"/>
            <w:noWrap/>
            <w:vAlign w:val="center"/>
            <w:hideMark/>
          </w:tcPr>
          <w:p w14:paraId="0B617FFE"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900 572</w:t>
            </w:r>
          </w:p>
        </w:tc>
        <w:tc>
          <w:tcPr>
            <w:tcW w:w="1000" w:type="dxa"/>
            <w:tcBorders>
              <w:top w:val="nil"/>
              <w:left w:val="nil"/>
              <w:bottom w:val="nil"/>
              <w:right w:val="nil"/>
            </w:tcBorders>
            <w:shd w:val="clear" w:color="000000" w:fill="BFBFBF"/>
            <w:noWrap/>
            <w:vAlign w:val="center"/>
            <w:hideMark/>
          </w:tcPr>
          <w:p w14:paraId="3677ED45"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875 255</w:t>
            </w:r>
          </w:p>
        </w:tc>
        <w:tc>
          <w:tcPr>
            <w:tcW w:w="840" w:type="dxa"/>
            <w:tcBorders>
              <w:top w:val="nil"/>
              <w:left w:val="nil"/>
              <w:bottom w:val="nil"/>
              <w:right w:val="nil"/>
            </w:tcBorders>
            <w:shd w:val="clear" w:color="000000" w:fill="FFFFFF"/>
            <w:vAlign w:val="center"/>
            <w:hideMark/>
          </w:tcPr>
          <w:p w14:paraId="31D63A2C"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89 559</w:t>
            </w:r>
          </w:p>
        </w:tc>
        <w:tc>
          <w:tcPr>
            <w:tcW w:w="920" w:type="dxa"/>
            <w:tcBorders>
              <w:top w:val="nil"/>
              <w:left w:val="nil"/>
              <w:bottom w:val="nil"/>
              <w:right w:val="nil"/>
            </w:tcBorders>
            <w:shd w:val="clear" w:color="000000" w:fill="FFFFFF"/>
            <w:vAlign w:val="center"/>
            <w:hideMark/>
          </w:tcPr>
          <w:p w14:paraId="0282761E"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11,0</w:t>
            </w:r>
          </w:p>
        </w:tc>
      </w:tr>
      <w:tr w:rsidR="006E6CD9" w:rsidRPr="006E6CD9" w14:paraId="5FAC64CC" w14:textId="77777777" w:rsidTr="009051A6">
        <w:trPr>
          <w:trHeight w:val="330"/>
        </w:trPr>
        <w:tc>
          <w:tcPr>
            <w:tcW w:w="2980" w:type="dxa"/>
            <w:tcBorders>
              <w:top w:val="nil"/>
              <w:left w:val="nil"/>
              <w:bottom w:val="nil"/>
              <w:right w:val="nil"/>
            </w:tcBorders>
            <w:shd w:val="clear" w:color="000000" w:fill="FFFFFF"/>
            <w:vAlign w:val="center"/>
            <w:hideMark/>
          </w:tcPr>
          <w:p w14:paraId="4EB8228D" w14:textId="77777777" w:rsidR="006E6CD9" w:rsidRPr="006E6CD9" w:rsidRDefault="006E6CD9" w:rsidP="006E6CD9">
            <w:pPr>
              <w:spacing w:after="0" w:line="240" w:lineRule="auto"/>
              <w:jc w:val="left"/>
              <w:rPr>
                <w:rFonts w:eastAsia="Times New Roman" w:cs="Times New Roman"/>
                <w:color w:val="000000"/>
                <w:sz w:val="20"/>
                <w:szCs w:val="20"/>
                <w:lang w:eastAsia="sk-SK"/>
              </w:rPr>
            </w:pPr>
            <w:r w:rsidRPr="006E6CD9">
              <w:rPr>
                <w:rFonts w:eastAsia="Times New Roman" w:cs="Times New Roman"/>
                <w:color w:val="000000"/>
                <w:sz w:val="20"/>
                <w:szCs w:val="20"/>
                <w:lang w:eastAsia="sk-SK"/>
              </w:rPr>
              <w:t>Ochrana životného prostredia</w:t>
            </w:r>
          </w:p>
        </w:tc>
        <w:tc>
          <w:tcPr>
            <w:tcW w:w="980" w:type="dxa"/>
            <w:tcBorders>
              <w:top w:val="nil"/>
              <w:left w:val="nil"/>
              <w:bottom w:val="nil"/>
              <w:right w:val="nil"/>
            </w:tcBorders>
            <w:shd w:val="clear" w:color="000000" w:fill="FFFFFF"/>
            <w:noWrap/>
            <w:vAlign w:val="center"/>
            <w:hideMark/>
          </w:tcPr>
          <w:p w14:paraId="0912689F"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26 397</w:t>
            </w:r>
          </w:p>
        </w:tc>
        <w:tc>
          <w:tcPr>
            <w:tcW w:w="940" w:type="dxa"/>
            <w:tcBorders>
              <w:top w:val="nil"/>
              <w:left w:val="nil"/>
              <w:bottom w:val="nil"/>
              <w:right w:val="nil"/>
            </w:tcBorders>
            <w:shd w:val="clear" w:color="000000" w:fill="FFFFFF"/>
            <w:noWrap/>
            <w:vAlign w:val="center"/>
            <w:hideMark/>
          </w:tcPr>
          <w:p w14:paraId="224456BC"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59 563</w:t>
            </w:r>
          </w:p>
        </w:tc>
        <w:tc>
          <w:tcPr>
            <w:tcW w:w="940" w:type="dxa"/>
            <w:tcBorders>
              <w:top w:val="nil"/>
              <w:left w:val="nil"/>
              <w:bottom w:val="nil"/>
              <w:right w:val="nil"/>
            </w:tcBorders>
            <w:shd w:val="clear" w:color="000000" w:fill="FFFFFF"/>
            <w:noWrap/>
            <w:vAlign w:val="center"/>
            <w:hideMark/>
          </w:tcPr>
          <w:p w14:paraId="32C01BE7"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0</w:t>
            </w:r>
          </w:p>
        </w:tc>
        <w:tc>
          <w:tcPr>
            <w:tcW w:w="1060" w:type="dxa"/>
            <w:tcBorders>
              <w:top w:val="nil"/>
              <w:left w:val="nil"/>
              <w:bottom w:val="nil"/>
              <w:right w:val="nil"/>
            </w:tcBorders>
            <w:shd w:val="clear" w:color="000000" w:fill="BFBFBF"/>
            <w:noWrap/>
            <w:vAlign w:val="center"/>
            <w:hideMark/>
          </w:tcPr>
          <w:p w14:paraId="0EFB29D7"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130 150</w:t>
            </w:r>
          </w:p>
        </w:tc>
        <w:tc>
          <w:tcPr>
            <w:tcW w:w="1000" w:type="dxa"/>
            <w:tcBorders>
              <w:top w:val="nil"/>
              <w:left w:val="nil"/>
              <w:bottom w:val="nil"/>
              <w:right w:val="nil"/>
            </w:tcBorders>
            <w:shd w:val="clear" w:color="000000" w:fill="BFBFBF"/>
            <w:noWrap/>
            <w:vAlign w:val="center"/>
            <w:hideMark/>
          </w:tcPr>
          <w:p w14:paraId="5480C411"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0</w:t>
            </w:r>
          </w:p>
        </w:tc>
        <w:tc>
          <w:tcPr>
            <w:tcW w:w="840" w:type="dxa"/>
            <w:tcBorders>
              <w:top w:val="nil"/>
              <w:left w:val="nil"/>
              <w:bottom w:val="nil"/>
              <w:right w:val="nil"/>
            </w:tcBorders>
            <w:shd w:val="clear" w:color="000000" w:fill="FFFFFF"/>
            <w:vAlign w:val="center"/>
            <w:hideMark/>
          </w:tcPr>
          <w:p w14:paraId="6AEEAB65"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130 150</w:t>
            </w:r>
          </w:p>
        </w:tc>
        <w:tc>
          <w:tcPr>
            <w:tcW w:w="920" w:type="dxa"/>
            <w:tcBorders>
              <w:top w:val="nil"/>
              <w:left w:val="nil"/>
              <w:bottom w:val="nil"/>
              <w:right w:val="nil"/>
            </w:tcBorders>
            <w:shd w:val="clear" w:color="000000" w:fill="FFFFFF"/>
            <w:vAlign w:val="center"/>
            <w:hideMark/>
          </w:tcPr>
          <w:p w14:paraId="61323F1F"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x</w:t>
            </w:r>
          </w:p>
        </w:tc>
      </w:tr>
      <w:tr w:rsidR="006E6CD9" w:rsidRPr="006E6CD9" w14:paraId="292C46EB" w14:textId="77777777" w:rsidTr="009051A6">
        <w:trPr>
          <w:trHeight w:val="330"/>
        </w:trPr>
        <w:tc>
          <w:tcPr>
            <w:tcW w:w="2980" w:type="dxa"/>
            <w:tcBorders>
              <w:top w:val="nil"/>
              <w:left w:val="nil"/>
              <w:bottom w:val="nil"/>
              <w:right w:val="nil"/>
            </w:tcBorders>
            <w:shd w:val="clear" w:color="000000" w:fill="FFFFFF"/>
            <w:noWrap/>
            <w:vAlign w:val="center"/>
            <w:hideMark/>
          </w:tcPr>
          <w:p w14:paraId="73A3CC75" w14:textId="77777777" w:rsidR="006E6CD9" w:rsidRPr="006E6CD9" w:rsidRDefault="006E6CD9" w:rsidP="006E6CD9">
            <w:pPr>
              <w:spacing w:after="0" w:line="240" w:lineRule="auto"/>
              <w:jc w:val="left"/>
              <w:rPr>
                <w:rFonts w:eastAsia="Times New Roman" w:cs="Times New Roman"/>
                <w:color w:val="000000"/>
                <w:sz w:val="20"/>
                <w:szCs w:val="20"/>
                <w:lang w:eastAsia="sk-SK"/>
              </w:rPr>
            </w:pPr>
            <w:r w:rsidRPr="006E6CD9">
              <w:rPr>
                <w:rFonts w:eastAsia="Times New Roman" w:cs="Times New Roman"/>
                <w:color w:val="000000"/>
                <w:sz w:val="20"/>
                <w:szCs w:val="20"/>
                <w:lang w:eastAsia="sk-SK"/>
              </w:rPr>
              <w:t>Ekonomická oblasť</w:t>
            </w:r>
          </w:p>
        </w:tc>
        <w:tc>
          <w:tcPr>
            <w:tcW w:w="980" w:type="dxa"/>
            <w:tcBorders>
              <w:top w:val="nil"/>
              <w:left w:val="nil"/>
              <w:bottom w:val="nil"/>
              <w:right w:val="nil"/>
            </w:tcBorders>
            <w:shd w:val="clear" w:color="000000" w:fill="FFFFFF"/>
            <w:noWrap/>
            <w:vAlign w:val="center"/>
            <w:hideMark/>
          </w:tcPr>
          <w:p w14:paraId="6DE7A959"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55 056</w:t>
            </w:r>
          </w:p>
        </w:tc>
        <w:tc>
          <w:tcPr>
            <w:tcW w:w="940" w:type="dxa"/>
            <w:tcBorders>
              <w:top w:val="nil"/>
              <w:left w:val="nil"/>
              <w:bottom w:val="nil"/>
              <w:right w:val="nil"/>
            </w:tcBorders>
            <w:shd w:val="clear" w:color="000000" w:fill="FFFFFF"/>
            <w:noWrap/>
            <w:vAlign w:val="center"/>
            <w:hideMark/>
          </w:tcPr>
          <w:p w14:paraId="6B58BD7B"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56 909</w:t>
            </w:r>
          </w:p>
        </w:tc>
        <w:tc>
          <w:tcPr>
            <w:tcW w:w="940" w:type="dxa"/>
            <w:tcBorders>
              <w:top w:val="nil"/>
              <w:left w:val="nil"/>
              <w:bottom w:val="nil"/>
              <w:right w:val="nil"/>
            </w:tcBorders>
            <w:shd w:val="clear" w:color="000000" w:fill="FFFFFF"/>
            <w:noWrap/>
            <w:vAlign w:val="center"/>
            <w:hideMark/>
          </w:tcPr>
          <w:p w14:paraId="466A0527"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171 859</w:t>
            </w:r>
          </w:p>
        </w:tc>
        <w:tc>
          <w:tcPr>
            <w:tcW w:w="1060" w:type="dxa"/>
            <w:tcBorders>
              <w:top w:val="nil"/>
              <w:left w:val="nil"/>
              <w:bottom w:val="nil"/>
              <w:right w:val="nil"/>
            </w:tcBorders>
            <w:shd w:val="clear" w:color="000000" w:fill="BFBFBF"/>
            <w:noWrap/>
            <w:vAlign w:val="center"/>
            <w:hideMark/>
          </w:tcPr>
          <w:p w14:paraId="6C54918A"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104 412</w:t>
            </w:r>
          </w:p>
        </w:tc>
        <w:tc>
          <w:tcPr>
            <w:tcW w:w="1000" w:type="dxa"/>
            <w:tcBorders>
              <w:top w:val="nil"/>
              <w:left w:val="nil"/>
              <w:bottom w:val="nil"/>
              <w:right w:val="nil"/>
            </w:tcBorders>
            <w:shd w:val="clear" w:color="000000" w:fill="BFBFBF"/>
            <w:noWrap/>
            <w:vAlign w:val="center"/>
            <w:hideMark/>
          </w:tcPr>
          <w:p w14:paraId="03605C50"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11 797</w:t>
            </w:r>
          </w:p>
        </w:tc>
        <w:tc>
          <w:tcPr>
            <w:tcW w:w="840" w:type="dxa"/>
            <w:tcBorders>
              <w:top w:val="nil"/>
              <w:left w:val="nil"/>
              <w:bottom w:val="nil"/>
              <w:right w:val="nil"/>
            </w:tcBorders>
            <w:shd w:val="clear" w:color="000000" w:fill="FFFFFF"/>
            <w:vAlign w:val="center"/>
            <w:hideMark/>
          </w:tcPr>
          <w:p w14:paraId="22C2223C"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-67 447</w:t>
            </w:r>
          </w:p>
        </w:tc>
        <w:tc>
          <w:tcPr>
            <w:tcW w:w="920" w:type="dxa"/>
            <w:tcBorders>
              <w:top w:val="nil"/>
              <w:left w:val="nil"/>
              <w:bottom w:val="nil"/>
              <w:right w:val="nil"/>
            </w:tcBorders>
            <w:shd w:val="clear" w:color="000000" w:fill="FFFFFF"/>
            <w:vAlign w:val="center"/>
            <w:hideMark/>
          </w:tcPr>
          <w:p w14:paraId="0CA821FB"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-39,2</w:t>
            </w:r>
          </w:p>
        </w:tc>
      </w:tr>
      <w:tr w:rsidR="006E6CD9" w:rsidRPr="006E6CD9" w14:paraId="319F7527" w14:textId="77777777" w:rsidTr="009051A6">
        <w:trPr>
          <w:trHeight w:val="330"/>
        </w:trPr>
        <w:tc>
          <w:tcPr>
            <w:tcW w:w="2980" w:type="dxa"/>
            <w:tcBorders>
              <w:top w:val="nil"/>
              <w:left w:val="nil"/>
              <w:bottom w:val="nil"/>
              <w:right w:val="nil"/>
            </w:tcBorders>
            <w:shd w:val="clear" w:color="000000" w:fill="FFFFFF"/>
            <w:noWrap/>
            <w:vAlign w:val="center"/>
            <w:hideMark/>
          </w:tcPr>
          <w:p w14:paraId="22A969B5" w14:textId="77777777" w:rsidR="006E6CD9" w:rsidRPr="006E6CD9" w:rsidRDefault="006E6CD9" w:rsidP="006E6CD9">
            <w:pPr>
              <w:spacing w:after="0" w:line="240" w:lineRule="auto"/>
              <w:jc w:val="left"/>
              <w:rPr>
                <w:rFonts w:eastAsia="Times New Roman" w:cs="Times New Roman"/>
                <w:color w:val="000000"/>
                <w:sz w:val="20"/>
                <w:szCs w:val="20"/>
                <w:lang w:eastAsia="sk-SK"/>
              </w:rPr>
            </w:pPr>
            <w:r w:rsidRPr="006E6CD9">
              <w:rPr>
                <w:rFonts w:eastAsia="Times New Roman" w:cs="Times New Roman"/>
                <w:color w:val="000000"/>
                <w:sz w:val="20"/>
                <w:szCs w:val="20"/>
                <w:lang w:eastAsia="sk-SK"/>
              </w:rPr>
              <w:t>Sociálne zabezpečenie</w:t>
            </w:r>
          </w:p>
        </w:tc>
        <w:tc>
          <w:tcPr>
            <w:tcW w:w="980" w:type="dxa"/>
            <w:tcBorders>
              <w:top w:val="nil"/>
              <w:left w:val="nil"/>
              <w:bottom w:val="nil"/>
              <w:right w:val="nil"/>
            </w:tcBorders>
            <w:shd w:val="clear" w:color="000000" w:fill="FFFFFF"/>
            <w:noWrap/>
            <w:vAlign w:val="center"/>
            <w:hideMark/>
          </w:tcPr>
          <w:p w14:paraId="58491168"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60 150</w:t>
            </w:r>
          </w:p>
        </w:tc>
        <w:tc>
          <w:tcPr>
            <w:tcW w:w="940" w:type="dxa"/>
            <w:tcBorders>
              <w:top w:val="nil"/>
              <w:left w:val="nil"/>
              <w:bottom w:val="nil"/>
              <w:right w:val="nil"/>
            </w:tcBorders>
            <w:shd w:val="clear" w:color="000000" w:fill="FFFFFF"/>
            <w:noWrap/>
            <w:vAlign w:val="center"/>
            <w:hideMark/>
          </w:tcPr>
          <w:p w14:paraId="062D95A8"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66 518</w:t>
            </w:r>
          </w:p>
        </w:tc>
        <w:tc>
          <w:tcPr>
            <w:tcW w:w="940" w:type="dxa"/>
            <w:tcBorders>
              <w:top w:val="nil"/>
              <w:left w:val="nil"/>
              <w:bottom w:val="nil"/>
              <w:right w:val="nil"/>
            </w:tcBorders>
            <w:shd w:val="clear" w:color="000000" w:fill="FFFFFF"/>
            <w:noWrap/>
            <w:vAlign w:val="center"/>
            <w:hideMark/>
          </w:tcPr>
          <w:p w14:paraId="1DD2FD77"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98 595</w:t>
            </w:r>
          </w:p>
        </w:tc>
        <w:tc>
          <w:tcPr>
            <w:tcW w:w="1060" w:type="dxa"/>
            <w:tcBorders>
              <w:top w:val="nil"/>
              <w:left w:val="nil"/>
              <w:bottom w:val="nil"/>
              <w:right w:val="nil"/>
            </w:tcBorders>
            <w:shd w:val="clear" w:color="000000" w:fill="BFBFBF"/>
            <w:noWrap/>
            <w:vAlign w:val="center"/>
            <w:hideMark/>
          </w:tcPr>
          <w:p w14:paraId="425270E2"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65 524</w:t>
            </w:r>
          </w:p>
        </w:tc>
        <w:tc>
          <w:tcPr>
            <w:tcW w:w="1000" w:type="dxa"/>
            <w:tcBorders>
              <w:top w:val="nil"/>
              <w:left w:val="nil"/>
              <w:bottom w:val="nil"/>
              <w:right w:val="nil"/>
            </w:tcBorders>
            <w:shd w:val="clear" w:color="000000" w:fill="BFBFBF"/>
            <w:noWrap/>
            <w:vAlign w:val="center"/>
            <w:hideMark/>
          </w:tcPr>
          <w:p w14:paraId="6FC15FD9"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54 085</w:t>
            </w:r>
          </w:p>
        </w:tc>
        <w:tc>
          <w:tcPr>
            <w:tcW w:w="840" w:type="dxa"/>
            <w:tcBorders>
              <w:top w:val="nil"/>
              <w:left w:val="nil"/>
              <w:bottom w:val="nil"/>
              <w:right w:val="nil"/>
            </w:tcBorders>
            <w:shd w:val="clear" w:color="000000" w:fill="FFFFFF"/>
            <w:vAlign w:val="center"/>
            <w:hideMark/>
          </w:tcPr>
          <w:p w14:paraId="6886E830"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-33 071</w:t>
            </w:r>
          </w:p>
        </w:tc>
        <w:tc>
          <w:tcPr>
            <w:tcW w:w="920" w:type="dxa"/>
            <w:tcBorders>
              <w:top w:val="nil"/>
              <w:left w:val="nil"/>
              <w:bottom w:val="nil"/>
              <w:right w:val="nil"/>
            </w:tcBorders>
            <w:shd w:val="clear" w:color="000000" w:fill="FFFFFF"/>
            <w:vAlign w:val="center"/>
            <w:hideMark/>
          </w:tcPr>
          <w:p w14:paraId="1A866A0F"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-33,5</w:t>
            </w:r>
          </w:p>
        </w:tc>
      </w:tr>
      <w:tr w:rsidR="006E6CD9" w:rsidRPr="006E6CD9" w14:paraId="7EE989F9" w14:textId="77777777" w:rsidTr="009051A6">
        <w:trPr>
          <w:trHeight w:val="330"/>
        </w:trPr>
        <w:tc>
          <w:tcPr>
            <w:tcW w:w="2980" w:type="dxa"/>
            <w:tcBorders>
              <w:top w:val="nil"/>
              <w:left w:val="nil"/>
              <w:bottom w:val="nil"/>
              <w:right w:val="nil"/>
            </w:tcBorders>
            <w:shd w:val="clear" w:color="000000" w:fill="FFFFFF"/>
            <w:vAlign w:val="center"/>
            <w:hideMark/>
          </w:tcPr>
          <w:p w14:paraId="4D5E1962" w14:textId="77777777" w:rsidR="006E6CD9" w:rsidRPr="006E6CD9" w:rsidRDefault="006E6CD9" w:rsidP="006E6CD9">
            <w:pPr>
              <w:spacing w:after="0" w:line="240" w:lineRule="auto"/>
              <w:jc w:val="left"/>
              <w:rPr>
                <w:rFonts w:eastAsia="Times New Roman" w:cs="Times New Roman"/>
                <w:color w:val="000000"/>
                <w:sz w:val="20"/>
                <w:szCs w:val="20"/>
                <w:lang w:eastAsia="sk-SK"/>
              </w:rPr>
            </w:pPr>
            <w:r w:rsidRPr="006E6CD9">
              <w:rPr>
                <w:rFonts w:eastAsia="Times New Roman" w:cs="Times New Roman"/>
                <w:color w:val="000000"/>
                <w:sz w:val="20"/>
                <w:szCs w:val="20"/>
                <w:lang w:eastAsia="sk-SK"/>
              </w:rPr>
              <w:t>Bývanie a občianska vybavenosť</w:t>
            </w:r>
          </w:p>
        </w:tc>
        <w:tc>
          <w:tcPr>
            <w:tcW w:w="980" w:type="dxa"/>
            <w:tcBorders>
              <w:top w:val="nil"/>
              <w:left w:val="nil"/>
              <w:bottom w:val="nil"/>
              <w:right w:val="nil"/>
            </w:tcBorders>
            <w:shd w:val="clear" w:color="000000" w:fill="FFFFFF"/>
            <w:noWrap/>
            <w:vAlign w:val="center"/>
            <w:hideMark/>
          </w:tcPr>
          <w:p w14:paraId="2E0091A1"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94 869</w:t>
            </w:r>
          </w:p>
        </w:tc>
        <w:tc>
          <w:tcPr>
            <w:tcW w:w="940" w:type="dxa"/>
            <w:tcBorders>
              <w:top w:val="nil"/>
              <w:left w:val="nil"/>
              <w:bottom w:val="nil"/>
              <w:right w:val="nil"/>
            </w:tcBorders>
            <w:shd w:val="clear" w:color="000000" w:fill="FFFFFF"/>
            <w:noWrap/>
            <w:vAlign w:val="center"/>
            <w:hideMark/>
          </w:tcPr>
          <w:p w14:paraId="66DF9CD6"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38 523</w:t>
            </w:r>
          </w:p>
        </w:tc>
        <w:tc>
          <w:tcPr>
            <w:tcW w:w="940" w:type="dxa"/>
            <w:tcBorders>
              <w:top w:val="nil"/>
              <w:left w:val="nil"/>
              <w:bottom w:val="nil"/>
              <w:right w:val="nil"/>
            </w:tcBorders>
            <w:shd w:val="clear" w:color="000000" w:fill="FFFFFF"/>
            <w:noWrap/>
            <w:vAlign w:val="center"/>
            <w:hideMark/>
          </w:tcPr>
          <w:p w14:paraId="2B90A54B"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2 700</w:t>
            </w:r>
          </w:p>
        </w:tc>
        <w:tc>
          <w:tcPr>
            <w:tcW w:w="1060" w:type="dxa"/>
            <w:tcBorders>
              <w:top w:val="nil"/>
              <w:left w:val="nil"/>
              <w:bottom w:val="nil"/>
              <w:right w:val="nil"/>
            </w:tcBorders>
            <w:shd w:val="clear" w:color="000000" w:fill="BFBFBF"/>
            <w:noWrap/>
            <w:vAlign w:val="center"/>
            <w:hideMark/>
          </w:tcPr>
          <w:p w14:paraId="67220922"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62 653</w:t>
            </w:r>
          </w:p>
        </w:tc>
        <w:tc>
          <w:tcPr>
            <w:tcW w:w="1000" w:type="dxa"/>
            <w:tcBorders>
              <w:top w:val="nil"/>
              <w:left w:val="nil"/>
              <w:bottom w:val="nil"/>
              <w:right w:val="nil"/>
            </w:tcBorders>
            <w:shd w:val="clear" w:color="000000" w:fill="BFBFBF"/>
            <w:noWrap/>
            <w:vAlign w:val="center"/>
            <w:hideMark/>
          </w:tcPr>
          <w:p w14:paraId="1FC543DB"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39 678</w:t>
            </w:r>
          </w:p>
        </w:tc>
        <w:tc>
          <w:tcPr>
            <w:tcW w:w="840" w:type="dxa"/>
            <w:tcBorders>
              <w:top w:val="nil"/>
              <w:left w:val="nil"/>
              <w:bottom w:val="nil"/>
              <w:right w:val="nil"/>
            </w:tcBorders>
            <w:shd w:val="clear" w:color="000000" w:fill="FFFFFF"/>
            <w:vAlign w:val="center"/>
            <w:hideMark/>
          </w:tcPr>
          <w:p w14:paraId="6DC8EE9D"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59 953</w:t>
            </w:r>
          </w:p>
        </w:tc>
        <w:tc>
          <w:tcPr>
            <w:tcW w:w="920" w:type="dxa"/>
            <w:tcBorders>
              <w:top w:val="nil"/>
              <w:left w:val="nil"/>
              <w:bottom w:val="nil"/>
              <w:right w:val="nil"/>
            </w:tcBorders>
            <w:shd w:val="clear" w:color="000000" w:fill="FFFFFF"/>
            <w:vAlign w:val="center"/>
            <w:hideMark/>
          </w:tcPr>
          <w:p w14:paraId="5076F6DE"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2 220,5</w:t>
            </w:r>
          </w:p>
        </w:tc>
      </w:tr>
      <w:tr w:rsidR="006E6CD9" w:rsidRPr="006E6CD9" w14:paraId="1558A362" w14:textId="77777777" w:rsidTr="009051A6">
        <w:trPr>
          <w:trHeight w:val="330"/>
        </w:trPr>
        <w:tc>
          <w:tcPr>
            <w:tcW w:w="2980" w:type="dxa"/>
            <w:tcBorders>
              <w:top w:val="nil"/>
              <w:left w:val="nil"/>
              <w:bottom w:val="nil"/>
              <w:right w:val="nil"/>
            </w:tcBorders>
            <w:shd w:val="clear" w:color="000000" w:fill="FFFFFF"/>
            <w:noWrap/>
            <w:vAlign w:val="center"/>
            <w:hideMark/>
          </w:tcPr>
          <w:p w14:paraId="605F01CD" w14:textId="77777777" w:rsidR="006E6CD9" w:rsidRPr="006E6CD9" w:rsidRDefault="006E6CD9" w:rsidP="006E6CD9">
            <w:pPr>
              <w:spacing w:after="0" w:line="240" w:lineRule="auto"/>
              <w:jc w:val="left"/>
              <w:rPr>
                <w:rFonts w:eastAsia="Times New Roman" w:cs="Times New Roman"/>
                <w:color w:val="000000"/>
                <w:sz w:val="20"/>
                <w:szCs w:val="20"/>
                <w:lang w:eastAsia="sk-SK"/>
              </w:rPr>
            </w:pPr>
            <w:r w:rsidRPr="006E6CD9">
              <w:rPr>
                <w:rFonts w:eastAsia="Times New Roman" w:cs="Times New Roman"/>
                <w:color w:val="000000"/>
                <w:sz w:val="20"/>
                <w:szCs w:val="20"/>
                <w:lang w:eastAsia="sk-SK"/>
              </w:rPr>
              <w:t>Verejný poriadok a bezpečnosť</w:t>
            </w:r>
          </w:p>
        </w:tc>
        <w:tc>
          <w:tcPr>
            <w:tcW w:w="980" w:type="dxa"/>
            <w:tcBorders>
              <w:top w:val="nil"/>
              <w:left w:val="nil"/>
              <w:bottom w:val="nil"/>
              <w:right w:val="nil"/>
            </w:tcBorders>
            <w:shd w:val="clear" w:color="000000" w:fill="FFFFFF"/>
            <w:noWrap/>
            <w:vAlign w:val="center"/>
            <w:hideMark/>
          </w:tcPr>
          <w:p w14:paraId="37D5087D"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1 509</w:t>
            </w:r>
          </w:p>
        </w:tc>
        <w:tc>
          <w:tcPr>
            <w:tcW w:w="940" w:type="dxa"/>
            <w:tcBorders>
              <w:top w:val="nil"/>
              <w:left w:val="nil"/>
              <w:bottom w:val="nil"/>
              <w:right w:val="nil"/>
            </w:tcBorders>
            <w:shd w:val="clear" w:color="000000" w:fill="FFFFFF"/>
            <w:noWrap/>
            <w:vAlign w:val="center"/>
            <w:hideMark/>
          </w:tcPr>
          <w:p w14:paraId="02B37649"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7 566</w:t>
            </w:r>
          </w:p>
        </w:tc>
        <w:tc>
          <w:tcPr>
            <w:tcW w:w="940" w:type="dxa"/>
            <w:tcBorders>
              <w:top w:val="nil"/>
              <w:left w:val="nil"/>
              <w:bottom w:val="nil"/>
              <w:right w:val="nil"/>
            </w:tcBorders>
            <w:shd w:val="clear" w:color="000000" w:fill="FFFFFF"/>
            <w:noWrap/>
            <w:vAlign w:val="center"/>
            <w:hideMark/>
          </w:tcPr>
          <w:p w14:paraId="39CD7DF3"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520</w:t>
            </w:r>
          </w:p>
        </w:tc>
        <w:tc>
          <w:tcPr>
            <w:tcW w:w="1060" w:type="dxa"/>
            <w:tcBorders>
              <w:top w:val="nil"/>
              <w:left w:val="nil"/>
              <w:bottom w:val="nil"/>
              <w:right w:val="nil"/>
            </w:tcBorders>
            <w:shd w:val="clear" w:color="000000" w:fill="BFBFBF"/>
            <w:noWrap/>
            <w:vAlign w:val="center"/>
            <w:hideMark/>
          </w:tcPr>
          <w:p w14:paraId="1B65AC4C"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35 615</w:t>
            </w:r>
          </w:p>
        </w:tc>
        <w:tc>
          <w:tcPr>
            <w:tcW w:w="1000" w:type="dxa"/>
            <w:tcBorders>
              <w:top w:val="nil"/>
              <w:left w:val="nil"/>
              <w:bottom w:val="nil"/>
              <w:right w:val="nil"/>
            </w:tcBorders>
            <w:shd w:val="clear" w:color="000000" w:fill="BFBFBF"/>
            <w:noWrap/>
            <w:vAlign w:val="center"/>
            <w:hideMark/>
          </w:tcPr>
          <w:p w14:paraId="268FA1FF"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3 001</w:t>
            </w:r>
          </w:p>
        </w:tc>
        <w:tc>
          <w:tcPr>
            <w:tcW w:w="840" w:type="dxa"/>
            <w:tcBorders>
              <w:top w:val="nil"/>
              <w:left w:val="nil"/>
              <w:bottom w:val="nil"/>
              <w:right w:val="nil"/>
            </w:tcBorders>
            <w:shd w:val="clear" w:color="000000" w:fill="FFFFFF"/>
            <w:vAlign w:val="center"/>
            <w:hideMark/>
          </w:tcPr>
          <w:p w14:paraId="6F468AED"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35 095</w:t>
            </w:r>
          </w:p>
        </w:tc>
        <w:tc>
          <w:tcPr>
            <w:tcW w:w="920" w:type="dxa"/>
            <w:tcBorders>
              <w:top w:val="nil"/>
              <w:left w:val="nil"/>
              <w:bottom w:val="nil"/>
              <w:right w:val="nil"/>
            </w:tcBorders>
            <w:shd w:val="clear" w:color="000000" w:fill="FFFFFF"/>
            <w:vAlign w:val="center"/>
            <w:hideMark/>
          </w:tcPr>
          <w:p w14:paraId="004C9765"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6 749,0</w:t>
            </w:r>
          </w:p>
        </w:tc>
      </w:tr>
      <w:tr w:rsidR="006E6CD9" w:rsidRPr="006E6CD9" w14:paraId="38D97DAC" w14:textId="77777777" w:rsidTr="009051A6">
        <w:trPr>
          <w:trHeight w:val="330"/>
        </w:trPr>
        <w:tc>
          <w:tcPr>
            <w:tcW w:w="2980" w:type="dxa"/>
            <w:tcBorders>
              <w:top w:val="nil"/>
              <w:left w:val="nil"/>
              <w:bottom w:val="nil"/>
              <w:right w:val="nil"/>
            </w:tcBorders>
            <w:shd w:val="clear" w:color="000000" w:fill="FFFFFF"/>
            <w:noWrap/>
            <w:vAlign w:val="center"/>
            <w:hideMark/>
          </w:tcPr>
          <w:p w14:paraId="0480A818" w14:textId="77777777" w:rsidR="006E6CD9" w:rsidRPr="006E6CD9" w:rsidRDefault="006E6CD9" w:rsidP="006E6CD9">
            <w:pPr>
              <w:spacing w:after="0" w:line="240" w:lineRule="auto"/>
              <w:jc w:val="left"/>
              <w:rPr>
                <w:rFonts w:eastAsia="Times New Roman" w:cs="Times New Roman"/>
                <w:color w:val="000000"/>
                <w:sz w:val="20"/>
                <w:szCs w:val="20"/>
                <w:lang w:eastAsia="sk-SK"/>
              </w:rPr>
            </w:pPr>
            <w:r w:rsidRPr="006E6CD9">
              <w:rPr>
                <w:rFonts w:eastAsia="Times New Roman" w:cs="Times New Roman"/>
                <w:color w:val="000000"/>
                <w:sz w:val="20"/>
                <w:szCs w:val="20"/>
                <w:lang w:eastAsia="sk-SK"/>
              </w:rPr>
              <w:t>Všeobecné verejné služby</w:t>
            </w:r>
          </w:p>
        </w:tc>
        <w:tc>
          <w:tcPr>
            <w:tcW w:w="980" w:type="dxa"/>
            <w:tcBorders>
              <w:top w:val="nil"/>
              <w:left w:val="nil"/>
              <w:bottom w:val="nil"/>
              <w:right w:val="nil"/>
            </w:tcBorders>
            <w:shd w:val="clear" w:color="000000" w:fill="FFFFFF"/>
            <w:noWrap/>
            <w:vAlign w:val="center"/>
            <w:hideMark/>
          </w:tcPr>
          <w:p w14:paraId="56BD591F"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19 325</w:t>
            </w:r>
          </w:p>
        </w:tc>
        <w:tc>
          <w:tcPr>
            <w:tcW w:w="940" w:type="dxa"/>
            <w:tcBorders>
              <w:top w:val="nil"/>
              <w:left w:val="nil"/>
              <w:bottom w:val="nil"/>
              <w:right w:val="nil"/>
            </w:tcBorders>
            <w:shd w:val="clear" w:color="000000" w:fill="FFFFFF"/>
            <w:noWrap/>
            <w:vAlign w:val="center"/>
            <w:hideMark/>
          </w:tcPr>
          <w:p w14:paraId="3910D355"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22 150</w:t>
            </w:r>
          </w:p>
        </w:tc>
        <w:tc>
          <w:tcPr>
            <w:tcW w:w="940" w:type="dxa"/>
            <w:tcBorders>
              <w:top w:val="nil"/>
              <w:left w:val="nil"/>
              <w:bottom w:val="nil"/>
              <w:right w:val="nil"/>
            </w:tcBorders>
            <w:shd w:val="clear" w:color="000000" w:fill="FFFFFF"/>
            <w:noWrap/>
            <w:vAlign w:val="center"/>
            <w:hideMark/>
          </w:tcPr>
          <w:p w14:paraId="55884476"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17 648</w:t>
            </w:r>
          </w:p>
        </w:tc>
        <w:tc>
          <w:tcPr>
            <w:tcW w:w="1060" w:type="dxa"/>
            <w:tcBorders>
              <w:top w:val="nil"/>
              <w:left w:val="nil"/>
              <w:bottom w:val="nil"/>
              <w:right w:val="nil"/>
            </w:tcBorders>
            <w:shd w:val="clear" w:color="000000" w:fill="BFBFBF"/>
            <w:noWrap/>
            <w:vAlign w:val="center"/>
            <w:hideMark/>
          </w:tcPr>
          <w:p w14:paraId="67B741E0"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33 000</w:t>
            </w:r>
          </w:p>
        </w:tc>
        <w:tc>
          <w:tcPr>
            <w:tcW w:w="1000" w:type="dxa"/>
            <w:tcBorders>
              <w:top w:val="nil"/>
              <w:left w:val="nil"/>
              <w:bottom w:val="nil"/>
              <w:right w:val="nil"/>
            </w:tcBorders>
            <w:shd w:val="clear" w:color="000000" w:fill="BFBFBF"/>
            <w:noWrap/>
            <w:vAlign w:val="center"/>
            <w:hideMark/>
          </w:tcPr>
          <w:p w14:paraId="7C671480"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22 689</w:t>
            </w:r>
          </w:p>
        </w:tc>
        <w:tc>
          <w:tcPr>
            <w:tcW w:w="840" w:type="dxa"/>
            <w:tcBorders>
              <w:top w:val="nil"/>
              <w:left w:val="nil"/>
              <w:bottom w:val="nil"/>
              <w:right w:val="nil"/>
            </w:tcBorders>
            <w:shd w:val="clear" w:color="000000" w:fill="FFFFFF"/>
            <w:vAlign w:val="center"/>
            <w:hideMark/>
          </w:tcPr>
          <w:p w14:paraId="198A6272"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15 352</w:t>
            </w:r>
          </w:p>
        </w:tc>
        <w:tc>
          <w:tcPr>
            <w:tcW w:w="920" w:type="dxa"/>
            <w:tcBorders>
              <w:top w:val="nil"/>
              <w:left w:val="nil"/>
              <w:bottom w:val="nil"/>
              <w:right w:val="nil"/>
            </w:tcBorders>
            <w:shd w:val="clear" w:color="000000" w:fill="FFFFFF"/>
            <w:vAlign w:val="center"/>
            <w:hideMark/>
          </w:tcPr>
          <w:p w14:paraId="6CEF7146"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87,0</w:t>
            </w:r>
          </w:p>
        </w:tc>
      </w:tr>
      <w:tr w:rsidR="006E6CD9" w:rsidRPr="006E6CD9" w14:paraId="139FE313" w14:textId="77777777" w:rsidTr="009051A6">
        <w:trPr>
          <w:trHeight w:val="330"/>
        </w:trPr>
        <w:tc>
          <w:tcPr>
            <w:tcW w:w="2980" w:type="dxa"/>
            <w:tcBorders>
              <w:top w:val="nil"/>
              <w:left w:val="nil"/>
              <w:bottom w:val="nil"/>
              <w:right w:val="nil"/>
            </w:tcBorders>
            <w:shd w:val="clear" w:color="000000" w:fill="FFFFFF"/>
            <w:vAlign w:val="center"/>
            <w:hideMark/>
          </w:tcPr>
          <w:p w14:paraId="0AB6F10D" w14:textId="77777777" w:rsidR="006E6CD9" w:rsidRPr="006E6CD9" w:rsidRDefault="006E6CD9" w:rsidP="006E6CD9">
            <w:pPr>
              <w:spacing w:after="0" w:line="240" w:lineRule="auto"/>
              <w:jc w:val="left"/>
              <w:rPr>
                <w:rFonts w:eastAsia="Times New Roman" w:cs="Times New Roman"/>
                <w:color w:val="000000"/>
                <w:sz w:val="20"/>
                <w:szCs w:val="20"/>
                <w:lang w:eastAsia="sk-SK"/>
              </w:rPr>
            </w:pPr>
            <w:r w:rsidRPr="006E6CD9">
              <w:rPr>
                <w:rFonts w:eastAsia="Times New Roman" w:cs="Times New Roman"/>
                <w:color w:val="000000"/>
                <w:sz w:val="20"/>
                <w:szCs w:val="20"/>
                <w:lang w:eastAsia="sk-SK"/>
              </w:rPr>
              <w:t>Rekreácia, kultúra a náboženstvo</w:t>
            </w:r>
          </w:p>
        </w:tc>
        <w:tc>
          <w:tcPr>
            <w:tcW w:w="980" w:type="dxa"/>
            <w:tcBorders>
              <w:top w:val="nil"/>
              <w:left w:val="nil"/>
              <w:bottom w:val="nil"/>
              <w:right w:val="nil"/>
            </w:tcBorders>
            <w:shd w:val="clear" w:color="000000" w:fill="FFFFFF"/>
            <w:noWrap/>
            <w:vAlign w:val="center"/>
            <w:hideMark/>
          </w:tcPr>
          <w:p w14:paraId="274A30BA"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5 103</w:t>
            </w:r>
          </w:p>
        </w:tc>
        <w:tc>
          <w:tcPr>
            <w:tcW w:w="940" w:type="dxa"/>
            <w:tcBorders>
              <w:top w:val="nil"/>
              <w:left w:val="nil"/>
              <w:bottom w:val="nil"/>
              <w:right w:val="nil"/>
            </w:tcBorders>
            <w:shd w:val="clear" w:color="000000" w:fill="FFFFFF"/>
            <w:noWrap/>
            <w:vAlign w:val="center"/>
            <w:hideMark/>
          </w:tcPr>
          <w:p w14:paraId="643C2177"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6 857</w:t>
            </w:r>
          </w:p>
        </w:tc>
        <w:tc>
          <w:tcPr>
            <w:tcW w:w="940" w:type="dxa"/>
            <w:tcBorders>
              <w:top w:val="nil"/>
              <w:left w:val="nil"/>
              <w:bottom w:val="nil"/>
              <w:right w:val="nil"/>
            </w:tcBorders>
            <w:shd w:val="clear" w:color="000000" w:fill="FFFFFF"/>
            <w:noWrap/>
            <w:vAlign w:val="center"/>
            <w:hideMark/>
          </w:tcPr>
          <w:p w14:paraId="71DCC086"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2 400</w:t>
            </w:r>
          </w:p>
        </w:tc>
        <w:tc>
          <w:tcPr>
            <w:tcW w:w="1060" w:type="dxa"/>
            <w:tcBorders>
              <w:top w:val="nil"/>
              <w:left w:val="nil"/>
              <w:bottom w:val="nil"/>
              <w:right w:val="nil"/>
            </w:tcBorders>
            <w:shd w:val="clear" w:color="000000" w:fill="BFBFBF"/>
            <w:noWrap/>
            <w:vAlign w:val="center"/>
            <w:hideMark/>
          </w:tcPr>
          <w:p w14:paraId="3CD2BCE8"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13 593</w:t>
            </w:r>
          </w:p>
        </w:tc>
        <w:tc>
          <w:tcPr>
            <w:tcW w:w="1000" w:type="dxa"/>
            <w:tcBorders>
              <w:top w:val="nil"/>
              <w:left w:val="nil"/>
              <w:bottom w:val="nil"/>
              <w:right w:val="nil"/>
            </w:tcBorders>
            <w:shd w:val="clear" w:color="000000" w:fill="BFBFBF"/>
            <w:noWrap/>
            <w:vAlign w:val="center"/>
            <w:hideMark/>
          </w:tcPr>
          <w:p w14:paraId="7BA5DD3B"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9 595</w:t>
            </w:r>
          </w:p>
        </w:tc>
        <w:tc>
          <w:tcPr>
            <w:tcW w:w="840" w:type="dxa"/>
            <w:tcBorders>
              <w:top w:val="nil"/>
              <w:left w:val="nil"/>
              <w:bottom w:val="nil"/>
              <w:right w:val="nil"/>
            </w:tcBorders>
            <w:shd w:val="clear" w:color="000000" w:fill="FFFFFF"/>
            <w:vAlign w:val="center"/>
            <w:hideMark/>
          </w:tcPr>
          <w:p w14:paraId="25250F2E"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11 193</w:t>
            </w:r>
          </w:p>
        </w:tc>
        <w:tc>
          <w:tcPr>
            <w:tcW w:w="920" w:type="dxa"/>
            <w:tcBorders>
              <w:top w:val="nil"/>
              <w:left w:val="nil"/>
              <w:bottom w:val="nil"/>
              <w:right w:val="nil"/>
            </w:tcBorders>
            <w:shd w:val="clear" w:color="000000" w:fill="FFFFFF"/>
            <w:vAlign w:val="center"/>
            <w:hideMark/>
          </w:tcPr>
          <w:p w14:paraId="19C41D2C"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466,4</w:t>
            </w:r>
          </w:p>
        </w:tc>
      </w:tr>
      <w:tr w:rsidR="006E6CD9" w:rsidRPr="006E6CD9" w14:paraId="394DE300" w14:textId="77777777" w:rsidTr="009051A6">
        <w:trPr>
          <w:trHeight w:val="330"/>
        </w:trPr>
        <w:tc>
          <w:tcPr>
            <w:tcW w:w="2980" w:type="dxa"/>
            <w:tcBorders>
              <w:top w:val="nil"/>
              <w:left w:val="nil"/>
              <w:bottom w:val="nil"/>
              <w:right w:val="nil"/>
            </w:tcBorders>
            <w:shd w:val="clear" w:color="000000" w:fill="FFFFFF"/>
            <w:vAlign w:val="center"/>
            <w:hideMark/>
          </w:tcPr>
          <w:p w14:paraId="77D70B51" w14:textId="77777777" w:rsidR="006E6CD9" w:rsidRPr="006E6CD9" w:rsidRDefault="006E6CD9" w:rsidP="006E6CD9">
            <w:pPr>
              <w:spacing w:after="0" w:line="240" w:lineRule="auto"/>
              <w:jc w:val="left"/>
              <w:rPr>
                <w:rFonts w:eastAsia="Times New Roman" w:cs="Times New Roman"/>
                <w:color w:val="000000"/>
                <w:sz w:val="20"/>
                <w:szCs w:val="20"/>
                <w:lang w:eastAsia="sk-SK"/>
              </w:rPr>
            </w:pPr>
            <w:r w:rsidRPr="006E6CD9">
              <w:rPr>
                <w:rFonts w:eastAsia="Times New Roman" w:cs="Times New Roman"/>
                <w:color w:val="000000"/>
                <w:sz w:val="20"/>
                <w:szCs w:val="20"/>
                <w:lang w:eastAsia="sk-SK"/>
              </w:rPr>
              <w:t>Zdravotníctvo</w:t>
            </w:r>
          </w:p>
        </w:tc>
        <w:tc>
          <w:tcPr>
            <w:tcW w:w="980" w:type="dxa"/>
            <w:tcBorders>
              <w:top w:val="nil"/>
              <w:left w:val="nil"/>
              <w:bottom w:val="nil"/>
              <w:right w:val="nil"/>
            </w:tcBorders>
            <w:shd w:val="clear" w:color="000000" w:fill="FFFFFF"/>
            <w:noWrap/>
            <w:vAlign w:val="center"/>
            <w:hideMark/>
          </w:tcPr>
          <w:p w14:paraId="0FDA2434"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868</w:t>
            </w:r>
          </w:p>
        </w:tc>
        <w:tc>
          <w:tcPr>
            <w:tcW w:w="940" w:type="dxa"/>
            <w:tcBorders>
              <w:top w:val="nil"/>
              <w:left w:val="nil"/>
              <w:bottom w:val="nil"/>
              <w:right w:val="nil"/>
            </w:tcBorders>
            <w:shd w:val="clear" w:color="000000" w:fill="FFFFFF"/>
            <w:noWrap/>
            <w:vAlign w:val="center"/>
            <w:hideMark/>
          </w:tcPr>
          <w:p w14:paraId="3EABA972"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0</w:t>
            </w:r>
          </w:p>
        </w:tc>
        <w:tc>
          <w:tcPr>
            <w:tcW w:w="940" w:type="dxa"/>
            <w:tcBorders>
              <w:top w:val="nil"/>
              <w:left w:val="nil"/>
              <w:bottom w:val="nil"/>
              <w:right w:val="nil"/>
            </w:tcBorders>
            <w:shd w:val="clear" w:color="000000" w:fill="FFFFFF"/>
            <w:noWrap/>
            <w:vAlign w:val="center"/>
            <w:hideMark/>
          </w:tcPr>
          <w:p w14:paraId="5A9049FD"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0</w:t>
            </w:r>
          </w:p>
        </w:tc>
        <w:tc>
          <w:tcPr>
            <w:tcW w:w="1060" w:type="dxa"/>
            <w:tcBorders>
              <w:top w:val="nil"/>
              <w:left w:val="nil"/>
              <w:bottom w:val="nil"/>
              <w:right w:val="nil"/>
            </w:tcBorders>
            <w:shd w:val="clear" w:color="000000" w:fill="BFBFBF"/>
            <w:noWrap/>
            <w:vAlign w:val="center"/>
            <w:hideMark/>
          </w:tcPr>
          <w:p w14:paraId="6C734500"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20</w:t>
            </w:r>
          </w:p>
        </w:tc>
        <w:tc>
          <w:tcPr>
            <w:tcW w:w="1000" w:type="dxa"/>
            <w:tcBorders>
              <w:top w:val="nil"/>
              <w:left w:val="nil"/>
              <w:bottom w:val="nil"/>
              <w:right w:val="nil"/>
            </w:tcBorders>
            <w:shd w:val="clear" w:color="000000" w:fill="BFBFBF"/>
            <w:noWrap/>
            <w:vAlign w:val="center"/>
            <w:hideMark/>
          </w:tcPr>
          <w:p w14:paraId="1D2B05E4"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20</w:t>
            </w:r>
          </w:p>
        </w:tc>
        <w:tc>
          <w:tcPr>
            <w:tcW w:w="840" w:type="dxa"/>
            <w:tcBorders>
              <w:top w:val="nil"/>
              <w:left w:val="nil"/>
              <w:bottom w:val="nil"/>
              <w:right w:val="nil"/>
            </w:tcBorders>
            <w:shd w:val="clear" w:color="000000" w:fill="FFFFFF"/>
            <w:vAlign w:val="center"/>
            <w:hideMark/>
          </w:tcPr>
          <w:p w14:paraId="168DBD18"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20</w:t>
            </w:r>
          </w:p>
        </w:tc>
        <w:tc>
          <w:tcPr>
            <w:tcW w:w="920" w:type="dxa"/>
            <w:tcBorders>
              <w:top w:val="nil"/>
              <w:left w:val="nil"/>
              <w:bottom w:val="nil"/>
              <w:right w:val="nil"/>
            </w:tcBorders>
            <w:shd w:val="clear" w:color="000000" w:fill="FFFFFF"/>
            <w:vAlign w:val="center"/>
            <w:hideMark/>
          </w:tcPr>
          <w:p w14:paraId="569BFD36" w14:textId="77777777" w:rsidR="006E6CD9" w:rsidRPr="006E6CD9" w:rsidRDefault="006E6CD9" w:rsidP="006E6CD9">
            <w:pPr>
              <w:spacing w:after="0" w:line="240" w:lineRule="auto"/>
              <w:jc w:val="right"/>
              <w:rPr>
                <w:rFonts w:eastAsia="Times New Roman" w:cs="Times New Roman"/>
                <w:color w:val="000000"/>
                <w:sz w:val="20"/>
                <w:szCs w:val="20"/>
                <w:lang w:eastAsia="sk-SK"/>
              </w:rPr>
            </w:pPr>
            <w:r w:rsidRPr="006E6CD9">
              <w:rPr>
                <w:rFonts w:eastAsia="Times New Roman" w:cs="Times New Roman"/>
                <w:color w:val="000000"/>
                <w:sz w:val="20"/>
                <w:szCs w:val="20"/>
                <w:lang w:eastAsia="sk-SK"/>
              </w:rPr>
              <w:t>x</w:t>
            </w:r>
          </w:p>
        </w:tc>
      </w:tr>
      <w:tr w:rsidR="006E6CD9" w:rsidRPr="006E6CD9" w14:paraId="1D94464F" w14:textId="77777777" w:rsidTr="009051A6">
        <w:trPr>
          <w:trHeight w:val="345"/>
        </w:trPr>
        <w:tc>
          <w:tcPr>
            <w:tcW w:w="2980" w:type="dxa"/>
            <w:tcBorders>
              <w:top w:val="single" w:sz="4" w:space="0" w:color="auto"/>
              <w:left w:val="nil"/>
              <w:bottom w:val="single" w:sz="8" w:space="0" w:color="auto"/>
              <w:right w:val="nil"/>
            </w:tcBorders>
            <w:shd w:val="clear" w:color="000000" w:fill="FFFFFF"/>
            <w:noWrap/>
            <w:vAlign w:val="center"/>
            <w:hideMark/>
          </w:tcPr>
          <w:p w14:paraId="7C0A3D6E" w14:textId="77777777" w:rsidR="006E6CD9" w:rsidRPr="006E6CD9" w:rsidRDefault="006E6CD9" w:rsidP="006E6CD9">
            <w:pPr>
              <w:spacing w:after="0" w:line="240" w:lineRule="auto"/>
              <w:jc w:val="left"/>
              <w:rPr>
                <w:rFonts w:eastAsia="Times New Roman" w:cs="Times New Roman"/>
                <w:b/>
                <w:bCs/>
                <w:color w:val="000000"/>
                <w:sz w:val="20"/>
                <w:szCs w:val="20"/>
                <w:lang w:eastAsia="sk-SK"/>
              </w:rPr>
            </w:pPr>
            <w:r w:rsidRPr="006E6CD9">
              <w:rPr>
                <w:rFonts w:eastAsia="Times New Roman" w:cs="Times New Roman"/>
                <w:b/>
                <w:bCs/>
                <w:color w:val="000000"/>
                <w:sz w:val="20"/>
                <w:szCs w:val="20"/>
                <w:lang w:eastAsia="sk-SK"/>
              </w:rPr>
              <w:t>Spolu</w:t>
            </w:r>
          </w:p>
        </w:tc>
        <w:tc>
          <w:tcPr>
            <w:tcW w:w="980" w:type="dxa"/>
            <w:tcBorders>
              <w:top w:val="single" w:sz="4" w:space="0" w:color="auto"/>
              <w:left w:val="nil"/>
              <w:bottom w:val="single" w:sz="8" w:space="0" w:color="auto"/>
              <w:right w:val="nil"/>
            </w:tcBorders>
            <w:shd w:val="clear" w:color="000000" w:fill="FFFFFF"/>
            <w:noWrap/>
            <w:vAlign w:val="center"/>
            <w:hideMark/>
          </w:tcPr>
          <w:p w14:paraId="2FE39B46" w14:textId="77777777" w:rsidR="006E6CD9" w:rsidRPr="006E6CD9" w:rsidRDefault="006E6CD9" w:rsidP="006E6CD9">
            <w:pPr>
              <w:spacing w:after="0" w:line="240" w:lineRule="auto"/>
              <w:jc w:val="right"/>
              <w:rPr>
                <w:rFonts w:eastAsia="Times New Roman" w:cs="Times New Roman"/>
                <w:b/>
                <w:bCs/>
                <w:color w:val="000000"/>
                <w:sz w:val="20"/>
                <w:szCs w:val="20"/>
                <w:lang w:eastAsia="sk-SK"/>
              </w:rPr>
            </w:pPr>
            <w:r w:rsidRPr="006E6CD9">
              <w:rPr>
                <w:rFonts w:eastAsia="Times New Roman" w:cs="Times New Roman"/>
                <w:b/>
                <w:bCs/>
                <w:color w:val="000000"/>
                <w:sz w:val="20"/>
                <w:szCs w:val="20"/>
                <w:lang w:eastAsia="sk-SK"/>
              </w:rPr>
              <w:t>1 059 724</w:t>
            </w:r>
          </w:p>
        </w:tc>
        <w:tc>
          <w:tcPr>
            <w:tcW w:w="940" w:type="dxa"/>
            <w:tcBorders>
              <w:top w:val="single" w:sz="4" w:space="0" w:color="auto"/>
              <w:left w:val="nil"/>
              <w:bottom w:val="single" w:sz="8" w:space="0" w:color="auto"/>
              <w:right w:val="nil"/>
            </w:tcBorders>
            <w:shd w:val="clear" w:color="000000" w:fill="FFFFFF"/>
            <w:noWrap/>
            <w:vAlign w:val="center"/>
            <w:hideMark/>
          </w:tcPr>
          <w:p w14:paraId="49C89F13" w14:textId="77777777" w:rsidR="006E6CD9" w:rsidRPr="006E6CD9" w:rsidRDefault="006E6CD9" w:rsidP="006E6CD9">
            <w:pPr>
              <w:spacing w:after="0" w:line="240" w:lineRule="auto"/>
              <w:jc w:val="right"/>
              <w:rPr>
                <w:rFonts w:eastAsia="Times New Roman" w:cs="Times New Roman"/>
                <w:b/>
                <w:bCs/>
                <w:color w:val="000000"/>
                <w:sz w:val="20"/>
                <w:szCs w:val="20"/>
                <w:lang w:eastAsia="sk-SK"/>
              </w:rPr>
            </w:pPr>
            <w:r w:rsidRPr="006E6CD9">
              <w:rPr>
                <w:rFonts w:eastAsia="Times New Roman" w:cs="Times New Roman"/>
                <w:b/>
                <w:bCs/>
                <w:color w:val="000000"/>
                <w:sz w:val="20"/>
                <w:szCs w:val="20"/>
                <w:lang w:eastAsia="sk-SK"/>
              </w:rPr>
              <w:t>1 097 737</w:t>
            </w:r>
          </w:p>
        </w:tc>
        <w:tc>
          <w:tcPr>
            <w:tcW w:w="940" w:type="dxa"/>
            <w:tcBorders>
              <w:top w:val="single" w:sz="4" w:space="0" w:color="auto"/>
              <w:left w:val="nil"/>
              <w:bottom w:val="single" w:sz="8" w:space="0" w:color="auto"/>
              <w:right w:val="nil"/>
            </w:tcBorders>
            <w:shd w:val="clear" w:color="000000" w:fill="FFFFFF"/>
            <w:noWrap/>
            <w:vAlign w:val="center"/>
            <w:hideMark/>
          </w:tcPr>
          <w:p w14:paraId="308B8328" w14:textId="77777777" w:rsidR="006E6CD9" w:rsidRPr="006E6CD9" w:rsidRDefault="006E6CD9" w:rsidP="006E6CD9">
            <w:pPr>
              <w:spacing w:after="0" w:line="240" w:lineRule="auto"/>
              <w:jc w:val="right"/>
              <w:rPr>
                <w:rFonts w:eastAsia="Times New Roman" w:cs="Times New Roman"/>
                <w:b/>
                <w:bCs/>
                <w:color w:val="000000"/>
                <w:sz w:val="20"/>
                <w:szCs w:val="20"/>
                <w:lang w:eastAsia="sk-SK"/>
              </w:rPr>
            </w:pPr>
            <w:r w:rsidRPr="006E6CD9">
              <w:rPr>
                <w:rFonts w:eastAsia="Times New Roman" w:cs="Times New Roman"/>
                <w:b/>
                <w:bCs/>
                <w:color w:val="000000"/>
                <w:sz w:val="20"/>
                <w:szCs w:val="20"/>
                <w:lang w:eastAsia="sk-SK"/>
              </w:rPr>
              <w:t>1 104 735</w:t>
            </w:r>
          </w:p>
        </w:tc>
        <w:tc>
          <w:tcPr>
            <w:tcW w:w="1060" w:type="dxa"/>
            <w:tcBorders>
              <w:top w:val="single" w:sz="4" w:space="0" w:color="auto"/>
              <w:left w:val="nil"/>
              <w:bottom w:val="single" w:sz="8" w:space="0" w:color="auto"/>
              <w:right w:val="nil"/>
            </w:tcBorders>
            <w:shd w:val="clear" w:color="000000" w:fill="BFBFBF"/>
            <w:noWrap/>
            <w:vAlign w:val="center"/>
            <w:hideMark/>
          </w:tcPr>
          <w:p w14:paraId="7333548B" w14:textId="77777777" w:rsidR="006E6CD9" w:rsidRPr="006E6CD9" w:rsidRDefault="006E6CD9" w:rsidP="006E6CD9">
            <w:pPr>
              <w:spacing w:after="0" w:line="240" w:lineRule="auto"/>
              <w:jc w:val="right"/>
              <w:rPr>
                <w:rFonts w:eastAsia="Times New Roman" w:cs="Times New Roman"/>
                <w:b/>
                <w:bCs/>
                <w:color w:val="000000"/>
                <w:sz w:val="20"/>
                <w:szCs w:val="20"/>
                <w:lang w:eastAsia="sk-SK"/>
              </w:rPr>
            </w:pPr>
            <w:r w:rsidRPr="006E6CD9">
              <w:rPr>
                <w:rFonts w:eastAsia="Times New Roman" w:cs="Times New Roman"/>
                <w:b/>
                <w:bCs/>
                <w:color w:val="000000"/>
                <w:sz w:val="20"/>
                <w:szCs w:val="20"/>
                <w:lang w:eastAsia="sk-SK"/>
              </w:rPr>
              <w:t>1 345 539</w:t>
            </w:r>
          </w:p>
        </w:tc>
        <w:tc>
          <w:tcPr>
            <w:tcW w:w="1000" w:type="dxa"/>
            <w:tcBorders>
              <w:top w:val="single" w:sz="4" w:space="0" w:color="auto"/>
              <w:left w:val="nil"/>
              <w:bottom w:val="single" w:sz="8" w:space="0" w:color="auto"/>
              <w:right w:val="nil"/>
            </w:tcBorders>
            <w:shd w:val="clear" w:color="000000" w:fill="BFBFBF"/>
            <w:noWrap/>
            <w:vAlign w:val="center"/>
            <w:hideMark/>
          </w:tcPr>
          <w:p w14:paraId="133F4F7C" w14:textId="77777777" w:rsidR="006E6CD9" w:rsidRPr="006E6CD9" w:rsidRDefault="006E6CD9" w:rsidP="006E6CD9">
            <w:pPr>
              <w:spacing w:after="0" w:line="240" w:lineRule="auto"/>
              <w:jc w:val="right"/>
              <w:rPr>
                <w:rFonts w:eastAsia="Times New Roman" w:cs="Times New Roman"/>
                <w:b/>
                <w:bCs/>
                <w:color w:val="000000"/>
                <w:sz w:val="20"/>
                <w:szCs w:val="20"/>
                <w:lang w:eastAsia="sk-SK"/>
              </w:rPr>
            </w:pPr>
            <w:r w:rsidRPr="006E6CD9">
              <w:rPr>
                <w:rFonts w:eastAsia="Times New Roman" w:cs="Times New Roman"/>
                <w:b/>
                <w:bCs/>
                <w:color w:val="000000"/>
                <w:sz w:val="20"/>
                <w:szCs w:val="20"/>
                <w:lang w:eastAsia="sk-SK"/>
              </w:rPr>
              <w:t>1 016 120</w:t>
            </w:r>
          </w:p>
        </w:tc>
        <w:tc>
          <w:tcPr>
            <w:tcW w:w="840" w:type="dxa"/>
            <w:tcBorders>
              <w:top w:val="single" w:sz="4" w:space="0" w:color="auto"/>
              <w:left w:val="nil"/>
              <w:bottom w:val="single" w:sz="8" w:space="0" w:color="auto"/>
              <w:right w:val="nil"/>
            </w:tcBorders>
            <w:shd w:val="clear" w:color="000000" w:fill="FFFFFF"/>
            <w:noWrap/>
            <w:vAlign w:val="center"/>
            <w:hideMark/>
          </w:tcPr>
          <w:p w14:paraId="7ED90C9A" w14:textId="77777777" w:rsidR="006E6CD9" w:rsidRPr="006E6CD9" w:rsidRDefault="006E6CD9" w:rsidP="006E6CD9">
            <w:pPr>
              <w:spacing w:after="0" w:line="240" w:lineRule="auto"/>
              <w:jc w:val="right"/>
              <w:rPr>
                <w:rFonts w:eastAsia="Times New Roman" w:cs="Times New Roman"/>
                <w:b/>
                <w:bCs/>
                <w:color w:val="000000"/>
                <w:sz w:val="20"/>
                <w:szCs w:val="20"/>
                <w:lang w:eastAsia="sk-SK"/>
              </w:rPr>
            </w:pPr>
            <w:r w:rsidRPr="006E6CD9">
              <w:rPr>
                <w:rFonts w:eastAsia="Times New Roman" w:cs="Times New Roman"/>
                <w:b/>
                <w:bCs/>
                <w:color w:val="000000"/>
                <w:sz w:val="20"/>
                <w:szCs w:val="20"/>
                <w:lang w:eastAsia="sk-SK"/>
              </w:rPr>
              <w:t>240 804</w:t>
            </w:r>
          </w:p>
        </w:tc>
        <w:tc>
          <w:tcPr>
            <w:tcW w:w="920" w:type="dxa"/>
            <w:tcBorders>
              <w:top w:val="single" w:sz="4" w:space="0" w:color="auto"/>
              <w:left w:val="nil"/>
              <w:bottom w:val="single" w:sz="8" w:space="0" w:color="auto"/>
              <w:right w:val="nil"/>
            </w:tcBorders>
            <w:shd w:val="clear" w:color="000000" w:fill="FFFFFF"/>
            <w:noWrap/>
            <w:vAlign w:val="center"/>
            <w:hideMark/>
          </w:tcPr>
          <w:p w14:paraId="67C577DD" w14:textId="77777777" w:rsidR="006E6CD9" w:rsidRPr="006E6CD9" w:rsidRDefault="006E6CD9" w:rsidP="006E6CD9">
            <w:pPr>
              <w:spacing w:after="0" w:line="240" w:lineRule="auto"/>
              <w:jc w:val="right"/>
              <w:rPr>
                <w:rFonts w:eastAsia="Times New Roman" w:cs="Times New Roman"/>
                <w:b/>
                <w:bCs/>
                <w:color w:val="000000"/>
                <w:sz w:val="20"/>
                <w:szCs w:val="20"/>
                <w:lang w:eastAsia="sk-SK"/>
              </w:rPr>
            </w:pPr>
            <w:r w:rsidRPr="006E6CD9">
              <w:rPr>
                <w:rFonts w:eastAsia="Times New Roman" w:cs="Times New Roman"/>
                <w:b/>
                <w:bCs/>
                <w:color w:val="000000"/>
                <w:sz w:val="20"/>
                <w:szCs w:val="20"/>
                <w:lang w:eastAsia="sk-SK"/>
              </w:rPr>
              <w:t>21,8</w:t>
            </w:r>
          </w:p>
        </w:tc>
      </w:tr>
    </w:tbl>
    <w:p w14:paraId="3F25C737" w14:textId="6BCD04D5" w:rsidR="00DC2F84" w:rsidRDefault="00DC2F84" w:rsidP="006E6CD9">
      <w:pPr>
        <w:suppressAutoHyphens/>
        <w:spacing w:after="0" w:line="240" w:lineRule="auto"/>
        <w:rPr>
          <w:color w:val="000000" w:themeColor="text1"/>
          <w:sz w:val="18"/>
          <w:szCs w:val="18"/>
        </w:rPr>
      </w:pPr>
      <w:r w:rsidRPr="00B12D12">
        <w:rPr>
          <w:color w:val="000000" w:themeColor="text1"/>
          <w:sz w:val="18"/>
          <w:szCs w:val="18"/>
        </w:rPr>
        <w:t xml:space="preserve">Poznámka: * len prostriedky štátneho rozpočtu </w:t>
      </w:r>
      <w:r w:rsidRPr="00B12D12">
        <w:rPr>
          <w:color w:val="000000" w:themeColor="text1"/>
          <w:sz w:val="18"/>
          <w:szCs w:val="18"/>
        </w:rPr>
        <w:tab/>
      </w:r>
      <w:r w:rsidR="00715186">
        <w:rPr>
          <w:color w:val="000000" w:themeColor="text1"/>
          <w:sz w:val="18"/>
          <w:szCs w:val="18"/>
        </w:rPr>
        <w:tab/>
      </w:r>
      <w:r w:rsidR="00715186">
        <w:rPr>
          <w:color w:val="000000" w:themeColor="text1"/>
          <w:sz w:val="18"/>
          <w:szCs w:val="18"/>
        </w:rPr>
        <w:tab/>
      </w:r>
      <w:r w:rsidR="00715186">
        <w:rPr>
          <w:color w:val="000000" w:themeColor="text1"/>
          <w:sz w:val="18"/>
          <w:szCs w:val="18"/>
        </w:rPr>
        <w:tab/>
      </w:r>
      <w:r w:rsidR="00715186">
        <w:rPr>
          <w:color w:val="000000" w:themeColor="text1"/>
          <w:sz w:val="18"/>
          <w:szCs w:val="18"/>
        </w:rPr>
        <w:tab/>
      </w:r>
      <w:r w:rsidR="009051A6">
        <w:rPr>
          <w:color w:val="000000" w:themeColor="text1"/>
          <w:sz w:val="18"/>
          <w:szCs w:val="18"/>
        </w:rPr>
        <w:t xml:space="preserve">               </w:t>
      </w:r>
      <w:r w:rsidR="00715186">
        <w:rPr>
          <w:color w:val="000000" w:themeColor="text1"/>
          <w:sz w:val="18"/>
          <w:szCs w:val="18"/>
        </w:rPr>
        <w:tab/>
      </w:r>
      <w:r w:rsidRPr="00B12D12">
        <w:rPr>
          <w:color w:val="000000" w:themeColor="text1"/>
          <w:sz w:val="18"/>
          <w:szCs w:val="18"/>
        </w:rPr>
        <w:t>Zdroj: MF SR</w:t>
      </w:r>
    </w:p>
    <w:p w14:paraId="06893FC2" w14:textId="77777777" w:rsidR="006E6CD9" w:rsidRPr="006E6CD9" w:rsidRDefault="006E6CD9" w:rsidP="006E6CD9">
      <w:pPr>
        <w:suppressAutoHyphens/>
        <w:spacing w:after="0" w:line="240" w:lineRule="auto"/>
        <w:rPr>
          <w:color w:val="000000" w:themeColor="text1"/>
          <w:sz w:val="18"/>
          <w:szCs w:val="18"/>
        </w:rPr>
      </w:pPr>
    </w:p>
    <w:p w14:paraId="01F9C4D0" w14:textId="20155D8E" w:rsidR="00DC2F84" w:rsidRPr="00B12D12" w:rsidRDefault="00DC2F84" w:rsidP="00DC2F84">
      <w:pPr>
        <w:suppressAutoHyphens/>
        <w:rPr>
          <w:color w:val="000000" w:themeColor="text1"/>
        </w:rPr>
      </w:pPr>
      <w:r w:rsidRPr="00B12D12">
        <w:rPr>
          <w:color w:val="000000" w:themeColor="text1"/>
        </w:rPr>
        <w:t xml:space="preserve">Najväčšie </w:t>
      </w:r>
      <w:r w:rsidR="000B4A89">
        <w:rPr>
          <w:color w:val="000000" w:themeColor="text1"/>
        </w:rPr>
        <w:t xml:space="preserve">pozitívne </w:t>
      </w:r>
      <w:r w:rsidRPr="00B12D12">
        <w:rPr>
          <w:color w:val="000000" w:themeColor="text1"/>
        </w:rPr>
        <w:t>rozdiely medzi schváleným rozpočtom a skutočnosťou boli zaznamenané v ochrane životného prostredia o 128 560 tis. eur u Ministerstva životného prostredia SR, v</w:t>
      </w:r>
      <w:r w:rsidR="0035143E">
        <w:rPr>
          <w:color w:val="000000" w:themeColor="text1"/>
        </w:rPr>
        <w:t> </w:t>
      </w:r>
      <w:r w:rsidRPr="00B12D12">
        <w:rPr>
          <w:color w:val="000000" w:themeColor="text1"/>
        </w:rPr>
        <w:t>ekonomickej oblasti o 114 076 tis. eur u Ministerstva pôdohospodárstva SR a vo vzdelávaní a verejnom poriadku a bezpečnosti o 108 057 tis. eur u Ministerstva vnútra SR a sú vysvetlené nižšie pod príslušnými kapitolami.</w:t>
      </w:r>
    </w:p>
    <w:p w14:paraId="2E9D307F" w14:textId="77777777" w:rsidR="003E19FA" w:rsidRDefault="00DC2F84" w:rsidP="000F7646">
      <w:pPr>
        <w:suppressAutoHyphens/>
        <w:rPr>
          <w:color w:val="000000" w:themeColor="text1"/>
        </w:rPr>
      </w:pPr>
      <w:r w:rsidRPr="00B12D12">
        <w:rPr>
          <w:color w:val="000000" w:themeColor="text1"/>
        </w:rPr>
        <w:t>Do rozpočtov obcí boli poskytnuté granty a transfery z jednotlivých rozpočtových kapitol</w:t>
      </w:r>
      <w:r w:rsidR="000F7646">
        <w:rPr>
          <w:color w:val="000000" w:themeColor="text1"/>
        </w:rPr>
        <w:t xml:space="preserve"> </w:t>
      </w:r>
      <w:r w:rsidRPr="00B12D12">
        <w:rPr>
          <w:color w:val="000000" w:themeColor="text1"/>
        </w:rPr>
        <w:t>v</w:t>
      </w:r>
      <w:r w:rsidR="00083F62">
        <w:rPr>
          <w:color w:val="000000" w:themeColor="text1"/>
        </w:rPr>
        <w:t> </w:t>
      </w:r>
      <w:r w:rsidRPr="00B12D12">
        <w:rPr>
          <w:color w:val="000000" w:themeColor="text1"/>
        </w:rPr>
        <w:t>nasledovnom</w:t>
      </w:r>
      <w:r w:rsidR="00083F62">
        <w:rPr>
          <w:color w:val="000000" w:themeColor="text1"/>
        </w:rPr>
        <w:t> </w:t>
      </w:r>
      <w:r w:rsidRPr="00B12D12">
        <w:rPr>
          <w:color w:val="000000" w:themeColor="text1"/>
        </w:rPr>
        <w:t>členení:</w:t>
      </w:r>
    </w:p>
    <w:tbl>
      <w:tblPr>
        <w:tblW w:w="9346" w:type="dxa"/>
        <w:tblLayout w:type="fixed"/>
        <w:tblCellMar>
          <w:left w:w="70" w:type="dxa"/>
          <w:right w:w="70" w:type="dxa"/>
        </w:tblCellMar>
        <w:tblLook w:val="04A0" w:firstRow="1" w:lastRow="0" w:firstColumn="1" w:lastColumn="0" w:noHBand="0" w:noVBand="1"/>
      </w:tblPr>
      <w:tblGrid>
        <w:gridCol w:w="2967"/>
        <w:gridCol w:w="992"/>
        <w:gridCol w:w="1025"/>
        <w:gridCol w:w="960"/>
        <w:gridCol w:w="992"/>
        <w:gridCol w:w="1064"/>
        <w:gridCol w:w="800"/>
        <w:gridCol w:w="546"/>
      </w:tblGrid>
      <w:tr w:rsidR="008F02EC" w:rsidRPr="003E19FA" w14:paraId="502CED9C" w14:textId="77777777" w:rsidTr="008F02EC">
        <w:trPr>
          <w:trHeight w:val="330"/>
        </w:trPr>
        <w:tc>
          <w:tcPr>
            <w:tcW w:w="9346" w:type="dxa"/>
            <w:gridSpan w:val="8"/>
            <w:tcBorders>
              <w:top w:val="nil"/>
              <w:left w:val="single" w:sz="8" w:space="0" w:color="auto"/>
              <w:bottom w:val="nil"/>
              <w:right w:val="nil"/>
            </w:tcBorders>
            <w:shd w:val="clear" w:color="000000" w:fill="000000"/>
            <w:vAlign w:val="center"/>
            <w:hideMark/>
          </w:tcPr>
          <w:p w14:paraId="4A58EA9A" w14:textId="7552B70F" w:rsidR="008F02EC" w:rsidRPr="003E19FA" w:rsidRDefault="008F02EC" w:rsidP="008F02EC">
            <w:pPr>
              <w:spacing w:after="0" w:line="240" w:lineRule="auto"/>
              <w:jc w:val="left"/>
              <w:rPr>
                <w:rFonts w:eastAsia="Times New Roman" w:cs="Times New Roman"/>
                <w:b/>
                <w:bCs/>
                <w:color w:val="FFFFFF"/>
                <w:sz w:val="18"/>
                <w:szCs w:val="18"/>
                <w:lang w:eastAsia="sk-SK"/>
              </w:rPr>
            </w:pPr>
            <w:bookmarkStart w:id="54" w:name="RANGE!B27:I45"/>
            <w:r w:rsidRPr="003E19FA">
              <w:rPr>
                <w:rFonts w:eastAsia="Times New Roman" w:cs="Times New Roman"/>
                <w:b/>
                <w:bCs/>
                <w:color w:val="FFFFFF"/>
                <w:sz w:val="18"/>
                <w:szCs w:val="18"/>
                <w:lang w:eastAsia="sk-SK"/>
              </w:rPr>
              <w:t>Granty a transfery poskytnuté obciam podľa kapitol ŠR</w:t>
            </w:r>
            <w:bookmarkEnd w:id="54"/>
            <w:r>
              <w:rPr>
                <w:rFonts w:eastAsia="Times New Roman" w:cs="Times New Roman"/>
                <w:b/>
                <w:bCs/>
                <w:color w:val="FFFFFF"/>
                <w:sz w:val="18"/>
                <w:szCs w:val="18"/>
                <w:lang w:eastAsia="sk-SK"/>
              </w:rPr>
              <w:t xml:space="preserve">                                                                                         </w:t>
            </w:r>
            <w:r w:rsidRPr="003E19FA">
              <w:rPr>
                <w:rFonts w:eastAsia="Times New Roman" w:cs="Times New Roman"/>
                <w:b/>
                <w:bCs/>
                <w:color w:val="FFFFFF"/>
                <w:sz w:val="18"/>
                <w:szCs w:val="18"/>
                <w:lang w:eastAsia="sk-SK"/>
              </w:rPr>
              <w:t>v tis.</w:t>
            </w:r>
            <w:r>
              <w:rPr>
                <w:rFonts w:eastAsia="Times New Roman" w:cs="Times New Roman"/>
                <w:b/>
                <w:bCs/>
                <w:color w:val="FFFFFF"/>
                <w:sz w:val="18"/>
                <w:szCs w:val="18"/>
                <w:lang w:eastAsia="sk-SK"/>
              </w:rPr>
              <w:t xml:space="preserve"> </w:t>
            </w:r>
            <w:r w:rsidRPr="003E19FA">
              <w:rPr>
                <w:rFonts w:eastAsia="Times New Roman" w:cs="Times New Roman"/>
                <w:b/>
                <w:bCs/>
                <w:color w:val="FFFFFF"/>
                <w:sz w:val="18"/>
                <w:szCs w:val="18"/>
                <w:lang w:eastAsia="sk-SK"/>
              </w:rPr>
              <w:t>eur</w:t>
            </w:r>
          </w:p>
        </w:tc>
      </w:tr>
      <w:tr w:rsidR="003E19FA" w:rsidRPr="003E19FA" w14:paraId="511CFE65" w14:textId="77777777" w:rsidTr="008F02EC">
        <w:trPr>
          <w:trHeight w:val="330"/>
        </w:trPr>
        <w:tc>
          <w:tcPr>
            <w:tcW w:w="2967" w:type="dxa"/>
            <w:tcBorders>
              <w:top w:val="nil"/>
              <w:left w:val="nil"/>
              <w:bottom w:val="nil"/>
              <w:right w:val="nil"/>
            </w:tcBorders>
            <w:shd w:val="clear" w:color="000000" w:fill="BFBFBF"/>
            <w:vAlign w:val="center"/>
            <w:hideMark/>
          </w:tcPr>
          <w:p w14:paraId="66A46771" w14:textId="77777777" w:rsidR="003E19FA" w:rsidRPr="003E19FA" w:rsidRDefault="003E19FA" w:rsidP="003E19FA">
            <w:pPr>
              <w:spacing w:after="0" w:line="240" w:lineRule="auto"/>
              <w:jc w:val="left"/>
              <w:rPr>
                <w:rFonts w:eastAsia="Times New Roman" w:cs="Times New Roman"/>
                <w:b/>
                <w:bCs/>
                <w:color w:val="FFFFFF"/>
                <w:sz w:val="18"/>
                <w:szCs w:val="18"/>
                <w:lang w:eastAsia="sk-SK"/>
              </w:rPr>
            </w:pPr>
            <w:r w:rsidRPr="003E19FA">
              <w:rPr>
                <w:rFonts w:eastAsia="Times New Roman" w:cs="Times New Roman"/>
                <w:b/>
                <w:bCs/>
                <w:color w:val="FFFFFF"/>
                <w:sz w:val="18"/>
                <w:szCs w:val="18"/>
                <w:lang w:eastAsia="sk-SK"/>
              </w:rPr>
              <w:t> </w:t>
            </w:r>
          </w:p>
        </w:tc>
        <w:tc>
          <w:tcPr>
            <w:tcW w:w="2017" w:type="dxa"/>
            <w:gridSpan w:val="2"/>
            <w:tcBorders>
              <w:top w:val="nil"/>
              <w:left w:val="nil"/>
              <w:bottom w:val="nil"/>
              <w:right w:val="nil"/>
            </w:tcBorders>
            <w:shd w:val="clear" w:color="000000" w:fill="BFBFBF"/>
            <w:vAlign w:val="center"/>
            <w:hideMark/>
          </w:tcPr>
          <w:p w14:paraId="4C2137DC" w14:textId="77777777" w:rsidR="003E19FA" w:rsidRPr="003E19FA" w:rsidRDefault="003E19FA" w:rsidP="003E19FA">
            <w:pPr>
              <w:spacing w:after="0" w:line="240" w:lineRule="auto"/>
              <w:jc w:val="center"/>
              <w:rPr>
                <w:rFonts w:eastAsia="Times New Roman" w:cs="Times New Roman"/>
                <w:b/>
                <w:bCs/>
                <w:color w:val="000000"/>
                <w:sz w:val="18"/>
                <w:szCs w:val="18"/>
                <w:lang w:eastAsia="sk-SK"/>
              </w:rPr>
            </w:pPr>
            <w:r w:rsidRPr="003E19FA">
              <w:rPr>
                <w:rFonts w:eastAsia="Times New Roman" w:cs="Times New Roman"/>
                <w:b/>
                <w:bCs/>
                <w:color w:val="000000"/>
                <w:sz w:val="18"/>
                <w:szCs w:val="18"/>
                <w:lang w:eastAsia="sk-SK"/>
              </w:rPr>
              <w:t>Skutočnosť</w:t>
            </w:r>
          </w:p>
        </w:tc>
        <w:tc>
          <w:tcPr>
            <w:tcW w:w="960" w:type="dxa"/>
            <w:tcBorders>
              <w:top w:val="nil"/>
              <w:left w:val="nil"/>
              <w:bottom w:val="nil"/>
              <w:right w:val="nil"/>
            </w:tcBorders>
            <w:shd w:val="clear" w:color="000000" w:fill="BFBFBF"/>
            <w:vAlign w:val="center"/>
            <w:hideMark/>
          </w:tcPr>
          <w:p w14:paraId="3168DCA6" w14:textId="77777777" w:rsidR="003E19FA" w:rsidRPr="003E19FA" w:rsidRDefault="003E19FA" w:rsidP="003E19FA">
            <w:pPr>
              <w:spacing w:after="0" w:line="240" w:lineRule="auto"/>
              <w:jc w:val="center"/>
              <w:rPr>
                <w:rFonts w:eastAsia="Times New Roman" w:cs="Times New Roman"/>
                <w:b/>
                <w:bCs/>
                <w:color w:val="000000"/>
                <w:sz w:val="18"/>
                <w:szCs w:val="18"/>
                <w:lang w:eastAsia="sk-SK"/>
              </w:rPr>
            </w:pPr>
            <w:r w:rsidRPr="003E19FA">
              <w:rPr>
                <w:rFonts w:eastAsia="Times New Roman" w:cs="Times New Roman"/>
                <w:b/>
                <w:bCs/>
                <w:color w:val="000000"/>
                <w:sz w:val="18"/>
                <w:szCs w:val="18"/>
                <w:lang w:eastAsia="sk-SK"/>
              </w:rPr>
              <w:t>Rozpočet</w:t>
            </w:r>
          </w:p>
        </w:tc>
        <w:tc>
          <w:tcPr>
            <w:tcW w:w="2056" w:type="dxa"/>
            <w:gridSpan w:val="2"/>
            <w:tcBorders>
              <w:top w:val="nil"/>
              <w:left w:val="nil"/>
              <w:bottom w:val="nil"/>
              <w:right w:val="nil"/>
            </w:tcBorders>
            <w:shd w:val="clear" w:color="000000" w:fill="BFBFBF"/>
            <w:vAlign w:val="center"/>
            <w:hideMark/>
          </w:tcPr>
          <w:p w14:paraId="1EE58B19" w14:textId="77777777" w:rsidR="003E19FA" w:rsidRPr="003E19FA" w:rsidRDefault="003E19FA" w:rsidP="003E19FA">
            <w:pPr>
              <w:spacing w:after="0" w:line="240" w:lineRule="auto"/>
              <w:jc w:val="center"/>
              <w:rPr>
                <w:rFonts w:eastAsia="Times New Roman" w:cs="Times New Roman"/>
                <w:b/>
                <w:bCs/>
                <w:color w:val="000000"/>
                <w:sz w:val="18"/>
                <w:szCs w:val="18"/>
                <w:lang w:eastAsia="sk-SK"/>
              </w:rPr>
            </w:pPr>
            <w:r w:rsidRPr="003E19FA">
              <w:rPr>
                <w:rFonts w:eastAsia="Times New Roman" w:cs="Times New Roman"/>
                <w:b/>
                <w:bCs/>
                <w:color w:val="000000"/>
                <w:sz w:val="18"/>
                <w:szCs w:val="18"/>
                <w:lang w:eastAsia="sk-SK"/>
              </w:rPr>
              <w:t>Skutočnosť</w:t>
            </w:r>
          </w:p>
        </w:tc>
        <w:tc>
          <w:tcPr>
            <w:tcW w:w="1346" w:type="dxa"/>
            <w:gridSpan w:val="2"/>
            <w:tcBorders>
              <w:top w:val="nil"/>
              <w:left w:val="nil"/>
              <w:bottom w:val="nil"/>
              <w:right w:val="nil"/>
            </w:tcBorders>
            <w:shd w:val="clear" w:color="000000" w:fill="BFBFBF"/>
            <w:vAlign w:val="center"/>
            <w:hideMark/>
          </w:tcPr>
          <w:p w14:paraId="6715F9CC" w14:textId="77777777" w:rsidR="003E19FA" w:rsidRPr="003E19FA" w:rsidRDefault="003E19FA" w:rsidP="003E19FA">
            <w:pPr>
              <w:spacing w:after="0" w:line="240" w:lineRule="auto"/>
              <w:jc w:val="center"/>
              <w:rPr>
                <w:rFonts w:eastAsia="Times New Roman" w:cs="Times New Roman"/>
                <w:b/>
                <w:bCs/>
                <w:color w:val="000000"/>
                <w:sz w:val="18"/>
                <w:szCs w:val="18"/>
                <w:lang w:eastAsia="sk-SK"/>
              </w:rPr>
            </w:pPr>
            <w:r w:rsidRPr="003E19FA">
              <w:rPr>
                <w:rFonts w:eastAsia="Times New Roman" w:cs="Times New Roman"/>
                <w:b/>
                <w:bCs/>
                <w:color w:val="000000"/>
                <w:sz w:val="18"/>
                <w:szCs w:val="18"/>
                <w:lang w:eastAsia="sk-SK"/>
              </w:rPr>
              <w:t>Rozdiel</w:t>
            </w:r>
          </w:p>
        </w:tc>
      </w:tr>
      <w:tr w:rsidR="003E19FA" w:rsidRPr="003E19FA" w14:paraId="76E65A29" w14:textId="77777777" w:rsidTr="008F02EC">
        <w:trPr>
          <w:trHeight w:val="510"/>
        </w:trPr>
        <w:tc>
          <w:tcPr>
            <w:tcW w:w="2967" w:type="dxa"/>
            <w:tcBorders>
              <w:top w:val="nil"/>
              <w:left w:val="nil"/>
              <w:bottom w:val="nil"/>
              <w:right w:val="nil"/>
            </w:tcBorders>
            <w:shd w:val="clear" w:color="000000" w:fill="BFBFBF"/>
            <w:vAlign w:val="center"/>
            <w:hideMark/>
          </w:tcPr>
          <w:p w14:paraId="6058491F" w14:textId="77777777" w:rsidR="003E19FA" w:rsidRPr="003E19FA" w:rsidRDefault="003E19FA" w:rsidP="003E19FA">
            <w:pPr>
              <w:spacing w:after="0" w:line="240" w:lineRule="auto"/>
              <w:jc w:val="center"/>
              <w:rPr>
                <w:rFonts w:eastAsia="Times New Roman" w:cs="Times New Roman"/>
                <w:b/>
                <w:bCs/>
                <w:sz w:val="18"/>
                <w:szCs w:val="18"/>
                <w:lang w:eastAsia="sk-SK"/>
              </w:rPr>
            </w:pPr>
            <w:r w:rsidRPr="003E19FA">
              <w:rPr>
                <w:rFonts w:eastAsia="Times New Roman" w:cs="Times New Roman"/>
                <w:b/>
                <w:bCs/>
                <w:sz w:val="18"/>
                <w:szCs w:val="18"/>
                <w:lang w:eastAsia="sk-SK"/>
              </w:rPr>
              <w:t> </w:t>
            </w:r>
          </w:p>
        </w:tc>
        <w:tc>
          <w:tcPr>
            <w:tcW w:w="992" w:type="dxa"/>
            <w:tcBorders>
              <w:top w:val="nil"/>
              <w:left w:val="nil"/>
              <w:bottom w:val="nil"/>
              <w:right w:val="nil"/>
            </w:tcBorders>
            <w:shd w:val="clear" w:color="000000" w:fill="BFBFBF"/>
            <w:vAlign w:val="center"/>
            <w:hideMark/>
          </w:tcPr>
          <w:p w14:paraId="35FA21B3" w14:textId="77777777" w:rsidR="003E19FA" w:rsidRPr="003E19FA" w:rsidRDefault="003E19FA" w:rsidP="003E19FA">
            <w:pPr>
              <w:spacing w:after="0" w:line="240" w:lineRule="auto"/>
              <w:jc w:val="center"/>
              <w:rPr>
                <w:rFonts w:eastAsia="Times New Roman" w:cs="Times New Roman"/>
                <w:b/>
                <w:bCs/>
                <w:color w:val="000000"/>
                <w:sz w:val="18"/>
                <w:szCs w:val="18"/>
                <w:lang w:eastAsia="sk-SK"/>
              </w:rPr>
            </w:pPr>
            <w:r w:rsidRPr="003E19FA">
              <w:rPr>
                <w:rFonts w:eastAsia="Times New Roman" w:cs="Times New Roman"/>
                <w:b/>
                <w:bCs/>
                <w:color w:val="000000"/>
                <w:sz w:val="18"/>
                <w:szCs w:val="18"/>
                <w:lang w:eastAsia="sk-SK"/>
              </w:rPr>
              <w:t>2016</w:t>
            </w:r>
          </w:p>
        </w:tc>
        <w:tc>
          <w:tcPr>
            <w:tcW w:w="1025" w:type="dxa"/>
            <w:tcBorders>
              <w:top w:val="nil"/>
              <w:left w:val="nil"/>
              <w:bottom w:val="nil"/>
              <w:right w:val="nil"/>
            </w:tcBorders>
            <w:shd w:val="clear" w:color="000000" w:fill="BFBFBF"/>
            <w:vAlign w:val="center"/>
            <w:hideMark/>
          </w:tcPr>
          <w:p w14:paraId="57EB9808" w14:textId="77777777" w:rsidR="003E19FA" w:rsidRPr="003E19FA" w:rsidRDefault="003E19FA" w:rsidP="003E19FA">
            <w:pPr>
              <w:spacing w:after="0" w:line="240" w:lineRule="auto"/>
              <w:jc w:val="center"/>
              <w:rPr>
                <w:rFonts w:eastAsia="Times New Roman" w:cs="Times New Roman"/>
                <w:b/>
                <w:bCs/>
                <w:color w:val="000000"/>
                <w:sz w:val="18"/>
                <w:szCs w:val="18"/>
                <w:lang w:eastAsia="sk-SK"/>
              </w:rPr>
            </w:pPr>
            <w:r w:rsidRPr="003E19FA">
              <w:rPr>
                <w:rFonts w:eastAsia="Times New Roman" w:cs="Times New Roman"/>
                <w:b/>
                <w:bCs/>
                <w:color w:val="000000"/>
                <w:sz w:val="18"/>
                <w:szCs w:val="18"/>
                <w:lang w:eastAsia="sk-SK"/>
              </w:rPr>
              <w:t>2017</w:t>
            </w:r>
          </w:p>
        </w:tc>
        <w:tc>
          <w:tcPr>
            <w:tcW w:w="960" w:type="dxa"/>
            <w:tcBorders>
              <w:top w:val="nil"/>
              <w:left w:val="nil"/>
              <w:bottom w:val="nil"/>
              <w:right w:val="nil"/>
            </w:tcBorders>
            <w:shd w:val="clear" w:color="000000" w:fill="BFBFBF"/>
            <w:vAlign w:val="center"/>
            <w:hideMark/>
          </w:tcPr>
          <w:p w14:paraId="04345A1B" w14:textId="77777777" w:rsidR="003E19FA" w:rsidRPr="003E19FA" w:rsidRDefault="003E19FA" w:rsidP="003E19FA">
            <w:pPr>
              <w:spacing w:after="0" w:line="240" w:lineRule="auto"/>
              <w:jc w:val="center"/>
              <w:rPr>
                <w:rFonts w:eastAsia="Times New Roman" w:cs="Times New Roman"/>
                <w:b/>
                <w:bCs/>
                <w:color w:val="000000"/>
                <w:sz w:val="18"/>
                <w:szCs w:val="18"/>
                <w:lang w:eastAsia="sk-SK"/>
              </w:rPr>
            </w:pPr>
            <w:r w:rsidRPr="003E19FA">
              <w:rPr>
                <w:rFonts w:eastAsia="Times New Roman" w:cs="Times New Roman"/>
                <w:b/>
                <w:bCs/>
                <w:color w:val="000000"/>
                <w:sz w:val="18"/>
                <w:szCs w:val="18"/>
                <w:lang w:eastAsia="sk-SK"/>
              </w:rPr>
              <w:t>2018</w:t>
            </w:r>
          </w:p>
        </w:tc>
        <w:tc>
          <w:tcPr>
            <w:tcW w:w="992" w:type="dxa"/>
            <w:tcBorders>
              <w:top w:val="nil"/>
              <w:left w:val="nil"/>
              <w:bottom w:val="nil"/>
              <w:right w:val="nil"/>
            </w:tcBorders>
            <w:shd w:val="clear" w:color="000000" w:fill="BFBFBF"/>
            <w:vAlign w:val="center"/>
            <w:hideMark/>
          </w:tcPr>
          <w:p w14:paraId="67716033" w14:textId="77777777" w:rsidR="003E19FA" w:rsidRPr="003E19FA" w:rsidRDefault="003E19FA" w:rsidP="003E19FA">
            <w:pPr>
              <w:spacing w:after="0" w:line="240" w:lineRule="auto"/>
              <w:jc w:val="center"/>
              <w:rPr>
                <w:rFonts w:eastAsia="Times New Roman" w:cs="Times New Roman"/>
                <w:b/>
                <w:bCs/>
                <w:color w:val="000000"/>
                <w:sz w:val="18"/>
                <w:szCs w:val="18"/>
                <w:lang w:eastAsia="sk-SK"/>
              </w:rPr>
            </w:pPr>
            <w:r w:rsidRPr="003E19FA">
              <w:rPr>
                <w:rFonts w:eastAsia="Times New Roman" w:cs="Times New Roman"/>
                <w:b/>
                <w:bCs/>
                <w:color w:val="000000"/>
                <w:sz w:val="18"/>
                <w:szCs w:val="18"/>
                <w:lang w:eastAsia="sk-SK"/>
              </w:rPr>
              <w:t>2018</w:t>
            </w:r>
          </w:p>
        </w:tc>
        <w:tc>
          <w:tcPr>
            <w:tcW w:w="1064" w:type="dxa"/>
            <w:tcBorders>
              <w:top w:val="nil"/>
              <w:left w:val="nil"/>
              <w:bottom w:val="nil"/>
              <w:right w:val="nil"/>
            </w:tcBorders>
            <w:shd w:val="clear" w:color="000000" w:fill="BFBFBF"/>
            <w:vAlign w:val="center"/>
            <w:hideMark/>
          </w:tcPr>
          <w:p w14:paraId="03846CAF" w14:textId="77777777" w:rsidR="003E19FA" w:rsidRPr="003E19FA" w:rsidRDefault="003E19FA" w:rsidP="003E19FA">
            <w:pPr>
              <w:spacing w:after="0" w:line="240" w:lineRule="auto"/>
              <w:jc w:val="center"/>
              <w:rPr>
                <w:rFonts w:eastAsia="Times New Roman" w:cs="Times New Roman"/>
                <w:b/>
                <w:bCs/>
                <w:color w:val="000000"/>
                <w:sz w:val="18"/>
                <w:szCs w:val="18"/>
                <w:lang w:eastAsia="sk-SK"/>
              </w:rPr>
            </w:pPr>
            <w:r w:rsidRPr="003E19FA">
              <w:rPr>
                <w:rFonts w:eastAsia="Times New Roman" w:cs="Times New Roman"/>
                <w:b/>
                <w:bCs/>
                <w:color w:val="000000"/>
                <w:sz w:val="18"/>
                <w:szCs w:val="18"/>
                <w:lang w:eastAsia="sk-SK"/>
              </w:rPr>
              <w:t>z toho: zdroj 111</w:t>
            </w:r>
            <w:r w:rsidRPr="003E19FA">
              <w:rPr>
                <w:rFonts w:ascii="Arial Narrow" w:eastAsia="Times New Roman" w:hAnsi="Arial Narrow" w:cs="Times New Roman"/>
                <w:b/>
                <w:bCs/>
                <w:color w:val="000000"/>
                <w:sz w:val="18"/>
                <w:szCs w:val="18"/>
                <w:lang w:eastAsia="sk-SK"/>
              </w:rPr>
              <w:t>*</w:t>
            </w:r>
          </w:p>
        </w:tc>
        <w:tc>
          <w:tcPr>
            <w:tcW w:w="800" w:type="dxa"/>
            <w:tcBorders>
              <w:top w:val="nil"/>
              <w:left w:val="nil"/>
              <w:bottom w:val="nil"/>
              <w:right w:val="nil"/>
            </w:tcBorders>
            <w:shd w:val="clear" w:color="000000" w:fill="BFBFBF"/>
            <w:vAlign w:val="center"/>
            <w:hideMark/>
          </w:tcPr>
          <w:p w14:paraId="0A4A151F" w14:textId="77777777" w:rsidR="003E19FA" w:rsidRPr="003E19FA" w:rsidRDefault="003E19FA" w:rsidP="003E19FA">
            <w:pPr>
              <w:spacing w:after="0" w:line="240" w:lineRule="auto"/>
              <w:jc w:val="center"/>
              <w:rPr>
                <w:rFonts w:eastAsia="Times New Roman" w:cs="Times New Roman"/>
                <w:b/>
                <w:bCs/>
                <w:color w:val="000000"/>
                <w:sz w:val="18"/>
                <w:szCs w:val="18"/>
                <w:lang w:eastAsia="sk-SK"/>
              </w:rPr>
            </w:pPr>
            <w:r w:rsidRPr="003E19FA">
              <w:rPr>
                <w:rFonts w:eastAsia="Times New Roman" w:cs="Times New Roman"/>
                <w:b/>
                <w:bCs/>
                <w:color w:val="000000"/>
                <w:sz w:val="18"/>
                <w:szCs w:val="18"/>
                <w:lang w:eastAsia="sk-SK"/>
              </w:rPr>
              <w:t xml:space="preserve"> v tis. eur</w:t>
            </w:r>
          </w:p>
        </w:tc>
        <w:tc>
          <w:tcPr>
            <w:tcW w:w="546" w:type="dxa"/>
            <w:tcBorders>
              <w:top w:val="nil"/>
              <w:left w:val="nil"/>
              <w:bottom w:val="nil"/>
              <w:right w:val="nil"/>
            </w:tcBorders>
            <w:shd w:val="clear" w:color="000000" w:fill="BFBFBF"/>
            <w:vAlign w:val="center"/>
            <w:hideMark/>
          </w:tcPr>
          <w:p w14:paraId="57190BCB" w14:textId="77777777" w:rsidR="003E19FA" w:rsidRPr="003E19FA" w:rsidRDefault="003E19FA" w:rsidP="003E19FA">
            <w:pPr>
              <w:spacing w:after="0" w:line="240" w:lineRule="auto"/>
              <w:jc w:val="center"/>
              <w:rPr>
                <w:rFonts w:eastAsia="Times New Roman" w:cs="Times New Roman"/>
                <w:b/>
                <w:bCs/>
                <w:color w:val="000000"/>
                <w:sz w:val="18"/>
                <w:szCs w:val="18"/>
                <w:lang w:eastAsia="sk-SK"/>
              </w:rPr>
            </w:pPr>
            <w:r w:rsidRPr="003E19FA">
              <w:rPr>
                <w:rFonts w:eastAsia="Times New Roman" w:cs="Times New Roman"/>
                <w:b/>
                <w:bCs/>
                <w:color w:val="000000"/>
                <w:sz w:val="18"/>
                <w:szCs w:val="18"/>
                <w:lang w:eastAsia="sk-SK"/>
              </w:rPr>
              <w:t>v %</w:t>
            </w:r>
          </w:p>
        </w:tc>
      </w:tr>
      <w:tr w:rsidR="003E19FA" w:rsidRPr="003E19FA" w14:paraId="26B304D7" w14:textId="77777777" w:rsidTr="008F02EC">
        <w:trPr>
          <w:trHeight w:val="345"/>
        </w:trPr>
        <w:tc>
          <w:tcPr>
            <w:tcW w:w="2967" w:type="dxa"/>
            <w:tcBorders>
              <w:top w:val="nil"/>
              <w:left w:val="nil"/>
              <w:bottom w:val="single" w:sz="8" w:space="0" w:color="auto"/>
              <w:right w:val="nil"/>
            </w:tcBorders>
            <w:shd w:val="clear" w:color="000000" w:fill="BFBFBF"/>
            <w:vAlign w:val="center"/>
            <w:hideMark/>
          </w:tcPr>
          <w:p w14:paraId="7E1DDAEA" w14:textId="77777777" w:rsidR="003E19FA" w:rsidRPr="003E19FA" w:rsidRDefault="003E19FA" w:rsidP="003E19FA">
            <w:pPr>
              <w:spacing w:after="0" w:line="240" w:lineRule="auto"/>
              <w:jc w:val="left"/>
              <w:rPr>
                <w:rFonts w:eastAsia="Times New Roman" w:cs="Times New Roman"/>
                <w:b/>
                <w:bCs/>
                <w:color w:val="FFFFFF"/>
                <w:sz w:val="18"/>
                <w:szCs w:val="18"/>
                <w:lang w:eastAsia="sk-SK"/>
              </w:rPr>
            </w:pPr>
            <w:r w:rsidRPr="003E19FA">
              <w:rPr>
                <w:rFonts w:eastAsia="Times New Roman" w:cs="Times New Roman"/>
                <w:b/>
                <w:bCs/>
                <w:color w:val="FFFFFF"/>
                <w:sz w:val="18"/>
                <w:szCs w:val="18"/>
                <w:lang w:eastAsia="sk-SK"/>
              </w:rPr>
              <w:t> </w:t>
            </w:r>
          </w:p>
        </w:tc>
        <w:tc>
          <w:tcPr>
            <w:tcW w:w="992" w:type="dxa"/>
            <w:tcBorders>
              <w:top w:val="nil"/>
              <w:left w:val="nil"/>
              <w:bottom w:val="single" w:sz="8" w:space="0" w:color="auto"/>
              <w:right w:val="nil"/>
            </w:tcBorders>
            <w:shd w:val="clear" w:color="000000" w:fill="BFBFBF"/>
            <w:vAlign w:val="center"/>
            <w:hideMark/>
          </w:tcPr>
          <w:p w14:paraId="5A64454F" w14:textId="77777777" w:rsidR="003E19FA" w:rsidRPr="003E19FA" w:rsidRDefault="003E19FA" w:rsidP="003E19FA">
            <w:pPr>
              <w:spacing w:after="0" w:line="240" w:lineRule="auto"/>
              <w:jc w:val="center"/>
              <w:rPr>
                <w:rFonts w:eastAsia="Times New Roman" w:cs="Times New Roman"/>
                <w:b/>
                <w:bCs/>
                <w:sz w:val="18"/>
                <w:szCs w:val="18"/>
                <w:lang w:eastAsia="sk-SK"/>
              </w:rPr>
            </w:pPr>
            <w:r w:rsidRPr="003E19FA">
              <w:rPr>
                <w:rFonts w:eastAsia="Times New Roman" w:cs="Times New Roman"/>
                <w:b/>
                <w:bCs/>
                <w:sz w:val="18"/>
                <w:szCs w:val="18"/>
                <w:lang w:eastAsia="sk-SK"/>
              </w:rPr>
              <w:t>1</w:t>
            </w:r>
          </w:p>
        </w:tc>
        <w:tc>
          <w:tcPr>
            <w:tcW w:w="1025" w:type="dxa"/>
            <w:tcBorders>
              <w:top w:val="nil"/>
              <w:left w:val="nil"/>
              <w:bottom w:val="single" w:sz="8" w:space="0" w:color="auto"/>
              <w:right w:val="nil"/>
            </w:tcBorders>
            <w:shd w:val="clear" w:color="000000" w:fill="BFBFBF"/>
            <w:vAlign w:val="center"/>
            <w:hideMark/>
          </w:tcPr>
          <w:p w14:paraId="53C3BCBE" w14:textId="77777777" w:rsidR="003E19FA" w:rsidRPr="003E19FA" w:rsidRDefault="003E19FA" w:rsidP="003E19FA">
            <w:pPr>
              <w:spacing w:after="0" w:line="240" w:lineRule="auto"/>
              <w:jc w:val="center"/>
              <w:rPr>
                <w:rFonts w:eastAsia="Times New Roman" w:cs="Times New Roman"/>
                <w:b/>
                <w:bCs/>
                <w:sz w:val="18"/>
                <w:szCs w:val="18"/>
                <w:lang w:eastAsia="sk-SK"/>
              </w:rPr>
            </w:pPr>
            <w:r w:rsidRPr="003E19FA">
              <w:rPr>
                <w:rFonts w:eastAsia="Times New Roman" w:cs="Times New Roman"/>
                <w:b/>
                <w:bCs/>
                <w:sz w:val="18"/>
                <w:szCs w:val="18"/>
                <w:lang w:eastAsia="sk-SK"/>
              </w:rPr>
              <w:t>2</w:t>
            </w:r>
          </w:p>
        </w:tc>
        <w:tc>
          <w:tcPr>
            <w:tcW w:w="960" w:type="dxa"/>
            <w:tcBorders>
              <w:top w:val="nil"/>
              <w:left w:val="nil"/>
              <w:bottom w:val="single" w:sz="8" w:space="0" w:color="auto"/>
              <w:right w:val="nil"/>
            </w:tcBorders>
            <w:shd w:val="clear" w:color="000000" w:fill="BFBFBF"/>
            <w:vAlign w:val="center"/>
            <w:hideMark/>
          </w:tcPr>
          <w:p w14:paraId="172CA516" w14:textId="77777777" w:rsidR="003E19FA" w:rsidRPr="003E19FA" w:rsidRDefault="003E19FA" w:rsidP="003E19FA">
            <w:pPr>
              <w:spacing w:after="0" w:line="240" w:lineRule="auto"/>
              <w:jc w:val="center"/>
              <w:rPr>
                <w:rFonts w:eastAsia="Times New Roman" w:cs="Times New Roman"/>
                <w:b/>
                <w:bCs/>
                <w:sz w:val="18"/>
                <w:szCs w:val="18"/>
                <w:lang w:eastAsia="sk-SK"/>
              </w:rPr>
            </w:pPr>
            <w:r w:rsidRPr="003E19FA">
              <w:rPr>
                <w:rFonts w:eastAsia="Times New Roman" w:cs="Times New Roman"/>
                <w:b/>
                <w:bCs/>
                <w:sz w:val="18"/>
                <w:szCs w:val="18"/>
                <w:lang w:eastAsia="sk-SK"/>
              </w:rPr>
              <w:t>3</w:t>
            </w:r>
          </w:p>
        </w:tc>
        <w:tc>
          <w:tcPr>
            <w:tcW w:w="992" w:type="dxa"/>
            <w:tcBorders>
              <w:top w:val="nil"/>
              <w:left w:val="nil"/>
              <w:bottom w:val="single" w:sz="8" w:space="0" w:color="auto"/>
              <w:right w:val="nil"/>
            </w:tcBorders>
            <w:shd w:val="clear" w:color="000000" w:fill="BFBFBF"/>
            <w:vAlign w:val="center"/>
            <w:hideMark/>
          </w:tcPr>
          <w:p w14:paraId="26C5EB3A" w14:textId="77777777" w:rsidR="003E19FA" w:rsidRPr="003E19FA" w:rsidRDefault="003E19FA" w:rsidP="003E19FA">
            <w:pPr>
              <w:spacing w:after="0" w:line="240" w:lineRule="auto"/>
              <w:jc w:val="center"/>
              <w:rPr>
                <w:rFonts w:eastAsia="Times New Roman" w:cs="Times New Roman"/>
                <w:b/>
                <w:bCs/>
                <w:sz w:val="18"/>
                <w:szCs w:val="18"/>
                <w:lang w:eastAsia="sk-SK"/>
              </w:rPr>
            </w:pPr>
            <w:r w:rsidRPr="003E19FA">
              <w:rPr>
                <w:rFonts w:eastAsia="Times New Roman" w:cs="Times New Roman"/>
                <w:b/>
                <w:bCs/>
                <w:sz w:val="18"/>
                <w:szCs w:val="18"/>
                <w:lang w:eastAsia="sk-SK"/>
              </w:rPr>
              <w:t>4</w:t>
            </w:r>
          </w:p>
        </w:tc>
        <w:tc>
          <w:tcPr>
            <w:tcW w:w="1064" w:type="dxa"/>
            <w:tcBorders>
              <w:top w:val="nil"/>
              <w:left w:val="nil"/>
              <w:bottom w:val="single" w:sz="8" w:space="0" w:color="auto"/>
              <w:right w:val="nil"/>
            </w:tcBorders>
            <w:shd w:val="clear" w:color="000000" w:fill="BFBFBF"/>
            <w:vAlign w:val="center"/>
            <w:hideMark/>
          </w:tcPr>
          <w:p w14:paraId="11DDC652" w14:textId="77777777" w:rsidR="003E19FA" w:rsidRPr="003E19FA" w:rsidRDefault="003E19FA" w:rsidP="003E19FA">
            <w:pPr>
              <w:spacing w:after="0" w:line="240" w:lineRule="auto"/>
              <w:jc w:val="center"/>
              <w:rPr>
                <w:rFonts w:eastAsia="Times New Roman" w:cs="Times New Roman"/>
                <w:b/>
                <w:bCs/>
                <w:sz w:val="18"/>
                <w:szCs w:val="18"/>
                <w:lang w:eastAsia="sk-SK"/>
              </w:rPr>
            </w:pPr>
            <w:r w:rsidRPr="003E19FA">
              <w:rPr>
                <w:rFonts w:eastAsia="Times New Roman" w:cs="Times New Roman"/>
                <w:b/>
                <w:bCs/>
                <w:sz w:val="18"/>
                <w:szCs w:val="18"/>
                <w:lang w:eastAsia="sk-SK"/>
              </w:rPr>
              <w:t>5</w:t>
            </w:r>
          </w:p>
        </w:tc>
        <w:tc>
          <w:tcPr>
            <w:tcW w:w="800" w:type="dxa"/>
            <w:tcBorders>
              <w:top w:val="nil"/>
              <w:left w:val="nil"/>
              <w:bottom w:val="single" w:sz="8" w:space="0" w:color="auto"/>
              <w:right w:val="nil"/>
            </w:tcBorders>
            <w:shd w:val="clear" w:color="000000" w:fill="BFBFBF"/>
            <w:vAlign w:val="center"/>
            <w:hideMark/>
          </w:tcPr>
          <w:p w14:paraId="040DFEC0" w14:textId="77777777" w:rsidR="003E19FA" w:rsidRPr="003E19FA" w:rsidRDefault="003E19FA" w:rsidP="003E19FA">
            <w:pPr>
              <w:spacing w:after="0" w:line="240" w:lineRule="auto"/>
              <w:jc w:val="center"/>
              <w:rPr>
                <w:rFonts w:eastAsia="Times New Roman" w:cs="Times New Roman"/>
                <w:b/>
                <w:bCs/>
                <w:sz w:val="18"/>
                <w:szCs w:val="18"/>
                <w:lang w:eastAsia="sk-SK"/>
              </w:rPr>
            </w:pPr>
            <w:r w:rsidRPr="003E19FA">
              <w:rPr>
                <w:rFonts w:eastAsia="Times New Roman" w:cs="Times New Roman"/>
                <w:b/>
                <w:bCs/>
                <w:sz w:val="18"/>
                <w:szCs w:val="18"/>
                <w:lang w:eastAsia="sk-SK"/>
              </w:rPr>
              <w:t>6=4-3</w:t>
            </w:r>
          </w:p>
        </w:tc>
        <w:tc>
          <w:tcPr>
            <w:tcW w:w="546" w:type="dxa"/>
            <w:tcBorders>
              <w:top w:val="nil"/>
              <w:left w:val="nil"/>
              <w:bottom w:val="single" w:sz="8" w:space="0" w:color="auto"/>
              <w:right w:val="nil"/>
            </w:tcBorders>
            <w:shd w:val="clear" w:color="000000" w:fill="BFBFBF"/>
            <w:vAlign w:val="center"/>
            <w:hideMark/>
          </w:tcPr>
          <w:p w14:paraId="27F2BFC1" w14:textId="77777777" w:rsidR="003E19FA" w:rsidRPr="003E19FA" w:rsidRDefault="003E19FA" w:rsidP="003E19FA">
            <w:pPr>
              <w:spacing w:after="0" w:line="240" w:lineRule="auto"/>
              <w:jc w:val="center"/>
              <w:rPr>
                <w:rFonts w:eastAsia="Times New Roman" w:cs="Times New Roman"/>
                <w:b/>
                <w:bCs/>
                <w:sz w:val="18"/>
                <w:szCs w:val="18"/>
                <w:lang w:eastAsia="sk-SK"/>
              </w:rPr>
            </w:pPr>
            <w:r w:rsidRPr="003E19FA">
              <w:rPr>
                <w:rFonts w:eastAsia="Times New Roman" w:cs="Times New Roman"/>
                <w:b/>
                <w:bCs/>
                <w:sz w:val="18"/>
                <w:szCs w:val="18"/>
                <w:lang w:eastAsia="sk-SK"/>
              </w:rPr>
              <w:t>7=4-3</w:t>
            </w:r>
          </w:p>
        </w:tc>
      </w:tr>
      <w:tr w:rsidR="003E19FA" w:rsidRPr="003E19FA" w14:paraId="3D94F669" w14:textId="77777777" w:rsidTr="008F02EC">
        <w:trPr>
          <w:trHeight w:val="330"/>
        </w:trPr>
        <w:tc>
          <w:tcPr>
            <w:tcW w:w="2967" w:type="dxa"/>
            <w:tcBorders>
              <w:top w:val="nil"/>
              <w:left w:val="nil"/>
              <w:bottom w:val="nil"/>
              <w:right w:val="nil"/>
            </w:tcBorders>
            <w:shd w:val="clear" w:color="000000" w:fill="FFFFFF"/>
            <w:noWrap/>
            <w:vAlign w:val="center"/>
            <w:hideMark/>
          </w:tcPr>
          <w:p w14:paraId="3CCD68A6" w14:textId="77777777" w:rsidR="003E19FA" w:rsidRPr="003E19FA" w:rsidRDefault="003E19FA" w:rsidP="003E19FA">
            <w:pPr>
              <w:spacing w:after="0" w:line="240" w:lineRule="auto"/>
              <w:jc w:val="left"/>
              <w:rPr>
                <w:rFonts w:eastAsia="Times New Roman" w:cs="Times New Roman"/>
                <w:color w:val="000000"/>
                <w:sz w:val="18"/>
                <w:szCs w:val="18"/>
                <w:lang w:eastAsia="sk-SK"/>
              </w:rPr>
            </w:pPr>
            <w:r w:rsidRPr="003E19FA">
              <w:rPr>
                <w:rFonts w:eastAsia="Times New Roman" w:cs="Times New Roman"/>
                <w:color w:val="000000"/>
                <w:sz w:val="18"/>
                <w:szCs w:val="18"/>
                <w:lang w:eastAsia="sk-SK"/>
              </w:rPr>
              <w:t>Ministerstvo vnútra SR</w:t>
            </w:r>
          </w:p>
        </w:tc>
        <w:tc>
          <w:tcPr>
            <w:tcW w:w="992" w:type="dxa"/>
            <w:tcBorders>
              <w:top w:val="nil"/>
              <w:left w:val="nil"/>
              <w:bottom w:val="nil"/>
              <w:right w:val="nil"/>
            </w:tcBorders>
            <w:shd w:val="clear" w:color="000000" w:fill="FFFFFF"/>
            <w:noWrap/>
            <w:vAlign w:val="bottom"/>
            <w:hideMark/>
          </w:tcPr>
          <w:p w14:paraId="2F347927"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814 307</w:t>
            </w:r>
          </w:p>
        </w:tc>
        <w:tc>
          <w:tcPr>
            <w:tcW w:w="1025" w:type="dxa"/>
            <w:tcBorders>
              <w:top w:val="nil"/>
              <w:left w:val="nil"/>
              <w:bottom w:val="nil"/>
              <w:right w:val="nil"/>
            </w:tcBorders>
            <w:shd w:val="clear" w:color="000000" w:fill="FFFFFF"/>
            <w:noWrap/>
            <w:vAlign w:val="bottom"/>
            <w:hideMark/>
          </w:tcPr>
          <w:p w14:paraId="0B18A6A3"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867 007</w:t>
            </w:r>
          </w:p>
        </w:tc>
        <w:tc>
          <w:tcPr>
            <w:tcW w:w="960" w:type="dxa"/>
            <w:tcBorders>
              <w:top w:val="nil"/>
              <w:left w:val="nil"/>
              <w:bottom w:val="nil"/>
              <w:right w:val="nil"/>
            </w:tcBorders>
            <w:shd w:val="clear" w:color="000000" w:fill="FFFFFF"/>
            <w:noWrap/>
            <w:vAlign w:val="bottom"/>
            <w:hideMark/>
          </w:tcPr>
          <w:p w14:paraId="4BBD6A0B"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828 611</w:t>
            </w:r>
          </w:p>
        </w:tc>
        <w:tc>
          <w:tcPr>
            <w:tcW w:w="992" w:type="dxa"/>
            <w:tcBorders>
              <w:top w:val="nil"/>
              <w:left w:val="nil"/>
              <w:bottom w:val="nil"/>
              <w:right w:val="nil"/>
            </w:tcBorders>
            <w:shd w:val="clear" w:color="000000" w:fill="BFBFBF"/>
            <w:noWrap/>
            <w:vAlign w:val="bottom"/>
            <w:hideMark/>
          </w:tcPr>
          <w:p w14:paraId="3C9A15FE"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951 259</w:t>
            </w:r>
          </w:p>
        </w:tc>
        <w:tc>
          <w:tcPr>
            <w:tcW w:w="1064" w:type="dxa"/>
            <w:tcBorders>
              <w:top w:val="nil"/>
              <w:left w:val="nil"/>
              <w:bottom w:val="nil"/>
              <w:right w:val="nil"/>
            </w:tcBorders>
            <w:shd w:val="clear" w:color="000000" w:fill="BFBFBF"/>
            <w:noWrap/>
            <w:vAlign w:val="bottom"/>
            <w:hideMark/>
          </w:tcPr>
          <w:p w14:paraId="7E4A7D9F"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892 243</w:t>
            </w:r>
          </w:p>
        </w:tc>
        <w:tc>
          <w:tcPr>
            <w:tcW w:w="800" w:type="dxa"/>
            <w:tcBorders>
              <w:top w:val="nil"/>
              <w:left w:val="nil"/>
              <w:bottom w:val="nil"/>
              <w:right w:val="nil"/>
            </w:tcBorders>
            <w:shd w:val="clear" w:color="000000" w:fill="FFFFFF"/>
            <w:vAlign w:val="bottom"/>
            <w:hideMark/>
          </w:tcPr>
          <w:p w14:paraId="0AC2407D"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122 648</w:t>
            </w:r>
          </w:p>
        </w:tc>
        <w:tc>
          <w:tcPr>
            <w:tcW w:w="546" w:type="dxa"/>
            <w:tcBorders>
              <w:top w:val="nil"/>
              <w:left w:val="nil"/>
              <w:bottom w:val="nil"/>
              <w:right w:val="nil"/>
            </w:tcBorders>
            <w:shd w:val="clear" w:color="000000" w:fill="FFFFFF"/>
            <w:vAlign w:val="bottom"/>
            <w:hideMark/>
          </w:tcPr>
          <w:p w14:paraId="5930BB79"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14,8</w:t>
            </w:r>
          </w:p>
        </w:tc>
      </w:tr>
      <w:tr w:rsidR="003E19FA" w:rsidRPr="003E19FA" w14:paraId="66E56A7E" w14:textId="77777777" w:rsidTr="008F02EC">
        <w:trPr>
          <w:trHeight w:val="330"/>
        </w:trPr>
        <w:tc>
          <w:tcPr>
            <w:tcW w:w="2967" w:type="dxa"/>
            <w:tcBorders>
              <w:top w:val="nil"/>
              <w:left w:val="nil"/>
              <w:bottom w:val="nil"/>
              <w:right w:val="nil"/>
            </w:tcBorders>
            <w:shd w:val="clear" w:color="000000" w:fill="FFFFFF"/>
            <w:vAlign w:val="center"/>
            <w:hideMark/>
          </w:tcPr>
          <w:p w14:paraId="16BDF1BD" w14:textId="77777777" w:rsidR="003E19FA" w:rsidRPr="003E19FA" w:rsidRDefault="003E19FA" w:rsidP="003E19FA">
            <w:pPr>
              <w:spacing w:after="0" w:line="240" w:lineRule="auto"/>
              <w:jc w:val="left"/>
              <w:rPr>
                <w:rFonts w:eastAsia="Times New Roman" w:cs="Times New Roman"/>
                <w:color w:val="000000"/>
                <w:sz w:val="18"/>
                <w:szCs w:val="18"/>
                <w:lang w:eastAsia="sk-SK"/>
              </w:rPr>
            </w:pPr>
            <w:r w:rsidRPr="003E19FA">
              <w:rPr>
                <w:rFonts w:eastAsia="Times New Roman" w:cs="Times New Roman"/>
                <w:color w:val="000000"/>
                <w:sz w:val="18"/>
                <w:szCs w:val="18"/>
                <w:lang w:eastAsia="sk-SK"/>
              </w:rPr>
              <w:t>Ministerstvo životného prostredia SR</w:t>
            </w:r>
          </w:p>
        </w:tc>
        <w:tc>
          <w:tcPr>
            <w:tcW w:w="992" w:type="dxa"/>
            <w:tcBorders>
              <w:top w:val="nil"/>
              <w:left w:val="nil"/>
              <w:bottom w:val="nil"/>
              <w:right w:val="nil"/>
            </w:tcBorders>
            <w:shd w:val="clear" w:color="000000" w:fill="FFFFFF"/>
            <w:noWrap/>
            <w:vAlign w:val="bottom"/>
            <w:hideMark/>
          </w:tcPr>
          <w:p w14:paraId="0FEFA01A"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30 390</w:t>
            </w:r>
          </w:p>
        </w:tc>
        <w:tc>
          <w:tcPr>
            <w:tcW w:w="1025" w:type="dxa"/>
            <w:tcBorders>
              <w:top w:val="nil"/>
              <w:left w:val="nil"/>
              <w:bottom w:val="nil"/>
              <w:right w:val="nil"/>
            </w:tcBorders>
            <w:shd w:val="clear" w:color="000000" w:fill="FFFFFF"/>
            <w:noWrap/>
            <w:vAlign w:val="bottom"/>
            <w:hideMark/>
          </w:tcPr>
          <w:p w14:paraId="76DDC103"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59 563</w:t>
            </w:r>
          </w:p>
        </w:tc>
        <w:tc>
          <w:tcPr>
            <w:tcW w:w="960" w:type="dxa"/>
            <w:tcBorders>
              <w:top w:val="nil"/>
              <w:left w:val="nil"/>
              <w:bottom w:val="nil"/>
              <w:right w:val="nil"/>
            </w:tcBorders>
            <w:shd w:val="clear" w:color="000000" w:fill="FFFFFF"/>
            <w:noWrap/>
            <w:vAlign w:val="bottom"/>
            <w:hideMark/>
          </w:tcPr>
          <w:p w14:paraId="34427971"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0</w:t>
            </w:r>
          </w:p>
        </w:tc>
        <w:tc>
          <w:tcPr>
            <w:tcW w:w="992" w:type="dxa"/>
            <w:tcBorders>
              <w:top w:val="nil"/>
              <w:left w:val="nil"/>
              <w:bottom w:val="nil"/>
              <w:right w:val="nil"/>
            </w:tcBorders>
            <w:shd w:val="clear" w:color="000000" w:fill="BFBFBF"/>
            <w:noWrap/>
            <w:vAlign w:val="bottom"/>
            <w:hideMark/>
          </w:tcPr>
          <w:p w14:paraId="7539A682"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128 816</w:t>
            </w:r>
          </w:p>
        </w:tc>
        <w:tc>
          <w:tcPr>
            <w:tcW w:w="1064" w:type="dxa"/>
            <w:tcBorders>
              <w:top w:val="nil"/>
              <w:left w:val="nil"/>
              <w:bottom w:val="nil"/>
              <w:right w:val="nil"/>
            </w:tcBorders>
            <w:shd w:val="clear" w:color="000000" w:fill="BFBFBF"/>
            <w:noWrap/>
            <w:vAlign w:val="bottom"/>
            <w:hideMark/>
          </w:tcPr>
          <w:p w14:paraId="3FB5CDDA"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x</w:t>
            </w:r>
          </w:p>
        </w:tc>
        <w:tc>
          <w:tcPr>
            <w:tcW w:w="800" w:type="dxa"/>
            <w:tcBorders>
              <w:top w:val="nil"/>
              <w:left w:val="nil"/>
              <w:bottom w:val="nil"/>
              <w:right w:val="nil"/>
            </w:tcBorders>
            <w:shd w:val="clear" w:color="000000" w:fill="FFFFFF"/>
            <w:vAlign w:val="bottom"/>
            <w:hideMark/>
          </w:tcPr>
          <w:p w14:paraId="3CA6EB27"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128 816</w:t>
            </w:r>
          </w:p>
        </w:tc>
        <w:tc>
          <w:tcPr>
            <w:tcW w:w="546" w:type="dxa"/>
            <w:tcBorders>
              <w:top w:val="nil"/>
              <w:left w:val="nil"/>
              <w:bottom w:val="nil"/>
              <w:right w:val="nil"/>
            </w:tcBorders>
            <w:shd w:val="clear" w:color="000000" w:fill="FFFFFF"/>
            <w:vAlign w:val="bottom"/>
            <w:hideMark/>
          </w:tcPr>
          <w:p w14:paraId="6A981187"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x</w:t>
            </w:r>
          </w:p>
        </w:tc>
      </w:tr>
      <w:tr w:rsidR="003E19FA" w:rsidRPr="003E19FA" w14:paraId="05D18968" w14:textId="77777777" w:rsidTr="008F02EC">
        <w:trPr>
          <w:trHeight w:val="330"/>
        </w:trPr>
        <w:tc>
          <w:tcPr>
            <w:tcW w:w="2967" w:type="dxa"/>
            <w:tcBorders>
              <w:top w:val="nil"/>
              <w:left w:val="nil"/>
              <w:bottom w:val="nil"/>
              <w:right w:val="nil"/>
            </w:tcBorders>
            <w:shd w:val="clear" w:color="000000" w:fill="FFFFFF"/>
            <w:vAlign w:val="center"/>
            <w:hideMark/>
          </w:tcPr>
          <w:p w14:paraId="0A3346AF" w14:textId="77777777" w:rsidR="003E19FA" w:rsidRPr="003E19FA" w:rsidRDefault="003E19FA" w:rsidP="003E19FA">
            <w:pPr>
              <w:spacing w:after="0" w:line="240" w:lineRule="auto"/>
              <w:jc w:val="left"/>
              <w:rPr>
                <w:rFonts w:eastAsia="Times New Roman" w:cs="Times New Roman"/>
                <w:color w:val="000000"/>
                <w:sz w:val="18"/>
                <w:szCs w:val="18"/>
                <w:lang w:eastAsia="sk-SK"/>
              </w:rPr>
            </w:pPr>
            <w:r w:rsidRPr="003E19FA">
              <w:rPr>
                <w:rFonts w:eastAsia="Times New Roman" w:cs="Times New Roman"/>
                <w:color w:val="000000"/>
                <w:sz w:val="18"/>
                <w:szCs w:val="18"/>
                <w:lang w:eastAsia="sk-SK"/>
              </w:rPr>
              <w:t>Ministerstvo dopravy a výstavby  SR</w:t>
            </w:r>
          </w:p>
        </w:tc>
        <w:tc>
          <w:tcPr>
            <w:tcW w:w="992" w:type="dxa"/>
            <w:tcBorders>
              <w:top w:val="nil"/>
              <w:left w:val="nil"/>
              <w:bottom w:val="nil"/>
              <w:right w:val="nil"/>
            </w:tcBorders>
            <w:shd w:val="clear" w:color="000000" w:fill="FFFFFF"/>
            <w:noWrap/>
            <w:vAlign w:val="bottom"/>
            <w:hideMark/>
          </w:tcPr>
          <w:p w14:paraId="6C2B520E"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42 990</w:t>
            </w:r>
          </w:p>
        </w:tc>
        <w:tc>
          <w:tcPr>
            <w:tcW w:w="1025" w:type="dxa"/>
            <w:tcBorders>
              <w:top w:val="nil"/>
              <w:left w:val="nil"/>
              <w:bottom w:val="nil"/>
              <w:right w:val="nil"/>
            </w:tcBorders>
            <w:shd w:val="clear" w:color="000000" w:fill="FFFFFF"/>
            <w:noWrap/>
            <w:vAlign w:val="bottom"/>
            <w:hideMark/>
          </w:tcPr>
          <w:p w14:paraId="54F7E2EA"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73 566</w:t>
            </w:r>
          </w:p>
        </w:tc>
        <w:tc>
          <w:tcPr>
            <w:tcW w:w="960" w:type="dxa"/>
            <w:tcBorders>
              <w:top w:val="nil"/>
              <w:left w:val="nil"/>
              <w:bottom w:val="nil"/>
              <w:right w:val="nil"/>
            </w:tcBorders>
            <w:shd w:val="clear" w:color="000000" w:fill="FFFFFF"/>
            <w:noWrap/>
            <w:vAlign w:val="bottom"/>
            <w:hideMark/>
          </w:tcPr>
          <w:p w14:paraId="44C9005A"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8 114</w:t>
            </w:r>
          </w:p>
        </w:tc>
        <w:tc>
          <w:tcPr>
            <w:tcW w:w="992" w:type="dxa"/>
            <w:tcBorders>
              <w:top w:val="nil"/>
              <w:left w:val="nil"/>
              <w:bottom w:val="nil"/>
              <w:right w:val="nil"/>
            </w:tcBorders>
            <w:shd w:val="clear" w:color="000000" w:fill="BFBFBF"/>
            <w:noWrap/>
            <w:vAlign w:val="bottom"/>
            <w:hideMark/>
          </w:tcPr>
          <w:p w14:paraId="6E1F5243"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71 312</w:t>
            </w:r>
          </w:p>
        </w:tc>
        <w:tc>
          <w:tcPr>
            <w:tcW w:w="1064" w:type="dxa"/>
            <w:tcBorders>
              <w:top w:val="nil"/>
              <w:left w:val="nil"/>
              <w:bottom w:val="nil"/>
              <w:right w:val="nil"/>
            </w:tcBorders>
            <w:shd w:val="clear" w:color="000000" w:fill="BFBFBF"/>
            <w:noWrap/>
            <w:vAlign w:val="bottom"/>
            <w:hideMark/>
          </w:tcPr>
          <w:p w14:paraId="42A3BED0"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36 999</w:t>
            </w:r>
          </w:p>
        </w:tc>
        <w:tc>
          <w:tcPr>
            <w:tcW w:w="800" w:type="dxa"/>
            <w:tcBorders>
              <w:top w:val="nil"/>
              <w:left w:val="nil"/>
              <w:bottom w:val="nil"/>
              <w:right w:val="nil"/>
            </w:tcBorders>
            <w:shd w:val="clear" w:color="000000" w:fill="FFFFFF"/>
            <w:vAlign w:val="bottom"/>
            <w:hideMark/>
          </w:tcPr>
          <w:p w14:paraId="1EDC0FC0"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63 198</w:t>
            </w:r>
          </w:p>
        </w:tc>
        <w:tc>
          <w:tcPr>
            <w:tcW w:w="546" w:type="dxa"/>
            <w:tcBorders>
              <w:top w:val="nil"/>
              <w:left w:val="nil"/>
              <w:bottom w:val="nil"/>
              <w:right w:val="nil"/>
            </w:tcBorders>
            <w:shd w:val="clear" w:color="000000" w:fill="FFFFFF"/>
            <w:vAlign w:val="bottom"/>
            <w:hideMark/>
          </w:tcPr>
          <w:p w14:paraId="7B54F896"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778,9</w:t>
            </w:r>
          </w:p>
        </w:tc>
      </w:tr>
      <w:tr w:rsidR="003E19FA" w:rsidRPr="003E19FA" w14:paraId="23988070" w14:textId="77777777" w:rsidTr="008F02EC">
        <w:trPr>
          <w:trHeight w:val="330"/>
        </w:trPr>
        <w:tc>
          <w:tcPr>
            <w:tcW w:w="2967" w:type="dxa"/>
            <w:tcBorders>
              <w:top w:val="nil"/>
              <w:left w:val="nil"/>
              <w:bottom w:val="nil"/>
              <w:right w:val="nil"/>
            </w:tcBorders>
            <w:shd w:val="clear" w:color="000000" w:fill="FFFFFF"/>
            <w:vAlign w:val="center"/>
            <w:hideMark/>
          </w:tcPr>
          <w:p w14:paraId="52911872" w14:textId="77777777" w:rsidR="003E19FA" w:rsidRPr="003E19FA" w:rsidRDefault="003E19FA" w:rsidP="003E19FA">
            <w:pPr>
              <w:spacing w:after="0" w:line="240" w:lineRule="auto"/>
              <w:jc w:val="left"/>
              <w:rPr>
                <w:rFonts w:eastAsia="Times New Roman" w:cs="Times New Roman"/>
                <w:color w:val="000000"/>
                <w:sz w:val="18"/>
                <w:szCs w:val="18"/>
                <w:lang w:eastAsia="sk-SK"/>
              </w:rPr>
            </w:pPr>
            <w:r w:rsidRPr="003E19FA">
              <w:rPr>
                <w:rFonts w:eastAsia="Times New Roman" w:cs="Times New Roman"/>
                <w:color w:val="000000"/>
                <w:sz w:val="18"/>
                <w:szCs w:val="18"/>
                <w:lang w:eastAsia="sk-SK"/>
              </w:rPr>
              <w:t xml:space="preserve">Ministerstvo práce, </w:t>
            </w:r>
            <w:proofErr w:type="spellStart"/>
            <w:r w:rsidRPr="003E19FA">
              <w:rPr>
                <w:rFonts w:eastAsia="Times New Roman" w:cs="Times New Roman"/>
                <w:color w:val="000000"/>
                <w:sz w:val="18"/>
                <w:szCs w:val="18"/>
                <w:lang w:eastAsia="sk-SK"/>
              </w:rPr>
              <w:t>soc.vecí</w:t>
            </w:r>
            <w:proofErr w:type="spellEnd"/>
            <w:r w:rsidRPr="003E19FA">
              <w:rPr>
                <w:rFonts w:eastAsia="Times New Roman" w:cs="Times New Roman"/>
                <w:color w:val="000000"/>
                <w:sz w:val="18"/>
                <w:szCs w:val="18"/>
                <w:lang w:eastAsia="sk-SK"/>
              </w:rPr>
              <w:t xml:space="preserve"> a rodiny SR</w:t>
            </w:r>
          </w:p>
        </w:tc>
        <w:tc>
          <w:tcPr>
            <w:tcW w:w="992" w:type="dxa"/>
            <w:tcBorders>
              <w:top w:val="nil"/>
              <w:left w:val="nil"/>
              <w:bottom w:val="nil"/>
              <w:right w:val="nil"/>
            </w:tcBorders>
            <w:shd w:val="clear" w:color="000000" w:fill="FFFFFF"/>
            <w:noWrap/>
            <w:vAlign w:val="bottom"/>
            <w:hideMark/>
          </w:tcPr>
          <w:p w14:paraId="2363BA10"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61 946</w:t>
            </w:r>
          </w:p>
        </w:tc>
        <w:tc>
          <w:tcPr>
            <w:tcW w:w="1025" w:type="dxa"/>
            <w:tcBorders>
              <w:top w:val="nil"/>
              <w:left w:val="nil"/>
              <w:bottom w:val="nil"/>
              <w:right w:val="nil"/>
            </w:tcBorders>
            <w:shd w:val="clear" w:color="000000" w:fill="FFFFFF"/>
            <w:noWrap/>
            <w:vAlign w:val="bottom"/>
            <w:hideMark/>
          </w:tcPr>
          <w:p w14:paraId="43E5B9D3"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66 541</w:t>
            </w:r>
          </w:p>
        </w:tc>
        <w:tc>
          <w:tcPr>
            <w:tcW w:w="960" w:type="dxa"/>
            <w:tcBorders>
              <w:top w:val="nil"/>
              <w:left w:val="nil"/>
              <w:bottom w:val="nil"/>
              <w:right w:val="nil"/>
            </w:tcBorders>
            <w:shd w:val="clear" w:color="000000" w:fill="FFFFFF"/>
            <w:noWrap/>
            <w:vAlign w:val="bottom"/>
            <w:hideMark/>
          </w:tcPr>
          <w:p w14:paraId="5F16AE77"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98 589</w:t>
            </w:r>
          </w:p>
        </w:tc>
        <w:tc>
          <w:tcPr>
            <w:tcW w:w="992" w:type="dxa"/>
            <w:tcBorders>
              <w:top w:val="nil"/>
              <w:left w:val="nil"/>
              <w:bottom w:val="nil"/>
              <w:right w:val="nil"/>
            </w:tcBorders>
            <w:shd w:val="clear" w:color="000000" w:fill="BFBFBF"/>
            <w:noWrap/>
            <w:vAlign w:val="bottom"/>
            <w:hideMark/>
          </w:tcPr>
          <w:p w14:paraId="042FEAC5"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65 546</w:t>
            </w:r>
          </w:p>
        </w:tc>
        <w:tc>
          <w:tcPr>
            <w:tcW w:w="1064" w:type="dxa"/>
            <w:tcBorders>
              <w:top w:val="nil"/>
              <w:left w:val="nil"/>
              <w:bottom w:val="nil"/>
              <w:right w:val="nil"/>
            </w:tcBorders>
            <w:shd w:val="clear" w:color="000000" w:fill="BFBFBF"/>
            <w:noWrap/>
            <w:vAlign w:val="bottom"/>
            <w:hideMark/>
          </w:tcPr>
          <w:p w14:paraId="3D4E2B62"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54 107</w:t>
            </w:r>
          </w:p>
        </w:tc>
        <w:tc>
          <w:tcPr>
            <w:tcW w:w="800" w:type="dxa"/>
            <w:tcBorders>
              <w:top w:val="nil"/>
              <w:left w:val="nil"/>
              <w:bottom w:val="nil"/>
              <w:right w:val="nil"/>
            </w:tcBorders>
            <w:shd w:val="clear" w:color="000000" w:fill="FFFFFF"/>
            <w:vAlign w:val="bottom"/>
            <w:hideMark/>
          </w:tcPr>
          <w:p w14:paraId="7AE321B2"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-33 043</w:t>
            </w:r>
          </w:p>
        </w:tc>
        <w:tc>
          <w:tcPr>
            <w:tcW w:w="546" w:type="dxa"/>
            <w:tcBorders>
              <w:top w:val="nil"/>
              <w:left w:val="nil"/>
              <w:bottom w:val="nil"/>
              <w:right w:val="nil"/>
            </w:tcBorders>
            <w:shd w:val="clear" w:color="000000" w:fill="FFFFFF"/>
            <w:vAlign w:val="bottom"/>
            <w:hideMark/>
          </w:tcPr>
          <w:p w14:paraId="7690945C"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-33,5</w:t>
            </w:r>
          </w:p>
        </w:tc>
      </w:tr>
      <w:tr w:rsidR="003E19FA" w:rsidRPr="003E19FA" w14:paraId="5F5FA1B5" w14:textId="77777777" w:rsidTr="008F02EC">
        <w:trPr>
          <w:trHeight w:val="480"/>
        </w:trPr>
        <w:tc>
          <w:tcPr>
            <w:tcW w:w="2967" w:type="dxa"/>
            <w:tcBorders>
              <w:top w:val="nil"/>
              <w:left w:val="nil"/>
              <w:bottom w:val="nil"/>
              <w:right w:val="nil"/>
            </w:tcBorders>
            <w:shd w:val="clear" w:color="000000" w:fill="FFFFFF"/>
            <w:vAlign w:val="center"/>
            <w:hideMark/>
          </w:tcPr>
          <w:p w14:paraId="2C841BA2" w14:textId="77777777" w:rsidR="003E19FA" w:rsidRPr="003E19FA" w:rsidRDefault="003E19FA" w:rsidP="003E19FA">
            <w:pPr>
              <w:spacing w:after="0" w:line="240" w:lineRule="auto"/>
              <w:jc w:val="left"/>
              <w:rPr>
                <w:rFonts w:eastAsia="Times New Roman" w:cs="Times New Roman"/>
                <w:color w:val="000000"/>
                <w:sz w:val="18"/>
                <w:szCs w:val="18"/>
                <w:lang w:eastAsia="sk-SK"/>
              </w:rPr>
            </w:pPr>
            <w:r w:rsidRPr="003E19FA">
              <w:rPr>
                <w:rFonts w:eastAsia="Times New Roman" w:cs="Times New Roman"/>
                <w:color w:val="000000"/>
                <w:sz w:val="18"/>
                <w:szCs w:val="18"/>
                <w:lang w:eastAsia="sk-SK"/>
              </w:rPr>
              <w:t>Ministerstvo pôdohospodárstva a rozvoja vidieka SR</w:t>
            </w:r>
          </w:p>
        </w:tc>
        <w:tc>
          <w:tcPr>
            <w:tcW w:w="992" w:type="dxa"/>
            <w:tcBorders>
              <w:top w:val="nil"/>
              <w:left w:val="nil"/>
              <w:bottom w:val="nil"/>
              <w:right w:val="nil"/>
            </w:tcBorders>
            <w:shd w:val="clear" w:color="000000" w:fill="FFFFFF"/>
            <w:noWrap/>
            <w:vAlign w:val="bottom"/>
            <w:hideMark/>
          </w:tcPr>
          <w:p w14:paraId="6324F29C"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32 084</w:t>
            </w:r>
          </w:p>
        </w:tc>
        <w:tc>
          <w:tcPr>
            <w:tcW w:w="1025" w:type="dxa"/>
            <w:tcBorders>
              <w:top w:val="nil"/>
              <w:left w:val="nil"/>
              <w:bottom w:val="nil"/>
              <w:right w:val="nil"/>
            </w:tcBorders>
            <w:shd w:val="clear" w:color="000000" w:fill="FFFFFF"/>
            <w:noWrap/>
            <w:vAlign w:val="bottom"/>
            <w:hideMark/>
          </w:tcPr>
          <w:p w14:paraId="1B7C45EE"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15 353</w:t>
            </w:r>
          </w:p>
        </w:tc>
        <w:tc>
          <w:tcPr>
            <w:tcW w:w="960" w:type="dxa"/>
            <w:tcBorders>
              <w:top w:val="nil"/>
              <w:left w:val="nil"/>
              <w:bottom w:val="nil"/>
              <w:right w:val="nil"/>
            </w:tcBorders>
            <w:shd w:val="clear" w:color="000000" w:fill="FFFFFF"/>
            <w:noWrap/>
            <w:vAlign w:val="bottom"/>
            <w:hideMark/>
          </w:tcPr>
          <w:p w14:paraId="09938D96"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158 746</w:t>
            </w:r>
          </w:p>
        </w:tc>
        <w:tc>
          <w:tcPr>
            <w:tcW w:w="992" w:type="dxa"/>
            <w:tcBorders>
              <w:top w:val="nil"/>
              <w:left w:val="nil"/>
              <w:bottom w:val="nil"/>
              <w:right w:val="nil"/>
            </w:tcBorders>
            <w:shd w:val="clear" w:color="000000" w:fill="BFBFBF"/>
            <w:noWrap/>
            <w:vAlign w:val="bottom"/>
            <w:hideMark/>
          </w:tcPr>
          <w:p w14:paraId="7CAB69F6"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44 670</w:t>
            </w:r>
          </w:p>
        </w:tc>
        <w:tc>
          <w:tcPr>
            <w:tcW w:w="1064" w:type="dxa"/>
            <w:tcBorders>
              <w:top w:val="nil"/>
              <w:left w:val="nil"/>
              <w:bottom w:val="nil"/>
              <w:right w:val="nil"/>
            </w:tcBorders>
            <w:shd w:val="clear" w:color="000000" w:fill="BFBFBF"/>
            <w:noWrap/>
            <w:vAlign w:val="bottom"/>
            <w:hideMark/>
          </w:tcPr>
          <w:p w14:paraId="570D0497"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x</w:t>
            </w:r>
          </w:p>
        </w:tc>
        <w:tc>
          <w:tcPr>
            <w:tcW w:w="800" w:type="dxa"/>
            <w:tcBorders>
              <w:top w:val="nil"/>
              <w:left w:val="nil"/>
              <w:bottom w:val="nil"/>
              <w:right w:val="nil"/>
            </w:tcBorders>
            <w:shd w:val="clear" w:color="000000" w:fill="FFFFFF"/>
            <w:vAlign w:val="bottom"/>
            <w:hideMark/>
          </w:tcPr>
          <w:p w14:paraId="2976095F"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-114 076</w:t>
            </w:r>
          </w:p>
        </w:tc>
        <w:tc>
          <w:tcPr>
            <w:tcW w:w="546" w:type="dxa"/>
            <w:tcBorders>
              <w:top w:val="nil"/>
              <w:left w:val="nil"/>
              <w:bottom w:val="nil"/>
              <w:right w:val="nil"/>
            </w:tcBorders>
            <w:shd w:val="clear" w:color="000000" w:fill="FFFFFF"/>
            <w:vAlign w:val="bottom"/>
            <w:hideMark/>
          </w:tcPr>
          <w:p w14:paraId="3052464C"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-71,9</w:t>
            </w:r>
          </w:p>
        </w:tc>
      </w:tr>
      <w:tr w:rsidR="003E19FA" w:rsidRPr="003E19FA" w14:paraId="6F8DCCC9" w14:textId="77777777" w:rsidTr="008F02EC">
        <w:trPr>
          <w:trHeight w:val="330"/>
        </w:trPr>
        <w:tc>
          <w:tcPr>
            <w:tcW w:w="2967" w:type="dxa"/>
            <w:tcBorders>
              <w:top w:val="nil"/>
              <w:left w:val="nil"/>
              <w:bottom w:val="nil"/>
              <w:right w:val="nil"/>
            </w:tcBorders>
            <w:shd w:val="clear" w:color="000000" w:fill="FFFFFF"/>
            <w:noWrap/>
            <w:vAlign w:val="center"/>
            <w:hideMark/>
          </w:tcPr>
          <w:p w14:paraId="72CB7D42" w14:textId="77777777" w:rsidR="003E19FA" w:rsidRPr="003E19FA" w:rsidRDefault="003E19FA" w:rsidP="003E19FA">
            <w:pPr>
              <w:spacing w:after="0" w:line="240" w:lineRule="auto"/>
              <w:jc w:val="left"/>
              <w:rPr>
                <w:rFonts w:eastAsia="Times New Roman" w:cs="Times New Roman"/>
                <w:color w:val="000000"/>
                <w:sz w:val="18"/>
                <w:szCs w:val="18"/>
                <w:lang w:eastAsia="sk-SK"/>
              </w:rPr>
            </w:pPr>
            <w:r w:rsidRPr="003E19FA">
              <w:rPr>
                <w:rFonts w:eastAsia="Times New Roman" w:cs="Times New Roman"/>
                <w:color w:val="000000"/>
                <w:sz w:val="18"/>
                <w:szCs w:val="18"/>
                <w:lang w:eastAsia="sk-SK"/>
              </w:rPr>
              <w:t>Všeobecná pokladničná správa</w:t>
            </w:r>
          </w:p>
        </w:tc>
        <w:tc>
          <w:tcPr>
            <w:tcW w:w="992" w:type="dxa"/>
            <w:tcBorders>
              <w:top w:val="nil"/>
              <w:left w:val="nil"/>
              <w:bottom w:val="nil"/>
              <w:right w:val="nil"/>
            </w:tcBorders>
            <w:shd w:val="clear" w:color="000000" w:fill="FFFFFF"/>
            <w:noWrap/>
            <w:vAlign w:val="bottom"/>
            <w:hideMark/>
          </w:tcPr>
          <w:p w14:paraId="03914B62"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8 324</w:t>
            </w:r>
          </w:p>
        </w:tc>
        <w:tc>
          <w:tcPr>
            <w:tcW w:w="1025" w:type="dxa"/>
            <w:tcBorders>
              <w:top w:val="nil"/>
              <w:left w:val="nil"/>
              <w:bottom w:val="nil"/>
              <w:right w:val="nil"/>
            </w:tcBorders>
            <w:shd w:val="clear" w:color="000000" w:fill="FFFFFF"/>
            <w:noWrap/>
            <w:vAlign w:val="bottom"/>
            <w:hideMark/>
          </w:tcPr>
          <w:p w14:paraId="7805B28F"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9 562</w:t>
            </w:r>
          </w:p>
        </w:tc>
        <w:tc>
          <w:tcPr>
            <w:tcW w:w="960" w:type="dxa"/>
            <w:tcBorders>
              <w:top w:val="nil"/>
              <w:left w:val="nil"/>
              <w:bottom w:val="nil"/>
              <w:right w:val="nil"/>
            </w:tcBorders>
            <w:shd w:val="clear" w:color="000000" w:fill="FFFFFF"/>
            <w:noWrap/>
            <w:vAlign w:val="bottom"/>
            <w:hideMark/>
          </w:tcPr>
          <w:p w14:paraId="0DA00E7D"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5 100</w:t>
            </w:r>
          </w:p>
        </w:tc>
        <w:tc>
          <w:tcPr>
            <w:tcW w:w="992" w:type="dxa"/>
            <w:tcBorders>
              <w:top w:val="nil"/>
              <w:left w:val="nil"/>
              <w:bottom w:val="nil"/>
              <w:right w:val="nil"/>
            </w:tcBorders>
            <w:shd w:val="clear" w:color="000000" w:fill="BFBFBF"/>
            <w:noWrap/>
            <w:vAlign w:val="bottom"/>
            <w:hideMark/>
          </w:tcPr>
          <w:p w14:paraId="505892AC"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42 742</w:t>
            </w:r>
          </w:p>
        </w:tc>
        <w:tc>
          <w:tcPr>
            <w:tcW w:w="1064" w:type="dxa"/>
            <w:tcBorders>
              <w:top w:val="nil"/>
              <w:left w:val="nil"/>
              <w:bottom w:val="nil"/>
              <w:right w:val="nil"/>
            </w:tcBorders>
            <w:shd w:val="clear" w:color="000000" w:fill="BFBFBF"/>
            <w:noWrap/>
            <w:vAlign w:val="bottom"/>
            <w:hideMark/>
          </w:tcPr>
          <w:p w14:paraId="70FFB257"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20 011</w:t>
            </w:r>
          </w:p>
        </w:tc>
        <w:tc>
          <w:tcPr>
            <w:tcW w:w="800" w:type="dxa"/>
            <w:tcBorders>
              <w:top w:val="nil"/>
              <w:left w:val="nil"/>
              <w:bottom w:val="nil"/>
              <w:right w:val="nil"/>
            </w:tcBorders>
            <w:shd w:val="clear" w:color="000000" w:fill="FFFFFF"/>
            <w:vAlign w:val="bottom"/>
            <w:hideMark/>
          </w:tcPr>
          <w:p w14:paraId="1C6995FD"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37 642</w:t>
            </w:r>
          </w:p>
        </w:tc>
        <w:tc>
          <w:tcPr>
            <w:tcW w:w="546" w:type="dxa"/>
            <w:tcBorders>
              <w:top w:val="nil"/>
              <w:left w:val="nil"/>
              <w:bottom w:val="nil"/>
              <w:right w:val="nil"/>
            </w:tcBorders>
            <w:shd w:val="clear" w:color="000000" w:fill="FFFFFF"/>
            <w:vAlign w:val="bottom"/>
            <w:hideMark/>
          </w:tcPr>
          <w:p w14:paraId="19ABD16C"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738,1</w:t>
            </w:r>
          </w:p>
        </w:tc>
      </w:tr>
      <w:tr w:rsidR="003E19FA" w:rsidRPr="003E19FA" w14:paraId="6996626D" w14:textId="77777777" w:rsidTr="008F02EC">
        <w:trPr>
          <w:trHeight w:val="480"/>
        </w:trPr>
        <w:tc>
          <w:tcPr>
            <w:tcW w:w="2967" w:type="dxa"/>
            <w:tcBorders>
              <w:top w:val="nil"/>
              <w:left w:val="nil"/>
              <w:bottom w:val="nil"/>
              <w:right w:val="nil"/>
            </w:tcBorders>
            <w:shd w:val="clear" w:color="000000" w:fill="FFFFFF"/>
            <w:vAlign w:val="center"/>
            <w:hideMark/>
          </w:tcPr>
          <w:p w14:paraId="2DF62FD6" w14:textId="77777777" w:rsidR="003E19FA" w:rsidRPr="003E19FA" w:rsidRDefault="003E19FA" w:rsidP="003E19FA">
            <w:pPr>
              <w:spacing w:after="0" w:line="240" w:lineRule="auto"/>
              <w:jc w:val="left"/>
              <w:rPr>
                <w:rFonts w:eastAsia="Times New Roman" w:cs="Times New Roman"/>
                <w:color w:val="000000"/>
                <w:sz w:val="18"/>
                <w:szCs w:val="18"/>
                <w:lang w:eastAsia="sk-SK"/>
              </w:rPr>
            </w:pPr>
            <w:r w:rsidRPr="003E19FA">
              <w:rPr>
                <w:rFonts w:eastAsia="Times New Roman" w:cs="Times New Roman"/>
                <w:color w:val="000000"/>
                <w:sz w:val="18"/>
                <w:szCs w:val="18"/>
                <w:lang w:eastAsia="sk-SK"/>
              </w:rPr>
              <w:t>Ministerstvo školstva, vedy, výskumu a športu SR</w:t>
            </w:r>
          </w:p>
        </w:tc>
        <w:tc>
          <w:tcPr>
            <w:tcW w:w="992" w:type="dxa"/>
            <w:tcBorders>
              <w:top w:val="nil"/>
              <w:left w:val="nil"/>
              <w:bottom w:val="nil"/>
              <w:right w:val="nil"/>
            </w:tcBorders>
            <w:shd w:val="clear" w:color="000000" w:fill="FFFFFF"/>
            <w:noWrap/>
            <w:vAlign w:val="bottom"/>
            <w:hideMark/>
          </w:tcPr>
          <w:p w14:paraId="5895DF1C"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232</w:t>
            </w:r>
          </w:p>
        </w:tc>
        <w:tc>
          <w:tcPr>
            <w:tcW w:w="1025" w:type="dxa"/>
            <w:tcBorders>
              <w:top w:val="nil"/>
              <w:left w:val="nil"/>
              <w:bottom w:val="nil"/>
              <w:right w:val="nil"/>
            </w:tcBorders>
            <w:shd w:val="clear" w:color="000000" w:fill="FFFFFF"/>
            <w:noWrap/>
            <w:vAlign w:val="bottom"/>
            <w:hideMark/>
          </w:tcPr>
          <w:p w14:paraId="089D221F"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492</w:t>
            </w:r>
          </w:p>
        </w:tc>
        <w:tc>
          <w:tcPr>
            <w:tcW w:w="960" w:type="dxa"/>
            <w:tcBorders>
              <w:top w:val="nil"/>
              <w:left w:val="nil"/>
              <w:bottom w:val="nil"/>
              <w:right w:val="nil"/>
            </w:tcBorders>
            <w:shd w:val="clear" w:color="000000" w:fill="FFFFFF"/>
            <w:noWrap/>
            <w:vAlign w:val="bottom"/>
            <w:hideMark/>
          </w:tcPr>
          <w:p w14:paraId="0F32B6C9"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575</w:t>
            </w:r>
          </w:p>
        </w:tc>
        <w:tc>
          <w:tcPr>
            <w:tcW w:w="992" w:type="dxa"/>
            <w:tcBorders>
              <w:top w:val="nil"/>
              <w:left w:val="nil"/>
              <w:bottom w:val="nil"/>
              <w:right w:val="nil"/>
            </w:tcBorders>
            <w:shd w:val="clear" w:color="000000" w:fill="BFBFBF"/>
            <w:noWrap/>
            <w:vAlign w:val="bottom"/>
            <w:hideMark/>
          </w:tcPr>
          <w:p w14:paraId="279B075A"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16 759</w:t>
            </w:r>
          </w:p>
        </w:tc>
        <w:tc>
          <w:tcPr>
            <w:tcW w:w="1064" w:type="dxa"/>
            <w:tcBorders>
              <w:top w:val="nil"/>
              <w:left w:val="nil"/>
              <w:bottom w:val="nil"/>
              <w:right w:val="nil"/>
            </w:tcBorders>
            <w:shd w:val="clear" w:color="000000" w:fill="BFBFBF"/>
            <w:noWrap/>
            <w:vAlign w:val="bottom"/>
            <w:hideMark/>
          </w:tcPr>
          <w:p w14:paraId="0175C25E"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3 306</w:t>
            </w:r>
          </w:p>
        </w:tc>
        <w:tc>
          <w:tcPr>
            <w:tcW w:w="800" w:type="dxa"/>
            <w:tcBorders>
              <w:top w:val="nil"/>
              <w:left w:val="nil"/>
              <w:bottom w:val="nil"/>
              <w:right w:val="nil"/>
            </w:tcBorders>
            <w:shd w:val="clear" w:color="000000" w:fill="FFFFFF"/>
            <w:vAlign w:val="bottom"/>
            <w:hideMark/>
          </w:tcPr>
          <w:p w14:paraId="1DAE4C3E"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16 184</w:t>
            </w:r>
          </w:p>
        </w:tc>
        <w:tc>
          <w:tcPr>
            <w:tcW w:w="546" w:type="dxa"/>
            <w:tcBorders>
              <w:top w:val="nil"/>
              <w:left w:val="nil"/>
              <w:bottom w:val="nil"/>
              <w:right w:val="nil"/>
            </w:tcBorders>
            <w:shd w:val="clear" w:color="000000" w:fill="FFFFFF"/>
            <w:vAlign w:val="bottom"/>
            <w:hideMark/>
          </w:tcPr>
          <w:p w14:paraId="42AFB3ED"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2 814,6</w:t>
            </w:r>
          </w:p>
        </w:tc>
      </w:tr>
      <w:tr w:rsidR="003E19FA" w:rsidRPr="003E19FA" w14:paraId="0BFB4069" w14:textId="77777777" w:rsidTr="008F02EC">
        <w:trPr>
          <w:trHeight w:val="330"/>
        </w:trPr>
        <w:tc>
          <w:tcPr>
            <w:tcW w:w="2967" w:type="dxa"/>
            <w:tcBorders>
              <w:top w:val="nil"/>
              <w:left w:val="nil"/>
              <w:bottom w:val="nil"/>
              <w:right w:val="nil"/>
            </w:tcBorders>
            <w:shd w:val="clear" w:color="000000" w:fill="FFFFFF"/>
            <w:noWrap/>
            <w:vAlign w:val="center"/>
            <w:hideMark/>
          </w:tcPr>
          <w:p w14:paraId="494AD127" w14:textId="77777777" w:rsidR="003E19FA" w:rsidRPr="003E19FA" w:rsidRDefault="003E19FA" w:rsidP="003E19FA">
            <w:pPr>
              <w:spacing w:after="0" w:line="240" w:lineRule="auto"/>
              <w:jc w:val="left"/>
              <w:rPr>
                <w:rFonts w:eastAsia="Times New Roman" w:cs="Times New Roman"/>
                <w:color w:val="000000"/>
                <w:sz w:val="18"/>
                <w:szCs w:val="18"/>
                <w:lang w:eastAsia="sk-SK"/>
              </w:rPr>
            </w:pPr>
            <w:r w:rsidRPr="003E19FA">
              <w:rPr>
                <w:rFonts w:eastAsia="Times New Roman" w:cs="Times New Roman"/>
                <w:color w:val="000000"/>
                <w:sz w:val="18"/>
                <w:szCs w:val="18"/>
                <w:lang w:eastAsia="sk-SK"/>
              </w:rPr>
              <w:t>Úrad vlády SR</w:t>
            </w:r>
          </w:p>
        </w:tc>
        <w:tc>
          <w:tcPr>
            <w:tcW w:w="992" w:type="dxa"/>
            <w:tcBorders>
              <w:top w:val="nil"/>
              <w:left w:val="nil"/>
              <w:bottom w:val="nil"/>
              <w:right w:val="nil"/>
            </w:tcBorders>
            <w:shd w:val="clear" w:color="000000" w:fill="FFFFFF"/>
            <w:noWrap/>
            <w:vAlign w:val="bottom"/>
            <w:hideMark/>
          </w:tcPr>
          <w:p w14:paraId="5646B20A"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1 761</w:t>
            </w:r>
          </w:p>
        </w:tc>
        <w:tc>
          <w:tcPr>
            <w:tcW w:w="1025" w:type="dxa"/>
            <w:tcBorders>
              <w:top w:val="nil"/>
              <w:left w:val="nil"/>
              <w:bottom w:val="nil"/>
              <w:right w:val="nil"/>
            </w:tcBorders>
            <w:shd w:val="clear" w:color="000000" w:fill="FFFFFF"/>
            <w:noWrap/>
            <w:vAlign w:val="bottom"/>
            <w:hideMark/>
          </w:tcPr>
          <w:p w14:paraId="7129008C"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2 686</w:t>
            </w:r>
          </w:p>
        </w:tc>
        <w:tc>
          <w:tcPr>
            <w:tcW w:w="960" w:type="dxa"/>
            <w:tcBorders>
              <w:top w:val="nil"/>
              <w:left w:val="nil"/>
              <w:bottom w:val="nil"/>
              <w:right w:val="nil"/>
            </w:tcBorders>
            <w:shd w:val="clear" w:color="000000" w:fill="FFFFFF"/>
            <w:noWrap/>
            <w:vAlign w:val="bottom"/>
            <w:hideMark/>
          </w:tcPr>
          <w:p w14:paraId="4D06EFAC"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0</w:t>
            </w:r>
          </w:p>
        </w:tc>
        <w:tc>
          <w:tcPr>
            <w:tcW w:w="992" w:type="dxa"/>
            <w:tcBorders>
              <w:top w:val="nil"/>
              <w:left w:val="nil"/>
              <w:bottom w:val="nil"/>
              <w:right w:val="nil"/>
            </w:tcBorders>
            <w:shd w:val="clear" w:color="000000" w:fill="BFBFBF"/>
            <w:noWrap/>
            <w:vAlign w:val="bottom"/>
            <w:hideMark/>
          </w:tcPr>
          <w:p w14:paraId="1E257A38"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12 836</w:t>
            </w:r>
          </w:p>
        </w:tc>
        <w:tc>
          <w:tcPr>
            <w:tcW w:w="1064" w:type="dxa"/>
            <w:tcBorders>
              <w:top w:val="nil"/>
              <w:left w:val="nil"/>
              <w:bottom w:val="nil"/>
              <w:right w:val="nil"/>
            </w:tcBorders>
            <w:shd w:val="clear" w:color="000000" w:fill="BFBFBF"/>
            <w:noWrap/>
            <w:vAlign w:val="bottom"/>
            <w:hideMark/>
          </w:tcPr>
          <w:p w14:paraId="1ECE7CEE"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2 531</w:t>
            </w:r>
          </w:p>
        </w:tc>
        <w:tc>
          <w:tcPr>
            <w:tcW w:w="800" w:type="dxa"/>
            <w:tcBorders>
              <w:top w:val="nil"/>
              <w:left w:val="nil"/>
              <w:bottom w:val="nil"/>
              <w:right w:val="nil"/>
            </w:tcBorders>
            <w:shd w:val="clear" w:color="000000" w:fill="FFFFFF"/>
            <w:vAlign w:val="bottom"/>
            <w:hideMark/>
          </w:tcPr>
          <w:p w14:paraId="729B6DFB"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12 836</w:t>
            </w:r>
          </w:p>
        </w:tc>
        <w:tc>
          <w:tcPr>
            <w:tcW w:w="546" w:type="dxa"/>
            <w:tcBorders>
              <w:top w:val="nil"/>
              <w:left w:val="nil"/>
              <w:bottom w:val="nil"/>
              <w:right w:val="nil"/>
            </w:tcBorders>
            <w:shd w:val="clear" w:color="000000" w:fill="FFFFFF"/>
            <w:vAlign w:val="bottom"/>
            <w:hideMark/>
          </w:tcPr>
          <w:p w14:paraId="4FD726E0"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x</w:t>
            </w:r>
          </w:p>
        </w:tc>
      </w:tr>
      <w:tr w:rsidR="003E19FA" w:rsidRPr="003E19FA" w14:paraId="30120410" w14:textId="77777777" w:rsidTr="008F02EC">
        <w:trPr>
          <w:trHeight w:val="330"/>
        </w:trPr>
        <w:tc>
          <w:tcPr>
            <w:tcW w:w="2967" w:type="dxa"/>
            <w:tcBorders>
              <w:top w:val="nil"/>
              <w:left w:val="nil"/>
              <w:bottom w:val="nil"/>
              <w:right w:val="nil"/>
            </w:tcBorders>
            <w:shd w:val="clear" w:color="000000" w:fill="FFFFFF"/>
            <w:vAlign w:val="center"/>
            <w:hideMark/>
          </w:tcPr>
          <w:p w14:paraId="40E2B83D" w14:textId="77777777" w:rsidR="003E19FA" w:rsidRPr="003E19FA" w:rsidRDefault="003E19FA" w:rsidP="003E19FA">
            <w:pPr>
              <w:spacing w:after="0" w:line="240" w:lineRule="auto"/>
              <w:jc w:val="left"/>
              <w:rPr>
                <w:rFonts w:eastAsia="Times New Roman" w:cs="Times New Roman"/>
                <w:color w:val="000000"/>
                <w:sz w:val="18"/>
                <w:szCs w:val="18"/>
                <w:lang w:eastAsia="sk-SK"/>
              </w:rPr>
            </w:pPr>
            <w:r w:rsidRPr="003E19FA">
              <w:rPr>
                <w:rFonts w:eastAsia="Times New Roman" w:cs="Times New Roman"/>
                <w:color w:val="000000"/>
                <w:sz w:val="18"/>
                <w:szCs w:val="18"/>
                <w:lang w:eastAsia="sk-SK"/>
              </w:rPr>
              <w:t>Ministerstvo kultúry SR</w:t>
            </w:r>
          </w:p>
        </w:tc>
        <w:tc>
          <w:tcPr>
            <w:tcW w:w="992" w:type="dxa"/>
            <w:tcBorders>
              <w:top w:val="nil"/>
              <w:left w:val="nil"/>
              <w:bottom w:val="nil"/>
              <w:right w:val="nil"/>
            </w:tcBorders>
            <w:shd w:val="clear" w:color="000000" w:fill="FFFFFF"/>
            <w:noWrap/>
            <w:vAlign w:val="bottom"/>
            <w:hideMark/>
          </w:tcPr>
          <w:p w14:paraId="54C2C98F"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1 717</w:t>
            </w:r>
          </w:p>
        </w:tc>
        <w:tc>
          <w:tcPr>
            <w:tcW w:w="1025" w:type="dxa"/>
            <w:tcBorders>
              <w:top w:val="nil"/>
              <w:left w:val="nil"/>
              <w:bottom w:val="nil"/>
              <w:right w:val="nil"/>
            </w:tcBorders>
            <w:shd w:val="clear" w:color="000000" w:fill="FFFFFF"/>
            <w:noWrap/>
            <w:vAlign w:val="bottom"/>
            <w:hideMark/>
          </w:tcPr>
          <w:p w14:paraId="4FBB6524"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2 957</w:t>
            </w:r>
          </w:p>
        </w:tc>
        <w:tc>
          <w:tcPr>
            <w:tcW w:w="960" w:type="dxa"/>
            <w:tcBorders>
              <w:top w:val="nil"/>
              <w:left w:val="nil"/>
              <w:bottom w:val="nil"/>
              <w:right w:val="nil"/>
            </w:tcBorders>
            <w:shd w:val="clear" w:color="000000" w:fill="FFFFFF"/>
            <w:noWrap/>
            <w:vAlign w:val="bottom"/>
            <w:hideMark/>
          </w:tcPr>
          <w:p w14:paraId="6323E906"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0</w:t>
            </w:r>
          </w:p>
        </w:tc>
        <w:tc>
          <w:tcPr>
            <w:tcW w:w="992" w:type="dxa"/>
            <w:tcBorders>
              <w:top w:val="nil"/>
              <w:left w:val="nil"/>
              <w:bottom w:val="nil"/>
              <w:right w:val="nil"/>
            </w:tcBorders>
            <w:shd w:val="clear" w:color="000000" w:fill="BFBFBF"/>
            <w:noWrap/>
            <w:vAlign w:val="bottom"/>
            <w:hideMark/>
          </w:tcPr>
          <w:p w14:paraId="73AF67F0"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6 422</w:t>
            </w:r>
          </w:p>
        </w:tc>
        <w:tc>
          <w:tcPr>
            <w:tcW w:w="1064" w:type="dxa"/>
            <w:tcBorders>
              <w:top w:val="nil"/>
              <w:left w:val="nil"/>
              <w:bottom w:val="nil"/>
              <w:right w:val="nil"/>
            </w:tcBorders>
            <w:shd w:val="clear" w:color="000000" w:fill="BFBFBF"/>
            <w:noWrap/>
            <w:vAlign w:val="bottom"/>
            <w:hideMark/>
          </w:tcPr>
          <w:p w14:paraId="2B335D72"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4 024</w:t>
            </w:r>
          </w:p>
        </w:tc>
        <w:tc>
          <w:tcPr>
            <w:tcW w:w="800" w:type="dxa"/>
            <w:tcBorders>
              <w:top w:val="nil"/>
              <w:left w:val="nil"/>
              <w:bottom w:val="nil"/>
              <w:right w:val="nil"/>
            </w:tcBorders>
            <w:shd w:val="clear" w:color="000000" w:fill="FFFFFF"/>
            <w:vAlign w:val="bottom"/>
            <w:hideMark/>
          </w:tcPr>
          <w:p w14:paraId="6C94B09C"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6 422</w:t>
            </w:r>
          </w:p>
        </w:tc>
        <w:tc>
          <w:tcPr>
            <w:tcW w:w="546" w:type="dxa"/>
            <w:tcBorders>
              <w:top w:val="nil"/>
              <w:left w:val="nil"/>
              <w:bottom w:val="nil"/>
              <w:right w:val="nil"/>
            </w:tcBorders>
            <w:shd w:val="clear" w:color="000000" w:fill="FFFFFF"/>
            <w:vAlign w:val="bottom"/>
            <w:hideMark/>
          </w:tcPr>
          <w:p w14:paraId="1F48347B"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x</w:t>
            </w:r>
          </w:p>
        </w:tc>
      </w:tr>
      <w:tr w:rsidR="003E19FA" w:rsidRPr="003E19FA" w14:paraId="78B0089F" w14:textId="77777777" w:rsidTr="008F02EC">
        <w:trPr>
          <w:trHeight w:val="330"/>
        </w:trPr>
        <w:tc>
          <w:tcPr>
            <w:tcW w:w="2967" w:type="dxa"/>
            <w:tcBorders>
              <w:top w:val="nil"/>
              <w:left w:val="nil"/>
              <w:bottom w:val="nil"/>
              <w:right w:val="nil"/>
            </w:tcBorders>
            <w:shd w:val="clear" w:color="000000" w:fill="FFFFFF"/>
            <w:vAlign w:val="center"/>
            <w:hideMark/>
          </w:tcPr>
          <w:p w14:paraId="3E32A830" w14:textId="77777777" w:rsidR="003E19FA" w:rsidRPr="003E19FA" w:rsidRDefault="003E19FA" w:rsidP="003E19FA">
            <w:pPr>
              <w:spacing w:after="0" w:line="240" w:lineRule="auto"/>
              <w:jc w:val="left"/>
              <w:rPr>
                <w:rFonts w:eastAsia="Times New Roman" w:cs="Times New Roman"/>
                <w:color w:val="000000"/>
                <w:sz w:val="18"/>
                <w:szCs w:val="18"/>
                <w:lang w:eastAsia="sk-SK"/>
              </w:rPr>
            </w:pPr>
            <w:r w:rsidRPr="003E19FA">
              <w:rPr>
                <w:rFonts w:eastAsia="Times New Roman" w:cs="Times New Roman"/>
                <w:color w:val="000000"/>
                <w:sz w:val="18"/>
                <w:szCs w:val="18"/>
                <w:lang w:eastAsia="sk-SK"/>
              </w:rPr>
              <w:t>Ministerstvo hospodárstva SR</w:t>
            </w:r>
          </w:p>
        </w:tc>
        <w:tc>
          <w:tcPr>
            <w:tcW w:w="992" w:type="dxa"/>
            <w:tcBorders>
              <w:top w:val="nil"/>
              <w:left w:val="nil"/>
              <w:bottom w:val="nil"/>
              <w:right w:val="nil"/>
            </w:tcBorders>
            <w:shd w:val="clear" w:color="000000" w:fill="FFFFFF"/>
            <w:noWrap/>
            <w:vAlign w:val="bottom"/>
            <w:hideMark/>
          </w:tcPr>
          <w:p w14:paraId="386B1321"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64 328</w:t>
            </w:r>
          </w:p>
        </w:tc>
        <w:tc>
          <w:tcPr>
            <w:tcW w:w="1025" w:type="dxa"/>
            <w:tcBorders>
              <w:top w:val="nil"/>
              <w:left w:val="nil"/>
              <w:bottom w:val="nil"/>
              <w:right w:val="nil"/>
            </w:tcBorders>
            <w:shd w:val="clear" w:color="000000" w:fill="FFFFFF"/>
            <w:noWrap/>
            <w:vAlign w:val="bottom"/>
            <w:hideMark/>
          </w:tcPr>
          <w:p w14:paraId="7EC99CB8"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0</w:t>
            </w:r>
          </w:p>
        </w:tc>
        <w:tc>
          <w:tcPr>
            <w:tcW w:w="960" w:type="dxa"/>
            <w:tcBorders>
              <w:top w:val="nil"/>
              <w:left w:val="nil"/>
              <w:bottom w:val="nil"/>
              <w:right w:val="nil"/>
            </w:tcBorders>
            <w:shd w:val="clear" w:color="000000" w:fill="FFFFFF"/>
            <w:noWrap/>
            <w:vAlign w:val="bottom"/>
            <w:hideMark/>
          </w:tcPr>
          <w:p w14:paraId="178E46D7"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5 000</w:t>
            </w:r>
          </w:p>
        </w:tc>
        <w:tc>
          <w:tcPr>
            <w:tcW w:w="992" w:type="dxa"/>
            <w:tcBorders>
              <w:top w:val="nil"/>
              <w:left w:val="nil"/>
              <w:bottom w:val="nil"/>
              <w:right w:val="nil"/>
            </w:tcBorders>
            <w:shd w:val="clear" w:color="000000" w:fill="BFBFBF"/>
            <w:noWrap/>
            <w:vAlign w:val="bottom"/>
            <w:hideMark/>
          </w:tcPr>
          <w:p w14:paraId="484073A8"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5 157</w:t>
            </w:r>
          </w:p>
        </w:tc>
        <w:tc>
          <w:tcPr>
            <w:tcW w:w="1064" w:type="dxa"/>
            <w:tcBorders>
              <w:top w:val="nil"/>
              <w:left w:val="nil"/>
              <w:bottom w:val="nil"/>
              <w:right w:val="nil"/>
            </w:tcBorders>
            <w:shd w:val="clear" w:color="000000" w:fill="BFBFBF"/>
            <w:noWrap/>
            <w:vAlign w:val="bottom"/>
            <w:hideMark/>
          </w:tcPr>
          <w:p w14:paraId="6BA1CDCB"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2 879</w:t>
            </w:r>
          </w:p>
        </w:tc>
        <w:tc>
          <w:tcPr>
            <w:tcW w:w="800" w:type="dxa"/>
            <w:tcBorders>
              <w:top w:val="nil"/>
              <w:left w:val="nil"/>
              <w:bottom w:val="nil"/>
              <w:right w:val="nil"/>
            </w:tcBorders>
            <w:shd w:val="clear" w:color="000000" w:fill="FFFFFF"/>
            <w:vAlign w:val="bottom"/>
            <w:hideMark/>
          </w:tcPr>
          <w:p w14:paraId="3960D5D0"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157</w:t>
            </w:r>
          </w:p>
        </w:tc>
        <w:tc>
          <w:tcPr>
            <w:tcW w:w="546" w:type="dxa"/>
            <w:tcBorders>
              <w:top w:val="nil"/>
              <w:left w:val="nil"/>
              <w:bottom w:val="nil"/>
              <w:right w:val="nil"/>
            </w:tcBorders>
            <w:shd w:val="clear" w:color="000000" w:fill="FFFFFF"/>
            <w:vAlign w:val="bottom"/>
            <w:hideMark/>
          </w:tcPr>
          <w:p w14:paraId="52F76A26"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3,1</w:t>
            </w:r>
          </w:p>
        </w:tc>
      </w:tr>
      <w:tr w:rsidR="003E19FA" w:rsidRPr="003E19FA" w14:paraId="1B8F1F64" w14:textId="77777777" w:rsidTr="008F02EC">
        <w:trPr>
          <w:trHeight w:val="330"/>
        </w:trPr>
        <w:tc>
          <w:tcPr>
            <w:tcW w:w="2967" w:type="dxa"/>
            <w:tcBorders>
              <w:top w:val="nil"/>
              <w:left w:val="nil"/>
              <w:bottom w:val="nil"/>
              <w:right w:val="nil"/>
            </w:tcBorders>
            <w:shd w:val="clear" w:color="000000" w:fill="FFFFFF"/>
            <w:vAlign w:val="center"/>
            <w:hideMark/>
          </w:tcPr>
          <w:p w14:paraId="1447AD48" w14:textId="77777777" w:rsidR="003E19FA" w:rsidRPr="003E19FA" w:rsidRDefault="003E19FA" w:rsidP="003E19FA">
            <w:pPr>
              <w:spacing w:after="0" w:line="240" w:lineRule="auto"/>
              <w:jc w:val="left"/>
              <w:rPr>
                <w:rFonts w:eastAsia="Times New Roman" w:cs="Times New Roman"/>
                <w:color w:val="000000"/>
                <w:sz w:val="18"/>
                <w:szCs w:val="18"/>
                <w:lang w:eastAsia="sk-SK"/>
              </w:rPr>
            </w:pPr>
            <w:r w:rsidRPr="003E19FA">
              <w:rPr>
                <w:rFonts w:eastAsia="Times New Roman" w:cs="Times New Roman"/>
                <w:color w:val="000000"/>
                <w:sz w:val="18"/>
                <w:szCs w:val="18"/>
                <w:lang w:eastAsia="sk-SK"/>
              </w:rPr>
              <w:t>Ministerstvo zdravotníctva SR</w:t>
            </w:r>
          </w:p>
        </w:tc>
        <w:tc>
          <w:tcPr>
            <w:tcW w:w="992" w:type="dxa"/>
            <w:tcBorders>
              <w:top w:val="nil"/>
              <w:left w:val="nil"/>
              <w:bottom w:val="nil"/>
              <w:right w:val="nil"/>
            </w:tcBorders>
            <w:shd w:val="clear" w:color="000000" w:fill="FFFFFF"/>
            <w:noWrap/>
            <w:vAlign w:val="bottom"/>
            <w:hideMark/>
          </w:tcPr>
          <w:p w14:paraId="1CCF5DD4"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868</w:t>
            </w:r>
          </w:p>
        </w:tc>
        <w:tc>
          <w:tcPr>
            <w:tcW w:w="1025" w:type="dxa"/>
            <w:tcBorders>
              <w:top w:val="nil"/>
              <w:left w:val="nil"/>
              <w:bottom w:val="nil"/>
              <w:right w:val="nil"/>
            </w:tcBorders>
            <w:shd w:val="clear" w:color="000000" w:fill="FFFFFF"/>
            <w:noWrap/>
            <w:vAlign w:val="bottom"/>
            <w:hideMark/>
          </w:tcPr>
          <w:p w14:paraId="5A4F4A1B"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0</w:t>
            </w:r>
          </w:p>
        </w:tc>
        <w:tc>
          <w:tcPr>
            <w:tcW w:w="960" w:type="dxa"/>
            <w:tcBorders>
              <w:top w:val="nil"/>
              <w:left w:val="nil"/>
              <w:bottom w:val="nil"/>
              <w:right w:val="nil"/>
            </w:tcBorders>
            <w:shd w:val="clear" w:color="000000" w:fill="FFFFFF"/>
            <w:noWrap/>
            <w:vAlign w:val="bottom"/>
            <w:hideMark/>
          </w:tcPr>
          <w:p w14:paraId="2EDAE193"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0</w:t>
            </w:r>
          </w:p>
        </w:tc>
        <w:tc>
          <w:tcPr>
            <w:tcW w:w="992" w:type="dxa"/>
            <w:tcBorders>
              <w:top w:val="nil"/>
              <w:left w:val="nil"/>
              <w:bottom w:val="nil"/>
              <w:right w:val="nil"/>
            </w:tcBorders>
            <w:shd w:val="clear" w:color="000000" w:fill="BFBFBF"/>
            <w:noWrap/>
            <w:vAlign w:val="bottom"/>
            <w:hideMark/>
          </w:tcPr>
          <w:p w14:paraId="1E0C903B"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20</w:t>
            </w:r>
          </w:p>
        </w:tc>
        <w:tc>
          <w:tcPr>
            <w:tcW w:w="1064" w:type="dxa"/>
            <w:tcBorders>
              <w:top w:val="nil"/>
              <w:left w:val="nil"/>
              <w:bottom w:val="nil"/>
              <w:right w:val="nil"/>
            </w:tcBorders>
            <w:shd w:val="clear" w:color="000000" w:fill="BFBFBF"/>
            <w:noWrap/>
            <w:vAlign w:val="bottom"/>
            <w:hideMark/>
          </w:tcPr>
          <w:p w14:paraId="6305FA61"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20</w:t>
            </w:r>
          </w:p>
        </w:tc>
        <w:tc>
          <w:tcPr>
            <w:tcW w:w="800" w:type="dxa"/>
            <w:tcBorders>
              <w:top w:val="nil"/>
              <w:left w:val="nil"/>
              <w:bottom w:val="nil"/>
              <w:right w:val="nil"/>
            </w:tcBorders>
            <w:shd w:val="clear" w:color="000000" w:fill="FFFFFF"/>
            <w:vAlign w:val="bottom"/>
            <w:hideMark/>
          </w:tcPr>
          <w:p w14:paraId="776337FF"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20</w:t>
            </w:r>
          </w:p>
        </w:tc>
        <w:tc>
          <w:tcPr>
            <w:tcW w:w="546" w:type="dxa"/>
            <w:tcBorders>
              <w:top w:val="nil"/>
              <w:left w:val="nil"/>
              <w:bottom w:val="nil"/>
              <w:right w:val="nil"/>
            </w:tcBorders>
            <w:shd w:val="clear" w:color="000000" w:fill="FFFFFF"/>
            <w:vAlign w:val="bottom"/>
            <w:hideMark/>
          </w:tcPr>
          <w:p w14:paraId="34682CE5"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x</w:t>
            </w:r>
          </w:p>
        </w:tc>
      </w:tr>
      <w:tr w:rsidR="003E19FA" w:rsidRPr="003E19FA" w14:paraId="2B630846" w14:textId="77777777" w:rsidTr="008F02EC">
        <w:trPr>
          <w:trHeight w:val="330"/>
        </w:trPr>
        <w:tc>
          <w:tcPr>
            <w:tcW w:w="2967" w:type="dxa"/>
            <w:tcBorders>
              <w:top w:val="nil"/>
              <w:left w:val="nil"/>
              <w:bottom w:val="nil"/>
              <w:right w:val="nil"/>
            </w:tcBorders>
            <w:shd w:val="clear" w:color="000000" w:fill="FFFFFF"/>
            <w:noWrap/>
            <w:vAlign w:val="center"/>
            <w:hideMark/>
          </w:tcPr>
          <w:p w14:paraId="5CB3FCC5" w14:textId="77777777" w:rsidR="003E19FA" w:rsidRPr="003E19FA" w:rsidRDefault="003E19FA" w:rsidP="003E19FA">
            <w:pPr>
              <w:spacing w:after="0" w:line="240" w:lineRule="auto"/>
              <w:jc w:val="left"/>
              <w:rPr>
                <w:rFonts w:eastAsia="Times New Roman" w:cs="Times New Roman"/>
                <w:color w:val="000000"/>
                <w:sz w:val="18"/>
                <w:szCs w:val="18"/>
                <w:lang w:eastAsia="sk-SK"/>
              </w:rPr>
            </w:pPr>
            <w:r w:rsidRPr="003E19FA">
              <w:rPr>
                <w:rFonts w:eastAsia="Times New Roman" w:cs="Times New Roman"/>
                <w:color w:val="000000"/>
                <w:sz w:val="18"/>
                <w:szCs w:val="18"/>
                <w:lang w:eastAsia="sk-SK"/>
              </w:rPr>
              <w:t>Ministerstvo spravodlivosti SR</w:t>
            </w:r>
          </w:p>
        </w:tc>
        <w:tc>
          <w:tcPr>
            <w:tcW w:w="992" w:type="dxa"/>
            <w:tcBorders>
              <w:top w:val="nil"/>
              <w:left w:val="nil"/>
              <w:bottom w:val="nil"/>
              <w:right w:val="nil"/>
            </w:tcBorders>
            <w:shd w:val="clear" w:color="000000" w:fill="FFFFFF"/>
            <w:noWrap/>
            <w:vAlign w:val="bottom"/>
            <w:hideMark/>
          </w:tcPr>
          <w:p w14:paraId="7FF4E94E"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0</w:t>
            </w:r>
          </w:p>
        </w:tc>
        <w:tc>
          <w:tcPr>
            <w:tcW w:w="1025" w:type="dxa"/>
            <w:tcBorders>
              <w:top w:val="nil"/>
              <w:left w:val="nil"/>
              <w:bottom w:val="nil"/>
              <w:right w:val="nil"/>
            </w:tcBorders>
            <w:shd w:val="clear" w:color="000000" w:fill="FFFFFF"/>
            <w:noWrap/>
            <w:vAlign w:val="bottom"/>
            <w:hideMark/>
          </w:tcPr>
          <w:p w14:paraId="71A74A12"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10</w:t>
            </w:r>
          </w:p>
        </w:tc>
        <w:tc>
          <w:tcPr>
            <w:tcW w:w="960" w:type="dxa"/>
            <w:tcBorders>
              <w:top w:val="nil"/>
              <w:left w:val="nil"/>
              <w:bottom w:val="nil"/>
              <w:right w:val="nil"/>
            </w:tcBorders>
            <w:shd w:val="clear" w:color="000000" w:fill="FFFFFF"/>
            <w:noWrap/>
            <w:vAlign w:val="bottom"/>
            <w:hideMark/>
          </w:tcPr>
          <w:p w14:paraId="39D194BE"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x</w:t>
            </w:r>
          </w:p>
        </w:tc>
        <w:tc>
          <w:tcPr>
            <w:tcW w:w="992" w:type="dxa"/>
            <w:tcBorders>
              <w:top w:val="nil"/>
              <w:left w:val="nil"/>
              <w:bottom w:val="nil"/>
              <w:right w:val="nil"/>
            </w:tcBorders>
            <w:shd w:val="clear" w:color="000000" w:fill="BFBFBF"/>
            <w:noWrap/>
            <w:vAlign w:val="bottom"/>
            <w:hideMark/>
          </w:tcPr>
          <w:p w14:paraId="38440EC5"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x</w:t>
            </w:r>
          </w:p>
        </w:tc>
        <w:tc>
          <w:tcPr>
            <w:tcW w:w="1064" w:type="dxa"/>
            <w:tcBorders>
              <w:top w:val="nil"/>
              <w:left w:val="nil"/>
              <w:bottom w:val="nil"/>
              <w:right w:val="nil"/>
            </w:tcBorders>
            <w:shd w:val="clear" w:color="000000" w:fill="BFBFBF"/>
            <w:noWrap/>
            <w:vAlign w:val="bottom"/>
            <w:hideMark/>
          </w:tcPr>
          <w:p w14:paraId="25F77BED"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x</w:t>
            </w:r>
          </w:p>
        </w:tc>
        <w:tc>
          <w:tcPr>
            <w:tcW w:w="800" w:type="dxa"/>
            <w:tcBorders>
              <w:top w:val="nil"/>
              <w:left w:val="nil"/>
              <w:bottom w:val="nil"/>
              <w:right w:val="nil"/>
            </w:tcBorders>
            <w:shd w:val="clear" w:color="000000" w:fill="FFFFFF"/>
            <w:vAlign w:val="bottom"/>
            <w:hideMark/>
          </w:tcPr>
          <w:p w14:paraId="2259FD34"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x</w:t>
            </w:r>
          </w:p>
        </w:tc>
        <w:tc>
          <w:tcPr>
            <w:tcW w:w="546" w:type="dxa"/>
            <w:tcBorders>
              <w:top w:val="nil"/>
              <w:left w:val="nil"/>
              <w:bottom w:val="nil"/>
              <w:right w:val="nil"/>
            </w:tcBorders>
            <w:shd w:val="clear" w:color="000000" w:fill="FFFFFF"/>
            <w:vAlign w:val="bottom"/>
            <w:hideMark/>
          </w:tcPr>
          <w:p w14:paraId="71538004"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x</w:t>
            </w:r>
          </w:p>
        </w:tc>
      </w:tr>
      <w:tr w:rsidR="003E19FA" w:rsidRPr="003E19FA" w14:paraId="0E213337" w14:textId="77777777" w:rsidTr="008F02EC">
        <w:trPr>
          <w:trHeight w:val="330"/>
        </w:trPr>
        <w:tc>
          <w:tcPr>
            <w:tcW w:w="2967" w:type="dxa"/>
            <w:tcBorders>
              <w:top w:val="nil"/>
              <w:left w:val="nil"/>
              <w:bottom w:val="nil"/>
              <w:right w:val="nil"/>
            </w:tcBorders>
            <w:shd w:val="clear" w:color="000000" w:fill="FFFFFF"/>
            <w:noWrap/>
            <w:vAlign w:val="center"/>
            <w:hideMark/>
          </w:tcPr>
          <w:p w14:paraId="114131C9" w14:textId="77777777" w:rsidR="003E19FA" w:rsidRPr="003E19FA" w:rsidRDefault="003E19FA" w:rsidP="003E19FA">
            <w:pPr>
              <w:spacing w:after="0" w:line="240" w:lineRule="auto"/>
              <w:jc w:val="left"/>
              <w:rPr>
                <w:rFonts w:eastAsia="Times New Roman" w:cs="Times New Roman"/>
                <w:color w:val="000000"/>
                <w:sz w:val="18"/>
                <w:szCs w:val="18"/>
                <w:lang w:eastAsia="sk-SK"/>
              </w:rPr>
            </w:pPr>
            <w:r w:rsidRPr="003E19FA">
              <w:rPr>
                <w:rFonts w:eastAsia="Times New Roman" w:cs="Times New Roman"/>
                <w:color w:val="000000"/>
                <w:sz w:val="18"/>
                <w:szCs w:val="18"/>
                <w:lang w:eastAsia="sk-SK"/>
              </w:rPr>
              <w:t>Ministerstvo financií SR</w:t>
            </w:r>
          </w:p>
        </w:tc>
        <w:tc>
          <w:tcPr>
            <w:tcW w:w="992" w:type="dxa"/>
            <w:tcBorders>
              <w:top w:val="nil"/>
              <w:left w:val="nil"/>
              <w:bottom w:val="nil"/>
              <w:right w:val="nil"/>
            </w:tcBorders>
            <w:shd w:val="clear" w:color="000000" w:fill="FFFFFF"/>
            <w:noWrap/>
            <w:vAlign w:val="bottom"/>
            <w:hideMark/>
          </w:tcPr>
          <w:p w14:paraId="0D1FA305"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735</w:t>
            </w:r>
          </w:p>
        </w:tc>
        <w:tc>
          <w:tcPr>
            <w:tcW w:w="1025" w:type="dxa"/>
            <w:tcBorders>
              <w:top w:val="nil"/>
              <w:left w:val="nil"/>
              <w:bottom w:val="nil"/>
              <w:right w:val="nil"/>
            </w:tcBorders>
            <w:shd w:val="clear" w:color="000000" w:fill="FFFFFF"/>
            <w:noWrap/>
            <w:vAlign w:val="bottom"/>
            <w:hideMark/>
          </w:tcPr>
          <w:p w14:paraId="11BDB6BC"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0</w:t>
            </w:r>
          </w:p>
        </w:tc>
        <w:tc>
          <w:tcPr>
            <w:tcW w:w="960" w:type="dxa"/>
            <w:tcBorders>
              <w:top w:val="nil"/>
              <w:left w:val="nil"/>
              <w:bottom w:val="nil"/>
              <w:right w:val="nil"/>
            </w:tcBorders>
            <w:shd w:val="clear" w:color="000000" w:fill="FFFFFF"/>
            <w:noWrap/>
            <w:vAlign w:val="bottom"/>
            <w:hideMark/>
          </w:tcPr>
          <w:p w14:paraId="3617FB73"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x</w:t>
            </w:r>
          </w:p>
        </w:tc>
        <w:tc>
          <w:tcPr>
            <w:tcW w:w="992" w:type="dxa"/>
            <w:tcBorders>
              <w:top w:val="nil"/>
              <w:left w:val="nil"/>
              <w:bottom w:val="nil"/>
              <w:right w:val="nil"/>
            </w:tcBorders>
            <w:shd w:val="clear" w:color="000000" w:fill="BFBFBF"/>
            <w:noWrap/>
            <w:vAlign w:val="bottom"/>
            <w:hideMark/>
          </w:tcPr>
          <w:p w14:paraId="51164A9C"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x</w:t>
            </w:r>
          </w:p>
        </w:tc>
        <w:tc>
          <w:tcPr>
            <w:tcW w:w="1064" w:type="dxa"/>
            <w:tcBorders>
              <w:top w:val="nil"/>
              <w:left w:val="nil"/>
              <w:bottom w:val="nil"/>
              <w:right w:val="nil"/>
            </w:tcBorders>
            <w:shd w:val="clear" w:color="000000" w:fill="BFBFBF"/>
            <w:noWrap/>
            <w:vAlign w:val="bottom"/>
            <w:hideMark/>
          </w:tcPr>
          <w:p w14:paraId="5F3928B9"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x</w:t>
            </w:r>
          </w:p>
        </w:tc>
        <w:tc>
          <w:tcPr>
            <w:tcW w:w="800" w:type="dxa"/>
            <w:tcBorders>
              <w:top w:val="nil"/>
              <w:left w:val="nil"/>
              <w:bottom w:val="nil"/>
              <w:right w:val="nil"/>
            </w:tcBorders>
            <w:shd w:val="clear" w:color="000000" w:fill="FFFFFF"/>
            <w:vAlign w:val="bottom"/>
            <w:hideMark/>
          </w:tcPr>
          <w:p w14:paraId="2EDC2A2F"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x</w:t>
            </w:r>
          </w:p>
        </w:tc>
        <w:tc>
          <w:tcPr>
            <w:tcW w:w="546" w:type="dxa"/>
            <w:tcBorders>
              <w:top w:val="nil"/>
              <w:left w:val="nil"/>
              <w:bottom w:val="nil"/>
              <w:right w:val="nil"/>
            </w:tcBorders>
            <w:shd w:val="clear" w:color="000000" w:fill="FFFFFF"/>
            <w:vAlign w:val="bottom"/>
            <w:hideMark/>
          </w:tcPr>
          <w:p w14:paraId="4F4B12E8"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x</w:t>
            </w:r>
          </w:p>
        </w:tc>
      </w:tr>
      <w:tr w:rsidR="003E19FA" w:rsidRPr="003E19FA" w14:paraId="3D69618B" w14:textId="77777777" w:rsidTr="008F02EC">
        <w:trPr>
          <w:trHeight w:val="480"/>
        </w:trPr>
        <w:tc>
          <w:tcPr>
            <w:tcW w:w="2967" w:type="dxa"/>
            <w:tcBorders>
              <w:top w:val="nil"/>
              <w:left w:val="nil"/>
              <w:bottom w:val="nil"/>
              <w:right w:val="nil"/>
            </w:tcBorders>
            <w:shd w:val="clear" w:color="000000" w:fill="FFFFFF"/>
            <w:vAlign w:val="center"/>
            <w:hideMark/>
          </w:tcPr>
          <w:p w14:paraId="2AB66BCC" w14:textId="77777777" w:rsidR="003E19FA" w:rsidRPr="003E19FA" w:rsidRDefault="003E19FA" w:rsidP="003E19FA">
            <w:pPr>
              <w:spacing w:after="0" w:line="240" w:lineRule="auto"/>
              <w:jc w:val="left"/>
              <w:rPr>
                <w:rFonts w:eastAsia="Times New Roman" w:cs="Times New Roman"/>
                <w:color w:val="000000"/>
                <w:sz w:val="18"/>
                <w:szCs w:val="18"/>
                <w:lang w:eastAsia="sk-SK"/>
              </w:rPr>
            </w:pPr>
            <w:r w:rsidRPr="003E19FA">
              <w:rPr>
                <w:rFonts w:eastAsia="Times New Roman" w:cs="Times New Roman"/>
                <w:color w:val="000000"/>
                <w:sz w:val="18"/>
                <w:szCs w:val="18"/>
                <w:lang w:eastAsia="sk-SK"/>
              </w:rPr>
              <w:t xml:space="preserve">Ministerstvo </w:t>
            </w:r>
            <w:proofErr w:type="spellStart"/>
            <w:r w:rsidRPr="003E19FA">
              <w:rPr>
                <w:rFonts w:eastAsia="Times New Roman" w:cs="Times New Roman"/>
                <w:color w:val="000000"/>
                <w:sz w:val="18"/>
                <w:szCs w:val="18"/>
                <w:lang w:eastAsia="sk-SK"/>
              </w:rPr>
              <w:t>zahranič</w:t>
            </w:r>
            <w:proofErr w:type="spellEnd"/>
            <w:r w:rsidRPr="003E19FA">
              <w:rPr>
                <w:rFonts w:eastAsia="Times New Roman" w:cs="Times New Roman"/>
                <w:color w:val="000000"/>
                <w:sz w:val="18"/>
                <w:szCs w:val="18"/>
                <w:lang w:eastAsia="sk-SK"/>
              </w:rPr>
              <w:t>. vecí a európskych záležitostí SR</w:t>
            </w:r>
          </w:p>
        </w:tc>
        <w:tc>
          <w:tcPr>
            <w:tcW w:w="992" w:type="dxa"/>
            <w:tcBorders>
              <w:top w:val="nil"/>
              <w:left w:val="nil"/>
              <w:bottom w:val="nil"/>
              <w:right w:val="nil"/>
            </w:tcBorders>
            <w:shd w:val="clear" w:color="000000" w:fill="FFFFFF"/>
            <w:noWrap/>
            <w:vAlign w:val="bottom"/>
            <w:hideMark/>
          </w:tcPr>
          <w:p w14:paraId="33522808"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42</w:t>
            </w:r>
          </w:p>
        </w:tc>
        <w:tc>
          <w:tcPr>
            <w:tcW w:w="1025" w:type="dxa"/>
            <w:tcBorders>
              <w:top w:val="nil"/>
              <w:left w:val="nil"/>
              <w:bottom w:val="nil"/>
              <w:right w:val="nil"/>
            </w:tcBorders>
            <w:shd w:val="clear" w:color="000000" w:fill="FFFFFF"/>
            <w:noWrap/>
            <w:vAlign w:val="bottom"/>
            <w:hideMark/>
          </w:tcPr>
          <w:p w14:paraId="71D69A36"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0</w:t>
            </w:r>
          </w:p>
        </w:tc>
        <w:tc>
          <w:tcPr>
            <w:tcW w:w="960" w:type="dxa"/>
            <w:tcBorders>
              <w:top w:val="nil"/>
              <w:left w:val="nil"/>
              <w:bottom w:val="nil"/>
              <w:right w:val="nil"/>
            </w:tcBorders>
            <w:shd w:val="clear" w:color="000000" w:fill="FFFFFF"/>
            <w:noWrap/>
            <w:vAlign w:val="bottom"/>
            <w:hideMark/>
          </w:tcPr>
          <w:p w14:paraId="50E70B9E"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x</w:t>
            </w:r>
          </w:p>
        </w:tc>
        <w:tc>
          <w:tcPr>
            <w:tcW w:w="992" w:type="dxa"/>
            <w:tcBorders>
              <w:top w:val="nil"/>
              <w:left w:val="nil"/>
              <w:bottom w:val="nil"/>
              <w:right w:val="nil"/>
            </w:tcBorders>
            <w:shd w:val="clear" w:color="000000" w:fill="BFBFBF"/>
            <w:noWrap/>
            <w:vAlign w:val="bottom"/>
            <w:hideMark/>
          </w:tcPr>
          <w:p w14:paraId="4AB58BEF"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x</w:t>
            </w:r>
          </w:p>
        </w:tc>
        <w:tc>
          <w:tcPr>
            <w:tcW w:w="1064" w:type="dxa"/>
            <w:tcBorders>
              <w:top w:val="nil"/>
              <w:left w:val="nil"/>
              <w:bottom w:val="nil"/>
              <w:right w:val="nil"/>
            </w:tcBorders>
            <w:shd w:val="clear" w:color="000000" w:fill="BFBFBF"/>
            <w:noWrap/>
            <w:vAlign w:val="bottom"/>
            <w:hideMark/>
          </w:tcPr>
          <w:p w14:paraId="31C61A01"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x</w:t>
            </w:r>
          </w:p>
        </w:tc>
        <w:tc>
          <w:tcPr>
            <w:tcW w:w="800" w:type="dxa"/>
            <w:tcBorders>
              <w:top w:val="nil"/>
              <w:left w:val="nil"/>
              <w:bottom w:val="nil"/>
              <w:right w:val="nil"/>
            </w:tcBorders>
            <w:shd w:val="clear" w:color="000000" w:fill="FFFFFF"/>
            <w:vAlign w:val="bottom"/>
            <w:hideMark/>
          </w:tcPr>
          <w:p w14:paraId="17E06B76"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x</w:t>
            </w:r>
          </w:p>
        </w:tc>
        <w:tc>
          <w:tcPr>
            <w:tcW w:w="546" w:type="dxa"/>
            <w:tcBorders>
              <w:top w:val="nil"/>
              <w:left w:val="nil"/>
              <w:bottom w:val="nil"/>
              <w:right w:val="nil"/>
            </w:tcBorders>
            <w:shd w:val="clear" w:color="000000" w:fill="FFFFFF"/>
            <w:vAlign w:val="bottom"/>
            <w:hideMark/>
          </w:tcPr>
          <w:p w14:paraId="17875234" w14:textId="77777777" w:rsidR="003E19FA" w:rsidRPr="003E19FA" w:rsidRDefault="003E19FA" w:rsidP="003E19FA">
            <w:pPr>
              <w:spacing w:after="0" w:line="240" w:lineRule="auto"/>
              <w:jc w:val="right"/>
              <w:rPr>
                <w:rFonts w:eastAsia="Times New Roman" w:cs="Times New Roman"/>
                <w:color w:val="000000"/>
                <w:sz w:val="18"/>
                <w:szCs w:val="18"/>
                <w:lang w:eastAsia="sk-SK"/>
              </w:rPr>
            </w:pPr>
            <w:r w:rsidRPr="003E19FA">
              <w:rPr>
                <w:rFonts w:eastAsia="Times New Roman" w:cs="Times New Roman"/>
                <w:color w:val="000000"/>
                <w:sz w:val="18"/>
                <w:szCs w:val="18"/>
                <w:lang w:eastAsia="sk-SK"/>
              </w:rPr>
              <w:t>x</w:t>
            </w:r>
          </w:p>
        </w:tc>
      </w:tr>
      <w:tr w:rsidR="003E19FA" w:rsidRPr="003E19FA" w14:paraId="0E84DA51" w14:textId="77777777" w:rsidTr="008F02EC">
        <w:trPr>
          <w:trHeight w:val="345"/>
        </w:trPr>
        <w:tc>
          <w:tcPr>
            <w:tcW w:w="2967" w:type="dxa"/>
            <w:tcBorders>
              <w:top w:val="single" w:sz="4" w:space="0" w:color="auto"/>
              <w:left w:val="nil"/>
              <w:bottom w:val="single" w:sz="8" w:space="0" w:color="auto"/>
              <w:right w:val="nil"/>
            </w:tcBorders>
            <w:shd w:val="clear" w:color="000000" w:fill="FFFFFF"/>
            <w:noWrap/>
            <w:vAlign w:val="center"/>
            <w:hideMark/>
          </w:tcPr>
          <w:p w14:paraId="0ECFE45F" w14:textId="77777777" w:rsidR="003E19FA" w:rsidRPr="003E19FA" w:rsidRDefault="003E19FA" w:rsidP="003E19FA">
            <w:pPr>
              <w:spacing w:after="0" w:line="240" w:lineRule="auto"/>
              <w:jc w:val="left"/>
              <w:rPr>
                <w:rFonts w:eastAsia="Times New Roman" w:cs="Times New Roman"/>
                <w:b/>
                <w:bCs/>
                <w:color w:val="000000"/>
                <w:sz w:val="18"/>
                <w:szCs w:val="18"/>
                <w:lang w:eastAsia="sk-SK"/>
              </w:rPr>
            </w:pPr>
            <w:r w:rsidRPr="003E19FA">
              <w:rPr>
                <w:rFonts w:eastAsia="Times New Roman" w:cs="Times New Roman"/>
                <w:b/>
                <w:bCs/>
                <w:color w:val="000000"/>
                <w:sz w:val="18"/>
                <w:szCs w:val="18"/>
                <w:lang w:eastAsia="sk-SK"/>
              </w:rPr>
              <w:t>Spolu</w:t>
            </w:r>
          </w:p>
        </w:tc>
        <w:tc>
          <w:tcPr>
            <w:tcW w:w="992" w:type="dxa"/>
            <w:tcBorders>
              <w:top w:val="single" w:sz="4" w:space="0" w:color="auto"/>
              <w:left w:val="nil"/>
              <w:bottom w:val="single" w:sz="8" w:space="0" w:color="auto"/>
              <w:right w:val="nil"/>
            </w:tcBorders>
            <w:shd w:val="clear" w:color="000000" w:fill="FFFFFF"/>
            <w:noWrap/>
            <w:vAlign w:val="bottom"/>
            <w:hideMark/>
          </w:tcPr>
          <w:p w14:paraId="5878BFF1" w14:textId="77777777" w:rsidR="003E19FA" w:rsidRPr="003E19FA" w:rsidRDefault="003E19FA" w:rsidP="003E19FA">
            <w:pPr>
              <w:spacing w:after="0" w:line="240" w:lineRule="auto"/>
              <w:jc w:val="right"/>
              <w:rPr>
                <w:rFonts w:eastAsia="Times New Roman" w:cs="Times New Roman"/>
                <w:b/>
                <w:bCs/>
                <w:color w:val="000000"/>
                <w:sz w:val="18"/>
                <w:szCs w:val="18"/>
                <w:lang w:eastAsia="sk-SK"/>
              </w:rPr>
            </w:pPr>
            <w:r w:rsidRPr="003E19FA">
              <w:rPr>
                <w:rFonts w:eastAsia="Times New Roman" w:cs="Times New Roman"/>
                <w:b/>
                <w:bCs/>
                <w:color w:val="000000"/>
                <w:sz w:val="18"/>
                <w:szCs w:val="18"/>
                <w:lang w:eastAsia="sk-SK"/>
              </w:rPr>
              <w:t>1 059 724</w:t>
            </w:r>
          </w:p>
        </w:tc>
        <w:tc>
          <w:tcPr>
            <w:tcW w:w="1025" w:type="dxa"/>
            <w:tcBorders>
              <w:top w:val="single" w:sz="4" w:space="0" w:color="auto"/>
              <w:left w:val="nil"/>
              <w:bottom w:val="single" w:sz="8" w:space="0" w:color="auto"/>
              <w:right w:val="nil"/>
            </w:tcBorders>
            <w:shd w:val="clear" w:color="000000" w:fill="FFFFFF"/>
            <w:noWrap/>
            <w:vAlign w:val="bottom"/>
            <w:hideMark/>
          </w:tcPr>
          <w:p w14:paraId="2B685991" w14:textId="77777777" w:rsidR="003E19FA" w:rsidRPr="003E19FA" w:rsidRDefault="003E19FA" w:rsidP="003E19FA">
            <w:pPr>
              <w:spacing w:after="0" w:line="240" w:lineRule="auto"/>
              <w:jc w:val="right"/>
              <w:rPr>
                <w:rFonts w:eastAsia="Times New Roman" w:cs="Times New Roman"/>
                <w:b/>
                <w:bCs/>
                <w:color w:val="000000"/>
                <w:sz w:val="18"/>
                <w:szCs w:val="18"/>
                <w:lang w:eastAsia="sk-SK"/>
              </w:rPr>
            </w:pPr>
            <w:r w:rsidRPr="003E19FA">
              <w:rPr>
                <w:rFonts w:eastAsia="Times New Roman" w:cs="Times New Roman"/>
                <w:b/>
                <w:bCs/>
                <w:color w:val="000000"/>
                <w:sz w:val="18"/>
                <w:szCs w:val="18"/>
                <w:lang w:eastAsia="sk-SK"/>
              </w:rPr>
              <w:t>1 097 737</w:t>
            </w:r>
          </w:p>
        </w:tc>
        <w:tc>
          <w:tcPr>
            <w:tcW w:w="960" w:type="dxa"/>
            <w:tcBorders>
              <w:top w:val="single" w:sz="4" w:space="0" w:color="auto"/>
              <w:left w:val="nil"/>
              <w:bottom w:val="single" w:sz="8" w:space="0" w:color="auto"/>
              <w:right w:val="nil"/>
            </w:tcBorders>
            <w:shd w:val="clear" w:color="000000" w:fill="FFFFFF"/>
            <w:noWrap/>
            <w:vAlign w:val="bottom"/>
            <w:hideMark/>
          </w:tcPr>
          <w:p w14:paraId="5D40E16C" w14:textId="77777777" w:rsidR="003E19FA" w:rsidRPr="003E19FA" w:rsidRDefault="003E19FA" w:rsidP="003E19FA">
            <w:pPr>
              <w:spacing w:after="0" w:line="240" w:lineRule="auto"/>
              <w:jc w:val="right"/>
              <w:rPr>
                <w:rFonts w:eastAsia="Times New Roman" w:cs="Times New Roman"/>
                <w:b/>
                <w:bCs/>
                <w:color w:val="000000"/>
                <w:sz w:val="18"/>
                <w:szCs w:val="18"/>
                <w:lang w:eastAsia="sk-SK"/>
              </w:rPr>
            </w:pPr>
            <w:r w:rsidRPr="003E19FA">
              <w:rPr>
                <w:rFonts w:eastAsia="Times New Roman" w:cs="Times New Roman"/>
                <w:b/>
                <w:bCs/>
                <w:color w:val="000000"/>
                <w:sz w:val="18"/>
                <w:szCs w:val="18"/>
                <w:lang w:eastAsia="sk-SK"/>
              </w:rPr>
              <w:t>1 104 735</w:t>
            </w:r>
          </w:p>
        </w:tc>
        <w:tc>
          <w:tcPr>
            <w:tcW w:w="992" w:type="dxa"/>
            <w:tcBorders>
              <w:top w:val="single" w:sz="4" w:space="0" w:color="auto"/>
              <w:left w:val="nil"/>
              <w:bottom w:val="single" w:sz="8" w:space="0" w:color="auto"/>
              <w:right w:val="nil"/>
            </w:tcBorders>
            <w:shd w:val="clear" w:color="000000" w:fill="BFBFBF"/>
            <w:noWrap/>
            <w:vAlign w:val="bottom"/>
            <w:hideMark/>
          </w:tcPr>
          <w:p w14:paraId="1D14CC98" w14:textId="77777777" w:rsidR="003E19FA" w:rsidRPr="003E19FA" w:rsidRDefault="003E19FA" w:rsidP="003E19FA">
            <w:pPr>
              <w:spacing w:after="0" w:line="240" w:lineRule="auto"/>
              <w:jc w:val="right"/>
              <w:rPr>
                <w:rFonts w:eastAsia="Times New Roman" w:cs="Times New Roman"/>
                <w:b/>
                <w:bCs/>
                <w:color w:val="000000"/>
                <w:sz w:val="18"/>
                <w:szCs w:val="18"/>
                <w:lang w:eastAsia="sk-SK"/>
              </w:rPr>
            </w:pPr>
            <w:r w:rsidRPr="003E19FA">
              <w:rPr>
                <w:rFonts w:eastAsia="Times New Roman" w:cs="Times New Roman"/>
                <w:b/>
                <w:bCs/>
                <w:color w:val="000000"/>
                <w:sz w:val="18"/>
                <w:szCs w:val="18"/>
                <w:lang w:eastAsia="sk-SK"/>
              </w:rPr>
              <w:t>1 345 539</w:t>
            </w:r>
          </w:p>
        </w:tc>
        <w:tc>
          <w:tcPr>
            <w:tcW w:w="1064" w:type="dxa"/>
            <w:tcBorders>
              <w:top w:val="single" w:sz="4" w:space="0" w:color="auto"/>
              <w:left w:val="nil"/>
              <w:bottom w:val="single" w:sz="8" w:space="0" w:color="auto"/>
              <w:right w:val="nil"/>
            </w:tcBorders>
            <w:shd w:val="clear" w:color="000000" w:fill="BFBFBF"/>
            <w:noWrap/>
            <w:vAlign w:val="bottom"/>
            <w:hideMark/>
          </w:tcPr>
          <w:p w14:paraId="41F9AD53" w14:textId="77777777" w:rsidR="003E19FA" w:rsidRPr="003E19FA" w:rsidRDefault="003E19FA" w:rsidP="003E19FA">
            <w:pPr>
              <w:spacing w:after="0" w:line="240" w:lineRule="auto"/>
              <w:jc w:val="right"/>
              <w:rPr>
                <w:rFonts w:eastAsia="Times New Roman" w:cs="Times New Roman"/>
                <w:b/>
                <w:bCs/>
                <w:color w:val="000000"/>
                <w:sz w:val="18"/>
                <w:szCs w:val="18"/>
                <w:lang w:eastAsia="sk-SK"/>
              </w:rPr>
            </w:pPr>
            <w:r w:rsidRPr="003E19FA">
              <w:rPr>
                <w:rFonts w:eastAsia="Times New Roman" w:cs="Times New Roman"/>
                <w:b/>
                <w:bCs/>
                <w:color w:val="000000"/>
                <w:sz w:val="18"/>
                <w:szCs w:val="18"/>
                <w:lang w:eastAsia="sk-SK"/>
              </w:rPr>
              <w:t>1 016 120</w:t>
            </w:r>
          </w:p>
        </w:tc>
        <w:tc>
          <w:tcPr>
            <w:tcW w:w="800" w:type="dxa"/>
            <w:tcBorders>
              <w:top w:val="single" w:sz="4" w:space="0" w:color="auto"/>
              <w:left w:val="nil"/>
              <w:bottom w:val="single" w:sz="8" w:space="0" w:color="auto"/>
              <w:right w:val="nil"/>
            </w:tcBorders>
            <w:shd w:val="clear" w:color="000000" w:fill="FFFFFF"/>
            <w:noWrap/>
            <w:vAlign w:val="bottom"/>
            <w:hideMark/>
          </w:tcPr>
          <w:p w14:paraId="227B1548" w14:textId="77777777" w:rsidR="003E19FA" w:rsidRPr="003E19FA" w:rsidRDefault="003E19FA" w:rsidP="003E19FA">
            <w:pPr>
              <w:spacing w:after="0" w:line="240" w:lineRule="auto"/>
              <w:jc w:val="right"/>
              <w:rPr>
                <w:rFonts w:eastAsia="Times New Roman" w:cs="Times New Roman"/>
                <w:b/>
                <w:bCs/>
                <w:color w:val="000000"/>
                <w:sz w:val="18"/>
                <w:szCs w:val="18"/>
                <w:lang w:eastAsia="sk-SK"/>
              </w:rPr>
            </w:pPr>
            <w:r w:rsidRPr="003E19FA">
              <w:rPr>
                <w:rFonts w:eastAsia="Times New Roman" w:cs="Times New Roman"/>
                <w:b/>
                <w:bCs/>
                <w:color w:val="000000"/>
                <w:sz w:val="18"/>
                <w:szCs w:val="18"/>
                <w:lang w:eastAsia="sk-SK"/>
              </w:rPr>
              <w:t>240 804</w:t>
            </w:r>
          </w:p>
        </w:tc>
        <w:tc>
          <w:tcPr>
            <w:tcW w:w="546" w:type="dxa"/>
            <w:tcBorders>
              <w:top w:val="single" w:sz="4" w:space="0" w:color="auto"/>
              <w:left w:val="nil"/>
              <w:bottom w:val="single" w:sz="8" w:space="0" w:color="auto"/>
              <w:right w:val="nil"/>
            </w:tcBorders>
            <w:shd w:val="clear" w:color="000000" w:fill="FFFFFF"/>
            <w:noWrap/>
            <w:vAlign w:val="bottom"/>
            <w:hideMark/>
          </w:tcPr>
          <w:p w14:paraId="66EC339C" w14:textId="77777777" w:rsidR="003E19FA" w:rsidRPr="003E19FA" w:rsidRDefault="003E19FA" w:rsidP="003E19FA">
            <w:pPr>
              <w:spacing w:after="0" w:line="240" w:lineRule="auto"/>
              <w:jc w:val="right"/>
              <w:rPr>
                <w:rFonts w:eastAsia="Times New Roman" w:cs="Times New Roman"/>
                <w:b/>
                <w:bCs/>
                <w:color w:val="000000"/>
                <w:sz w:val="18"/>
                <w:szCs w:val="18"/>
                <w:lang w:eastAsia="sk-SK"/>
              </w:rPr>
            </w:pPr>
            <w:r w:rsidRPr="003E19FA">
              <w:rPr>
                <w:rFonts w:eastAsia="Times New Roman" w:cs="Times New Roman"/>
                <w:b/>
                <w:bCs/>
                <w:color w:val="000000"/>
                <w:sz w:val="18"/>
                <w:szCs w:val="18"/>
                <w:lang w:eastAsia="sk-SK"/>
              </w:rPr>
              <w:t>21,8</w:t>
            </w:r>
          </w:p>
        </w:tc>
      </w:tr>
    </w:tbl>
    <w:p w14:paraId="2EE9E16C" w14:textId="332A6BE8" w:rsidR="00DC2F84" w:rsidRPr="003E19FA" w:rsidRDefault="00DC2F84" w:rsidP="000F7646">
      <w:pPr>
        <w:suppressAutoHyphens/>
        <w:rPr>
          <w:color w:val="000000" w:themeColor="text1"/>
          <w:sz w:val="18"/>
          <w:szCs w:val="18"/>
        </w:rPr>
      </w:pPr>
      <w:r w:rsidRPr="00317C04">
        <w:rPr>
          <w:color w:val="000000" w:themeColor="text1"/>
          <w:sz w:val="18"/>
          <w:szCs w:val="18"/>
        </w:rPr>
        <w:t xml:space="preserve">Poznámka: * len prostriedky štátneho rozpočtu </w:t>
      </w:r>
      <w:r>
        <w:rPr>
          <w:color w:val="000000" w:themeColor="text1"/>
          <w:sz w:val="18"/>
          <w:szCs w:val="18"/>
        </w:rPr>
        <w:tab/>
      </w:r>
      <w:r>
        <w:rPr>
          <w:color w:val="000000" w:themeColor="text1"/>
          <w:sz w:val="18"/>
          <w:szCs w:val="18"/>
        </w:rPr>
        <w:tab/>
      </w:r>
      <w:r>
        <w:rPr>
          <w:color w:val="000000" w:themeColor="text1"/>
          <w:sz w:val="18"/>
          <w:szCs w:val="18"/>
        </w:rPr>
        <w:tab/>
      </w:r>
      <w:r>
        <w:rPr>
          <w:color w:val="000000" w:themeColor="text1"/>
          <w:sz w:val="18"/>
          <w:szCs w:val="18"/>
        </w:rPr>
        <w:tab/>
      </w:r>
      <w:r>
        <w:rPr>
          <w:color w:val="000000" w:themeColor="text1"/>
          <w:sz w:val="18"/>
          <w:szCs w:val="18"/>
        </w:rPr>
        <w:tab/>
      </w:r>
      <w:r>
        <w:rPr>
          <w:color w:val="000000" w:themeColor="text1"/>
          <w:sz w:val="18"/>
          <w:szCs w:val="18"/>
        </w:rPr>
        <w:tab/>
        <w:t xml:space="preserve">     </w:t>
      </w:r>
      <w:r w:rsidR="003E19FA">
        <w:rPr>
          <w:color w:val="000000" w:themeColor="text1"/>
          <w:sz w:val="18"/>
          <w:szCs w:val="18"/>
        </w:rPr>
        <w:t xml:space="preserve">         </w:t>
      </w:r>
      <w:r>
        <w:rPr>
          <w:color w:val="000000" w:themeColor="text1"/>
          <w:sz w:val="18"/>
          <w:szCs w:val="18"/>
        </w:rPr>
        <w:t xml:space="preserve"> </w:t>
      </w:r>
      <w:r w:rsidRPr="00317C04">
        <w:rPr>
          <w:color w:val="000000" w:themeColor="text1"/>
          <w:sz w:val="18"/>
          <w:szCs w:val="18"/>
        </w:rPr>
        <w:t>Zdroj: MF SR</w:t>
      </w:r>
    </w:p>
    <w:p w14:paraId="22B3A3F5" w14:textId="493DECF6" w:rsidR="00DC2F84" w:rsidRPr="00887693" w:rsidRDefault="00DC2F84" w:rsidP="009E3EEF">
      <w:pPr>
        <w:suppressAutoHyphens/>
        <w:spacing w:after="0" w:line="360" w:lineRule="auto"/>
        <w:rPr>
          <w:color w:val="000000" w:themeColor="text1"/>
        </w:rPr>
      </w:pPr>
      <w:r w:rsidRPr="00317C04">
        <w:rPr>
          <w:color w:val="000000" w:themeColor="text1"/>
        </w:rPr>
        <w:t xml:space="preserve">Na celkovom objeme poskytnutých grantov a transferov obciam sa najväčšou sumou </w:t>
      </w:r>
      <w:r w:rsidR="00026608">
        <w:rPr>
          <w:color w:val="000000" w:themeColor="text1"/>
        </w:rPr>
        <w:t xml:space="preserve">každoročne </w:t>
      </w:r>
      <w:r w:rsidRPr="00317C04">
        <w:rPr>
          <w:color w:val="000000" w:themeColor="text1"/>
        </w:rPr>
        <w:t xml:space="preserve">podieľa </w:t>
      </w:r>
      <w:r w:rsidRPr="00317C04">
        <w:rPr>
          <w:b/>
          <w:color w:val="000000" w:themeColor="text1"/>
        </w:rPr>
        <w:t>Ministerstvo vnútra SR</w:t>
      </w:r>
      <w:r w:rsidR="00026608">
        <w:rPr>
          <w:b/>
          <w:color w:val="000000" w:themeColor="text1"/>
        </w:rPr>
        <w:t xml:space="preserve">. </w:t>
      </w:r>
      <w:r w:rsidR="00026608">
        <w:rPr>
          <w:color w:val="000000" w:themeColor="text1"/>
        </w:rPr>
        <w:t>V roku 2018</w:t>
      </w:r>
      <w:r w:rsidRPr="00887693">
        <w:rPr>
          <w:color w:val="000000" w:themeColor="text1"/>
        </w:rPr>
        <w:t xml:space="preserve"> vynaložilo 951 259 tis. eur, čo je oproti schválenému rozpočtu viac o 122 648 tis. eur. Z celkovej sumy bolo v rámci bežných výdavkov vynaložených 885 247 tis. eur na úhradu nákladov preneseného výkonu štátnej správy na úseku školstva najmä v rámci programu Výchova a vzdelávanie mládeže na úhradu nákladov na poskytovanie výchovy, na vzdelávacie poukazy, na asistentov učiteľa, na úhradu nákladov na </w:t>
      </w:r>
      <w:r w:rsidR="005F5391">
        <w:rPr>
          <w:color w:val="000000" w:themeColor="text1"/>
        </w:rPr>
        <w:t xml:space="preserve">odstránenie </w:t>
      </w:r>
      <w:r w:rsidR="005F5391" w:rsidRPr="00887693">
        <w:rPr>
          <w:color w:val="000000" w:themeColor="text1"/>
        </w:rPr>
        <w:t>havari</w:t>
      </w:r>
      <w:r w:rsidR="005F5391">
        <w:rPr>
          <w:color w:val="000000" w:themeColor="text1"/>
        </w:rPr>
        <w:t xml:space="preserve">jných </w:t>
      </w:r>
      <w:r w:rsidR="009C0D1E">
        <w:rPr>
          <w:color w:val="000000" w:themeColor="text1"/>
        </w:rPr>
        <w:t>stavov budov</w:t>
      </w:r>
      <w:r w:rsidRPr="00887693">
        <w:rPr>
          <w:color w:val="000000" w:themeColor="text1"/>
        </w:rPr>
        <w:t>, na dopravné, na príspevok pre materské školy, na lyžiarske kurzy a iné. Kapitálové prostriedky boli poskytnuté obciam v čiastke 51 361 tis. eur</w:t>
      </w:r>
      <w:r w:rsidRPr="00887693">
        <w:rPr>
          <w:color w:val="FF0000"/>
        </w:rPr>
        <w:t xml:space="preserve"> </w:t>
      </w:r>
      <w:r w:rsidRPr="00887693">
        <w:rPr>
          <w:color w:val="000000" w:themeColor="text1"/>
        </w:rPr>
        <w:t>najmä na aktivity zamerané na prevenciu kriminality na regionálnej úrovni, na riešenie havarijných situácií škôl, na dostavby, výstavby a rekonštrukcie telocviční, na </w:t>
      </w:r>
      <w:proofErr w:type="spellStart"/>
      <w:r w:rsidRPr="00887693">
        <w:rPr>
          <w:color w:val="000000" w:themeColor="text1"/>
        </w:rPr>
        <w:t>debariérizáciu</w:t>
      </w:r>
      <w:proofErr w:type="spellEnd"/>
      <w:r w:rsidRPr="00887693">
        <w:rPr>
          <w:color w:val="000000" w:themeColor="text1"/>
        </w:rPr>
        <w:t xml:space="preserve"> škôl a školských zariadení a iné. Kapitálové prostriedky neboli pôvodne rozpočtované</w:t>
      </w:r>
      <w:r w:rsidRPr="00887693">
        <w:t xml:space="preserve"> </w:t>
      </w:r>
      <w:r w:rsidRPr="00887693">
        <w:rPr>
          <w:color w:val="000000" w:themeColor="text1"/>
        </w:rPr>
        <w:t xml:space="preserve">a úprava rozpočtu súvisela najmä s navýšením finančných prostriedkov z Ministerstva školstva, vedy, výskumu a športu SR na programe Výchova a vzdelávanie v súvislosti s rozvojovými projektmi na rozvoj výchovy a vzdelávania žiakov škôl v oblasti telesnej a športovej výchovy formou dostavby, rekonštrukcie a výstavby telocviční, ich vybavenia a s riešením havarijných situácií škôl, na výstavbu, prístavbu, modernizáciu, rekonštrukciu školských objektov. Ďalšia úprava rozpočtu bola </w:t>
      </w:r>
      <w:r w:rsidRPr="00BB6529">
        <w:rPr>
          <w:color w:val="000000" w:themeColor="text1"/>
        </w:rPr>
        <w:t xml:space="preserve">vykonaná </w:t>
      </w:r>
      <w:r w:rsidRPr="00887693">
        <w:rPr>
          <w:color w:val="000000" w:themeColor="text1"/>
        </w:rPr>
        <w:t>na programe Efektívna a spoľahlivá štátna správa a súvisela najmä s presunom finančných prostriedkov podľa § 8 ods. 4 zákona o rozpočtových pravidlách a na programe Ľudské zdroje v súvislosti s projektmi EÚ na zabezpečenie technickej vybavenosti v obciach s prítomnosťou marginalizovaných rómskych komunít.</w:t>
      </w:r>
    </w:p>
    <w:p w14:paraId="60A5B269" w14:textId="1C6BB309" w:rsidR="00DC2F84" w:rsidRPr="00887693" w:rsidRDefault="00DC2F84" w:rsidP="009E3EEF">
      <w:pPr>
        <w:spacing w:after="0" w:line="360" w:lineRule="auto"/>
        <w:rPr>
          <w:color w:val="000000" w:themeColor="text1"/>
        </w:rPr>
      </w:pPr>
      <w:r w:rsidRPr="00887693">
        <w:rPr>
          <w:color w:val="000000" w:themeColor="text1"/>
        </w:rPr>
        <w:t xml:space="preserve">Z kapitoly </w:t>
      </w:r>
      <w:r w:rsidRPr="00887693">
        <w:rPr>
          <w:b/>
          <w:color w:val="000000" w:themeColor="text1"/>
        </w:rPr>
        <w:t>Ministerstva životného prostredia SR</w:t>
      </w:r>
      <w:r w:rsidRPr="00887693">
        <w:rPr>
          <w:color w:val="000000" w:themeColor="text1"/>
        </w:rPr>
        <w:t xml:space="preserve"> smerovala obciam suma</w:t>
      </w:r>
      <w:r w:rsidRPr="00887693">
        <w:rPr>
          <w:color w:val="FF0000"/>
        </w:rPr>
        <w:t xml:space="preserve"> </w:t>
      </w:r>
      <w:r w:rsidRPr="00887693">
        <w:rPr>
          <w:color w:val="000000" w:themeColor="text1"/>
        </w:rPr>
        <w:t>128 816 tis. eur v súvislosti s budovaním zberných dvorov v obciach, zavedením alebo zefektívnením triedeného odpadu, zberom biologicky rozložiteľného odpadu a pod. Schválený rozpočet, prípadne rozpis uvoľnených zdrojov z minulých rokov sa nerozpisuje na konkrétne položky rozpočtu ale presun prostriedkov na základe reálne predložených žiadostí o platbu sa zohľadňuje v upravenom rozpočte. Uvedené malo za následok zvýšenie rozpočtu oproti schválenému rozpočtu v celkovej sume skutočného čerpania. Vysoký medziročný nárast bol spôsobený navýšením počtu projektov, ktoré sa v roku 2018 začali realizovať u jednotlivých prijímateľov.</w:t>
      </w:r>
    </w:p>
    <w:p w14:paraId="4FBA6021" w14:textId="37D79F1D" w:rsidR="00DC2F84" w:rsidRPr="00413604" w:rsidRDefault="00DC2F84" w:rsidP="009E3EEF">
      <w:pPr>
        <w:suppressAutoHyphens/>
        <w:spacing w:after="0"/>
        <w:rPr>
          <w:color w:val="FF0000"/>
        </w:rPr>
      </w:pPr>
      <w:r w:rsidRPr="00C84C0A">
        <w:rPr>
          <w:color w:val="000000" w:themeColor="text1"/>
        </w:rPr>
        <w:t xml:space="preserve">V kapitole </w:t>
      </w:r>
      <w:r w:rsidRPr="00C84C0A">
        <w:rPr>
          <w:b/>
          <w:color w:val="000000" w:themeColor="text1"/>
        </w:rPr>
        <w:t>Ministerstva dopravy a výstavby SR</w:t>
      </w:r>
      <w:r w:rsidRPr="00C84C0A">
        <w:rPr>
          <w:color w:val="000000" w:themeColor="text1"/>
        </w:rPr>
        <w:t xml:space="preserve"> bol</w:t>
      </w:r>
      <w:r w:rsidR="00C5091D">
        <w:rPr>
          <w:color w:val="000000" w:themeColor="text1"/>
        </w:rPr>
        <w:t>o</w:t>
      </w:r>
      <w:r w:rsidRPr="00C84C0A">
        <w:rPr>
          <w:color w:val="000000" w:themeColor="text1"/>
        </w:rPr>
        <w:t xml:space="preserve"> vo forme bežných a kapitálových grantov a transferov pre obce poukázan</w:t>
      </w:r>
      <w:r w:rsidR="00C5091D">
        <w:rPr>
          <w:color w:val="000000" w:themeColor="text1"/>
        </w:rPr>
        <w:t>ých</w:t>
      </w:r>
      <w:r w:rsidRPr="00C84C0A">
        <w:rPr>
          <w:color w:val="000000" w:themeColor="text1"/>
        </w:rPr>
        <w:t xml:space="preserve"> 71 312 tis. eur. Pôvodne schválený rozpočet bol navýšený</w:t>
      </w:r>
      <w:r w:rsidRPr="00C84C0A">
        <w:rPr>
          <w:color w:val="FF0000"/>
        </w:rPr>
        <w:t xml:space="preserve"> </w:t>
      </w:r>
      <w:r w:rsidRPr="00C84C0A">
        <w:rPr>
          <w:color w:val="000000" w:themeColor="text1"/>
        </w:rPr>
        <w:t xml:space="preserve">z dôvodu, že niektoré prostriedky sa </w:t>
      </w:r>
      <w:r>
        <w:rPr>
          <w:color w:val="000000" w:themeColor="text1"/>
        </w:rPr>
        <w:t xml:space="preserve">v schválenom rozpočte na rok 2018 </w:t>
      </w:r>
      <w:r w:rsidRPr="00C84C0A">
        <w:rPr>
          <w:color w:val="000000" w:themeColor="text1"/>
        </w:rPr>
        <w:t>nerozpočtovali alebo</w:t>
      </w:r>
      <w:r>
        <w:rPr>
          <w:color w:val="000000" w:themeColor="text1"/>
        </w:rPr>
        <w:t xml:space="preserve"> boli vykonané úpravy rozpočtu </w:t>
      </w:r>
      <w:r w:rsidRPr="00C84C0A">
        <w:rPr>
          <w:color w:val="000000" w:themeColor="text1"/>
        </w:rPr>
        <w:t>prostredníctvom</w:t>
      </w:r>
      <w:r w:rsidRPr="002E779F">
        <w:rPr>
          <w:color w:val="000000" w:themeColor="text1"/>
        </w:rPr>
        <w:t xml:space="preserve"> presun</w:t>
      </w:r>
      <w:r w:rsidRPr="00BB6529">
        <w:rPr>
          <w:color w:val="000000" w:themeColor="text1"/>
        </w:rPr>
        <w:t>ov</w:t>
      </w:r>
      <w:r w:rsidRPr="002E779F">
        <w:rPr>
          <w:color w:val="000000" w:themeColor="text1"/>
        </w:rPr>
        <w:t xml:space="preserve"> medzi </w:t>
      </w:r>
      <w:r w:rsidRPr="00BB6529">
        <w:rPr>
          <w:color w:val="000000" w:themeColor="text1"/>
        </w:rPr>
        <w:t xml:space="preserve">jednotlivými </w:t>
      </w:r>
      <w:r w:rsidRPr="00C84C0A">
        <w:rPr>
          <w:color w:val="000000" w:themeColor="text1"/>
        </w:rPr>
        <w:t>položkami ekonomickej klasifikácie</w:t>
      </w:r>
      <w:r w:rsidRPr="002E779F">
        <w:rPr>
          <w:color w:val="000000" w:themeColor="text1"/>
        </w:rPr>
        <w:t xml:space="preserve">. </w:t>
      </w:r>
      <w:r w:rsidR="007228CC">
        <w:rPr>
          <w:color w:val="000000" w:themeColor="text1"/>
        </w:rPr>
        <w:t>N</w:t>
      </w:r>
      <w:r w:rsidR="00DD0108">
        <w:rPr>
          <w:color w:val="000000" w:themeColor="text1"/>
        </w:rPr>
        <w:t xml:space="preserve">a účel výstavby a obnovy bytového fondu </w:t>
      </w:r>
      <w:r w:rsidR="007228CC">
        <w:rPr>
          <w:color w:val="000000" w:themeColor="text1"/>
        </w:rPr>
        <w:t xml:space="preserve">bolo obciam poskytnutých </w:t>
      </w:r>
      <w:r w:rsidR="00DD0108">
        <w:rPr>
          <w:color w:val="000000" w:themeColor="text1"/>
        </w:rPr>
        <w:t xml:space="preserve">27 862 tis. eur, z toho na obstaranie nájomných bytov na účel sociálneho bývania vo výške 26 344 tis. eur, čím sa podporilo obstaranie 1 385 bytových jednotiek a na obstaranie ich technickej vybavenosti v sume 1 518 tis. eur, čím sa podporilo obstaranie, resp. užívanie 1 005 nájomných bytov. </w:t>
      </w:r>
      <w:r w:rsidRPr="002E779F">
        <w:rPr>
          <w:color w:val="000000" w:themeColor="text1"/>
        </w:rPr>
        <w:t xml:space="preserve">Na modernizáciu električkových tratí v Košiciach (2. etapa – 1. časť) </w:t>
      </w:r>
      <w:r w:rsidR="000801AF">
        <w:rPr>
          <w:color w:val="000000" w:themeColor="text1"/>
        </w:rPr>
        <w:t xml:space="preserve">bola poskytnutá suma 33 384 tis. eur. Ako dotácie na prenesený výkon pôsobnosti štátnej správy </w:t>
      </w:r>
      <w:r w:rsidR="0088441B">
        <w:rPr>
          <w:color w:val="000000" w:themeColor="text1"/>
        </w:rPr>
        <w:t xml:space="preserve">bolo </w:t>
      </w:r>
      <w:r w:rsidR="000801AF">
        <w:rPr>
          <w:color w:val="000000" w:themeColor="text1"/>
        </w:rPr>
        <w:t>poskytnut</w:t>
      </w:r>
      <w:r w:rsidR="0088441B">
        <w:rPr>
          <w:color w:val="000000" w:themeColor="text1"/>
        </w:rPr>
        <w:t>ých</w:t>
      </w:r>
      <w:r w:rsidR="000801AF">
        <w:rPr>
          <w:color w:val="000000" w:themeColor="text1"/>
        </w:rPr>
        <w:t xml:space="preserve"> 7 431 tis. eur. Na úpravu okružnej </w:t>
      </w:r>
      <w:r w:rsidRPr="002E779F">
        <w:rPr>
          <w:color w:val="000000" w:themeColor="text1"/>
        </w:rPr>
        <w:t xml:space="preserve">križovatky s pripojením na D4 bola v zmysle uznesenia vlády SR č. 598/2017 </w:t>
      </w:r>
      <w:r>
        <w:rPr>
          <w:color w:val="000000" w:themeColor="text1"/>
        </w:rPr>
        <w:t>použitá</w:t>
      </w:r>
      <w:r w:rsidRPr="002E779F">
        <w:rPr>
          <w:color w:val="000000" w:themeColor="text1"/>
        </w:rPr>
        <w:t xml:space="preserve"> čiastka 900 tis. eur</w:t>
      </w:r>
      <w:r w:rsidRPr="00413604">
        <w:rPr>
          <w:color w:val="000000" w:themeColor="text1"/>
        </w:rPr>
        <w:t xml:space="preserve">. </w:t>
      </w:r>
    </w:p>
    <w:p w14:paraId="3C06A0BD" w14:textId="7360475F" w:rsidR="00DC2F84" w:rsidRPr="00413604" w:rsidRDefault="00DC2F84" w:rsidP="00DC2F84">
      <w:pPr>
        <w:suppressAutoHyphens/>
        <w:spacing w:line="360" w:lineRule="auto"/>
        <w:rPr>
          <w:color w:val="000000" w:themeColor="text1"/>
        </w:rPr>
      </w:pPr>
      <w:r w:rsidRPr="00413604">
        <w:rPr>
          <w:b/>
          <w:color w:val="000000" w:themeColor="text1"/>
        </w:rPr>
        <w:t>Ministerstvo práce, sociálnych vecí a rodiny SR</w:t>
      </w:r>
      <w:r w:rsidRPr="00413604">
        <w:rPr>
          <w:color w:val="000000" w:themeColor="text1"/>
        </w:rPr>
        <w:t xml:space="preserve"> poskytlo </w:t>
      </w:r>
      <w:r w:rsidRPr="00BB6529">
        <w:rPr>
          <w:color w:val="000000" w:themeColor="text1"/>
        </w:rPr>
        <w:t xml:space="preserve">v podobe grantov a transferov pre obce </w:t>
      </w:r>
      <w:r w:rsidRPr="00413604">
        <w:rPr>
          <w:color w:val="000000" w:themeColor="text1"/>
        </w:rPr>
        <w:t xml:space="preserve">celkovú sumu 65 546 tis. eur. Z toho čiastka 45 460 tis. eur predstavovala príspevok mestám a obciam na spolufinancovanie sociálnych služieb pre zariadenia sociálnych služieb (najmä zariadenia pre seniorov, zariadenia opatrovateľskej služby, denné stacionáre, domovy sociálnych služieb, útulky a iné). Zo zdrojov EÚ a spolufinancovania </w:t>
      </w:r>
      <w:r>
        <w:rPr>
          <w:color w:val="000000" w:themeColor="text1"/>
        </w:rPr>
        <w:t xml:space="preserve">zo ŠR </w:t>
      </w:r>
      <w:r w:rsidRPr="00413604">
        <w:rPr>
          <w:color w:val="000000" w:themeColor="text1"/>
        </w:rPr>
        <w:t>bola poskytnutá čiastka 11 463 tis. eur na národné proj</w:t>
      </w:r>
      <w:bookmarkStart w:id="55" w:name="_GoBack"/>
      <w:bookmarkEnd w:id="55"/>
      <w:r w:rsidRPr="00413604">
        <w:rPr>
          <w:color w:val="000000" w:themeColor="text1"/>
        </w:rPr>
        <w:t>ekty operačn</w:t>
      </w:r>
      <w:r w:rsidRPr="00D26E38">
        <w:rPr>
          <w:color w:val="000000" w:themeColor="text1"/>
        </w:rPr>
        <w:t>ého programu Ľudské zdroje. Suma 8 331</w:t>
      </w:r>
      <w:r w:rsidRPr="00413604">
        <w:rPr>
          <w:color w:val="000000" w:themeColor="text1"/>
        </w:rPr>
        <w:t xml:space="preserve"> tis. eur tvorila dotáciu poskytovanú úradmi práce, sociálnych vecí a rodiny na podporu výchovy k stravovacím návykom a k plneniu školských povinností dieťaťa ohrozeného sociálnym vylúčením a na </w:t>
      </w:r>
      <w:r w:rsidRPr="009E3EEF">
        <w:rPr>
          <w:color w:val="000000" w:themeColor="text1"/>
        </w:rPr>
        <w:t>zabezpečenie výkonu osobitného príjemcu.</w:t>
      </w:r>
      <w:r w:rsidRPr="00413604">
        <w:rPr>
          <w:color w:val="000000" w:themeColor="text1"/>
        </w:rPr>
        <w:t xml:space="preserve"> </w:t>
      </w:r>
    </w:p>
    <w:p w14:paraId="655148D3" w14:textId="7C79173F" w:rsidR="00DC2F84" w:rsidRPr="00D26E38" w:rsidRDefault="00DC2F84" w:rsidP="00DC2F84">
      <w:pPr>
        <w:spacing w:line="360" w:lineRule="auto"/>
      </w:pPr>
      <w:r w:rsidRPr="009E3EEF">
        <w:rPr>
          <w:color w:val="000000" w:themeColor="text1"/>
        </w:rPr>
        <w:t xml:space="preserve">V rozpočtovej kapitole </w:t>
      </w:r>
      <w:r w:rsidRPr="009E3EEF">
        <w:rPr>
          <w:b/>
          <w:color w:val="000000" w:themeColor="text1"/>
        </w:rPr>
        <w:t xml:space="preserve">Ministerstva pôdohospodárstva a rozvoja vidieka SR </w:t>
      </w:r>
      <w:r w:rsidRPr="009E3EEF">
        <w:rPr>
          <w:color w:val="000000" w:themeColor="text1"/>
        </w:rPr>
        <w:t>bol pôvodne</w:t>
      </w:r>
      <w:r w:rsidRPr="00D26E38">
        <w:rPr>
          <w:color w:val="000000" w:themeColor="text1"/>
        </w:rPr>
        <w:t xml:space="preserve"> schválený rozpočet v sume 158 746 tis. eur úpravou znížený na sumu 44 670 tis. eur a v tejto výške bola dosiahnutá aj skutočnosť. Schválený rozpočet vychádzal z očakávaných odhadov čerpania prostriedkov v jednotlivých výzvach. </w:t>
      </w:r>
      <w:r w:rsidRPr="00D26E38">
        <w:t xml:space="preserve">V schválenom rozpočte </w:t>
      </w:r>
      <w:r w:rsidR="001B1225">
        <w:t>nebolo</w:t>
      </w:r>
      <w:r w:rsidRPr="00D26E38">
        <w:t xml:space="preserve"> možné presne definovať finančné objemy podľa konečných prijímateľov pomoci. Z uvedeného dôvodu prišlo ku disproporcii medzi schváleným rozpočtom (odhadom čerpania) a skutočným čerpaním finančných prostriedkov podľa </w:t>
      </w:r>
      <w:r w:rsidRPr="00BB6529">
        <w:t xml:space="preserve">typu </w:t>
      </w:r>
      <w:r w:rsidRPr="00D26E38">
        <w:t xml:space="preserve">reálnych prijímateľov. </w:t>
      </w:r>
    </w:p>
    <w:p w14:paraId="7A63C281" w14:textId="614EF51A" w:rsidR="00DC2F84" w:rsidRPr="00BB6529" w:rsidRDefault="00DC2F84" w:rsidP="00DC2F84">
      <w:pPr>
        <w:spacing w:line="360" w:lineRule="auto"/>
        <w:rPr>
          <w:color w:val="000000" w:themeColor="text1"/>
          <w:highlight w:val="yellow"/>
        </w:rPr>
      </w:pPr>
      <w:r w:rsidRPr="00D26E38">
        <w:rPr>
          <w:color w:val="000000" w:themeColor="text1"/>
        </w:rPr>
        <w:t>Kapitálové transfery obciam boli poskytnuté v celkovej sume 44 046 tis. eur. Išlo výlučne o poskytnutie finančných prostriedkov formou nenávratných finančných príspevkov z Európskeho poľnohospodárskeho fondu pre rozvoj vidieka v čiastke 26 728 tis. eur</w:t>
      </w:r>
      <w:r w:rsidR="007977C9">
        <w:rPr>
          <w:color w:val="000000" w:themeColor="text1"/>
        </w:rPr>
        <w:t xml:space="preserve"> (na</w:t>
      </w:r>
      <w:r w:rsidR="007977C9" w:rsidRPr="00D26E38">
        <w:rPr>
          <w:color w:val="000000" w:themeColor="text1"/>
        </w:rPr>
        <w:t xml:space="preserve"> </w:t>
      </w:r>
      <w:r w:rsidR="007977C9">
        <w:rPr>
          <w:color w:val="000000" w:themeColor="text1"/>
        </w:rPr>
        <w:t>podporu</w:t>
      </w:r>
      <w:r w:rsidR="007977C9" w:rsidRPr="00D26E38">
        <w:rPr>
          <w:color w:val="000000" w:themeColor="text1"/>
        </w:rPr>
        <w:t xml:space="preserve"> investíc</w:t>
      </w:r>
      <w:r w:rsidR="007977C9">
        <w:rPr>
          <w:color w:val="000000" w:themeColor="text1"/>
        </w:rPr>
        <w:t>ií</w:t>
      </w:r>
      <w:r w:rsidR="007977C9" w:rsidRPr="00D26E38">
        <w:rPr>
          <w:color w:val="000000" w:themeColor="text1"/>
        </w:rPr>
        <w:t xml:space="preserve"> do infraštruktúry súvisiacej s vývojom, modernizáciu alebo prispôsoben</w:t>
      </w:r>
      <w:r w:rsidR="007977C9">
        <w:rPr>
          <w:color w:val="000000" w:themeColor="text1"/>
        </w:rPr>
        <w:t>ie</w:t>
      </w:r>
      <w:r w:rsidR="007977C9" w:rsidRPr="00D26E38">
        <w:rPr>
          <w:color w:val="000000" w:themeColor="text1"/>
        </w:rPr>
        <w:t xml:space="preserve"> poľnohospodárstva a lesného hospodárstva, podpor</w:t>
      </w:r>
      <w:r w:rsidR="007977C9">
        <w:rPr>
          <w:color w:val="000000" w:themeColor="text1"/>
        </w:rPr>
        <w:t>u</w:t>
      </w:r>
      <w:r w:rsidR="007977C9" w:rsidRPr="00D26E38">
        <w:rPr>
          <w:color w:val="000000" w:themeColor="text1"/>
        </w:rPr>
        <w:t xml:space="preserve"> </w:t>
      </w:r>
      <w:r w:rsidR="007977C9">
        <w:rPr>
          <w:color w:val="000000" w:themeColor="text1"/>
        </w:rPr>
        <w:t>investícií</w:t>
      </w:r>
      <w:r w:rsidR="007977C9" w:rsidRPr="00D26E38">
        <w:rPr>
          <w:color w:val="000000" w:themeColor="text1"/>
        </w:rPr>
        <w:t xml:space="preserve"> do vytvárania, zlepšovania alebo rozširovania všetkých druhov infraštruktúr malých rozmerov vrátane investícií do energie z obnoviteľných zdrojov a úspor energie</w:t>
      </w:r>
      <w:r w:rsidR="00BE191B">
        <w:rPr>
          <w:color w:val="000000" w:themeColor="text1"/>
        </w:rPr>
        <w:t xml:space="preserve"> a ďalšie druhy podpory) </w:t>
      </w:r>
      <w:r w:rsidRPr="00D26E38">
        <w:rPr>
          <w:color w:val="000000" w:themeColor="text1"/>
        </w:rPr>
        <w:t>a z Európskeho fondu regionálneho rozvoja v čiastke 17 318 tis. eur</w:t>
      </w:r>
      <w:r w:rsidR="004B49B1">
        <w:rPr>
          <w:color w:val="000000" w:themeColor="text1"/>
        </w:rPr>
        <w:t xml:space="preserve"> (najmä na podporu projektov </w:t>
      </w:r>
      <w:r w:rsidRPr="005B2D55">
        <w:rPr>
          <w:color w:val="000000" w:themeColor="text1"/>
        </w:rPr>
        <w:t xml:space="preserve">prioritných osí Operačného programu cezhraničnej spolupráce </w:t>
      </w:r>
      <w:proofErr w:type="spellStart"/>
      <w:r w:rsidRPr="005B2D55">
        <w:rPr>
          <w:color w:val="000000" w:themeColor="text1"/>
        </w:rPr>
        <w:t>Interreg</w:t>
      </w:r>
      <w:proofErr w:type="spellEnd"/>
      <w:r w:rsidRPr="005B2D55">
        <w:rPr>
          <w:color w:val="000000" w:themeColor="text1"/>
        </w:rPr>
        <w:t xml:space="preserve"> V-A Poľsko - Slovensko 2014</w:t>
      </w:r>
      <w:r w:rsidR="004B49B1">
        <w:rPr>
          <w:color w:val="000000" w:themeColor="text1"/>
        </w:rPr>
        <w:t xml:space="preserve">, </w:t>
      </w:r>
      <w:r w:rsidRPr="005B2D55">
        <w:rPr>
          <w:color w:val="000000" w:themeColor="text1"/>
        </w:rPr>
        <w:t>Slovensko – Česká republika 2014-20</w:t>
      </w:r>
      <w:r>
        <w:rPr>
          <w:color w:val="000000" w:themeColor="text1"/>
        </w:rPr>
        <w:t>20</w:t>
      </w:r>
      <w:r w:rsidR="004B49B1">
        <w:rPr>
          <w:color w:val="000000" w:themeColor="text1"/>
        </w:rPr>
        <w:t>)</w:t>
      </w:r>
      <w:r>
        <w:rPr>
          <w:color w:val="000000" w:themeColor="text1"/>
        </w:rPr>
        <w:t>.</w:t>
      </w:r>
    </w:p>
    <w:p w14:paraId="3C3DADD7" w14:textId="77777777" w:rsidR="00597493" w:rsidRDefault="00DC2F84" w:rsidP="00DC2F84">
      <w:pPr>
        <w:spacing w:line="360" w:lineRule="auto"/>
      </w:pPr>
      <w:r w:rsidRPr="005B2D55">
        <w:rPr>
          <w:color w:val="000000" w:themeColor="text1"/>
        </w:rPr>
        <w:t xml:space="preserve">Z kapitoly </w:t>
      </w:r>
      <w:r w:rsidRPr="005B2D55">
        <w:rPr>
          <w:b/>
          <w:color w:val="000000" w:themeColor="text1"/>
        </w:rPr>
        <w:t>Všeobecná pokladničná správa</w:t>
      </w:r>
      <w:r w:rsidRPr="005B2D55">
        <w:rPr>
          <w:color w:val="000000" w:themeColor="text1"/>
        </w:rPr>
        <w:t xml:space="preserve"> boli obciam poskytnuté dotácie v celkovej sume 42 742 tis. eur. </w:t>
      </w:r>
      <w:r w:rsidRPr="005B2D55">
        <w:t xml:space="preserve">Na základe uznesenia vlády č. 570/2017 </w:t>
      </w:r>
      <w:r w:rsidR="003801EF">
        <w:t>bolo</w:t>
      </w:r>
      <w:r w:rsidRPr="005B2D55">
        <w:t xml:space="preserve"> </w:t>
      </w:r>
      <w:r w:rsidR="003801EF">
        <w:t>poskytnutých 10 000 tis. eur</w:t>
      </w:r>
      <w:r w:rsidRPr="005B2D55">
        <w:t xml:space="preserve"> hlavné</w:t>
      </w:r>
      <w:r w:rsidR="003801EF">
        <w:t>mu</w:t>
      </w:r>
      <w:r w:rsidRPr="005B2D55">
        <w:t xml:space="preserve"> mest</w:t>
      </w:r>
      <w:r w:rsidR="003801EF">
        <w:t xml:space="preserve">u </w:t>
      </w:r>
      <w:r w:rsidR="003801EF" w:rsidRPr="005B2D55">
        <w:t>Bratislavy</w:t>
      </w:r>
      <w:r w:rsidRPr="005B2D55">
        <w:t xml:space="preserve"> </w:t>
      </w:r>
      <w:r w:rsidR="003801EF">
        <w:t>a</w:t>
      </w:r>
      <w:r w:rsidR="0034481B">
        <w:t xml:space="preserve"> 1 </w:t>
      </w:r>
      <w:r w:rsidR="003801EF">
        <w:t xml:space="preserve">000 tis. eur </w:t>
      </w:r>
      <w:r w:rsidRPr="005B2D55">
        <w:t>Mestskej časti Bratislava - Staré Mesto na rekonštrukciu komunikácií.</w:t>
      </w:r>
    </w:p>
    <w:p w14:paraId="406C602A" w14:textId="227EB118" w:rsidR="00DC2F84" w:rsidRDefault="000E18B3" w:rsidP="00DC2F84">
      <w:pPr>
        <w:spacing w:line="360" w:lineRule="auto"/>
      </w:pPr>
      <w:r>
        <w:t>Ďalšie prostriedky z kapitoly b</w:t>
      </w:r>
      <w:r w:rsidR="00597493">
        <w:t xml:space="preserve">oli čerpané v súlade so zákonom </w:t>
      </w:r>
      <w:r>
        <w:t xml:space="preserve">č. 336/2015 Z. z. o podpore najmenej rozvinutých okresov a o zmene a doplnení </w:t>
      </w:r>
      <w:r w:rsidR="00550751">
        <w:t xml:space="preserve">niektorých zákonov. Pre tento druh podpory sa vypracovávajú tzv. Akčné plány, ktorých návrh </w:t>
      </w:r>
      <w:r w:rsidR="00597493">
        <w:t>zo strany rady Úradu podpredsedu vlády SR pre investície a informatizáciu schvaľuje samotná vláda SR, väčšinou na výjazdových zasadnutiach vlády SR v sídle podporovaných okresov. Zoznam najmenej rozvinutých okresov vedie Ministerstvo práce, sociálnych vecí a rodiny SR podľa kritérií ustanovených vyššie spomenutým zákonom. V roku 2018 sa podporili na základe nových alebo už implementovaných akčných plánov okresy Rimavská Sobota, Gelnica, Sabinov, Vranov nad Topľou, Trebišov, Levoča, Poltár, Veľký Krtíš, Medzilaborce, Svidník, Bardejov a ďalšie</w:t>
      </w:r>
      <w:r w:rsidR="00597493">
        <w:rPr>
          <w:rStyle w:val="Odkaznapoznmkupodiarou"/>
        </w:rPr>
        <w:footnoteReference w:id="25"/>
      </w:r>
      <w:r w:rsidR="00597493">
        <w:t xml:space="preserve">. </w:t>
      </w:r>
      <w:r w:rsidR="0080699E">
        <w:t>Finančné prostriedky sa použili najmä na zlepšenie dopravnej infraštruktúry, a to 12 780 tis. eur.</w:t>
      </w:r>
    </w:p>
    <w:p w14:paraId="08A668EE" w14:textId="117321B6" w:rsidR="003E01D2" w:rsidRPr="00F82A75" w:rsidRDefault="003E01D2" w:rsidP="003E01D2">
      <w:pPr>
        <w:spacing w:line="360" w:lineRule="auto"/>
      </w:pPr>
      <w:r>
        <w:t>Ďalšími prostriedkami kapitoly Všeobecnej pokladničnej správy boli podporené projekty na rozvoj športovej infraštruktúry obcí a miest, napríklad v Michalovciach (</w:t>
      </w:r>
      <w:r w:rsidR="00DC2F84" w:rsidRPr="00964005">
        <w:t>300 tis. eur na dobudovanie zimného štadióna</w:t>
      </w:r>
      <w:r>
        <w:t xml:space="preserve">), v </w:t>
      </w:r>
      <w:r w:rsidR="00DC2F84" w:rsidRPr="00964005">
        <w:t>Topoľčan</w:t>
      </w:r>
      <w:r>
        <w:t>och</w:t>
      </w:r>
      <w:r w:rsidR="00DC2F84" w:rsidRPr="00964005">
        <w:t xml:space="preserve"> </w:t>
      </w:r>
      <w:r>
        <w:t>(</w:t>
      </w:r>
      <w:r w:rsidR="00DC2F84" w:rsidRPr="00964005">
        <w:t>1 441 tis. eur na rozšírenie športovej haly</w:t>
      </w:r>
      <w:r>
        <w:t>), v Nitre (</w:t>
      </w:r>
      <w:r w:rsidR="00DC2F84" w:rsidRPr="00F82A75">
        <w:t xml:space="preserve">400 tis. eur na modernizáciu </w:t>
      </w:r>
      <w:r>
        <w:t>z</w:t>
      </w:r>
      <w:r w:rsidR="00DC2F84" w:rsidRPr="00F82A75">
        <w:t>imného štadióna a vedľajšej hokejovej haly</w:t>
      </w:r>
      <w:r>
        <w:t>)</w:t>
      </w:r>
      <w:r w:rsidR="00DC2F84" w:rsidRPr="00F82A75">
        <w:t>,</w:t>
      </w:r>
      <w:r>
        <w:t xml:space="preserve"> v Liptovskom Mikuláši (1 000 tis. eur </w:t>
      </w:r>
      <w:r w:rsidRPr="00F82A75">
        <w:t xml:space="preserve">na dobudovanie objektu </w:t>
      </w:r>
      <w:r>
        <w:t>z</w:t>
      </w:r>
      <w:r w:rsidRPr="00F82A75">
        <w:t>imného štadióna</w:t>
      </w:r>
      <w:r>
        <w:t>).</w:t>
      </w:r>
    </w:p>
    <w:p w14:paraId="3CDC4FFA" w14:textId="1FC20FA2" w:rsidR="00DC2F84" w:rsidRPr="00F82A75" w:rsidRDefault="00DC2F84" w:rsidP="00DC2F84">
      <w:pPr>
        <w:spacing w:line="360" w:lineRule="auto"/>
      </w:pPr>
      <w:r w:rsidRPr="00F82A75">
        <w:t xml:space="preserve">Z kapitoly </w:t>
      </w:r>
      <w:r w:rsidRPr="00F82A75">
        <w:rPr>
          <w:b/>
        </w:rPr>
        <w:t xml:space="preserve">Ministerstva školstva, vedy, výskumu a športu SR </w:t>
      </w:r>
      <w:r w:rsidRPr="00F82A75">
        <w:t>bola obciam poskytnutá celková čiastka 16 759 tis. eur. Suma 9 255 tis. eur predstavovala finančné prostriedky poskytnuté v rámci Výzvy v základnej škole úspešnejší, kde oprávneným žiadateľom bol aj zriaďovateľ základnej školy (obec) v prípade, ak základná škola nemá právnu subjektivitu. Išlo o projekty, kde finančné prostriedky boli poskytnuté na vytvorenie pracovného miesta asistenta učiteľa, pedagogického asistenta, školského psychológa, špeciálneho pedagóga</w:t>
      </w:r>
      <w:r w:rsidRPr="00F67656">
        <w:t>. Kapitálové prostriedky v celkovom objeme 7 452 tis. eur boli poskytnuté obciam na telocvične v rámci Výzvy na poskytnutie verejných finančných prostriedkov formou dotácie na rozvoj výchovy a vzdelávania žiakov v oblasti telesnej a športovej výchovy formou dostavby, rekonštrukcie alebo výstavby novej telocvične na rok 2018.</w:t>
      </w:r>
      <w:r w:rsidRPr="00F82A75">
        <w:t xml:space="preserve"> </w:t>
      </w:r>
    </w:p>
    <w:p w14:paraId="6AF504C8" w14:textId="014C5ABA" w:rsidR="00DC2F84" w:rsidRPr="00F82A75" w:rsidRDefault="00DC2F84" w:rsidP="00DC2F84">
      <w:pPr>
        <w:spacing w:line="360" w:lineRule="auto"/>
        <w:rPr>
          <w:color w:val="000000" w:themeColor="text1"/>
        </w:rPr>
      </w:pPr>
      <w:r w:rsidRPr="00F82A75">
        <w:rPr>
          <w:color w:val="000000" w:themeColor="text1"/>
        </w:rPr>
        <w:t xml:space="preserve">Kapitola </w:t>
      </w:r>
      <w:r w:rsidRPr="00F82A75">
        <w:rPr>
          <w:b/>
          <w:color w:val="000000" w:themeColor="text1"/>
        </w:rPr>
        <w:t>Úrad vlády SR</w:t>
      </w:r>
      <w:r w:rsidRPr="00F82A75">
        <w:rPr>
          <w:color w:val="000000" w:themeColor="text1"/>
        </w:rPr>
        <w:t xml:space="preserve"> poskytla obciam celkové </w:t>
      </w:r>
      <w:r w:rsidRPr="00BB6529">
        <w:rPr>
          <w:color w:val="000000" w:themeColor="text1"/>
        </w:rPr>
        <w:t>výdavky</w:t>
      </w:r>
      <w:r w:rsidRPr="00F82A75">
        <w:rPr>
          <w:color w:val="000000" w:themeColor="text1"/>
        </w:rPr>
        <w:t xml:space="preserve"> vo výške 12 836 tis. eur, z toho suma 2 340 tis. eur bola poskytnutá z rozpočtovej rezervy predsedu vlády SR. Dotácie z rezervy predsedu vlády SR boli v prevažnej miere </w:t>
      </w:r>
      <w:r>
        <w:rPr>
          <w:color w:val="000000" w:themeColor="text1"/>
        </w:rPr>
        <w:t>účelovo určené na rekonštrukcie</w:t>
      </w:r>
      <w:r w:rsidRPr="00F82A75">
        <w:rPr>
          <w:color w:val="000000" w:themeColor="text1"/>
        </w:rPr>
        <w:t xml:space="preserve"> a opravy obecného majetku, na odstránenie havarijných stavov budov a rozvodov energií, na výstavbu nových stavieb (detské ihri</w:t>
      </w:r>
      <w:r w:rsidR="00A447A8">
        <w:rPr>
          <w:color w:val="000000" w:themeColor="text1"/>
        </w:rPr>
        <w:t xml:space="preserve">ská, nové chodníky pre peších). </w:t>
      </w:r>
      <w:r w:rsidRPr="00F82A75">
        <w:rPr>
          <w:color w:val="000000" w:themeColor="text1"/>
        </w:rPr>
        <w:t xml:space="preserve">Prostriedky v objeme 5 543 tis. eur, ktoré boli poskytnuté na výmenu umelých trávnikov na multifunkčných ihriskách, na športovú výstroj a športové vybavenie, na výstavbu 57 multifunkčných ihrísk a na výstavbu a rekonštrukciu 270 detských ihrísk. Príspevky na regionálny rozvoj v celkovej sume 4 736 tis. eur boli poskytnuté na základe vládou schválených Akčných plánov rozvoja jednotlivých okresov vybraným obciam a mestám v málo rozvinutých regiónoch. </w:t>
      </w:r>
    </w:p>
    <w:p w14:paraId="54C55A20" w14:textId="77777777" w:rsidR="00DC2F84" w:rsidRPr="0089366E" w:rsidRDefault="00DC2F84" w:rsidP="00DC2F84">
      <w:pPr>
        <w:spacing w:line="360" w:lineRule="auto"/>
      </w:pPr>
      <w:r w:rsidRPr="000B51F7">
        <w:rPr>
          <w:color w:val="000000" w:themeColor="text1"/>
        </w:rPr>
        <w:t xml:space="preserve">Rozpočtové prostriedky boli do rozpočtu kapitoly pridelené na základe uznesení vlády SR až v priebehu roka 2018, preto schválený rozpočet bol nulový. </w:t>
      </w:r>
      <w:r>
        <w:rPr>
          <w:color w:val="000000" w:themeColor="text1"/>
        </w:rPr>
        <w:t>Dôvodom nárastu skutočného čerpania oproti schválenému rozpočtu je aj skutočnosť, že nevyčerpané finančné prostriedky z predchádzajúcich rokov boli zaviazané a uvoľnené na použitie v bežnom roku.</w:t>
      </w:r>
    </w:p>
    <w:p w14:paraId="321F6600" w14:textId="2CFADD15" w:rsidR="00DC2F84" w:rsidRPr="0089366E" w:rsidRDefault="00DC2F84" w:rsidP="00DC2F84">
      <w:pPr>
        <w:spacing w:line="360" w:lineRule="auto"/>
        <w:rPr>
          <w:color w:val="000000" w:themeColor="text1"/>
        </w:rPr>
      </w:pPr>
      <w:r w:rsidRPr="00F955A2">
        <w:rPr>
          <w:b/>
          <w:color w:val="000000" w:themeColor="text1"/>
        </w:rPr>
        <w:t>Podľa zákona č. 564/2004 Z. z. o rozpočtovom určení výnosu dane z príjmov územnej samospráve bolo v roku 2018 z celkového výnosu dane z príjmov fyzických osôb</w:t>
      </w:r>
      <w:r w:rsidRPr="0089366E">
        <w:rPr>
          <w:color w:val="000000" w:themeColor="text1"/>
        </w:rPr>
        <w:t xml:space="preserve"> príjmom rozpočtov obcí 70,0 % rovnako ako aj v roku 2017. Skutočný prevod dane z príjmov fyzických osôb do rozpočtov obcí daňovými úradmi bol vykonaný vo výške 2 002 068 tis. eur vrátane zúčtovania za predchádzajúci rok (2017</w:t>
      </w:r>
      <w:r w:rsidR="00B77CDE">
        <w:rPr>
          <w:color w:val="000000" w:themeColor="text1"/>
        </w:rPr>
        <w:t>:</w:t>
      </w:r>
      <w:r w:rsidR="00B77CDE" w:rsidRPr="00B77CDE">
        <w:rPr>
          <w:color w:val="000000" w:themeColor="text1"/>
        </w:rPr>
        <w:t xml:space="preserve"> </w:t>
      </w:r>
      <w:r w:rsidR="00B77CDE" w:rsidRPr="0089366E">
        <w:rPr>
          <w:color w:val="000000" w:themeColor="text1"/>
        </w:rPr>
        <w:t>1 799 482 tis. eur</w:t>
      </w:r>
      <w:r w:rsidRPr="0089366E">
        <w:rPr>
          <w:color w:val="000000" w:themeColor="text1"/>
        </w:rPr>
        <w:t xml:space="preserve">). </w:t>
      </w:r>
    </w:p>
    <w:p w14:paraId="7998E8CF" w14:textId="77777777" w:rsidR="00DC2F84" w:rsidRPr="00DC2F84" w:rsidRDefault="00DC2F84" w:rsidP="00DC2F84">
      <w:pPr>
        <w:rPr>
          <w:b/>
          <w:color w:val="000000" w:themeColor="text1"/>
        </w:rPr>
      </w:pPr>
      <w:r w:rsidRPr="00DC2F84">
        <w:rPr>
          <w:b/>
          <w:i/>
          <w:color w:val="000000" w:themeColor="text1"/>
        </w:rPr>
        <w:t>Prehľad záväzných limitov dotácií obciam za rok 2018 je uvedený v tabuľkovej časti štátneho záverečného účtu SR, v tabuľke č. 20.</w:t>
      </w:r>
    </w:p>
    <w:p w14:paraId="34F9F0CC" w14:textId="77777777" w:rsidR="008254BE" w:rsidRDefault="008254BE" w:rsidP="00C34E95">
      <w:pPr>
        <w:pStyle w:val="Nadpis3"/>
      </w:pPr>
      <w:bookmarkStart w:id="56" w:name="_Toc6415649"/>
      <w:bookmarkStart w:id="57" w:name="_Toc7502841"/>
      <w:r>
        <w:t>Vzťahy štátneho rozpočtu k vyšším územným celkom</w:t>
      </w:r>
      <w:bookmarkEnd w:id="56"/>
      <w:bookmarkEnd w:id="57"/>
    </w:p>
    <w:p w14:paraId="554D68D0" w14:textId="035F8878" w:rsidR="00DC2F84" w:rsidRPr="009876B9" w:rsidRDefault="00DC2F84" w:rsidP="00DC2F84">
      <w:pPr>
        <w:suppressAutoHyphens/>
        <w:spacing w:line="360" w:lineRule="auto"/>
        <w:rPr>
          <w:color w:val="FF0000"/>
        </w:rPr>
      </w:pPr>
      <w:r w:rsidRPr="004A66F0">
        <w:rPr>
          <w:color w:val="000000" w:themeColor="text1"/>
        </w:rPr>
        <w:t>V roku 2018 bolo z</w:t>
      </w:r>
      <w:r w:rsidR="00EC2B04">
        <w:rPr>
          <w:color w:val="000000" w:themeColor="text1"/>
        </w:rPr>
        <w:t>o štátneho rozpočtu</w:t>
      </w:r>
      <w:r w:rsidRPr="004A66F0">
        <w:rPr>
          <w:color w:val="000000" w:themeColor="text1"/>
        </w:rPr>
        <w:t xml:space="preserve"> do rozpočtov vyšších územných celkov poskytnutých </w:t>
      </w:r>
      <w:r w:rsidR="00EC2B04">
        <w:rPr>
          <w:color w:val="000000" w:themeColor="text1"/>
        </w:rPr>
        <w:t xml:space="preserve">celkovo </w:t>
      </w:r>
      <w:r w:rsidRPr="00933E4B">
        <w:rPr>
          <w:color w:val="000000" w:themeColor="text1"/>
        </w:rPr>
        <w:t xml:space="preserve">457 344 tis. eur vo forme bežných a kapitálových grantov a transferov, z toho </w:t>
      </w:r>
      <w:r w:rsidRPr="009876B9">
        <w:rPr>
          <w:color w:val="000000" w:themeColor="text1"/>
        </w:rPr>
        <w:t xml:space="preserve">bežné granty a transfery tvorili sumu 435 142 tis. eur a kapitálové granty a transfery čiastku 22 202 tis. eur. Po predchádzajúcich dvoch rokoch, kedy bol zaznamenaný pokles poskytnutých transferov, nastalo v roku 2018 ich zvýšenie a to medziročne o 23 696 tis. eur. </w:t>
      </w:r>
    </w:p>
    <w:p w14:paraId="15BAE1DC" w14:textId="22092393" w:rsidR="00DC2F84" w:rsidRPr="009C10B2" w:rsidRDefault="00DC2F84" w:rsidP="00DC2F84">
      <w:pPr>
        <w:suppressAutoHyphens/>
        <w:rPr>
          <w:color w:val="000000" w:themeColor="text1"/>
        </w:rPr>
      </w:pPr>
      <w:r w:rsidRPr="00EE3824">
        <w:rPr>
          <w:color w:val="000000" w:themeColor="text1"/>
        </w:rPr>
        <w:t xml:space="preserve">Granty a transfery zo zdroja 111 boli poskytnuté z jednotlivých kapitol v celkovej sume 439 631 tis. eur, z toho bežné granty a transfery v čiastke 432 528 tis. eur a kapitálové granty a transfery v čiastke 7 103 tis. eur. </w:t>
      </w:r>
    </w:p>
    <w:p w14:paraId="3D7776C9" w14:textId="77777777" w:rsidR="00DC2F84" w:rsidRDefault="00DC2F84" w:rsidP="00DC2F84">
      <w:pPr>
        <w:suppressAutoHyphens/>
        <w:rPr>
          <w:color w:val="000000" w:themeColor="text1"/>
        </w:rPr>
      </w:pPr>
      <w:r w:rsidRPr="00DE6E48">
        <w:rPr>
          <w:color w:val="000000" w:themeColor="text1"/>
        </w:rPr>
        <w:t>Súhrnný prehľad grantov a transferov poskytnutých VÚC podľa jednotlivých oddielov funkčnej klasifikácie poskytujú údaje v nasledujúcej tabuľke:</w:t>
      </w:r>
    </w:p>
    <w:tbl>
      <w:tblPr>
        <w:tblW w:w="8495" w:type="dxa"/>
        <w:tblLayout w:type="fixed"/>
        <w:tblCellMar>
          <w:left w:w="70" w:type="dxa"/>
          <w:right w:w="70" w:type="dxa"/>
        </w:tblCellMar>
        <w:tblLook w:val="04A0" w:firstRow="1" w:lastRow="0" w:firstColumn="1" w:lastColumn="0" w:noHBand="0" w:noVBand="1"/>
      </w:tblPr>
      <w:tblGrid>
        <w:gridCol w:w="2400"/>
        <w:gridCol w:w="851"/>
        <w:gridCol w:w="850"/>
        <w:gridCol w:w="851"/>
        <w:gridCol w:w="850"/>
        <w:gridCol w:w="992"/>
        <w:gridCol w:w="851"/>
        <w:gridCol w:w="850"/>
      </w:tblGrid>
      <w:tr w:rsidR="00112E7C" w:rsidRPr="005B22E6" w14:paraId="547AE068" w14:textId="77777777" w:rsidTr="005B22E6">
        <w:trPr>
          <w:trHeight w:val="330"/>
        </w:trPr>
        <w:tc>
          <w:tcPr>
            <w:tcW w:w="8495" w:type="dxa"/>
            <w:gridSpan w:val="8"/>
            <w:tcBorders>
              <w:top w:val="nil"/>
              <w:left w:val="single" w:sz="8" w:space="0" w:color="auto"/>
              <w:bottom w:val="nil"/>
              <w:right w:val="nil"/>
            </w:tcBorders>
            <w:shd w:val="clear" w:color="000000" w:fill="000000"/>
            <w:vAlign w:val="center"/>
            <w:hideMark/>
          </w:tcPr>
          <w:p w14:paraId="5D7B0BA7" w14:textId="3DC574AB" w:rsidR="00112E7C" w:rsidRPr="005B22E6" w:rsidRDefault="00112E7C" w:rsidP="00112E7C">
            <w:pPr>
              <w:spacing w:after="0" w:line="240" w:lineRule="auto"/>
              <w:jc w:val="left"/>
              <w:rPr>
                <w:rFonts w:eastAsia="Times New Roman" w:cs="Times New Roman"/>
                <w:b/>
                <w:bCs/>
                <w:color w:val="FFFFFF"/>
                <w:sz w:val="18"/>
                <w:szCs w:val="18"/>
                <w:lang w:eastAsia="sk-SK"/>
              </w:rPr>
            </w:pPr>
            <w:bookmarkStart w:id="58" w:name="RANGE!B5:I16"/>
            <w:r w:rsidRPr="005B22E6">
              <w:rPr>
                <w:rFonts w:eastAsia="Times New Roman" w:cs="Times New Roman"/>
                <w:b/>
                <w:bCs/>
                <w:color w:val="FFFFFF"/>
                <w:sz w:val="18"/>
                <w:szCs w:val="18"/>
                <w:lang w:eastAsia="sk-SK"/>
              </w:rPr>
              <w:t>Granty a transfery poskytnuté VÚC podľa oddielov funkčnej klasifikácie</w:t>
            </w:r>
            <w:bookmarkEnd w:id="58"/>
            <w:r w:rsidRPr="005B22E6">
              <w:rPr>
                <w:rFonts w:eastAsia="Times New Roman" w:cs="Times New Roman"/>
                <w:b/>
                <w:bCs/>
                <w:color w:val="FFFFFF"/>
                <w:sz w:val="18"/>
                <w:szCs w:val="18"/>
                <w:lang w:eastAsia="sk-SK"/>
              </w:rPr>
              <w:t xml:space="preserve">                                        v tis. eur</w:t>
            </w:r>
          </w:p>
        </w:tc>
      </w:tr>
      <w:tr w:rsidR="00CB6968" w:rsidRPr="005B22E6" w14:paraId="3CF25DAA" w14:textId="77777777" w:rsidTr="005B22E6">
        <w:trPr>
          <w:trHeight w:val="510"/>
        </w:trPr>
        <w:tc>
          <w:tcPr>
            <w:tcW w:w="2400" w:type="dxa"/>
            <w:tcBorders>
              <w:top w:val="nil"/>
              <w:left w:val="nil"/>
              <w:bottom w:val="nil"/>
              <w:right w:val="nil"/>
            </w:tcBorders>
            <w:shd w:val="clear" w:color="000000" w:fill="BFBFBF"/>
            <w:vAlign w:val="center"/>
            <w:hideMark/>
          </w:tcPr>
          <w:p w14:paraId="08FFCE5A" w14:textId="77777777" w:rsidR="00CB6968" w:rsidRPr="005B22E6" w:rsidRDefault="00CB6968" w:rsidP="00CB6968">
            <w:pPr>
              <w:spacing w:after="0" w:line="240" w:lineRule="auto"/>
              <w:jc w:val="left"/>
              <w:rPr>
                <w:rFonts w:eastAsia="Times New Roman" w:cs="Times New Roman"/>
                <w:b/>
                <w:bCs/>
                <w:color w:val="FFFFFF"/>
                <w:sz w:val="18"/>
                <w:szCs w:val="18"/>
                <w:lang w:eastAsia="sk-SK"/>
              </w:rPr>
            </w:pPr>
            <w:r w:rsidRPr="005B22E6">
              <w:rPr>
                <w:rFonts w:eastAsia="Times New Roman" w:cs="Times New Roman"/>
                <w:b/>
                <w:bCs/>
                <w:color w:val="FFFFFF"/>
                <w:sz w:val="18"/>
                <w:szCs w:val="18"/>
                <w:lang w:eastAsia="sk-SK"/>
              </w:rPr>
              <w:t> </w:t>
            </w:r>
          </w:p>
        </w:tc>
        <w:tc>
          <w:tcPr>
            <w:tcW w:w="1701" w:type="dxa"/>
            <w:gridSpan w:val="2"/>
            <w:tcBorders>
              <w:top w:val="nil"/>
              <w:left w:val="nil"/>
              <w:bottom w:val="nil"/>
              <w:right w:val="nil"/>
            </w:tcBorders>
            <w:shd w:val="clear" w:color="000000" w:fill="BFBFBF"/>
            <w:vAlign w:val="center"/>
            <w:hideMark/>
          </w:tcPr>
          <w:p w14:paraId="589BFAA2" w14:textId="77777777" w:rsidR="00CB6968" w:rsidRPr="005B22E6" w:rsidRDefault="00CB6968" w:rsidP="00CB6968">
            <w:pPr>
              <w:spacing w:after="0" w:line="240" w:lineRule="auto"/>
              <w:jc w:val="center"/>
              <w:rPr>
                <w:rFonts w:eastAsia="Times New Roman" w:cs="Times New Roman"/>
                <w:b/>
                <w:bCs/>
                <w:color w:val="000000"/>
                <w:sz w:val="18"/>
                <w:szCs w:val="18"/>
                <w:lang w:eastAsia="sk-SK"/>
              </w:rPr>
            </w:pPr>
            <w:r w:rsidRPr="005B22E6">
              <w:rPr>
                <w:rFonts w:eastAsia="Times New Roman" w:cs="Times New Roman"/>
                <w:b/>
                <w:bCs/>
                <w:color w:val="000000"/>
                <w:sz w:val="18"/>
                <w:szCs w:val="18"/>
                <w:lang w:eastAsia="sk-SK"/>
              </w:rPr>
              <w:t>Skutočnosť</w:t>
            </w:r>
          </w:p>
        </w:tc>
        <w:tc>
          <w:tcPr>
            <w:tcW w:w="851" w:type="dxa"/>
            <w:tcBorders>
              <w:top w:val="nil"/>
              <w:left w:val="nil"/>
              <w:bottom w:val="nil"/>
              <w:right w:val="nil"/>
            </w:tcBorders>
            <w:shd w:val="clear" w:color="000000" w:fill="BFBFBF"/>
            <w:vAlign w:val="center"/>
            <w:hideMark/>
          </w:tcPr>
          <w:p w14:paraId="72EAEB92" w14:textId="77777777" w:rsidR="00CB6968" w:rsidRPr="005B22E6" w:rsidRDefault="00CB6968" w:rsidP="00CB6968">
            <w:pPr>
              <w:spacing w:after="0" w:line="240" w:lineRule="auto"/>
              <w:jc w:val="center"/>
              <w:rPr>
                <w:rFonts w:eastAsia="Times New Roman" w:cs="Times New Roman"/>
                <w:b/>
                <w:bCs/>
                <w:color w:val="000000"/>
                <w:sz w:val="18"/>
                <w:szCs w:val="18"/>
                <w:lang w:eastAsia="sk-SK"/>
              </w:rPr>
            </w:pPr>
            <w:r w:rsidRPr="005B22E6">
              <w:rPr>
                <w:rFonts w:eastAsia="Times New Roman" w:cs="Times New Roman"/>
                <w:b/>
                <w:bCs/>
                <w:color w:val="000000"/>
                <w:sz w:val="18"/>
                <w:szCs w:val="18"/>
                <w:lang w:eastAsia="sk-SK"/>
              </w:rPr>
              <w:t>Rozpočet</w:t>
            </w:r>
          </w:p>
        </w:tc>
        <w:tc>
          <w:tcPr>
            <w:tcW w:w="1842" w:type="dxa"/>
            <w:gridSpan w:val="2"/>
            <w:tcBorders>
              <w:top w:val="nil"/>
              <w:left w:val="nil"/>
              <w:bottom w:val="nil"/>
              <w:right w:val="nil"/>
            </w:tcBorders>
            <w:shd w:val="clear" w:color="000000" w:fill="BFBFBF"/>
            <w:vAlign w:val="center"/>
            <w:hideMark/>
          </w:tcPr>
          <w:p w14:paraId="395C2E42" w14:textId="77777777" w:rsidR="00CB6968" w:rsidRPr="005B22E6" w:rsidRDefault="00CB6968" w:rsidP="00CB6968">
            <w:pPr>
              <w:spacing w:after="0" w:line="240" w:lineRule="auto"/>
              <w:jc w:val="center"/>
              <w:rPr>
                <w:rFonts w:eastAsia="Times New Roman" w:cs="Times New Roman"/>
                <w:b/>
                <w:bCs/>
                <w:color w:val="000000"/>
                <w:sz w:val="18"/>
                <w:szCs w:val="18"/>
                <w:lang w:eastAsia="sk-SK"/>
              </w:rPr>
            </w:pPr>
            <w:r w:rsidRPr="005B22E6">
              <w:rPr>
                <w:rFonts w:eastAsia="Times New Roman" w:cs="Times New Roman"/>
                <w:b/>
                <w:bCs/>
                <w:color w:val="000000"/>
                <w:sz w:val="18"/>
                <w:szCs w:val="18"/>
                <w:lang w:eastAsia="sk-SK"/>
              </w:rPr>
              <w:t>Skutočnosť</w:t>
            </w:r>
          </w:p>
        </w:tc>
        <w:tc>
          <w:tcPr>
            <w:tcW w:w="1701" w:type="dxa"/>
            <w:gridSpan w:val="2"/>
            <w:tcBorders>
              <w:top w:val="nil"/>
              <w:left w:val="nil"/>
              <w:bottom w:val="nil"/>
              <w:right w:val="nil"/>
            </w:tcBorders>
            <w:shd w:val="clear" w:color="000000" w:fill="BFBFBF"/>
            <w:vAlign w:val="center"/>
            <w:hideMark/>
          </w:tcPr>
          <w:p w14:paraId="20677B50" w14:textId="77777777" w:rsidR="00CB6968" w:rsidRPr="005B22E6" w:rsidRDefault="00CB6968" w:rsidP="00CB6968">
            <w:pPr>
              <w:spacing w:after="0" w:line="240" w:lineRule="auto"/>
              <w:jc w:val="center"/>
              <w:rPr>
                <w:rFonts w:eastAsia="Times New Roman" w:cs="Times New Roman"/>
                <w:b/>
                <w:bCs/>
                <w:color w:val="000000"/>
                <w:sz w:val="18"/>
                <w:szCs w:val="18"/>
                <w:lang w:eastAsia="sk-SK"/>
              </w:rPr>
            </w:pPr>
            <w:r w:rsidRPr="005B22E6">
              <w:rPr>
                <w:rFonts w:eastAsia="Times New Roman" w:cs="Times New Roman"/>
                <w:b/>
                <w:bCs/>
                <w:color w:val="000000"/>
                <w:sz w:val="18"/>
                <w:szCs w:val="18"/>
                <w:lang w:eastAsia="sk-SK"/>
              </w:rPr>
              <w:t>Rozdiel</w:t>
            </w:r>
          </w:p>
        </w:tc>
      </w:tr>
      <w:tr w:rsidR="00CB6968" w:rsidRPr="005B22E6" w14:paraId="5527F32C" w14:textId="77777777" w:rsidTr="005B22E6">
        <w:trPr>
          <w:trHeight w:val="510"/>
        </w:trPr>
        <w:tc>
          <w:tcPr>
            <w:tcW w:w="2400" w:type="dxa"/>
            <w:tcBorders>
              <w:top w:val="nil"/>
              <w:left w:val="nil"/>
              <w:bottom w:val="nil"/>
              <w:right w:val="nil"/>
            </w:tcBorders>
            <w:shd w:val="clear" w:color="000000" w:fill="BFBFBF"/>
            <w:vAlign w:val="center"/>
            <w:hideMark/>
          </w:tcPr>
          <w:p w14:paraId="3900260A" w14:textId="77777777" w:rsidR="00CB6968" w:rsidRPr="005B22E6" w:rsidRDefault="00CB6968" w:rsidP="00CB6968">
            <w:pPr>
              <w:spacing w:after="0" w:line="240" w:lineRule="auto"/>
              <w:jc w:val="center"/>
              <w:rPr>
                <w:rFonts w:eastAsia="Times New Roman" w:cs="Times New Roman"/>
                <w:b/>
                <w:bCs/>
                <w:sz w:val="18"/>
                <w:szCs w:val="18"/>
                <w:lang w:eastAsia="sk-SK"/>
              </w:rPr>
            </w:pPr>
            <w:r w:rsidRPr="005B22E6">
              <w:rPr>
                <w:rFonts w:eastAsia="Times New Roman" w:cs="Times New Roman"/>
                <w:b/>
                <w:bCs/>
                <w:sz w:val="18"/>
                <w:szCs w:val="18"/>
                <w:lang w:eastAsia="sk-SK"/>
              </w:rPr>
              <w:t> </w:t>
            </w:r>
          </w:p>
        </w:tc>
        <w:tc>
          <w:tcPr>
            <w:tcW w:w="851" w:type="dxa"/>
            <w:tcBorders>
              <w:top w:val="nil"/>
              <w:left w:val="nil"/>
              <w:bottom w:val="nil"/>
              <w:right w:val="nil"/>
            </w:tcBorders>
            <w:shd w:val="clear" w:color="000000" w:fill="BFBFBF"/>
            <w:vAlign w:val="center"/>
            <w:hideMark/>
          </w:tcPr>
          <w:p w14:paraId="55C01AF5" w14:textId="77777777" w:rsidR="00CB6968" w:rsidRPr="005B22E6" w:rsidRDefault="00CB6968" w:rsidP="00CB6968">
            <w:pPr>
              <w:spacing w:after="0" w:line="240" w:lineRule="auto"/>
              <w:jc w:val="center"/>
              <w:rPr>
                <w:rFonts w:eastAsia="Times New Roman" w:cs="Times New Roman"/>
                <w:b/>
                <w:bCs/>
                <w:color w:val="000000"/>
                <w:sz w:val="18"/>
                <w:szCs w:val="18"/>
                <w:lang w:eastAsia="sk-SK"/>
              </w:rPr>
            </w:pPr>
            <w:r w:rsidRPr="005B22E6">
              <w:rPr>
                <w:rFonts w:eastAsia="Times New Roman" w:cs="Times New Roman"/>
                <w:b/>
                <w:bCs/>
                <w:color w:val="000000"/>
                <w:sz w:val="18"/>
                <w:szCs w:val="18"/>
                <w:lang w:eastAsia="sk-SK"/>
              </w:rPr>
              <w:t>2016</w:t>
            </w:r>
          </w:p>
        </w:tc>
        <w:tc>
          <w:tcPr>
            <w:tcW w:w="850" w:type="dxa"/>
            <w:tcBorders>
              <w:top w:val="nil"/>
              <w:left w:val="nil"/>
              <w:bottom w:val="nil"/>
              <w:right w:val="nil"/>
            </w:tcBorders>
            <w:shd w:val="clear" w:color="000000" w:fill="BFBFBF"/>
            <w:vAlign w:val="center"/>
            <w:hideMark/>
          </w:tcPr>
          <w:p w14:paraId="45D7143A" w14:textId="77777777" w:rsidR="00CB6968" w:rsidRPr="005B22E6" w:rsidRDefault="00CB6968" w:rsidP="00CB6968">
            <w:pPr>
              <w:spacing w:after="0" w:line="240" w:lineRule="auto"/>
              <w:jc w:val="center"/>
              <w:rPr>
                <w:rFonts w:eastAsia="Times New Roman" w:cs="Times New Roman"/>
                <w:b/>
                <w:bCs/>
                <w:color w:val="000000"/>
                <w:sz w:val="18"/>
                <w:szCs w:val="18"/>
                <w:lang w:eastAsia="sk-SK"/>
              </w:rPr>
            </w:pPr>
            <w:r w:rsidRPr="005B22E6">
              <w:rPr>
                <w:rFonts w:eastAsia="Times New Roman" w:cs="Times New Roman"/>
                <w:b/>
                <w:bCs/>
                <w:color w:val="000000"/>
                <w:sz w:val="18"/>
                <w:szCs w:val="18"/>
                <w:lang w:eastAsia="sk-SK"/>
              </w:rPr>
              <w:t>2017</w:t>
            </w:r>
          </w:p>
        </w:tc>
        <w:tc>
          <w:tcPr>
            <w:tcW w:w="851" w:type="dxa"/>
            <w:tcBorders>
              <w:top w:val="nil"/>
              <w:left w:val="nil"/>
              <w:bottom w:val="nil"/>
              <w:right w:val="nil"/>
            </w:tcBorders>
            <w:shd w:val="clear" w:color="000000" w:fill="BFBFBF"/>
            <w:vAlign w:val="center"/>
            <w:hideMark/>
          </w:tcPr>
          <w:p w14:paraId="672FCC23" w14:textId="77777777" w:rsidR="00CB6968" w:rsidRPr="005B22E6" w:rsidRDefault="00CB6968" w:rsidP="00CB6968">
            <w:pPr>
              <w:spacing w:after="0" w:line="240" w:lineRule="auto"/>
              <w:jc w:val="center"/>
              <w:rPr>
                <w:rFonts w:eastAsia="Times New Roman" w:cs="Times New Roman"/>
                <w:b/>
                <w:bCs/>
                <w:color w:val="000000"/>
                <w:sz w:val="18"/>
                <w:szCs w:val="18"/>
                <w:lang w:eastAsia="sk-SK"/>
              </w:rPr>
            </w:pPr>
            <w:r w:rsidRPr="005B22E6">
              <w:rPr>
                <w:rFonts w:eastAsia="Times New Roman" w:cs="Times New Roman"/>
                <w:b/>
                <w:bCs/>
                <w:color w:val="000000"/>
                <w:sz w:val="18"/>
                <w:szCs w:val="18"/>
                <w:lang w:eastAsia="sk-SK"/>
              </w:rPr>
              <w:t>2018</w:t>
            </w:r>
          </w:p>
        </w:tc>
        <w:tc>
          <w:tcPr>
            <w:tcW w:w="850" w:type="dxa"/>
            <w:tcBorders>
              <w:top w:val="nil"/>
              <w:left w:val="nil"/>
              <w:bottom w:val="nil"/>
              <w:right w:val="nil"/>
            </w:tcBorders>
            <w:shd w:val="clear" w:color="000000" w:fill="BFBFBF"/>
            <w:vAlign w:val="center"/>
            <w:hideMark/>
          </w:tcPr>
          <w:p w14:paraId="2FB7371A" w14:textId="77777777" w:rsidR="00CB6968" w:rsidRPr="005B22E6" w:rsidRDefault="00CB6968" w:rsidP="00CB6968">
            <w:pPr>
              <w:spacing w:after="0" w:line="240" w:lineRule="auto"/>
              <w:jc w:val="center"/>
              <w:rPr>
                <w:rFonts w:eastAsia="Times New Roman" w:cs="Times New Roman"/>
                <w:b/>
                <w:bCs/>
                <w:color w:val="000000"/>
                <w:sz w:val="18"/>
                <w:szCs w:val="18"/>
                <w:lang w:eastAsia="sk-SK"/>
              </w:rPr>
            </w:pPr>
            <w:r w:rsidRPr="005B22E6">
              <w:rPr>
                <w:rFonts w:eastAsia="Times New Roman" w:cs="Times New Roman"/>
                <w:b/>
                <w:bCs/>
                <w:color w:val="000000"/>
                <w:sz w:val="18"/>
                <w:szCs w:val="18"/>
                <w:lang w:eastAsia="sk-SK"/>
              </w:rPr>
              <w:t>2018</w:t>
            </w:r>
          </w:p>
        </w:tc>
        <w:tc>
          <w:tcPr>
            <w:tcW w:w="992" w:type="dxa"/>
            <w:tcBorders>
              <w:top w:val="nil"/>
              <w:left w:val="nil"/>
              <w:bottom w:val="nil"/>
              <w:right w:val="nil"/>
            </w:tcBorders>
            <w:shd w:val="clear" w:color="000000" w:fill="BFBFBF"/>
            <w:vAlign w:val="center"/>
            <w:hideMark/>
          </w:tcPr>
          <w:p w14:paraId="22C9B8DD" w14:textId="77777777" w:rsidR="00CB6968" w:rsidRPr="005B22E6" w:rsidRDefault="00CB6968" w:rsidP="00CB6968">
            <w:pPr>
              <w:spacing w:after="0" w:line="240" w:lineRule="auto"/>
              <w:jc w:val="center"/>
              <w:rPr>
                <w:rFonts w:eastAsia="Times New Roman" w:cs="Times New Roman"/>
                <w:b/>
                <w:bCs/>
                <w:color w:val="000000"/>
                <w:sz w:val="18"/>
                <w:szCs w:val="18"/>
                <w:lang w:eastAsia="sk-SK"/>
              </w:rPr>
            </w:pPr>
            <w:r w:rsidRPr="005B22E6">
              <w:rPr>
                <w:rFonts w:eastAsia="Times New Roman" w:cs="Times New Roman"/>
                <w:b/>
                <w:bCs/>
                <w:color w:val="000000"/>
                <w:sz w:val="18"/>
                <w:szCs w:val="18"/>
                <w:lang w:eastAsia="sk-SK"/>
              </w:rPr>
              <w:t>z toho: zdroj 111</w:t>
            </w:r>
            <w:r w:rsidRPr="005B22E6">
              <w:rPr>
                <w:rFonts w:ascii="Arial Narrow" w:eastAsia="Times New Roman" w:hAnsi="Arial Narrow" w:cs="Times New Roman"/>
                <w:b/>
                <w:bCs/>
                <w:color w:val="000000"/>
                <w:sz w:val="18"/>
                <w:szCs w:val="18"/>
                <w:lang w:eastAsia="sk-SK"/>
              </w:rPr>
              <w:t>*</w:t>
            </w:r>
          </w:p>
        </w:tc>
        <w:tc>
          <w:tcPr>
            <w:tcW w:w="851" w:type="dxa"/>
            <w:tcBorders>
              <w:top w:val="nil"/>
              <w:left w:val="nil"/>
              <w:bottom w:val="nil"/>
              <w:right w:val="nil"/>
            </w:tcBorders>
            <w:shd w:val="clear" w:color="000000" w:fill="BFBFBF"/>
            <w:vAlign w:val="center"/>
            <w:hideMark/>
          </w:tcPr>
          <w:p w14:paraId="2FC5B6A6" w14:textId="77777777" w:rsidR="00CB6968" w:rsidRPr="005B22E6" w:rsidRDefault="00CB6968" w:rsidP="00CB6968">
            <w:pPr>
              <w:spacing w:after="0" w:line="240" w:lineRule="auto"/>
              <w:jc w:val="center"/>
              <w:rPr>
                <w:rFonts w:eastAsia="Times New Roman" w:cs="Times New Roman"/>
                <w:b/>
                <w:bCs/>
                <w:color w:val="000000"/>
                <w:sz w:val="18"/>
                <w:szCs w:val="18"/>
                <w:lang w:eastAsia="sk-SK"/>
              </w:rPr>
            </w:pPr>
            <w:r w:rsidRPr="005B22E6">
              <w:rPr>
                <w:rFonts w:eastAsia="Times New Roman" w:cs="Times New Roman"/>
                <w:b/>
                <w:bCs/>
                <w:color w:val="000000"/>
                <w:sz w:val="18"/>
                <w:szCs w:val="18"/>
                <w:lang w:eastAsia="sk-SK"/>
              </w:rPr>
              <w:t xml:space="preserve"> v tis. eur</w:t>
            </w:r>
          </w:p>
        </w:tc>
        <w:tc>
          <w:tcPr>
            <w:tcW w:w="850" w:type="dxa"/>
            <w:tcBorders>
              <w:top w:val="nil"/>
              <w:left w:val="nil"/>
              <w:bottom w:val="nil"/>
              <w:right w:val="nil"/>
            </w:tcBorders>
            <w:shd w:val="clear" w:color="000000" w:fill="BFBFBF"/>
            <w:vAlign w:val="center"/>
            <w:hideMark/>
          </w:tcPr>
          <w:p w14:paraId="4EFCD944" w14:textId="77777777" w:rsidR="00CB6968" w:rsidRPr="005B22E6" w:rsidRDefault="00CB6968" w:rsidP="00CB6968">
            <w:pPr>
              <w:spacing w:after="0" w:line="240" w:lineRule="auto"/>
              <w:jc w:val="center"/>
              <w:rPr>
                <w:rFonts w:eastAsia="Times New Roman" w:cs="Times New Roman"/>
                <w:b/>
                <w:bCs/>
                <w:color w:val="000000"/>
                <w:sz w:val="18"/>
                <w:szCs w:val="18"/>
                <w:lang w:eastAsia="sk-SK"/>
              </w:rPr>
            </w:pPr>
            <w:r w:rsidRPr="005B22E6">
              <w:rPr>
                <w:rFonts w:eastAsia="Times New Roman" w:cs="Times New Roman"/>
                <w:b/>
                <w:bCs/>
                <w:color w:val="000000"/>
                <w:sz w:val="18"/>
                <w:szCs w:val="18"/>
                <w:lang w:eastAsia="sk-SK"/>
              </w:rPr>
              <w:t>v %</w:t>
            </w:r>
          </w:p>
        </w:tc>
      </w:tr>
      <w:tr w:rsidR="00CB6968" w:rsidRPr="005B22E6" w14:paraId="1BF84B2B" w14:textId="77777777" w:rsidTr="005B22E6">
        <w:trPr>
          <w:trHeight w:val="345"/>
        </w:trPr>
        <w:tc>
          <w:tcPr>
            <w:tcW w:w="2400" w:type="dxa"/>
            <w:tcBorders>
              <w:top w:val="nil"/>
              <w:left w:val="nil"/>
              <w:bottom w:val="single" w:sz="8" w:space="0" w:color="auto"/>
              <w:right w:val="nil"/>
            </w:tcBorders>
            <w:shd w:val="clear" w:color="000000" w:fill="BFBFBF"/>
            <w:vAlign w:val="center"/>
            <w:hideMark/>
          </w:tcPr>
          <w:p w14:paraId="78A8C748" w14:textId="77777777" w:rsidR="00CB6968" w:rsidRPr="005B22E6" w:rsidRDefault="00CB6968" w:rsidP="00CB6968">
            <w:pPr>
              <w:spacing w:after="0" w:line="240" w:lineRule="auto"/>
              <w:jc w:val="left"/>
              <w:rPr>
                <w:rFonts w:eastAsia="Times New Roman" w:cs="Times New Roman"/>
                <w:b/>
                <w:bCs/>
                <w:color w:val="FFFFFF"/>
                <w:sz w:val="18"/>
                <w:szCs w:val="18"/>
                <w:lang w:eastAsia="sk-SK"/>
              </w:rPr>
            </w:pPr>
            <w:r w:rsidRPr="005B22E6">
              <w:rPr>
                <w:rFonts w:eastAsia="Times New Roman" w:cs="Times New Roman"/>
                <w:b/>
                <w:bCs/>
                <w:color w:val="FFFFFF"/>
                <w:sz w:val="18"/>
                <w:szCs w:val="18"/>
                <w:lang w:eastAsia="sk-SK"/>
              </w:rPr>
              <w:t> </w:t>
            </w:r>
          </w:p>
        </w:tc>
        <w:tc>
          <w:tcPr>
            <w:tcW w:w="851" w:type="dxa"/>
            <w:tcBorders>
              <w:top w:val="nil"/>
              <w:left w:val="nil"/>
              <w:bottom w:val="single" w:sz="8" w:space="0" w:color="auto"/>
              <w:right w:val="nil"/>
            </w:tcBorders>
            <w:shd w:val="clear" w:color="000000" w:fill="BFBFBF"/>
            <w:vAlign w:val="center"/>
            <w:hideMark/>
          </w:tcPr>
          <w:p w14:paraId="7DF20F5C" w14:textId="77777777" w:rsidR="00CB6968" w:rsidRPr="005B22E6" w:rsidRDefault="00CB6968" w:rsidP="00CB6968">
            <w:pPr>
              <w:spacing w:after="0" w:line="240" w:lineRule="auto"/>
              <w:jc w:val="center"/>
              <w:rPr>
                <w:rFonts w:eastAsia="Times New Roman" w:cs="Times New Roman"/>
                <w:b/>
                <w:bCs/>
                <w:sz w:val="18"/>
                <w:szCs w:val="18"/>
                <w:lang w:eastAsia="sk-SK"/>
              </w:rPr>
            </w:pPr>
            <w:r w:rsidRPr="005B22E6">
              <w:rPr>
                <w:rFonts w:eastAsia="Times New Roman" w:cs="Times New Roman"/>
                <w:b/>
                <w:bCs/>
                <w:sz w:val="18"/>
                <w:szCs w:val="18"/>
                <w:lang w:eastAsia="sk-SK"/>
              </w:rPr>
              <w:t>1</w:t>
            </w:r>
          </w:p>
        </w:tc>
        <w:tc>
          <w:tcPr>
            <w:tcW w:w="850" w:type="dxa"/>
            <w:tcBorders>
              <w:top w:val="nil"/>
              <w:left w:val="nil"/>
              <w:bottom w:val="single" w:sz="8" w:space="0" w:color="auto"/>
              <w:right w:val="nil"/>
            </w:tcBorders>
            <w:shd w:val="clear" w:color="000000" w:fill="BFBFBF"/>
            <w:vAlign w:val="center"/>
            <w:hideMark/>
          </w:tcPr>
          <w:p w14:paraId="4A444684" w14:textId="77777777" w:rsidR="00CB6968" w:rsidRPr="005B22E6" w:rsidRDefault="00CB6968" w:rsidP="00CB6968">
            <w:pPr>
              <w:spacing w:after="0" w:line="240" w:lineRule="auto"/>
              <w:jc w:val="center"/>
              <w:rPr>
                <w:rFonts w:eastAsia="Times New Roman" w:cs="Times New Roman"/>
                <w:b/>
                <w:bCs/>
                <w:sz w:val="18"/>
                <w:szCs w:val="18"/>
                <w:lang w:eastAsia="sk-SK"/>
              </w:rPr>
            </w:pPr>
            <w:r w:rsidRPr="005B22E6">
              <w:rPr>
                <w:rFonts w:eastAsia="Times New Roman" w:cs="Times New Roman"/>
                <w:b/>
                <w:bCs/>
                <w:sz w:val="18"/>
                <w:szCs w:val="18"/>
                <w:lang w:eastAsia="sk-SK"/>
              </w:rPr>
              <w:t>2</w:t>
            </w:r>
          </w:p>
        </w:tc>
        <w:tc>
          <w:tcPr>
            <w:tcW w:w="851" w:type="dxa"/>
            <w:tcBorders>
              <w:top w:val="nil"/>
              <w:left w:val="nil"/>
              <w:bottom w:val="single" w:sz="8" w:space="0" w:color="auto"/>
              <w:right w:val="nil"/>
            </w:tcBorders>
            <w:shd w:val="clear" w:color="000000" w:fill="BFBFBF"/>
            <w:vAlign w:val="center"/>
            <w:hideMark/>
          </w:tcPr>
          <w:p w14:paraId="385206CD" w14:textId="77777777" w:rsidR="00CB6968" w:rsidRPr="005B22E6" w:rsidRDefault="00CB6968" w:rsidP="00CB6968">
            <w:pPr>
              <w:spacing w:after="0" w:line="240" w:lineRule="auto"/>
              <w:jc w:val="center"/>
              <w:rPr>
                <w:rFonts w:eastAsia="Times New Roman" w:cs="Times New Roman"/>
                <w:b/>
                <w:bCs/>
                <w:sz w:val="18"/>
                <w:szCs w:val="18"/>
                <w:lang w:eastAsia="sk-SK"/>
              </w:rPr>
            </w:pPr>
            <w:r w:rsidRPr="005B22E6">
              <w:rPr>
                <w:rFonts w:eastAsia="Times New Roman" w:cs="Times New Roman"/>
                <w:b/>
                <w:bCs/>
                <w:sz w:val="18"/>
                <w:szCs w:val="18"/>
                <w:lang w:eastAsia="sk-SK"/>
              </w:rPr>
              <w:t>3</w:t>
            </w:r>
          </w:p>
        </w:tc>
        <w:tc>
          <w:tcPr>
            <w:tcW w:w="850" w:type="dxa"/>
            <w:tcBorders>
              <w:top w:val="nil"/>
              <w:left w:val="nil"/>
              <w:bottom w:val="single" w:sz="8" w:space="0" w:color="auto"/>
              <w:right w:val="nil"/>
            </w:tcBorders>
            <w:shd w:val="clear" w:color="000000" w:fill="BFBFBF"/>
            <w:vAlign w:val="center"/>
            <w:hideMark/>
          </w:tcPr>
          <w:p w14:paraId="3DDBBFF0" w14:textId="77777777" w:rsidR="00CB6968" w:rsidRPr="005B22E6" w:rsidRDefault="00CB6968" w:rsidP="00CB6968">
            <w:pPr>
              <w:spacing w:after="0" w:line="240" w:lineRule="auto"/>
              <w:jc w:val="center"/>
              <w:rPr>
                <w:rFonts w:eastAsia="Times New Roman" w:cs="Times New Roman"/>
                <w:b/>
                <w:bCs/>
                <w:sz w:val="18"/>
                <w:szCs w:val="18"/>
                <w:lang w:eastAsia="sk-SK"/>
              </w:rPr>
            </w:pPr>
            <w:r w:rsidRPr="005B22E6">
              <w:rPr>
                <w:rFonts w:eastAsia="Times New Roman" w:cs="Times New Roman"/>
                <w:b/>
                <w:bCs/>
                <w:sz w:val="18"/>
                <w:szCs w:val="18"/>
                <w:lang w:eastAsia="sk-SK"/>
              </w:rPr>
              <w:t>4</w:t>
            </w:r>
          </w:p>
        </w:tc>
        <w:tc>
          <w:tcPr>
            <w:tcW w:w="992" w:type="dxa"/>
            <w:tcBorders>
              <w:top w:val="nil"/>
              <w:left w:val="nil"/>
              <w:bottom w:val="single" w:sz="8" w:space="0" w:color="auto"/>
              <w:right w:val="nil"/>
            </w:tcBorders>
            <w:shd w:val="clear" w:color="000000" w:fill="BFBFBF"/>
            <w:vAlign w:val="center"/>
            <w:hideMark/>
          </w:tcPr>
          <w:p w14:paraId="325F2F62" w14:textId="77777777" w:rsidR="00CB6968" w:rsidRPr="005B22E6" w:rsidRDefault="00CB6968" w:rsidP="00CB6968">
            <w:pPr>
              <w:spacing w:after="0" w:line="240" w:lineRule="auto"/>
              <w:jc w:val="center"/>
              <w:rPr>
                <w:rFonts w:eastAsia="Times New Roman" w:cs="Times New Roman"/>
                <w:b/>
                <w:bCs/>
                <w:sz w:val="18"/>
                <w:szCs w:val="18"/>
                <w:lang w:eastAsia="sk-SK"/>
              </w:rPr>
            </w:pPr>
            <w:r w:rsidRPr="005B22E6">
              <w:rPr>
                <w:rFonts w:eastAsia="Times New Roman" w:cs="Times New Roman"/>
                <w:b/>
                <w:bCs/>
                <w:sz w:val="18"/>
                <w:szCs w:val="18"/>
                <w:lang w:eastAsia="sk-SK"/>
              </w:rPr>
              <w:t>5</w:t>
            </w:r>
          </w:p>
        </w:tc>
        <w:tc>
          <w:tcPr>
            <w:tcW w:w="851" w:type="dxa"/>
            <w:tcBorders>
              <w:top w:val="nil"/>
              <w:left w:val="nil"/>
              <w:bottom w:val="single" w:sz="8" w:space="0" w:color="auto"/>
              <w:right w:val="nil"/>
            </w:tcBorders>
            <w:shd w:val="clear" w:color="000000" w:fill="BFBFBF"/>
            <w:vAlign w:val="center"/>
            <w:hideMark/>
          </w:tcPr>
          <w:p w14:paraId="08A98A3D" w14:textId="77777777" w:rsidR="00CB6968" w:rsidRPr="005B22E6" w:rsidRDefault="00CB6968" w:rsidP="00CB6968">
            <w:pPr>
              <w:spacing w:after="0" w:line="240" w:lineRule="auto"/>
              <w:jc w:val="center"/>
              <w:rPr>
                <w:rFonts w:eastAsia="Times New Roman" w:cs="Times New Roman"/>
                <w:b/>
                <w:bCs/>
                <w:sz w:val="18"/>
                <w:szCs w:val="18"/>
                <w:lang w:eastAsia="sk-SK"/>
              </w:rPr>
            </w:pPr>
            <w:r w:rsidRPr="005B22E6">
              <w:rPr>
                <w:rFonts w:eastAsia="Times New Roman" w:cs="Times New Roman"/>
                <w:b/>
                <w:bCs/>
                <w:sz w:val="18"/>
                <w:szCs w:val="18"/>
                <w:lang w:eastAsia="sk-SK"/>
              </w:rPr>
              <w:t>6=4-3</w:t>
            </w:r>
          </w:p>
        </w:tc>
        <w:tc>
          <w:tcPr>
            <w:tcW w:w="850" w:type="dxa"/>
            <w:tcBorders>
              <w:top w:val="nil"/>
              <w:left w:val="nil"/>
              <w:bottom w:val="single" w:sz="8" w:space="0" w:color="auto"/>
              <w:right w:val="nil"/>
            </w:tcBorders>
            <w:shd w:val="clear" w:color="000000" w:fill="BFBFBF"/>
            <w:vAlign w:val="center"/>
            <w:hideMark/>
          </w:tcPr>
          <w:p w14:paraId="6B28EC26" w14:textId="77777777" w:rsidR="00CB6968" w:rsidRPr="005B22E6" w:rsidRDefault="00CB6968" w:rsidP="00CB6968">
            <w:pPr>
              <w:spacing w:after="0" w:line="240" w:lineRule="auto"/>
              <w:jc w:val="center"/>
              <w:rPr>
                <w:rFonts w:eastAsia="Times New Roman" w:cs="Times New Roman"/>
                <w:b/>
                <w:bCs/>
                <w:sz w:val="18"/>
                <w:szCs w:val="18"/>
                <w:lang w:eastAsia="sk-SK"/>
              </w:rPr>
            </w:pPr>
            <w:r w:rsidRPr="005B22E6">
              <w:rPr>
                <w:rFonts w:eastAsia="Times New Roman" w:cs="Times New Roman"/>
                <w:b/>
                <w:bCs/>
                <w:sz w:val="18"/>
                <w:szCs w:val="18"/>
                <w:lang w:eastAsia="sk-SK"/>
              </w:rPr>
              <w:t>7=4-3</w:t>
            </w:r>
          </w:p>
        </w:tc>
      </w:tr>
      <w:tr w:rsidR="00CB6968" w:rsidRPr="005B22E6" w14:paraId="13D17E0E" w14:textId="77777777" w:rsidTr="009051A6">
        <w:trPr>
          <w:trHeight w:val="330"/>
        </w:trPr>
        <w:tc>
          <w:tcPr>
            <w:tcW w:w="2400" w:type="dxa"/>
            <w:tcBorders>
              <w:top w:val="nil"/>
              <w:left w:val="nil"/>
              <w:bottom w:val="nil"/>
              <w:right w:val="nil"/>
            </w:tcBorders>
            <w:shd w:val="clear" w:color="000000" w:fill="FFFFFF"/>
            <w:vAlign w:val="center"/>
            <w:hideMark/>
          </w:tcPr>
          <w:p w14:paraId="1F6870B0" w14:textId="77777777" w:rsidR="00CB6968" w:rsidRPr="005B22E6" w:rsidRDefault="00CB6968" w:rsidP="00CB6968">
            <w:pPr>
              <w:spacing w:after="0" w:line="240" w:lineRule="auto"/>
              <w:jc w:val="left"/>
              <w:rPr>
                <w:rFonts w:eastAsia="Times New Roman" w:cs="Times New Roman"/>
                <w:color w:val="000000"/>
                <w:sz w:val="18"/>
                <w:szCs w:val="18"/>
                <w:lang w:eastAsia="sk-SK"/>
              </w:rPr>
            </w:pPr>
            <w:r w:rsidRPr="005B22E6">
              <w:rPr>
                <w:rFonts w:eastAsia="Times New Roman" w:cs="Times New Roman"/>
                <w:color w:val="000000"/>
                <w:sz w:val="18"/>
                <w:szCs w:val="18"/>
                <w:lang w:eastAsia="sk-SK"/>
              </w:rPr>
              <w:t>Vzdelávanie</w:t>
            </w:r>
          </w:p>
        </w:tc>
        <w:tc>
          <w:tcPr>
            <w:tcW w:w="851" w:type="dxa"/>
            <w:tcBorders>
              <w:top w:val="nil"/>
              <w:left w:val="nil"/>
              <w:bottom w:val="nil"/>
              <w:right w:val="nil"/>
            </w:tcBorders>
            <w:shd w:val="clear" w:color="000000" w:fill="FFFFFF"/>
            <w:noWrap/>
            <w:vAlign w:val="center"/>
            <w:hideMark/>
          </w:tcPr>
          <w:p w14:paraId="04B7CF08" w14:textId="77777777" w:rsidR="00CB6968" w:rsidRPr="005B22E6" w:rsidRDefault="00CB6968" w:rsidP="00CB6968">
            <w:pPr>
              <w:spacing w:after="0" w:line="240" w:lineRule="auto"/>
              <w:jc w:val="right"/>
              <w:rPr>
                <w:rFonts w:eastAsia="Times New Roman" w:cs="Times New Roman"/>
                <w:color w:val="000000"/>
                <w:sz w:val="18"/>
                <w:szCs w:val="18"/>
                <w:lang w:eastAsia="sk-SK"/>
              </w:rPr>
            </w:pPr>
            <w:r w:rsidRPr="005B22E6">
              <w:rPr>
                <w:rFonts w:eastAsia="Times New Roman" w:cs="Times New Roman"/>
                <w:color w:val="000000"/>
                <w:sz w:val="18"/>
                <w:szCs w:val="18"/>
                <w:lang w:eastAsia="sk-SK"/>
              </w:rPr>
              <w:t>412 059</w:t>
            </w:r>
          </w:p>
        </w:tc>
        <w:tc>
          <w:tcPr>
            <w:tcW w:w="850" w:type="dxa"/>
            <w:tcBorders>
              <w:top w:val="nil"/>
              <w:left w:val="nil"/>
              <w:bottom w:val="nil"/>
              <w:right w:val="nil"/>
            </w:tcBorders>
            <w:shd w:val="clear" w:color="000000" w:fill="FFFFFF"/>
            <w:noWrap/>
            <w:vAlign w:val="center"/>
            <w:hideMark/>
          </w:tcPr>
          <w:p w14:paraId="1A8E1723" w14:textId="77777777" w:rsidR="00CB6968" w:rsidRPr="005B22E6" w:rsidRDefault="00CB6968" w:rsidP="00CB6968">
            <w:pPr>
              <w:spacing w:after="0" w:line="240" w:lineRule="auto"/>
              <w:jc w:val="right"/>
              <w:rPr>
                <w:rFonts w:eastAsia="Times New Roman" w:cs="Times New Roman"/>
                <w:color w:val="000000"/>
                <w:sz w:val="18"/>
                <w:szCs w:val="18"/>
                <w:lang w:eastAsia="sk-SK"/>
              </w:rPr>
            </w:pPr>
            <w:r w:rsidRPr="005B22E6">
              <w:rPr>
                <w:rFonts w:eastAsia="Times New Roman" w:cs="Times New Roman"/>
                <w:color w:val="000000"/>
                <w:sz w:val="18"/>
                <w:szCs w:val="18"/>
                <w:lang w:eastAsia="sk-SK"/>
              </w:rPr>
              <w:t>425 600</w:t>
            </w:r>
          </w:p>
        </w:tc>
        <w:tc>
          <w:tcPr>
            <w:tcW w:w="851" w:type="dxa"/>
            <w:tcBorders>
              <w:top w:val="nil"/>
              <w:left w:val="nil"/>
              <w:bottom w:val="nil"/>
              <w:right w:val="nil"/>
            </w:tcBorders>
            <w:shd w:val="clear" w:color="000000" w:fill="FFFFFF"/>
            <w:noWrap/>
            <w:vAlign w:val="center"/>
            <w:hideMark/>
          </w:tcPr>
          <w:p w14:paraId="581A5A27" w14:textId="77777777" w:rsidR="00CB6968" w:rsidRPr="005B22E6" w:rsidRDefault="00CB6968" w:rsidP="00CB6968">
            <w:pPr>
              <w:spacing w:after="0" w:line="240" w:lineRule="auto"/>
              <w:jc w:val="right"/>
              <w:rPr>
                <w:rFonts w:eastAsia="Times New Roman" w:cs="Times New Roman"/>
                <w:color w:val="000000"/>
                <w:sz w:val="18"/>
                <w:szCs w:val="18"/>
                <w:lang w:eastAsia="sk-SK"/>
              </w:rPr>
            </w:pPr>
            <w:r w:rsidRPr="005B22E6">
              <w:rPr>
                <w:rFonts w:eastAsia="Times New Roman" w:cs="Times New Roman"/>
                <w:color w:val="000000"/>
                <w:sz w:val="18"/>
                <w:szCs w:val="18"/>
                <w:lang w:eastAsia="sk-SK"/>
              </w:rPr>
              <w:t>480 322</w:t>
            </w:r>
          </w:p>
        </w:tc>
        <w:tc>
          <w:tcPr>
            <w:tcW w:w="850" w:type="dxa"/>
            <w:tcBorders>
              <w:top w:val="nil"/>
              <w:left w:val="nil"/>
              <w:bottom w:val="nil"/>
              <w:right w:val="nil"/>
            </w:tcBorders>
            <w:shd w:val="clear" w:color="000000" w:fill="BFBFBF"/>
            <w:noWrap/>
            <w:vAlign w:val="center"/>
            <w:hideMark/>
          </w:tcPr>
          <w:p w14:paraId="06016C1A" w14:textId="77777777" w:rsidR="00CB6968" w:rsidRPr="005B22E6" w:rsidRDefault="00CB6968" w:rsidP="00CB6968">
            <w:pPr>
              <w:spacing w:after="0" w:line="240" w:lineRule="auto"/>
              <w:jc w:val="right"/>
              <w:rPr>
                <w:rFonts w:eastAsia="Times New Roman" w:cs="Times New Roman"/>
                <w:color w:val="000000"/>
                <w:sz w:val="18"/>
                <w:szCs w:val="18"/>
                <w:lang w:eastAsia="sk-SK"/>
              </w:rPr>
            </w:pPr>
            <w:r w:rsidRPr="005B22E6">
              <w:rPr>
                <w:rFonts w:eastAsia="Times New Roman" w:cs="Times New Roman"/>
                <w:color w:val="000000"/>
                <w:sz w:val="18"/>
                <w:szCs w:val="18"/>
                <w:lang w:eastAsia="sk-SK"/>
              </w:rPr>
              <w:t>434 220</w:t>
            </w:r>
          </w:p>
        </w:tc>
        <w:tc>
          <w:tcPr>
            <w:tcW w:w="992" w:type="dxa"/>
            <w:tcBorders>
              <w:top w:val="nil"/>
              <w:left w:val="nil"/>
              <w:bottom w:val="nil"/>
              <w:right w:val="nil"/>
            </w:tcBorders>
            <w:shd w:val="clear" w:color="000000" w:fill="BFBFBF"/>
            <w:noWrap/>
            <w:vAlign w:val="center"/>
            <w:hideMark/>
          </w:tcPr>
          <w:p w14:paraId="7F9CE46D" w14:textId="77777777" w:rsidR="00CB6968" w:rsidRPr="005B22E6" w:rsidRDefault="00CB6968" w:rsidP="00CB6968">
            <w:pPr>
              <w:spacing w:after="0" w:line="240" w:lineRule="auto"/>
              <w:jc w:val="right"/>
              <w:rPr>
                <w:rFonts w:eastAsia="Times New Roman" w:cs="Times New Roman"/>
                <w:color w:val="000000"/>
                <w:sz w:val="18"/>
                <w:szCs w:val="18"/>
                <w:lang w:eastAsia="sk-SK"/>
              </w:rPr>
            </w:pPr>
            <w:r w:rsidRPr="005B22E6">
              <w:rPr>
                <w:rFonts w:eastAsia="Times New Roman" w:cs="Times New Roman"/>
                <w:color w:val="000000"/>
                <w:sz w:val="18"/>
                <w:szCs w:val="18"/>
                <w:lang w:eastAsia="sk-SK"/>
              </w:rPr>
              <w:t>433 848</w:t>
            </w:r>
          </w:p>
        </w:tc>
        <w:tc>
          <w:tcPr>
            <w:tcW w:w="851" w:type="dxa"/>
            <w:tcBorders>
              <w:top w:val="nil"/>
              <w:left w:val="nil"/>
              <w:bottom w:val="nil"/>
              <w:right w:val="nil"/>
            </w:tcBorders>
            <w:shd w:val="clear" w:color="000000" w:fill="FFFFFF"/>
            <w:vAlign w:val="center"/>
            <w:hideMark/>
          </w:tcPr>
          <w:p w14:paraId="40F438A3" w14:textId="77777777" w:rsidR="00CB6968" w:rsidRPr="005B22E6" w:rsidRDefault="00CB6968" w:rsidP="00CB6968">
            <w:pPr>
              <w:spacing w:after="0" w:line="240" w:lineRule="auto"/>
              <w:jc w:val="right"/>
              <w:rPr>
                <w:rFonts w:eastAsia="Times New Roman" w:cs="Times New Roman"/>
                <w:color w:val="000000"/>
                <w:sz w:val="18"/>
                <w:szCs w:val="18"/>
                <w:lang w:eastAsia="sk-SK"/>
              </w:rPr>
            </w:pPr>
            <w:r w:rsidRPr="005B22E6">
              <w:rPr>
                <w:rFonts w:eastAsia="Times New Roman" w:cs="Times New Roman"/>
                <w:color w:val="000000"/>
                <w:sz w:val="18"/>
                <w:szCs w:val="18"/>
                <w:lang w:eastAsia="sk-SK"/>
              </w:rPr>
              <w:t>-46 102</w:t>
            </w:r>
          </w:p>
        </w:tc>
        <w:tc>
          <w:tcPr>
            <w:tcW w:w="850" w:type="dxa"/>
            <w:tcBorders>
              <w:top w:val="nil"/>
              <w:left w:val="nil"/>
              <w:bottom w:val="nil"/>
              <w:right w:val="nil"/>
            </w:tcBorders>
            <w:shd w:val="clear" w:color="000000" w:fill="FFFFFF"/>
            <w:vAlign w:val="center"/>
            <w:hideMark/>
          </w:tcPr>
          <w:p w14:paraId="742D959C" w14:textId="77777777" w:rsidR="00CB6968" w:rsidRPr="005B22E6" w:rsidRDefault="00CB6968" w:rsidP="00CB6968">
            <w:pPr>
              <w:spacing w:after="0" w:line="240" w:lineRule="auto"/>
              <w:jc w:val="right"/>
              <w:rPr>
                <w:rFonts w:eastAsia="Times New Roman" w:cs="Times New Roman"/>
                <w:color w:val="000000"/>
                <w:sz w:val="18"/>
                <w:szCs w:val="18"/>
                <w:lang w:eastAsia="sk-SK"/>
              </w:rPr>
            </w:pPr>
            <w:r w:rsidRPr="005B22E6">
              <w:rPr>
                <w:rFonts w:eastAsia="Times New Roman" w:cs="Times New Roman"/>
                <w:color w:val="000000"/>
                <w:sz w:val="18"/>
                <w:szCs w:val="18"/>
                <w:lang w:eastAsia="sk-SK"/>
              </w:rPr>
              <w:t>-9,6</w:t>
            </w:r>
          </w:p>
        </w:tc>
      </w:tr>
      <w:tr w:rsidR="00CB6968" w:rsidRPr="005B22E6" w14:paraId="7BAA5314" w14:textId="77777777" w:rsidTr="009051A6">
        <w:trPr>
          <w:trHeight w:val="330"/>
        </w:trPr>
        <w:tc>
          <w:tcPr>
            <w:tcW w:w="2400" w:type="dxa"/>
            <w:tcBorders>
              <w:top w:val="nil"/>
              <w:left w:val="nil"/>
              <w:bottom w:val="nil"/>
              <w:right w:val="nil"/>
            </w:tcBorders>
            <w:shd w:val="clear" w:color="000000" w:fill="FFFFFF"/>
            <w:noWrap/>
            <w:vAlign w:val="center"/>
            <w:hideMark/>
          </w:tcPr>
          <w:p w14:paraId="66DDA6A4" w14:textId="77777777" w:rsidR="00CB6968" w:rsidRPr="005B22E6" w:rsidRDefault="00CB6968" w:rsidP="00CB6968">
            <w:pPr>
              <w:spacing w:after="0" w:line="240" w:lineRule="auto"/>
              <w:jc w:val="left"/>
              <w:rPr>
                <w:rFonts w:eastAsia="Times New Roman" w:cs="Times New Roman"/>
                <w:color w:val="000000"/>
                <w:sz w:val="18"/>
                <w:szCs w:val="18"/>
                <w:lang w:eastAsia="sk-SK"/>
              </w:rPr>
            </w:pPr>
            <w:r w:rsidRPr="005B22E6">
              <w:rPr>
                <w:rFonts w:eastAsia="Times New Roman" w:cs="Times New Roman"/>
                <w:color w:val="000000"/>
                <w:sz w:val="18"/>
                <w:szCs w:val="18"/>
                <w:lang w:eastAsia="sk-SK"/>
              </w:rPr>
              <w:t>Ekonomická oblasť</w:t>
            </w:r>
          </w:p>
        </w:tc>
        <w:tc>
          <w:tcPr>
            <w:tcW w:w="851" w:type="dxa"/>
            <w:tcBorders>
              <w:top w:val="nil"/>
              <w:left w:val="nil"/>
              <w:bottom w:val="nil"/>
              <w:right w:val="nil"/>
            </w:tcBorders>
            <w:shd w:val="clear" w:color="000000" w:fill="FFFFFF"/>
            <w:noWrap/>
            <w:vAlign w:val="center"/>
            <w:hideMark/>
          </w:tcPr>
          <w:p w14:paraId="604ECD53" w14:textId="77777777" w:rsidR="00CB6968" w:rsidRPr="005B22E6" w:rsidRDefault="00CB6968" w:rsidP="00CB6968">
            <w:pPr>
              <w:spacing w:after="0" w:line="240" w:lineRule="auto"/>
              <w:jc w:val="right"/>
              <w:rPr>
                <w:rFonts w:eastAsia="Times New Roman" w:cs="Times New Roman"/>
                <w:color w:val="000000"/>
                <w:sz w:val="18"/>
                <w:szCs w:val="18"/>
                <w:lang w:eastAsia="sk-SK"/>
              </w:rPr>
            </w:pPr>
            <w:r w:rsidRPr="005B22E6">
              <w:rPr>
                <w:rFonts w:eastAsia="Times New Roman" w:cs="Times New Roman"/>
                <w:color w:val="000000"/>
                <w:sz w:val="18"/>
                <w:szCs w:val="18"/>
                <w:lang w:eastAsia="sk-SK"/>
              </w:rPr>
              <w:t>24 420</w:t>
            </w:r>
          </w:p>
        </w:tc>
        <w:tc>
          <w:tcPr>
            <w:tcW w:w="850" w:type="dxa"/>
            <w:tcBorders>
              <w:top w:val="nil"/>
              <w:left w:val="nil"/>
              <w:bottom w:val="nil"/>
              <w:right w:val="nil"/>
            </w:tcBorders>
            <w:shd w:val="clear" w:color="000000" w:fill="FFFFFF"/>
            <w:noWrap/>
            <w:vAlign w:val="center"/>
            <w:hideMark/>
          </w:tcPr>
          <w:p w14:paraId="4A27CAA2" w14:textId="77777777" w:rsidR="00CB6968" w:rsidRPr="005B22E6" w:rsidRDefault="00CB6968" w:rsidP="00CB6968">
            <w:pPr>
              <w:spacing w:after="0" w:line="240" w:lineRule="auto"/>
              <w:jc w:val="right"/>
              <w:rPr>
                <w:rFonts w:eastAsia="Times New Roman" w:cs="Times New Roman"/>
                <w:color w:val="000000"/>
                <w:sz w:val="18"/>
                <w:szCs w:val="18"/>
                <w:lang w:eastAsia="sk-SK"/>
              </w:rPr>
            </w:pPr>
            <w:r w:rsidRPr="005B22E6">
              <w:rPr>
                <w:rFonts w:eastAsia="Times New Roman" w:cs="Times New Roman"/>
                <w:color w:val="000000"/>
                <w:sz w:val="18"/>
                <w:szCs w:val="18"/>
                <w:lang w:eastAsia="sk-SK"/>
              </w:rPr>
              <w:t>2 662</w:t>
            </w:r>
          </w:p>
        </w:tc>
        <w:tc>
          <w:tcPr>
            <w:tcW w:w="851" w:type="dxa"/>
            <w:tcBorders>
              <w:top w:val="nil"/>
              <w:left w:val="nil"/>
              <w:bottom w:val="nil"/>
              <w:right w:val="nil"/>
            </w:tcBorders>
            <w:shd w:val="clear" w:color="000000" w:fill="FFFFFF"/>
            <w:noWrap/>
            <w:vAlign w:val="center"/>
            <w:hideMark/>
          </w:tcPr>
          <w:p w14:paraId="73958EC0" w14:textId="77777777" w:rsidR="00CB6968" w:rsidRPr="005B22E6" w:rsidRDefault="00CB6968" w:rsidP="00CB6968">
            <w:pPr>
              <w:spacing w:after="0" w:line="240" w:lineRule="auto"/>
              <w:jc w:val="right"/>
              <w:rPr>
                <w:rFonts w:eastAsia="Times New Roman" w:cs="Times New Roman"/>
                <w:color w:val="000000"/>
                <w:sz w:val="18"/>
                <w:szCs w:val="18"/>
                <w:lang w:eastAsia="sk-SK"/>
              </w:rPr>
            </w:pPr>
            <w:r w:rsidRPr="005B22E6">
              <w:rPr>
                <w:rFonts w:eastAsia="Times New Roman" w:cs="Times New Roman"/>
                <w:color w:val="000000"/>
                <w:sz w:val="18"/>
                <w:szCs w:val="18"/>
                <w:lang w:eastAsia="sk-SK"/>
              </w:rPr>
              <w:t>49 152</w:t>
            </w:r>
          </w:p>
        </w:tc>
        <w:tc>
          <w:tcPr>
            <w:tcW w:w="850" w:type="dxa"/>
            <w:tcBorders>
              <w:top w:val="nil"/>
              <w:left w:val="nil"/>
              <w:bottom w:val="nil"/>
              <w:right w:val="nil"/>
            </w:tcBorders>
            <w:shd w:val="clear" w:color="000000" w:fill="BFBFBF"/>
            <w:noWrap/>
            <w:vAlign w:val="center"/>
            <w:hideMark/>
          </w:tcPr>
          <w:p w14:paraId="4B925D27" w14:textId="77777777" w:rsidR="00CB6968" w:rsidRPr="005B22E6" w:rsidRDefault="00CB6968" w:rsidP="00CB6968">
            <w:pPr>
              <w:spacing w:after="0" w:line="240" w:lineRule="auto"/>
              <w:jc w:val="right"/>
              <w:rPr>
                <w:rFonts w:eastAsia="Times New Roman" w:cs="Times New Roman"/>
                <w:color w:val="000000"/>
                <w:sz w:val="18"/>
                <w:szCs w:val="18"/>
                <w:lang w:eastAsia="sk-SK"/>
              </w:rPr>
            </w:pPr>
            <w:r w:rsidRPr="005B22E6">
              <w:rPr>
                <w:rFonts w:eastAsia="Times New Roman" w:cs="Times New Roman"/>
                <w:color w:val="000000"/>
                <w:sz w:val="18"/>
                <w:szCs w:val="18"/>
                <w:lang w:eastAsia="sk-SK"/>
              </w:rPr>
              <w:t>14 597</w:t>
            </w:r>
          </w:p>
        </w:tc>
        <w:tc>
          <w:tcPr>
            <w:tcW w:w="992" w:type="dxa"/>
            <w:tcBorders>
              <w:top w:val="nil"/>
              <w:left w:val="nil"/>
              <w:bottom w:val="nil"/>
              <w:right w:val="nil"/>
            </w:tcBorders>
            <w:shd w:val="clear" w:color="000000" w:fill="BFBFBF"/>
            <w:noWrap/>
            <w:vAlign w:val="center"/>
            <w:hideMark/>
          </w:tcPr>
          <w:p w14:paraId="490C6F51" w14:textId="77777777" w:rsidR="00CB6968" w:rsidRPr="005B22E6" w:rsidRDefault="00CB6968" w:rsidP="00CB6968">
            <w:pPr>
              <w:spacing w:after="0" w:line="240" w:lineRule="auto"/>
              <w:jc w:val="right"/>
              <w:rPr>
                <w:rFonts w:eastAsia="Times New Roman" w:cs="Times New Roman"/>
                <w:color w:val="000000"/>
                <w:sz w:val="18"/>
                <w:szCs w:val="18"/>
                <w:lang w:eastAsia="sk-SK"/>
              </w:rPr>
            </w:pPr>
            <w:r w:rsidRPr="005B22E6">
              <w:rPr>
                <w:rFonts w:eastAsia="Times New Roman" w:cs="Times New Roman"/>
                <w:color w:val="000000"/>
                <w:sz w:val="18"/>
                <w:szCs w:val="18"/>
                <w:lang w:eastAsia="sk-SK"/>
              </w:rPr>
              <w:t>15</w:t>
            </w:r>
          </w:p>
        </w:tc>
        <w:tc>
          <w:tcPr>
            <w:tcW w:w="851" w:type="dxa"/>
            <w:tcBorders>
              <w:top w:val="nil"/>
              <w:left w:val="nil"/>
              <w:bottom w:val="nil"/>
              <w:right w:val="nil"/>
            </w:tcBorders>
            <w:shd w:val="clear" w:color="000000" w:fill="FFFFFF"/>
            <w:vAlign w:val="center"/>
            <w:hideMark/>
          </w:tcPr>
          <w:p w14:paraId="7D176192" w14:textId="77777777" w:rsidR="00CB6968" w:rsidRPr="005B22E6" w:rsidRDefault="00CB6968" w:rsidP="00CB6968">
            <w:pPr>
              <w:spacing w:after="0" w:line="240" w:lineRule="auto"/>
              <w:jc w:val="right"/>
              <w:rPr>
                <w:rFonts w:eastAsia="Times New Roman" w:cs="Times New Roman"/>
                <w:color w:val="000000"/>
                <w:sz w:val="18"/>
                <w:szCs w:val="18"/>
                <w:lang w:eastAsia="sk-SK"/>
              </w:rPr>
            </w:pPr>
            <w:r w:rsidRPr="005B22E6">
              <w:rPr>
                <w:rFonts w:eastAsia="Times New Roman" w:cs="Times New Roman"/>
                <w:color w:val="000000"/>
                <w:sz w:val="18"/>
                <w:szCs w:val="18"/>
                <w:lang w:eastAsia="sk-SK"/>
              </w:rPr>
              <w:t>-34 555</w:t>
            </w:r>
          </w:p>
        </w:tc>
        <w:tc>
          <w:tcPr>
            <w:tcW w:w="850" w:type="dxa"/>
            <w:tcBorders>
              <w:top w:val="nil"/>
              <w:left w:val="nil"/>
              <w:bottom w:val="nil"/>
              <w:right w:val="nil"/>
            </w:tcBorders>
            <w:shd w:val="clear" w:color="000000" w:fill="FFFFFF"/>
            <w:vAlign w:val="center"/>
            <w:hideMark/>
          </w:tcPr>
          <w:p w14:paraId="05071481" w14:textId="77777777" w:rsidR="00CB6968" w:rsidRPr="005B22E6" w:rsidRDefault="00CB6968" w:rsidP="00CB6968">
            <w:pPr>
              <w:spacing w:after="0" w:line="240" w:lineRule="auto"/>
              <w:jc w:val="right"/>
              <w:rPr>
                <w:rFonts w:eastAsia="Times New Roman" w:cs="Times New Roman"/>
                <w:color w:val="000000"/>
                <w:sz w:val="18"/>
                <w:szCs w:val="18"/>
                <w:lang w:eastAsia="sk-SK"/>
              </w:rPr>
            </w:pPr>
            <w:r w:rsidRPr="005B22E6">
              <w:rPr>
                <w:rFonts w:eastAsia="Times New Roman" w:cs="Times New Roman"/>
                <w:color w:val="000000"/>
                <w:sz w:val="18"/>
                <w:szCs w:val="18"/>
                <w:lang w:eastAsia="sk-SK"/>
              </w:rPr>
              <w:t>-70,3</w:t>
            </w:r>
          </w:p>
        </w:tc>
      </w:tr>
      <w:tr w:rsidR="00CB6968" w:rsidRPr="005B22E6" w14:paraId="377CFD77" w14:textId="77777777" w:rsidTr="009051A6">
        <w:trPr>
          <w:trHeight w:val="330"/>
        </w:trPr>
        <w:tc>
          <w:tcPr>
            <w:tcW w:w="2400" w:type="dxa"/>
            <w:tcBorders>
              <w:top w:val="nil"/>
              <w:left w:val="nil"/>
              <w:bottom w:val="nil"/>
              <w:right w:val="nil"/>
            </w:tcBorders>
            <w:shd w:val="clear" w:color="000000" w:fill="FFFFFF"/>
            <w:vAlign w:val="center"/>
            <w:hideMark/>
          </w:tcPr>
          <w:p w14:paraId="50422BA3" w14:textId="77777777" w:rsidR="00CB6968" w:rsidRPr="005B22E6" w:rsidRDefault="00CB6968" w:rsidP="00CB6968">
            <w:pPr>
              <w:spacing w:after="0" w:line="240" w:lineRule="auto"/>
              <w:jc w:val="left"/>
              <w:rPr>
                <w:rFonts w:eastAsia="Times New Roman" w:cs="Times New Roman"/>
                <w:color w:val="000000"/>
                <w:sz w:val="18"/>
                <w:szCs w:val="18"/>
                <w:lang w:eastAsia="sk-SK"/>
              </w:rPr>
            </w:pPr>
            <w:r w:rsidRPr="005B22E6">
              <w:rPr>
                <w:rFonts w:eastAsia="Times New Roman" w:cs="Times New Roman"/>
                <w:color w:val="000000"/>
                <w:sz w:val="18"/>
                <w:szCs w:val="18"/>
                <w:lang w:eastAsia="sk-SK"/>
              </w:rPr>
              <w:t>Rekreácia, kultúra a náboženstvo</w:t>
            </w:r>
          </w:p>
        </w:tc>
        <w:tc>
          <w:tcPr>
            <w:tcW w:w="851" w:type="dxa"/>
            <w:tcBorders>
              <w:top w:val="nil"/>
              <w:left w:val="nil"/>
              <w:bottom w:val="nil"/>
              <w:right w:val="nil"/>
            </w:tcBorders>
            <w:shd w:val="clear" w:color="000000" w:fill="FFFFFF"/>
            <w:noWrap/>
            <w:vAlign w:val="center"/>
            <w:hideMark/>
          </w:tcPr>
          <w:p w14:paraId="1590F258" w14:textId="77777777" w:rsidR="00CB6968" w:rsidRPr="005B22E6" w:rsidRDefault="00CB6968" w:rsidP="00CB6968">
            <w:pPr>
              <w:spacing w:after="0" w:line="240" w:lineRule="auto"/>
              <w:jc w:val="right"/>
              <w:rPr>
                <w:rFonts w:eastAsia="Times New Roman" w:cs="Times New Roman"/>
                <w:color w:val="000000"/>
                <w:sz w:val="18"/>
                <w:szCs w:val="18"/>
                <w:lang w:eastAsia="sk-SK"/>
              </w:rPr>
            </w:pPr>
            <w:r w:rsidRPr="005B22E6">
              <w:rPr>
                <w:rFonts w:eastAsia="Times New Roman" w:cs="Times New Roman"/>
                <w:color w:val="000000"/>
                <w:sz w:val="18"/>
                <w:szCs w:val="18"/>
                <w:lang w:eastAsia="sk-SK"/>
              </w:rPr>
              <w:t>3 465</w:t>
            </w:r>
          </w:p>
        </w:tc>
        <w:tc>
          <w:tcPr>
            <w:tcW w:w="850" w:type="dxa"/>
            <w:tcBorders>
              <w:top w:val="nil"/>
              <w:left w:val="nil"/>
              <w:bottom w:val="nil"/>
              <w:right w:val="nil"/>
            </w:tcBorders>
            <w:shd w:val="clear" w:color="000000" w:fill="FFFFFF"/>
            <w:noWrap/>
            <w:vAlign w:val="center"/>
            <w:hideMark/>
          </w:tcPr>
          <w:p w14:paraId="74ADE38C" w14:textId="77777777" w:rsidR="00CB6968" w:rsidRPr="005B22E6" w:rsidRDefault="00CB6968" w:rsidP="00CB6968">
            <w:pPr>
              <w:spacing w:after="0" w:line="240" w:lineRule="auto"/>
              <w:jc w:val="right"/>
              <w:rPr>
                <w:rFonts w:eastAsia="Times New Roman" w:cs="Times New Roman"/>
                <w:color w:val="000000"/>
                <w:sz w:val="18"/>
                <w:szCs w:val="18"/>
                <w:lang w:eastAsia="sk-SK"/>
              </w:rPr>
            </w:pPr>
            <w:r w:rsidRPr="005B22E6">
              <w:rPr>
                <w:rFonts w:eastAsia="Times New Roman" w:cs="Times New Roman"/>
                <w:color w:val="000000"/>
                <w:sz w:val="18"/>
                <w:szCs w:val="18"/>
                <w:lang w:eastAsia="sk-SK"/>
              </w:rPr>
              <w:t>2 650</w:t>
            </w:r>
          </w:p>
        </w:tc>
        <w:tc>
          <w:tcPr>
            <w:tcW w:w="851" w:type="dxa"/>
            <w:tcBorders>
              <w:top w:val="nil"/>
              <w:left w:val="nil"/>
              <w:bottom w:val="nil"/>
              <w:right w:val="nil"/>
            </w:tcBorders>
            <w:shd w:val="clear" w:color="000000" w:fill="FFFFFF"/>
            <w:noWrap/>
            <w:vAlign w:val="center"/>
            <w:hideMark/>
          </w:tcPr>
          <w:p w14:paraId="4DFF59EF" w14:textId="77777777" w:rsidR="00CB6968" w:rsidRPr="005B22E6" w:rsidRDefault="00CB6968" w:rsidP="00CB6968">
            <w:pPr>
              <w:spacing w:after="0" w:line="240" w:lineRule="auto"/>
              <w:jc w:val="right"/>
              <w:rPr>
                <w:rFonts w:eastAsia="Times New Roman" w:cs="Times New Roman"/>
                <w:color w:val="000000"/>
                <w:sz w:val="18"/>
                <w:szCs w:val="18"/>
                <w:lang w:eastAsia="sk-SK"/>
              </w:rPr>
            </w:pPr>
            <w:r w:rsidRPr="005B22E6">
              <w:rPr>
                <w:rFonts w:eastAsia="Times New Roman" w:cs="Times New Roman"/>
                <w:color w:val="000000"/>
                <w:sz w:val="18"/>
                <w:szCs w:val="18"/>
                <w:lang w:eastAsia="sk-SK"/>
              </w:rPr>
              <w:t>0</w:t>
            </w:r>
          </w:p>
        </w:tc>
        <w:tc>
          <w:tcPr>
            <w:tcW w:w="850" w:type="dxa"/>
            <w:tcBorders>
              <w:top w:val="nil"/>
              <w:left w:val="nil"/>
              <w:bottom w:val="nil"/>
              <w:right w:val="nil"/>
            </w:tcBorders>
            <w:shd w:val="clear" w:color="000000" w:fill="BFBFBF"/>
            <w:noWrap/>
            <w:vAlign w:val="center"/>
            <w:hideMark/>
          </w:tcPr>
          <w:p w14:paraId="582A0B33" w14:textId="77777777" w:rsidR="00CB6968" w:rsidRPr="005B22E6" w:rsidRDefault="00CB6968" w:rsidP="00CB6968">
            <w:pPr>
              <w:spacing w:after="0" w:line="240" w:lineRule="auto"/>
              <w:jc w:val="right"/>
              <w:rPr>
                <w:rFonts w:eastAsia="Times New Roman" w:cs="Times New Roman"/>
                <w:color w:val="000000"/>
                <w:sz w:val="18"/>
                <w:szCs w:val="18"/>
                <w:lang w:eastAsia="sk-SK"/>
              </w:rPr>
            </w:pPr>
            <w:r w:rsidRPr="005B22E6">
              <w:rPr>
                <w:rFonts w:eastAsia="Times New Roman" w:cs="Times New Roman"/>
                <w:color w:val="000000"/>
                <w:sz w:val="18"/>
                <w:szCs w:val="18"/>
                <w:lang w:eastAsia="sk-SK"/>
              </w:rPr>
              <w:t>3 585</w:t>
            </w:r>
          </w:p>
        </w:tc>
        <w:tc>
          <w:tcPr>
            <w:tcW w:w="992" w:type="dxa"/>
            <w:tcBorders>
              <w:top w:val="nil"/>
              <w:left w:val="nil"/>
              <w:bottom w:val="nil"/>
              <w:right w:val="nil"/>
            </w:tcBorders>
            <w:shd w:val="clear" w:color="000000" w:fill="BFBFBF"/>
            <w:noWrap/>
            <w:vAlign w:val="center"/>
            <w:hideMark/>
          </w:tcPr>
          <w:p w14:paraId="5FFC9A83" w14:textId="77777777" w:rsidR="00CB6968" w:rsidRPr="005B22E6" w:rsidRDefault="00CB6968" w:rsidP="00CB6968">
            <w:pPr>
              <w:spacing w:after="0" w:line="240" w:lineRule="auto"/>
              <w:jc w:val="right"/>
              <w:rPr>
                <w:rFonts w:eastAsia="Times New Roman" w:cs="Times New Roman"/>
                <w:color w:val="000000"/>
                <w:sz w:val="18"/>
                <w:szCs w:val="18"/>
                <w:lang w:eastAsia="sk-SK"/>
              </w:rPr>
            </w:pPr>
            <w:r w:rsidRPr="005B22E6">
              <w:rPr>
                <w:rFonts w:eastAsia="Times New Roman" w:cs="Times New Roman"/>
                <w:color w:val="000000"/>
                <w:sz w:val="18"/>
                <w:szCs w:val="18"/>
                <w:lang w:eastAsia="sk-SK"/>
              </w:rPr>
              <w:t>3 535</w:t>
            </w:r>
          </w:p>
        </w:tc>
        <w:tc>
          <w:tcPr>
            <w:tcW w:w="851" w:type="dxa"/>
            <w:tcBorders>
              <w:top w:val="nil"/>
              <w:left w:val="nil"/>
              <w:bottom w:val="nil"/>
              <w:right w:val="nil"/>
            </w:tcBorders>
            <w:shd w:val="clear" w:color="000000" w:fill="FFFFFF"/>
            <w:vAlign w:val="center"/>
            <w:hideMark/>
          </w:tcPr>
          <w:p w14:paraId="78C07E82" w14:textId="77777777" w:rsidR="00CB6968" w:rsidRPr="005B22E6" w:rsidRDefault="00CB6968" w:rsidP="00CB6968">
            <w:pPr>
              <w:spacing w:after="0" w:line="240" w:lineRule="auto"/>
              <w:jc w:val="right"/>
              <w:rPr>
                <w:rFonts w:eastAsia="Times New Roman" w:cs="Times New Roman"/>
                <w:color w:val="000000"/>
                <w:sz w:val="18"/>
                <w:szCs w:val="18"/>
                <w:lang w:eastAsia="sk-SK"/>
              </w:rPr>
            </w:pPr>
            <w:r w:rsidRPr="005B22E6">
              <w:rPr>
                <w:rFonts w:eastAsia="Times New Roman" w:cs="Times New Roman"/>
                <w:color w:val="000000"/>
                <w:sz w:val="18"/>
                <w:szCs w:val="18"/>
                <w:lang w:eastAsia="sk-SK"/>
              </w:rPr>
              <w:t>3 585</w:t>
            </w:r>
          </w:p>
        </w:tc>
        <w:tc>
          <w:tcPr>
            <w:tcW w:w="850" w:type="dxa"/>
            <w:tcBorders>
              <w:top w:val="nil"/>
              <w:left w:val="nil"/>
              <w:bottom w:val="nil"/>
              <w:right w:val="nil"/>
            </w:tcBorders>
            <w:shd w:val="clear" w:color="000000" w:fill="FFFFFF"/>
            <w:vAlign w:val="center"/>
            <w:hideMark/>
          </w:tcPr>
          <w:p w14:paraId="0BC24926" w14:textId="77777777" w:rsidR="00CB6968" w:rsidRPr="005B22E6" w:rsidRDefault="00CB6968" w:rsidP="00CB6968">
            <w:pPr>
              <w:spacing w:after="0" w:line="240" w:lineRule="auto"/>
              <w:jc w:val="right"/>
              <w:rPr>
                <w:rFonts w:eastAsia="Times New Roman" w:cs="Times New Roman"/>
                <w:color w:val="000000"/>
                <w:sz w:val="18"/>
                <w:szCs w:val="18"/>
                <w:lang w:eastAsia="sk-SK"/>
              </w:rPr>
            </w:pPr>
            <w:r w:rsidRPr="005B22E6">
              <w:rPr>
                <w:rFonts w:eastAsia="Times New Roman" w:cs="Times New Roman"/>
                <w:color w:val="000000"/>
                <w:sz w:val="18"/>
                <w:szCs w:val="18"/>
                <w:lang w:eastAsia="sk-SK"/>
              </w:rPr>
              <w:t>x</w:t>
            </w:r>
          </w:p>
        </w:tc>
      </w:tr>
      <w:tr w:rsidR="00CB6968" w:rsidRPr="005B22E6" w14:paraId="22B493F2" w14:textId="77777777" w:rsidTr="009051A6">
        <w:trPr>
          <w:trHeight w:val="330"/>
        </w:trPr>
        <w:tc>
          <w:tcPr>
            <w:tcW w:w="2400" w:type="dxa"/>
            <w:tcBorders>
              <w:top w:val="nil"/>
              <w:left w:val="nil"/>
              <w:bottom w:val="nil"/>
              <w:right w:val="nil"/>
            </w:tcBorders>
            <w:shd w:val="clear" w:color="000000" w:fill="FFFFFF"/>
            <w:noWrap/>
            <w:vAlign w:val="center"/>
            <w:hideMark/>
          </w:tcPr>
          <w:p w14:paraId="51147CB8" w14:textId="77777777" w:rsidR="00CB6968" w:rsidRPr="005B22E6" w:rsidRDefault="00CB6968" w:rsidP="00CB6968">
            <w:pPr>
              <w:spacing w:after="0" w:line="240" w:lineRule="auto"/>
              <w:jc w:val="left"/>
              <w:rPr>
                <w:rFonts w:eastAsia="Times New Roman" w:cs="Times New Roman"/>
                <w:color w:val="000000"/>
                <w:sz w:val="18"/>
                <w:szCs w:val="18"/>
                <w:lang w:eastAsia="sk-SK"/>
              </w:rPr>
            </w:pPr>
            <w:r w:rsidRPr="005B22E6">
              <w:rPr>
                <w:rFonts w:eastAsia="Times New Roman" w:cs="Times New Roman"/>
                <w:color w:val="000000"/>
                <w:sz w:val="18"/>
                <w:szCs w:val="18"/>
                <w:lang w:eastAsia="sk-SK"/>
              </w:rPr>
              <w:t>Ochrana životného prostredia</w:t>
            </w:r>
          </w:p>
        </w:tc>
        <w:tc>
          <w:tcPr>
            <w:tcW w:w="851" w:type="dxa"/>
            <w:tcBorders>
              <w:top w:val="nil"/>
              <w:left w:val="nil"/>
              <w:bottom w:val="nil"/>
              <w:right w:val="nil"/>
            </w:tcBorders>
            <w:shd w:val="clear" w:color="000000" w:fill="FFFFFF"/>
            <w:noWrap/>
            <w:vAlign w:val="center"/>
            <w:hideMark/>
          </w:tcPr>
          <w:p w14:paraId="1A018B6B" w14:textId="4C5DEA52" w:rsidR="00CB6968" w:rsidRPr="005B22E6" w:rsidRDefault="00214802" w:rsidP="00CB6968">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0</w:t>
            </w:r>
            <w:r w:rsidR="00CB6968" w:rsidRPr="005B22E6">
              <w:rPr>
                <w:rFonts w:eastAsia="Times New Roman" w:cs="Times New Roman"/>
                <w:color w:val="000000"/>
                <w:sz w:val="18"/>
                <w:szCs w:val="18"/>
                <w:lang w:eastAsia="sk-SK"/>
              </w:rPr>
              <w:t> </w:t>
            </w:r>
          </w:p>
        </w:tc>
        <w:tc>
          <w:tcPr>
            <w:tcW w:w="850" w:type="dxa"/>
            <w:tcBorders>
              <w:top w:val="nil"/>
              <w:left w:val="nil"/>
              <w:bottom w:val="nil"/>
              <w:right w:val="nil"/>
            </w:tcBorders>
            <w:shd w:val="clear" w:color="000000" w:fill="FFFFFF"/>
            <w:noWrap/>
            <w:vAlign w:val="center"/>
            <w:hideMark/>
          </w:tcPr>
          <w:p w14:paraId="484E42EA" w14:textId="2C5B79D7" w:rsidR="00CB6968" w:rsidRPr="005B22E6" w:rsidRDefault="00214802" w:rsidP="00CB6968">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0</w:t>
            </w:r>
            <w:r w:rsidR="00CB6968" w:rsidRPr="005B22E6">
              <w:rPr>
                <w:rFonts w:eastAsia="Times New Roman" w:cs="Times New Roman"/>
                <w:color w:val="000000"/>
                <w:sz w:val="18"/>
                <w:szCs w:val="18"/>
                <w:lang w:eastAsia="sk-SK"/>
              </w:rPr>
              <w:t> </w:t>
            </w:r>
          </w:p>
        </w:tc>
        <w:tc>
          <w:tcPr>
            <w:tcW w:w="851" w:type="dxa"/>
            <w:tcBorders>
              <w:top w:val="nil"/>
              <w:left w:val="nil"/>
              <w:bottom w:val="nil"/>
              <w:right w:val="nil"/>
            </w:tcBorders>
            <w:shd w:val="clear" w:color="000000" w:fill="FFFFFF"/>
            <w:noWrap/>
            <w:vAlign w:val="center"/>
            <w:hideMark/>
          </w:tcPr>
          <w:p w14:paraId="7D69E9F0" w14:textId="77777777" w:rsidR="00CB6968" w:rsidRPr="005B22E6" w:rsidRDefault="00CB6968" w:rsidP="00CB6968">
            <w:pPr>
              <w:spacing w:after="0" w:line="240" w:lineRule="auto"/>
              <w:jc w:val="right"/>
              <w:rPr>
                <w:rFonts w:eastAsia="Times New Roman" w:cs="Times New Roman"/>
                <w:color w:val="000000"/>
                <w:sz w:val="18"/>
                <w:szCs w:val="18"/>
                <w:lang w:eastAsia="sk-SK"/>
              </w:rPr>
            </w:pPr>
            <w:r w:rsidRPr="005B22E6">
              <w:rPr>
                <w:rFonts w:eastAsia="Times New Roman" w:cs="Times New Roman"/>
                <w:color w:val="000000"/>
                <w:sz w:val="18"/>
                <w:szCs w:val="18"/>
                <w:lang w:eastAsia="sk-SK"/>
              </w:rPr>
              <w:t>0</w:t>
            </w:r>
          </w:p>
        </w:tc>
        <w:tc>
          <w:tcPr>
            <w:tcW w:w="850" w:type="dxa"/>
            <w:tcBorders>
              <w:top w:val="nil"/>
              <w:left w:val="nil"/>
              <w:bottom w:val="nil"/>
              <w:right w:val="nil"/>
            </w:tcBorders>
            <w:shd w:val="clear" w:color="000000" w:fill="BFBFBF"/>
            <w:noWrap/>
            <w:vAlign w:val="center"/>
            <w:hideMark/>
          </w:tcPr>
          <w:p w14:paraId="6340A1B5" w14:textId="77777777" w:rsidR="00CB6968" w:rsidRPr="005B22E6" w:rsidRDefault="00CB6968" w:rsidP="00CB6968">
            <w:pPr>
              <w:spacing w:after="0" w:line="240" w:lineRule="auto"/>
              <w:jc w:val="right"/>
              <w:rPr>
                <w:rFonts w:eastAsia="Times New Roman" w:cs="Times New Roman"/>
                <w:color w:val="000000"/>
                <w:sz w:val="18"/>
                <w:szCs w:val="18"/>
                <w:lang w:eastAsia="sk-SK"/>
              </w:rPr>
            </w:pPr>
            <w:r w:rsidRPr="005B22E6">
              <w:rPr>
                <w:rFonts w:eastAsia="Times New Roman" w:cs="Times New Roman"/>
                <w:color w:val="000000"/>
                <w:sz w:val="18"/>
                <w:szCs w:val="18"/>
                <w:lang w:eastAsia="sk-SK"/>
              </w:rPr>
              <w:t>2 532</w:t>
            </w:r>
          </w:p>
        </w:tc>
        <w:tc>
          <w:tcPr>
            <w:tcW w:w="992" w:type="dxa"/>
            <w:tcBorders>
              <w:top w:val="nil"/>
              <w:left w:val="nil"/>
              <w:bottom w:val="nil"/>
              <w:right w:val="nil"/>
            </w:tcBorders>
            <w:shd w:val="clear" w:color="000000" w:fill="BFBFBF"/>
            <w:noWrap/>
            <w:vAlign w:val="center"/>
            <w:hideMark/>
          </w:tcPr>
          <w:p w14:paraId="418890F8" w14:textId="10A53128" w:rsidR="00CB6968" w:rsidRPr="005B22E6" w:rsidRDefault="00214802" w:rsidP="00CB6968">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0</w:t>
            </w:r>
            <w:r w:rsidR="00CB6968" w:rsidRPr="005B22E6">
              <w:rPr>
                <w:rFonts w:eastAsia="Times New Roman" w:cs="Times New Roman"/>
                <w:color w:val="000000"/>
                <w:sz w:val="18"/>
                <w:szCs w:val="18"/>
                <w:lang w:eastAsia="sk-SK"/>
              </w:rPr>
              <w:t> </w:t>
            </w:r>
          </w:p>
        </w:tc>
        <w:tc>
          <w:tcPr>
            <w:tcW w:w="851" w:type="dxa"/>
            <w:tcBorders>
              <w:top w:val="nil"/>
              <w:left w:val="nil"/>
              <w:bottom w:val="nil"/>
              <w:right w:val="nil"/>
            </w:tcBorders>
            <w:shd w:val="clear" w:color="000000" w:fill="FFFFFF"/>
            <w:vAlign w:val="center"/>
            <w:hideMark/>
          </w:tcPr>
          <w:p w14:paraId="2F2E495F" w14:textId="421D3A0B" w:rsidR="00CB6968" w:rsidRPr="00A265D6" w:rsidRDefault="00214802" w:rsidP="00CB6968">
            <w:pPr>
              <w:spacing w:after="0" w:line="240" w:lineRule="auto"/>
              <w:jc w:val="right"/>
              <w:rPr>
                <w:rFonts w:eastAsia="Times New Roman" w:cs="Times New Roman"/>
                <w:color w:val="000000"/>
                <w:sz w:val="18"/>
                <w:szCs w:val="18"/>
                <w:lang w:eastAsia="sk-SK"/>
              </w:rPr>
            </w:pPr>
            <w:r w:rsidRPr="00A265D6">
              <w:rPr>
                <w:rFonts w:eastAsia="Times New Roman" w:cs="Times New Roman"/>
                <w:color w:val="000000"/>
                <w:sz w:val="18"/>
                <w:szCs w:val="18"/>
                <w:lang w:eastAsia="sk-SK"/>
              </w:rPr>
              <w:t>2 532</w:t>
            </w:r>
            <w:r w:rsidR="00CB6968" w:rsidRPr="00A265D6">
              <w:rPr>
                <w:rFonts w:eastAsia="Times New Roman" w:cs="Times New Roman"/>
                <w:color w:val="000000"/>
                <w:sz w:val="18"/>
                <w:szCs w:val="18"/>
                <w:lang w:eastAsia="sk-SK"/>
              </w:rPr>
              <w:t> </w:t>
            </w:r>
          </w:p>
        </w:tc>
        <w:tc>
          <w:tcPr>
            <w:tcW w:w="850" w:type="dxa"/>
            <w:tcBorders>
              <w:top w:val="nil"/>
              <w:left w:val="nil"/>
              <w:bottom w:val="nil"/>
              <w:right w:val="nil"/>
            </w:tcBorders>
            <w:shd w:val="clear" w:color="000000" w:fill="FFFFFF"/>
            <w:vAlign w:val="center"/>
            <w:hideMark/>
          </w:tcPr>
          <w:p w14:paraId="1DC17BBC" w14:textId="77777777" w:rsidR="00CB6968" w:rsidRPr="005B22E6" w:rsidRDefault="00CB6968" w:rsidP="00CB6968">
            <w:pPr>
              <w:spacing w:after="0" w:line="240" w:lineRule="auto"/>
              <w:jc w:val="right"/>
              <w:rPr>
                <w:rFonts w:eastAsia="Times New Roman" w:cs="Times New Roman"/>
                <w:color w:val="000000"/>
                <w:sz w:val="18"/>
                <w:szCs w:val="18"/>
                <w:lang w:eastAsia="sk-SK"/>
              </w:rPr>
            </w:pPr>
            <w:r w:rsidRPr="005B22E6">
              <w:rPr>
                <w:rFonts w:eastAsia="Times New Roman" w:cs="Times New Roman"/>
                <w:color w:val="000000"/>
                <w:sz w:val="18"/>
                <w:szCs w:val="18"/>
                <w:lang w:eastAsia="sk-SK"/>
              </w:rPr>
              <w:t>x</w:t>
            </w:r>
          </w:p>
        </w:tc>
      </w:tr>
      <w:tr w:rsidR="00CB6968" w:rsidRPr="005B22E6" w14:paraId="1B54D270" w14:textId="77777777" w:rsidTr="009051A6">
        <w:trPr>
          <w:trHeight w:val="330"/>
        </w:trPr>
        <w:tc>
          <w:tcPr>
            <w:tcW w:w="2400" w:type="dxa"/>
            <w:tcBorders>
              <w:top w:val="nil"/>
              <w:left w:val="nil"/>
              <w:bottom w:val="nil"/>
              <w:right w:val="nil"/>
            </w:tcBorders>
            <w:shd w:val="clear" w:color="000000" w:fill="FFFFFF"/>
            <w:noWrap/>
            <w:vAlign w:val="center"/>
            <w:hideMark/>
          </w:tcPr>
          <w:p w14:paraId="049C6AAF" w14:textId="77777777" w:rsidR="00CB6968" w:rsidRPr="005B22E6" w:rsidRDefault="00CB6968" w:rsidP="00CB6968">
            <w:pPr>
              <w:spacing w:after="0" w:line="240" w:lineRule="auto"/>
              <w:jc w:val="left"/>
              <w:rPr>
                <w:rFonts w:eastAsia="Times New Roman" w:cs="Times New Roman"/>
                <w:color w:val="000000"/>
                <w:sz w:val="18"/>
                <w:szCs w:val="18"/>
                <w:lang w:eastAsia="sk-SK"/>
              </w:rPr>
            </w:pPr>
            <w:r w:rsidRPr="005B22E6">
              <w:rPr>
                <w:rFonts w:eastAsia="Times New Roman" w:cs="Times New Roman"/>
                <w:color w:val="000000"/>
                <w:sz w:val="18"/>
                <w:szCs w:val="18"/>
                <w:lang w:eastAsia="sk-SK"/>
              </w:rPr>
              <w:t>Sociálne zabezpečenie</w:t>
            </w:r>
          </w:p>
        </w:tc>
        <w:tc>
          <w:tcPr>
            <w:tcW w:w="851" w:type="dxa"/>
            <w:tcBorders>
              <w:top w:val="nil"/>
              <w:left w:val="nil"/>
              <w:bottom w:val="nil"/>
              <w:right w:val="nil"/>
            </w:tcBorders>
            <w:shd w:val="clear" w:color="000000" w:fill="FFFFFF"/>
            <w:noWrap/>
            <w:vAlign w:val="center"/>
            <w:hideMark/>
          </w:tcPr>
          <w:p w14:paraId="7FB55EC9" w14:textId="77777777" w:rsidR="00CB6968" w:rsidRPr="005B22E6" w:rsidRDefault="00CB6968" w:rsidP="00CB6968">
            <w:pPr>
              <w:spacing w:after="0" w:line="240" w:lineRule="auto"/>
              <w:jc w:val="right"/>
              <w:rPr>
                <w:rFonts w:eastAsia="Times New Roman" w:cs="Times New Roman"/>
                <w:color w:val="000000"/>
                <w:sz w:val="18"/>
                <w:szCs w:val="18"/>
                <w:lang w:eastAsia="sk-SK"/>
              </w:rPr>
            </w:pPr>
            <w:r w:rsidRPr="005B22E6">
              <w:rPr>
                <w:rFonts w:eastAsia="Times New Roman" w:cs="Times New Roman"/>
                <w:color w:val="000000"/>
                <w:sz w:val="18"/>
                <w:szCs w:val="18"/>
                <w:lang w:eastAsia="sk-SK"/>
              </w:rPr>
              <w:t>1 834</w:t>
            </w:r>
          </w:p>
        </w:tc>
        <w:tc>
          <w:tcPr>
            <w:tcW w:w="850" w:type="dxa"/>
            <w:tcBorders>
              <w:top w:val="nil"/>
              <w:left w:val="nil"/>
              <w:bottom w:val="nil"/>
              <w:right w:val="nil"/>
            </w:tcBorders>
            <w:shd w:val="clear" w:color="000000" w:fill="FFFFFF"/>
            <w:noWrap/>
            <w:vAlign w:val="center"/>
            <w:hideMark/>
          </w:tcPr>
          <w:p w14:paraId="6C025375" w14:textId="77777777" w:rsidR="00CB6968" w:rsidRPr="005B22E6" w:rsidRDefault="00CB6968" w:rsidP="00CB6968">
            <w:pPr>
              <w:spacing w:after="0" w:line="240" w:lineRule="auto"/>
              <w:jc w:val="right"/>
              <w:rPr>
                <w:rFonts w:eastAsia="Times New Roman" w:cs="Times New Roman"/>
                <w:color w:val="000000"/>
                <w:sz w:val="18"/>
                <w:szCs w:val="18"/>
                <w:lang w:eastAsia="sk-SK"/>
              </w:rPr>
            </w:pPr>
            <w:r w:rsidRPr="005B22E6">
              <w:rPr>
                <w:rFonts w:eastAsia="Times New Roman" w:cs="Times New Roman"/>
                <w:color w:val="000000"/>
                <w:sz w:val="18"/>
                <w:szCs w:val="18"/>
                <w:lang w:eastAsia="sk-SK"/>
              </w:rPr>
              <w:t>2 002</w:t>
            </w:r>
          </w:p>
        </w:tc>
        <w:tc>
          <w:tcPr>
            <w:tcW w:w="851" w:type="dxa"/>
            <w:tcBorders>
              <w:top w:val="nil"/>
              <w:left w:val="nil"/>
              <w:bottom w:val="nil"/>
              <w:right w:val="nil"/>
            </w:tcBorders>
            <w:shd w:val="clear" w:color="000000" w:fill="FFFFFF"/>
            <w:noWrap/>
            <w:vAlign w:val="center"/>
            <w:hideMark/>
          </w:tcPr>
          <w:p w14:paraId="304894E2" w14:textId="77777777" w:rsidR="00CB6968" w:rsidRPr="005B22E6" w:rsidRDefault="00CB6968" w:rsidP="00CB6968">
            <w:pPr>
              <w:spacing w:after="0" w:line="240" w:lineRule="auto"/>
              <w:jc w:val="right"/>
              <w:rPr>
                <w:rFonts w:eastAsia="Times New Roman" w:cs="Times New Roman"/>
                <w:color w:val="000000"/>
                <w:sz w:val="18"/>
                <w:szCs w:val="18"/>
                <w:lang w:eastAsia="sk-SK"/>
              </w:rPr>
            </w:pPr>
            <w:r w:rsidRPr="005B22E6">
              <w:rPr>
                <w:rFonts w:eastAsia="Times New Roman" w:cs="Times New Roman"/>
                <w:color w:val="000000"/>
                <w:sz w:val="18"/>
                <w:szCs w:val="18"/>
                <w:lang w:eastAsia="sk-SK"/>
              </w:rPr>
              <w:t>0</w:t>
            </w:r>
          </w:p>
        </w:tc>
        <w:tc>
          <w:tcPr>
            <w:tcW w:w="850" w:type="dxa"/>
            <w:tcBorders>
              <w:top w:val="nil"/>
              <w:left w:val="nil"/>
              <w:bottom w:val="nil"/>
              <w:right w:val="nil"/>
            </w:tcBorders>
            <w:shd w:val="clear" w:color="000000" w:fill="BFBFBF"/>
            <w:noWrap/>
            <w:vAlign w:val="center"/>
            <w:hideMark/>
          </w:tcPr>
          <w:p w14:paraId="6B8472CC" w14:textId="77777777" w:rsidR="00CB6968" w:rsidRPr="005B22E6" w:rsidRDefault="00CB6968" w:rsidP="00CB6968">
            <w:pPr>
              <w:spacing w:after="0" w:line="240" w:lineRule="auto"/>
              <w:jc w:val="right"/>
              <w:rPr>
                <w:rFonts w:eastAsia="Times New Roman" w:cs="Times New Roman"/>
                <w:color w:val="000000"/>
                <w:sz w:val="18"/>
                <w:szCs w:val="18"/>
                <w:lang w:eastAsia="sk-SK"/>
              </w:rPr>
            </w:pPr>
            <w:r w:rsidRPr="005B22E6">
              <w:rPr>
                <w:rFonts w:eastAsia="Times New Roman" w:cs="Times New Roman"/>
                <w:color w:val="000000"/>
                <w:sz w:val="18"/>
                <w:szCs w:val="18"/>
                <w:lang w:eastAsia="sk-SK"/>
              </w:rPr>
              <w:t>2 080</w:t>
            </w:r>
          </w:p>
        </w:tc>
        <w:tc>
          <w:tcPr>
            <w:tcW w:w="992" w:type="dxa"/>
            <w:tcBorders>
              <w:top w:val="nil"/>
              <w:left w:val="nil"/>
              <w:bottom w:val="nil"/>
              <w:right w:val="nil"/>
            </w:tcBorders>
            <w:shd w:val="clear" w:color="000000" w:fill="BFBFBF"/>
            <w:noWrap/>
            <w:vAlign w:val="center"/>
            <w:hideMark/>
          </w:tcPr>
          <w:p w14:paraId="5334EE00" w14:textId="77777777" w:rsidR="00CB6968" w:rsidRPr="005B22E6" w:rsidRDefault="00CB6968" w:rsidP="00CB6968">
            <w:pPr>
              <w:spacing w:after="0" w:line="240" w:lineRule="auto"/>
              <w:jc w:val="right"/>
              <w:rPr>
                <w:rFonts w:eastAsia="Times New Roman" w:cs="Times New Roman"/>
                <w:color w:val="000000"/>
                <w:sz w:val="18"/>
                <w:szCs w:val="18"/>
                <w:lang w:eastAsia="sk-SK"/>
              </w:rPr>
            </w:pPr>
            <w:r w:rsidRPr="005B22E6">
              <w:rPr>
                <w:rFonts w:eastAsia="Times New Roman" w:cs="Times New Roman"/>
                <w:color w:val="000000"/>
                <w:sz w:val="18"/>
                <w:szCs w:val="18"/>
                <w:lang w:eastAsia="sk-SK"/>
              </w:rPr>
              <w:t>2 080</w:t>
            </w:r>
          </w:p>
        </w:tc>
        <w:tc>
          <w:tcPr>
            <w:tcW w:w="851" w:type="dxa"/>
            <w:tcBorders>
              <w:top w:val="nil"/>
              <w:left w:val="nil"/>
              <w:bottom w:val="nil"/>
              <w:right w:val="nil"/>
            </w:tcBorders>
            <w:shd w:val="clear" w:color="000000" w:fill="FFFFFF"/>
            <w:vAlign w:val="center"/>
            <w:hideMark/>
          </w:tcPr>
          <w:p w14:paraId="309B5370" w14:textId="77777777" w:rsidR="00CB6968" w:rsidRPr="00A265D6" w:rsidRDefault="00CB6968" w:rsidP="00CB6968">
            <w:pPr>
              <w:spacing w:after="0" w:line="240" w:lineRule="auto"/>
              <w:jc w:val="right"/>
              <w:rPr>
                <w:rFonts w:eastAsia="Times New Roman" w:cs="Times New Roman"/>
                <w:color w:val="000000"/>
                <w:sz w:val="18"/>
                <w:szCs w:val="18"/>
                <w:lang w:eastAsia="sk-SK"/>
              </w:rPr>
            </w:pPr>
            <w:r w:rsidRPr="00A265D6">
              <w:rPr>
                <w:rFonts w:eastAsia="Times New Roman" w:cs="Times New Roman"/>
                <w:color w:val="000000"/>
                <w:sz w:val="18"/>
                <w:szCs w:val="18"/>
                <w:lang w:eastAsia="sk-SK"/>
              </w:rPr>
              <w:t>2 080</w:t>
            </w:r>
          </w:p>
        </w:tc>
        <w:tc>
          <w:tcPr>
            <w:tcW w:w="850" w:type="dxa"/>
            <w:tcBorders>
              <w:top w:val="nil"/>
              <w:left w:val="nil"/>
              <w:bottom w:val="nil"/>
              <w:right w:val="nil"/>
            </w:tcBorders>
            <w:shd w:val="clear" w:color="000000" w:fill="FFFFFF"/>
            <w:vAlign w:val="center"/>
            <w:hideMark/>
          </w:tcPr>
          <w:p w14:paraId="51DCB692" w14:textId="77777777" w:rsidR="00CB6968" w:rsidRPr="005B22E6" w:rsidRDefault="00CB6968" w:rsidP="00CB6968">
            <w:pPr>
              <w:spacing w:after="0" w:line="240" w:lineRule="auto"/>
              <w:jc w:val="right"/>
              <w:rPr>
                <w:rFonts w:eastAsia="Times New Roman" w:cs="Times New Roman"/>
                <w:color w:val="000000"/>
                <w:sz w:val="18"/>
                <w:szCs w:val="18"/>
                <w:lang w:eastAsia="sk-SK"/>
              </w:rPr>
            </w:pPr>
            <w:r w:rsidRPr="005B22E6">
              <w:rPr>
                <w:rFonts w:eastAsia="Times New Roman" w:cs="Times New Roman"/>
                <w:color w:val="000000"/>
                <w:sz w:val="18"/>
                <w:szCs w:val="18"/>
                <w:lang w:eastAsia="sk-SK"/>
              </w:rPr>
              <w:t>x</w:t>
            </w:r>
          </w:p>
        </w:tc>
      </w:tr>
      <w:tr w:rsidR="00CB6968" w:rsidRPr="005B22E6" w14:paraId="6EE621A7" w14:textId="77777777" w:rsidTr="009051A6">
        <w:trPr>
          <w:trHeight w:val="330"/>
        </w:trPr>
        <w:tc>
          <w:tcPr>
            <w:tcW w:w="2400" w:type="dxa"/>
            <w:tcBorders>
              <w:top w:val="nil"/>
              <w:left w:val="nil"/>
              <w:bottom w:val="nil"/>
              <w:right w:val="nil"/>
            </w:tcBorders>
            <w:shd w:val="clear" w:color="000000" w:fill="FFFFFF"/>
            <w:noWrap/>
            <w:vAlign w:val="center"/>
            <w:hideMark/>
          </w:tcPr>
          <w:p w14:paraId="2019CC89" w14:textId="77777777" w:rsidR="00CB6968" w:rsidRPr="005B22E6" w:rsidRDefault="00CB6968" w:rsidP="00CB6968">
            <w:pPr>
              <w:spacing w:after="0" w:line="240" w:lineRule="auto"/>
              <w:jc w:val="left"/>
              <w:rPr>
                <w:rFonts w:eastAsia="Times New Roman" w:cs="Times New Roman"/>
                <w:color w:val="000000"/>
                <w:sz w:val="18"/>
                <w:szCs w:val="18"/>
                <w:lang w:eastAsia="sk-SK"/>
              </w:rPr>
            </w:pPr>
            <w:r w:rsidRPr="005B22E6">
              <w:rPr>
                <w:rFonts w:eastAsia="Times New Roman" w:cs="Times New Roman"/>
                <w:color w:val="000000"/>
                <w:sz w:val="18"/>
                <w:szCs w:val="18"/>
                <w:lang w:eastAsia="sk-SK"/>
              </w:rPr>
              <w:t>Všeobecné verejné služby</w:t>
            </w:r>
          </w:p>
        </w:tc>
        <w:tc>
          <w:tcPr>
            <w:tcW w:w="851" w:type="dxa"/>
            <w:tcBorders>
              <w:top w:val="nil"/>
              <w:left w:val="nil"/>
              <w:bottom w:val="nil"/>
              <w:right w:val="nil"/>
            </w:tcBorders>
            <w:shd w:val="clear" w:color="000000" w:fill="FFFFFF"/>
            <w:noWrap/>
            <w:vAlign w:val="center"/>
            <w:hideMark/>
          </w:tcPr>
          <w:p w14:paraId="18C85FF1" w14:textId="77777777" w:rsidR="00CB6968" w:rsidRPr="005B22E6" w:rsidRDefault="00CB6968" w:rsidP="00CB6968">
            <w:pPr>
              <w:spacing w:after="0" w:line="240" w:lineRule="auto"/>
              <w:jc w:val="right"/>
              <w:rPr>
                <w:rFonts w:eastAsia="Times New Roman" w:cs="Times New Roman"/>
                <w:color w:val="000000"/>
                <w:sz w:val="18"/>
                <w:szCs w:val="18"/>
                <w:lang w:eastAsia="sk-SK"/>
              </w:rPr>
            </w:pPr>
            <w:r w:rsidRPr="005B22E6">
              <w:rPr>
                <w:rFonts w:eastAsia="Times New Roman" w:cs="Times New Roman"/>
                <w:color w:val="000000"/>
                <w:sz w:val="18"/>
                <w:szCs w:val="18"/>
                <w:lang w:eastAsia="sk-SK"/>
              </w:rPr>
              <w:t>4 379</w:t>
            </w:r>
          </w:p>
        </w:tc>
        <w:tc>
          <w:tcPr>
            <w:tcW w:w="850" w:type="dxa"/>
            <w:tcBorders>
              <w:top w:val="nil"/>
              <w:left w:val="nil"/>
              <w:bottom w:val="nil"/>
              <w:right w:val="nil"/>
            </w:tcBorders>
            <w:shd w:val="clear" w:color="000000" w:fill="FFFFFF"/>
            <w:noWrap/>
            <w:vAlign w:val="center"/>
            <w:hideMark/>
          </w:tcPr>
          <w:p w14:paraId="5A154E8E" w14:textId="77777777" w:rsidR="00CB6968" w:rsidRPr="005B22E6" w:rsidRDefault="00CB6968" w:rsidP="00CB6968">
            <w:pPr>
              <w:spacing w:after="0" w:line="240" w:lineRule="auto"/>
              <w:jc w:val="right"/>
              <w:rPr>
                <w:rFonts w:eastAsia="Times New Roman" w:cs="Times New Roman"/>
                <w:color w:val="000000"/>
                <w:sz w:val="18"/>
                <w:szCs w:val="18"/>
                <w:lang w:eastAsia="sk-SK"/>
              </w:rPr>
            </w:pPr>
            <w:r w:rsidRPr="005B22E6">
              <w:rPr>
                <w:rFonts w:eastAsia="Times New Roman" w:cs="Times New Roman"/>
                <w:color w:val="000000"/>
                <w:sz w:val="18"/>
                <w:szCs w:val="18"/>
                <w:lang w:eastAsia="sk-SK"/>
              </w:rPr>
              <w:t>725</w:t>
            </w:r>
          </w:p>
        </w:tc>
        <w:tc>
          <w:tcPr>
            <w:tcW w:w="851" w:type="dxa"/>
            <w:tcBorders>
              <w:top w:val="nil"/>
              <w:left w:val="nil"/>
              <w:bottom w:val="nil"/>
              <w:right w:val="nil"/>
            </w:tcBorders>
            <w:shd w:val="clear" w:color="000000" w:fill="FFFFFF"/>
            <w:noWrap/>
            <w:vAlign w:val="center"/>
            <w:hideMark/>
          </w:tcPr>
          <w:p w14:paraId="7E738BA7" w14:textId="77777777" w:rsidR="00CB6968" w:rsidRPr="005B22E6" w:rsidRDefault="00CB6968" w:rsidP="00CB6968">
            <w:pPr>
              <w:spacing w:after="0" w:line="240" w:lineRule="auto"/>
              <w:jc w:val="right"/>
              <w:rPr>
                <w:rFonts w:eastAsia="Times New Roman" w:cs="Times New Roman"/>
                <w:color w:val="000000"/>
                <w:sz w:val="18"/>
                <w:szCs w:val="18"/>
                <w:lang w:eastAsia="sk-SK"/>
              </w:rPr>
            </w:pPr>
            <w:r w:rsidRPr="005B22E6">
              <w:rPr>
                <w:rFonts w:eastAsia="Times New Roman" w:cs="Times New Roman"/>
                <w:color w:val="000000"/>
                <w:sz w:val="18"/>
                <w:szCs w:val="18"/>
                <w:lang w:eastAsia="sk-SK"/>
              </w:rPr>
              <w:t>0</w:t>
            </w:r>
          </w:p>
        </w:tc>
        <w:tc>
          <w:tcPr>
            <w:tcW w:w="850" w:type="dxa"/>
            <w:tcBorders>
              <w:top w:val="nil"/>
              <w:left w:val="nil"/>
              <w:bottom w:val="nil"/>
              <w:right w:val="nil"/>
            </w:tcBorders>
            <w:shd w:val="clear" w:color="000000" w:fill="BFBFBF"/>
            <w:noWrap/>
            <w:vAlign w:val="center"/>
            <w:hideMark/>
          </w:tcPr>
          <w:p w14:paraId="31C17F5A" w14:textId="77777777" w:rsidR="00CB6968" w:rsidRPr="005B22E6" w:rsidRDefault="00CB6968" w:rsidP="00CB6968">
            <w:pPr>
              <w:spacing w:after="0" w:line="240" w:lineRule="auto"/>
              <w:jc w:val="right"/>
              <w:rPr>
                <w:rFonts w:eastAsia="Times New Roman" w:cs="Times New Roman"/>
                <w:color w:val="000000"/>
                <w:sz w:val="18"/>
                <w:szCs w:val="18"/>
                <w:lang w:eastAsia="sk-SK"/>
              </w:rPr>
            </w:pPr>
            <w:r w:rsidRPr="005B22E6">
              <w:rPr>
                <w:rFonts w:eastAsia="Times New Roman" w:cs="Times New Roman"/>
                <w:color w:val="000000"/>
                <w:sz w:val="18"/>
                <w:szCs w:val="18"/>
                <w:lang w:eastAsia="sk-SK"/>
              </w:rPr>
              <w:t>325</w:t>
            </w:r>
          </w:p>
        </w:tc>
        <w:tc>
          <w:tcPr>
            <w:tcW w:w="992" w:type="dxa"/>
            <w:tcBorders>
              <w:top w:val="nil"/>
              <w:left w:val="nil"/>
              <w:bottom w:val="nil"/>
              <w:right w:val="nil"/>
            </w:tcBorders>
            <w:shd w:val="clear" w:color="000000" w:fill="BFBFBF"/>
            <w:noWrap/>
            <w:vAlign w:val="center"/>
            <w:hideMark/>
          </w:tcPr>
          <w:p w14:paraId="673F78EF" w14:textId="77777777" w:rsidR="00CB6968" w:rsidRPr="005B22E6" w:rsidRDefault="00CB6968" w:rsidP="00CB6968">
            <w:pPr>
              <w:spacing w:after="0" w:line="240" w:lineRule="auto"/>
              <w:jc w:val="right"/>
              <w:rPr>
                <w:rFonts w:eastAsia="Times New Roman" w:cs="Times New Roman"/>
                <w:color w:val="000000"/>
                <w:sz w:val="18"/>
                <w:szCs w:val="18"/>
                <w:lang w:eastAsia="sk-SK"/>
              </w:rPr>
            </w:pPr>
            <w:r w:rsidRPr="005B22E6">
              <w:rPr>
                <w:rFonts w:eastAsia="Times New Roman" w:cs="Times New Roman"/>
                <w:color w:val="000000"/>
                <w:sz w:val="18"/>
                <w:szCs w:val="18"/>
                <w:lang w:eastAsia="sk-SK"/>
              </w:rPr>
              <w:t>148</w:t>
            </w:r>
          </w:p>
        </w:tc>
        <w:tc>
          <w:tcPr>
            <w:tcW w:w="851" w:type="dxa"/>
            <w:tcBorders>
              <w:top w:val="nil"/>
              <w:left w:val="nil"/>
              <w:bottom w:val="nil"/>
              <w:right w:val="nil"/>
            </w:tcBorders>
            <w:shd w:val="clear" w:color="000000" w:fill="FFFFFF"/>
            <w:vAlign w:val="center"/>
            <w:hideMark/>
          </w:tcPr>
          <w:p w14:paraId="090F4F7B" w14:textId="77777777" w:rsidR="00CB6968" w:rsidRPr="00A265D6" w:rsidRDefault="00CB6968" w:rsidP="00CB6968">
            <w:pPr>
              <w:spacing w:after="0" w:line="240" w:lineRule="auto"/>
              <w:jc w:val="right"/>
              <w:rPr>
                <w:rFonts w:eastAsia="Times New Roman" w:cs="Times New Roman"/>
                <w:color w:val="000000"/>
                <w:sz w:val="18"/>
                <w:szCs w:val="18"/>
                <w:lang w:eastAsia="sk-SK"/>
              </w:rPr>
            </w:pPr>
            <w:r w:rsidRPr="00A265D6">
              <w:rPr>
                <w:rFonts w:eastAsia="Times New Roman" w:cs="Times New Roman"/>
                <w:color w:val="000000"/>
                <w:sz w:val="18"/>
                <w:szCs w:val="18"/>
                <w:lang w:eastAsia="sk-SK"/>
              </w:rPr>
              <w:t>325</w:t>
            </w:r>
          </w:p>
        </w:tc>
        <w:tc>
          <w:tcPr>
            <w:tcW w:w="850" w:type="dxa"/>
            <w:tcBorders>
              <w:top w:val="nil"/>
              <w:left w:val="nil"/>
              <w:bottom w:val="nil"/>
              <w:right w:val="nil"/>
            </w:tcBorders>
            <w:shd w:val="clear" w:color="000000" w:fill="FFFFFF"/>
            <w:vAlign w:val="center"/>
            <w:hideMark/>
          </w:tcPr>
          <w:p w14:paraId="2B68CF51" w14:textId="77777777" w:rsidR="00CB6968" w:rsidRPr="005B22E6" w:rsidRDefault="00CB6968" w:rsidP="00CB6968">
            <w:pPr>
              <w:spacing w:after="0" w:line="240" w:lineRule="auto"/>
              <w:jc w:val="right"/>
              <w:rPr>
                <w:rFonts w:eastAsia="Times New Roman" w:cs="Times New Roman"/>
                <w:color w:val="000000"/>
                <w:sz w:val="18"/>
                <w:szCs w:val="18"/>
                <w:lang w:eastAsia="sk-SK"/>
              </w:rPr>
            </w:pPr>
            <w:r w:rsidRPr="005B22E6">
              <w:rPr>
                <w:rFonts w:eastAsia="Times New Roman" w:cs="Times New Roman"/>
                <w:color w:val="000000"/>
                <w:sz w:val="18"/>
                <w:szCs w:val="18"/>
                <w:lang w:eastAsia="sk-SK"/>
              </w:rPr>
              <w:t>x</w:t>
            </w:r>
          </w:p>
        </w:tc>
      </w:tr>
      <w:tr w:rsidR="00CB6968" w:rsidRPr="005B22E6" w14:paraId="65BB3218" w14:textId="77777777" w:rsidTr="009051A6">
        <w:trPr>
          <w:trHeight w:val="330"/>
        </w:trPr>
        <w:tc>
          <w:tcPr>
            <w:tcW w:w="2400" w:type="dxa"/>
            <w:tcBorders>
              <w:top w:val="nil"/>
              <w:left w:val="nil"/>
              <w:bottom w:val="nil"/>
              <w:right w:val="nil"/>
            </w:tcBorders>
            <w:shd w:val="clear" w:color="000000" w:fill="FFFFFF"/>
            <w:noWrap/>
            <w:vAlign w:val="center"/>
            <w:hideMark/>
          </w:tcPr>
          <w:p w14:paraId="0DA5EB99" w14:textId="77777777" w:rsidR="00CB6968" w:rsidRPr="005B22E6" w:rsidRDefault="00CB6968" w:rsidP="00CB6968">
            <w:pPr>
              <w:spacing w:after="0" w:line="240" w:lineRule="auto"/>
              <w:jc w:val="left"/>
              <w:rPr>
                <w:rFonts w:eastAsia="Times New Roman" w:cs="Times New Roman"/>
                <w:color w:val="000000"/>
                <w:sz w:val="18"/>
                <w:szCs w:val="18"/>
                <w:lang w:eastAsia="sk-SK"/>
              </w:rPr>
            </w:pPr>
            <w:r w:rsidRPr="005B22E6">
              <w:rPr>
                <w:rFonts w:eastAsia="Times New Roman" w:cs="Times New Roman"/>
                <w:color w:val="000000"/>
                <w:sz w:val="18"/>
                <w:szCs w:val="18"/>
                <w:lang w:eastAsia="sk-SK"/>
              </w:rPr>
              <w:t>Verejný poriadok a bezpečnosť</w:t>
            </w:r>
          </w:p>
        </w:tc>
        <w:tc>
          <w:tcPr>
            <w:tcW w:w="851" w:type="dxa"/>
            <w:tcBorders>
              <w:top w:val="nil"/>
              <w:left w:val="nil"/>
              <w:bottom w:val="nil"/>
              <w:right w:val="nil"/>
            </w:tcBorders>
            <w:shd w:val="clear" w:color="000000" w:fill="FFFFFF"/>
            <w:noWrap/>
            <w:vAlign w:val="center"/>
            <w:hideMark/>
          </w:tcPr>
          <w:p w14:paraId="314BFDA9" w14:textId="77777777" w:rsidR="00CB6968" w:rsidRPr="005B22E6" w:rsidRDefault="00CB6968" w:rsidP="00CB6968">
            <w:pPr>
              <w:spacing w:after="0" w:line="240" w:lineRule="auto"/>
              <w:jc w:val="right"/>
              <w:rPr>
                <w:rFonts w:eastAsia="Times New Roman" w:cs="Times New Roman"/>
                <w:color w:val="000000"/>
                <w:sz w:val="18"/>
                <w:szCs w:val="18"/>
                <w:lang w:eastAsia="sk-SK"/>
              </w:rPr>
            </w:pPr>
            <w:r w:rsidRPr="005B22E6">
              <w:rPr>
                <w:rFonts w:eastAsia="Times New Roman" w:cs="Times New Roman"/>
                <w:color w:val="000000"/>
                <w:sz w:val="18"/>
                <w:szCs w:val="18"/>
                <w:lang w:eastAsia="sk-SK"/>
              </w:rPr>
              <w:t>23</w:t>
            </w:r>
          </w:p>
        </w:tc>
        <w:tc>
          <w:tcPr>
            <w:tcW w:w="850" w:type="dxa"/>
            <w:tcBorders>
              <w:top w:val="nil"/>
              <w:left w:val="nil"/>
              <w:bottom w:val="nil"/>
              <w:right w:val="nil"/>
            </w:tcBorders>
            <w:shd w:val="clear" w:color="000000" w:fill="FFFFFF"/>
            <w:noWrap/>
            <w:vAlign w:val="center"/>
            <w:hideMark/>
          </w:tcPr>
          <w:p w14:paraId="4B4F1542" w14:textId="77777777" w:rsidR="00CB6968" w:rsidRPr="005B22E6" w:rsidRDefault="00CB6968" w:rsidP="00CB6968">
            <w:pPr>
              <w:spacing w:after="0" w:line="240" w:lineRule="auto"/>
              <w:jc w:val="right"/>
              <w:rPr>
                <w:rFonts w:eastAsia="Times New Roman" w:cs="Times New Roman"/>
                <w:color w:val="000000"/>
                <w:sz w:val="18"/>
                <w:szCs w:val="18"/>
                <w:lang w:eastAsia="sk-SK"/>
              </w:rPr>
            </w:pPr>
            <w:r w:rsidRPr="005B22E6">
              <w:rPr>
                <w:rFonts w:eastAsia="Times New Roman" w:cs="Times New Roman"/>
                <w:color w:val="000000"/>
                <w:sz w:val="18"/>
                <w:szCs w:val="18"/>
                <w:lang w:eastAsia="sk-SK"/>
              </w:rPr>
              <w:t>9</w:t>
            </w:r>
          </w:p>
        </w:tc>
        <w:tc>
          <w:tcPr>
            <w:tcW w:w="851" w:type="dxa"/>
            <w:tcBorders>
              <w:top w:val="nil"/>
              <w:left w:val="nil"/>
              <w:bottom w:val="nil"/>
              <w:right w:val="nil"/>
            </w:tcBorders>
            <w:shd w:val="clear" w:color="000000" w:fill="FFFFFF"/>
            <w:noWrap/>
            <w:vAlign w:val="center"/>
            <w:hideMark/>
          </w:tcPr>
          <w:p w14:paraId="33EF6F27" w14:textId="77777777" w:rsidR="00CB6968" w:rsidRPr="005B22E6" w:rsidRDefault="00CB6968" w:rsidP="00CB6968">
            <w:pPr>
              <w:spacing w:after="0" w:line="240" w:lineRule="auto"/>
              <w:jc w:val="right"/>
              <w:rPr>
                <w:rFonts w:eastAsia="Times New Roman" w:cs="Times New Roman"/>
                <w:color w:val="000000"/>
                <w:sz w:val="18"/>
                <w:szCs w:val="18"/>
                <w:lang w:eastAsia="sk-SK"/>
              </w:rPr>
            </w:pPr>
            <w:r w:rsidRPr="005B22E6">
              <w:rPr>
                <w:rFonts w:eastAsia="Times New Roman" w:cs="Times New Roman"/>
                <w:color w:val="000000"/>
                <w:sz w:val="18"/>
                <w:szCs w:val="18"/>
                <w:lang w:eastAsia="sk-SK"/>
              </w:rPr>
              <w:t>0</w:t>
            </w:r>
          </w:p>
        </w:tc>
        <w:tc>
          <w:tcPr>
            <w:tcW w:w="850" w:type="dxa"/>
            <w:tcBorders>
              <w:top w:val="nil"/>
              <w:left w:val="nil"/>
              <w:bottom w:val="nil"/>
              <w:right w:val="nil"/>
            </w:tcBorders>
            <w:shd w:val="clear" w:color="000000" w:fill="BFBFBF"/>
            <w:noWrap/>
            <w:vAlign w:val="center"/>
            <w:hideMark/>
          </w:tcPr>
          <w:p w14:paraId="0387ED69" w14:textId="77777777" w:rsidR="00CB6968" w:rsidRPr="005B22E6" w:rsidRDefault="00CB6968" w:rsidP="00CB6968">
            <w:pPr>
              <w:spacing w:after="0" w:line="240" w:lineRule="auto"/>
              <w:jc w:val="right"/>
              <w:rPr>
                <w:rFonts w:eastAsia="Times New Roman" w:cs="Times New Roman"/>
                <w:color w:val="000000"/>
                <w:sz w:val="18"/>
                <w:szCs w:val="18"/>
                <w:lang w:eastAsia="sk-SK"/>
              </w:rPr>
            </w:pPr>
            <w:r w:rsidRPr="005B22E6">
              <w:rPr>
                <w:rFonts w:eastAsia="Times New Roman" w:cs="Times New Roman"/>
                <w:color w:val="000000"/>
                <w:sz w:val="18"/>
                <w:szCs w:val="18"/>
                <w:lang w:eastAsia="sk-SK"/>
              </w:rPr>
              <w:t>5</w:t>
            </w:r>
          </w:p>
        </w:tc>
        <w:tc>
          <w:tcPr>
            <w:tcW w:w="992" w:type="dxa"/>
            <w:tcBorders>
              <w:top w:val="nil"/>
              <w:left w:val="nil"/>
              <w:bottom w:val="nil"/>
              <w:right w:val="nil"/>
            </w:tcBorders>
            <w:shd w:val="clear" w:color="000000" w:fill="BFBFBF"/>
            <w:noWrap/>
            <w:vAlign w:val="center"/>
            <w:hideMark/>
          </w:tcPr>
          <w:p w14:paraId="10AB7824" w14:textId="77777777" w:rsidR="00CB6968" w:rsidRPr="005B22E6" w:rsidRDefault="00CB6968" w:rsidP="00CB6968">
            <w:pPr>
              <w:spacing w:after="0" w:line="240" w:lineRule="auto"/>
              <w:jc w:val="right"/>
              <w:rPr>
                <w:rFonts w:eastAsia="Times New Roman" w:cs="Times New Roman"/>
                <w:color w:val="000000"/>
                <w:sz w:val="18"/>
                <w:szCs w:val="18"/>
                <w:lang w:eastAsia="sk-SK"/>
              </w:rPr>
            </w:pPr>
            <w:r w:rsidRPr="005B22E6">
              <w:rPr>
                <w:rFonts w:eastAsia="Times New Roman" w:cs="Times New Roman"/>
                <w:color w:val="000000"/>
                <w:sz w:val="18"/>
                <w:szCs w:val="18"/>
                <w:lang w:eastAsia="sk-SK"/>
              </w:rPr>
              <w:t>5</w:t>
            </w:r>
          </w:p>
        </w:tc>
        <w:tc>
          <w:tcPr>
            <w:tcW w:w="851" w:type="dxa"/>
            <w:tcBorders>
              <w:top w:val="nil"/>
              <w:left w:val="nil"/>
              <w:bottom w:val="nil"/>
              <w:right w:val="nil"/>
            </w:tcBorders>
            <w:shd w:val="clear" w:color="000000" w:fill="FFFFFF"/>
            <w:vAlign w:val="center"/>
            <w:hideMark/>
          </w:tcPr>
          <w:p w14:paraId="1D2CA9E3" w14:textId="77777777" w:rsidR="00CB6968" w:rsidRPr="00A265D6" w:rsidRDefault="00CB6968" w:rsidP="00CB6968">
            <w:pPr>
              <w:spacing w:after="0" w:line="240" w:lineRule="auto"/>
              <w:jc w:val="right"/>
              <w:rPr>
                <w:rFonts w:eastAsia="Times New Roman" w:cs="Times New Roman"/>
                <w:color w:val="000000"/>
                <w:sz w:val="18"/>
                <w:szCs w:val="18"/>
                <w:lang w:eastAsia="sk-SK"/>
              </w:rPr>
            </w:pPr>
            <w:r w:rsidRPr="00A265D6">
              <w:rPr>
                <w:rFonts w:eastAsia="Times New Roman" w:cs="Times New Roman"/>
                <w:color w:val="000000"/>
                <w:sz w:val="18"/>
                <w:szCs w:val="18"/>
                <w:lang w:eastAsia="sk-SK"/>
              </w:rPr>
              <w:t>5</w:t>
            </w:r>
          </w:p>
        </w:tc>
        <w:tc>
          <w:tcPr>
            <w:tcW w:w="850" w:type="dxa"/>
            <w:tcBorders>
              <w:top w:val="nil"/>
              <w:left w:val="nil"/>
              <w:bottom w:val="nil"/>
              <w:right w:val="nil"/>
            </w:tcBorders>
            <w:shd w:val="clear" w:color="000000" w:fill="FFFFFF"/>
            <w:vAlign w:val="center"/>
            <w:hideMark/>
          </w:tcPr>
          <w:p w14:paraId="557E34C4" w14:textId="77777777" w:rsidR="00CB6968" w:rsidRPr="005B22E6" w:rsidRDefault="00CB6968" w:rsidP="00CB6968">
            <w:pPr>
              <w:spacing w:after="0" w:line="240" w:lineRule="auto"/>
              <w:jc w:val="right"/>
              <w:rPr>
                <w:rFonts w:eastAsia="Times New Roman" w:cs="Times New Roman"/>
                <w:color w:val="000000"/>
                <w:sz w:val="18"/>
                <w:szCs w:val="18"/>
                <w:lang w:eastAsia="sk-SK"/>
              </w:rPr>
            </w:pPr>
            <w:r w:rsidRPr="005B22E6">
              <w:rPr>
                <w:rFonts w:eastAsia="Times New Roman" w:cs="Times New Roman"/>
                <w:color w:val="000000"/>
                <w:sz w:val="18"/>
                <w:szCs w:val="18"/>
                <w:lang w:eastAsia="sk-SK"/>
              </w:rPr>
              <w:t>x</w:t>
            </w:r>
          </w:p>
        </w:tc>
      </w:tr>
      <w:tr w:rsidR="00CB6968" w:rsidRPr="005B22E6" w14:paraId="3C4936BB" w14:textId="77777777" w:rsidTr="005B22E6">
        <w:trPr>
          <w:trHeight w:val="345"/>
        </w:trPr>
        <w:tc>
          <w:tcPr>
            <w:tcW w:w="2400" w:type="dxa"/>
            <w:tcBorders>
              <w:top w:val="single" w:sz="4" w:space="0" w:color="auto"/>
              <w:left w:val="nil"/>
              <w:bottom w:val="single" w:sz="8" w:space="0" w:color="auto"/>
              <w:right w:val="nil"/>
            </w:tcBorders>
            <w:shd w:val="clear" w:color="000000" w:fill="FFFFFF"/>
            <w:noWrap/>
            <w:vAlign w:val="center"/>
            <w:hideMark/>
          </w:tcPr>
          <w:p w14:paraId="597DBC53" w14:textId="77777777" w:rsidR="00CB6968" w:rsidRPr="005B22E6" w:rsidRDefault="00CB6968" w:rsidP="00CB6968">
            <w:pPr>
              <w:spacing w:after="0" w:line="240" w:lineRule="auto"/>
              <w:jc w:val="left"/>
              <w:rPr>
                <w:rFonts w:eastAsia="Times New Roman" w:cs="Times New Roman"/>
                <w:b/>
                <w:bCs/>
                <w:color w:val="000000"/>
                <w:sz w:val="18"/>
                <w:szCs w:val="18"/>
                <w:lang w:eastAsia="sk-SK"/>
              </w:rPr>
            </w:pPr>
            <w:r w:rsidRPr="005B22E6">
              <w:rPr>
                <w:rFonts w:eastAsia="Times New Roman" w:cs="Times New Roman"/>
                <w:b/>
                <w:bCs/>
                <w:color w:val="000000"/>
                <w:sz w:val="18"/>
                <w:szCs w:val="18"/>
                <w:lang w:eastAsia="sk-SK"/>
              </w:rPr>
              <w:t>Spolu</w:t>
            </w:r>
          </w:p>
        </w:tc>
        <w:tc>
          <w:tcPr>
            <w:tcW w:w="851" w:type="dxa"/>
            <w:tcBorders>
              <w:top w:val="single" w:sz="4" w:space="0" w:color="auto"/>
              <w:left w:val="nil"/>
              <w:bottom w:val="single" w:sz="8" w:space="0" w:color="auto"/>
              <w:right w:val="nil"/>
            </w:tcBorders>
            <w:shd w:val="clear" w:color="000000" w:fill="FFFFFF"/>
            <w:noWrap/>
            <w:vAlign w:val="center"/>
            <w:hideMark/>
          </w:tcPr>
          <w:p w14:paraId="47AEB4C9" w14:textId="77777777" w:rsidR="00CB6968" w:rsidRPr="005B22E6" w:rsidRDefault="00CB6968" w:rsidP="00CB6968">
            <w:pPr>
              <w:spacing w:after="0" w:line="240" w:lineRule="auto"/>
              <w:jc w:val="right"/>
              <w:rPr>
                <w:rFonts w:eastAsia="Times New Roman" w:cs="Times New Roman"/>
                <w:b/>
                <w:bCs/>
                <w:color w:val="000000"/>
                <w:sz w:val="18"/>
                <w:szCs w:val="18"/>
                <w:lang w:eastAsia="sk-SK"/>
              </w:rPr>
            </w:pPr>
            <w:r w:rsidRPr="005B22E6">
              <w:rPr>
                <w:rFonts w:eastAsia="Times New Roman" w:cs="Times New Roman"/>
                <w:b/>
                <w:bCs/>
                <w:color w:val="000000"/>
                <w:sz w:val="18"/>
                <w:szCs w:val="18"/>
                <w:lang w:eastAsia="sk-SK"/>
              </w:rPr>
              <w:t>446 180</w:t>
            </w:r>
          </w:p>
        </w:tc>
        <w:tc>
          <w:tcPr>
            <w:tcW w:w="850" w:type="dxa"/>
            <w:tcBorders>
              <w:top w:val="single" w:sz="4" w:space="0" w:color="auto"/>
              <w:left w:val="nil"/>
              <w:bottom w:val="single" w:sz="8" w:space="0" w:color="auto"/>
              <w:right w:val="nil"/>
            </w:tcBorders>
            <w:shd w:val="clear" w:color="000000" w:fill="FFFFFF"/>
            <w:noWrap/>
            <w:vAlign w:val="center"/>
            <w:hideMark/>
          </w:tcPr>
          <w:p w14:paraId="145A6DCC" w14:textId="77777777" w:rsidR="00CB6968" w:rsidRPr="005B22E6" w:rsidRDefault="00CB6968" w:rsidP="00CB6968">
            <w:pPr>
              <w:spacing w:after="0" w:line="240" w:lineRule="auto"/>
              <w:jc w:val="right"/>
              <w:rPr>
                <w:rFonts w:eastAsia="Times New Roman" w:cs="Times New Roman"/>
                <w:b/>
                <w:bCs/>
                <w:color w:val="000000"/>
                <w:sz w:val="18"/>
                <w:szCs w:val="18"/>
                <w:lang w:eastAsia="sk-SK"/>
              </w:rPr>
            </w:pPr>
            <w:r w:rsidRPr="005B22E6">
              <w:rPr>
                <w:rFonts w:eastAsia="Times New Roman" w:cs="Times New Roman"/>
                <w:b/>
                <w:bCs/>
                <w:color w:val="000000"/>
                <w:sz w:val="18"/>
                <w:szCs w:val="18"/>
                <w:lang w:eastAsia="sk-SK"/>
              </w:rPr>
              <w:t>433 648</w:t>
            </w:r>
          </w:p>
        </w:tc>
        <w:tc>
          <w:tcPr>
            <w:tcW w:w="851" w:type="dxa"/>
            <w:tcBorders>
              <w:top w:val="single" w:sz="4" w:space="0" w:color="auto"/>
              <w:left w:val="nil"/>
              <w:bottom w:val="single" w:sz="8" w:space="0" w:color="auto"/>
              <w:right w:val="nil"/>
            </w:tcBorders>
            <w:shd w:val="clear" w:color="000000" w:fill="FFFFFF"/>
            <w:noWrap/>
            <w:vAlign w:val="center"/>
            <w:hideMark/>
          </w:tcPr>
          <w:p w14:paraId="6C32D85D" w14:textId="77777777" w:rsidR="00CB6968" w:rsidRPr="005B22E6" w:rsidRDefault="00CB6968" w:rsidP="00CB6968">
            <w:pPr>
              <w:spacing w:after="0" w:line="240" w:lineRule="auto"/>
              <w:jc w:val="right"/>
              <w:rPr>
                <w:rFonts w:eastAsia="Times New Roman" w:cs="Times New Roman"/>
                <w:b/>
                <w:bCs/>
                <w:color w:val="000000"/>
                <w:sz w:val="18"/>
                <w:szCs w:val="18"/>
                <w:lang w:eastAsia="sk-SK"/>
              </w:rPr>
            </w:pPr>
            <w:r w:rsidRPr="005B22E6">
              <w:rPr>
                <w:rFonts w:eastAsia="Times New Roman" w:cs="Times New Roman"/>
                <w:b/>
                <w:bCs/>
                <w:color w:val="000000"/>
                <w:sz w:val="18"/>
                <w:szCs w:val="18"/>
                <w:lang w:eastAsia="sk-SK"/>
              </w:rPr>
              <w:t>529 474</w:t>
            </w:r>
          </w:p>
        </w:tc>
        <w:tc>
          <w:tcPr>
            <w:tcW w:w="850" w:type="dxa"/>
            <w:tcBorders>
              <w:top w:val="single" w:sz="4" w:space="0" w:color="auto"/>
              <w:left w:val="nil"/>
              <w:bottom w:val="single" w:sz="8" w:space="0" w:color="auto"/>
              <w:right w:val="nil"/>
            </w:tcBorders>
            <w:shd w:val="clear" w:color="000000" w:fill="BFBFBF"/>
            <w:noWrap/>
            <w:vAlign w:val="center"/>
            <w:hideMark/>
          </w:tcPr>
          <w:p w14:paraId="75A35CE5" w14:textId="77777777" w:rsidR="00CB6968" w:rsidRPr="005B22E6" w:rsidRDefault="00CB6968" w:rsidP="00CB6968">
            <w:pPr>
              <w:spacing w:after="0" w:line="240" w:lineRule="auto"/>
              <w:jc w:val="right"/>
              <w:rPr>
                <w:rFonts w:eastAsia="Times New Roman" w:cs="Times New Roman"/>
                <w:b/>
                <w:bCs/>
                <w:color w:val="000000"/>
                <w:sz w:val="18"/>
                <w:szCs w:val="18"/>
                <w:lang w:eastAsia="sk-SK"/>
              </w:rPr>
            </w:pPr>
            <w:r w:rsidRPr="005B22E6">
              <w:rPr>
                <w:rFonts w:eastAsia="Times New Roman" w:cs="Times New Roman"/>
                <w:b/>
                <w:bCs/>
                <w:color w:val="000000"/>
                <w:sz w:val="18"/>
                <w:szCs w:val="18"/>
                <w:lang w:eastAsia="sk-SK"/>
              </w:rPr>
              <w:t>457 344</w:t>
            </w:r>
          </w:p>
        </w:tc>
        <w:tc>
          <w:tcPr>
            <w:tcW w:w="992" w:type="dxa"/>
            <w:tcBorders>
              <w:top w:val="single" w:sz="4" w:space="0" w:color="auto"/>
              <w:left w:val="nil"/>
              <w:bottom w:val="single" w:sz="8" w:space="0" w:color="auto"/>
              <w:right w:val="nil"/>
            </w:tcBorders>
            <w:shd w:val="clear" w:color="000000" w:fill="BFBFBF"/>
            <w:noWrap/>
            <w:vAlign w:val="center"/>
            <w:hideMark/>
          </w:tcPr>
          <w:p w14:paraId="172FB9CD" w14:textId="77777777" w:rsidR="00CB6968" w:rsidRPr="005B22E6" w:rsidRDefault="00CB6968" w:rsidP="00CB6968">
            <w:pPr>
              <w:spacing w:after="0" w:line="240" w:lineRule="auto"/>
              <w:jc w:val="right"/>
              <w:rPr>
                <w:rFonts w:eastAsia="Times New Roman" w:cs="Times New Roman"/>
                <w:b/>
                <w:bCs/>
                <w:color w:val="000000"/>
                <w:sz w:val="18"/>
                <w:szCs w:val="18"/>
                <w:lang w:eastAsia="sk-SK"/>
              </w:rPr>
            </w:pPr>
            <w:r w:rsidRPr="005B22E6">
              <w:rPr>
                <w:rFonts w:eastAsia="Times New Roman" w:cs="Times New Roman"/>
                <w:b/>
                <w:bCs/>
                <w:color w:val="000000"/>
                <w:sz w:val="18"/>
                <w:szCs w:val="18"/>
                <w:lang w:eastAsia="sk-SK"/>
              </w:rPr>
              <w:t>439 631</w:t>
            </w:r>
          </w:p>
        </w:tc>
        <w:tc>
          <w:tcPr>
            <w:tcW w:w="851" w:type="dxa"/>
            <w:tcBorders>
              <w:top w:val="single" w:sz="4" w:space="0" w:color="auto"/>
              <w:left w:val="nil"/>
              <w:bottom w:val="single" w:sz="8" w:space="0" w:color="auto"/>
              <w:right w:val="nil"/>
            </w:tcBorders>
            <w:shd w:val="clear" w:color="000000" w:fill="FFFFFF"/>
            <w:noWrap/>
            <w:vAlign w:val="center"/>
            <w:hideMark/>
          </w:tcPr>
          <w:p w14:paraId="1CF7A3A6" w14:textId="3A0944E7" w:rsidR="00CB6968" w:rsidRPr="00A265D6" w:rsidRDefault="00CB6968" w:rsidP="00214802">
            <w:pPr>
              <w:spacing w:after="0" w:line="240" w:lineRule="auto"/>
              <w:jc w:val="right"/>
              <w:rPr>
                <w:rFonts w:eastAsia="Times New Roman" w:cs="Times New Roman"/>
                <w:b/>
                <w:bCs/>
                <w:color w:val="000000"/>
                <w:sz w:val="18"/>
                <w:szCs w:val="18"/>
                <w:lang w:eastAsia="sk-SK"/>
              </w:rPr>
            </w:pPr>
            <w:r w:rsidRPr="00A265D6">
              <w:rPr>
                <w:rFonts w:eastAsia="Times New Roman" w:cs="Times New Roman"/>
                <w:b/>
                <w:bCs/>
                <w:color w:val="000000"/>
                <w:sz w:val="18"/>
                <w:szCs w:val="18"/>
                <w:lang w:eastAsia="sk-SK"/>
              </w:rPr>
              <w:t>-7</w:t>
            </w:r>
            <w:r w:rsidR="00214802" w:rsidRPr="00A265D6">
              <w:rPr>
                <w:rFonts w:eastAsia="Times New Roman" w:cs="Times New Roman"/>
                <w:b/>
                <w:bCs/>
                <w:color w:val="000000"/>
                <w:sz w:val="18"/>
                <w:szCs w:val="18"/>
                <w:lang w:eastAsia="sk-SK"/>
              </w:rPr>
              <w:t>2</w:t>
            </w:r>
            <w:r w:rsidRPr="00A265D6">
              <w:rPr>
                <w:rFonts w:eastAsia="Times New Roman" w:cs="Times New Roman"/>
                <w:b/>
                <w:bCs/>
                <w:color w:val="000000"/>
                <w:sz w:val="18"/>
                <w:szCs w:val="18"/>
                <w:lang w:eastAsia="sk-SK"/>
              </w:rPr>
              <w:t xml:space="preserve"> </w:t>
            </w:r>
            <w:r w:rsidR="00214802" w:rsidRPr="00A265D6">
              <w:rPr>
                <w:rFonts w:eastAsia="Times New Roman" w:cs="Times New Roman"/>
                <w:b/>
                <w:bCs/>
                <w:color w:val="000000"/>
                <w:sz w:val="18"/>
                <w:szCs w:val="18"/>
                <w:lang w:eastAsia="sk-SK"/>
              </w:rPr>
              <w:t>130</w:t>
            </w:r>
          </w:p>
        </w:tc>
        <w:tc>
          <w:tcPr>
            <w:tcW w:w="850" w:type="dxa"/>
            <w:tcBorders>
              <w:top w:val="single" w:sz="4" w:space="0" w:color="auto"/>
              <w:left w:val="nil"/>
              <w:bottom w:val="single" w:sz="8" w:space="0" w:color="auto"/>
              <w:right w:val="nil"/>
            </w:tcBorders>
            <w:shd w:val="clear" w:color="000000" w:fill="FFFFFF"/>
            <w:noWrap/>
            <w:vAlign w:val="center"/>
            <w:hideMark/>
          </w:tcPr>
          <w:p w14:paraId="634DD74B" w14:textId="77777777" w:rsidR="00CB6968" w:rsidRPr="005B22E6" w:rsidRDefault="00CB6968" w:rsidP="00CB6968">
            <w:pPr>
              <w:spacing w:after="0" w:line="240" w:lineRule="auto"/>
              <w:jc w:val="right"/>
              <w:rPr>
                <w:rFonts w:eastAsia="Times New Roman" w:cs="Times New Roman"/>
                <w:b/>
                <w:bCs/>
                <w:color w:val="000000"/>
                <w:sz w:val="18"/>
                <w:szCs w:val="18"/>
                <w:lang w:eastAsia="sk-SK"/>
              </w:rPr>
            </w:pPr>
            <w:r w:rsidRPr="005B22E6">
              <w:rPr>
                <w:rFonts w:eastAsia="Times New Roman" w:cs="Times New Roman"/>
                <w:b/>
                <w:bCs/>
                <w:color w:val="000000"/>
                <w:sz w:val="18"/>
                <w:szCs w:val="18"/>
                <w:lang w:eastAsia="sk-SK"/>
              </w:rPr>
              <w:t>-13,6</w:t>
            </w:r>
          </w:p>
        </w:tc>
      </w:tr>
    </w:tbl>
    <w:p w14:paraId="3F512B12" w14:textId="4F0CFA59" w:rsidR="00DC2F84" w:rsidRDefault="00DC2F84" w:rsidP="00D61F13">
      <w:pPr>
        <w:suppressAutoHyphens/>
        <w:spacing w:after="0" w:line="240" w:lineRule="auto"/>
        <w:rPr>
          <w:color w:val="000000"/>
          <w:sz w:val="18"/>
          <w:szCs w:val="18"/>
        </w:rPr>
      </w:pPr>
      <w:r w:rsidRPr="00DE6E48">
        <w:rPr>
          <w:color w:val="000000"/>
          <w:sz w:val="18"/>
          <w:szCs w:val="18"/>
        </w:rPr>
        <w:t xml:space="preserve">Poznámka: * len prostriedky štátneho rozpočtu </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sidR="00112E7C">
        <w:rPr>
          <w:color w:val="000000"/>
          <w:sz w:val="18"/>
          <w:szCs w:val="18"/>
        </w:rPr>
        <w:t xml:space="preserve">         </w:t>
      </w:r>
      <w:r w:rsidRPr="00DE6E48">
        <w:rPr>
          <w:color w:val="000000"/>
          <w:sz w:val="18"/>
          <w:szCs w:val="18"/>
        </w:rPr>
        <w:t>Zdroj: MF SR</w:t>
      </w:r>
    </w:p>
    <w:p w14:paraId="7B5A54CC" w14:textId="77777777" w:rsidR="00D61F13" w:rsidRPr="00DE6E48" w:rsidRDefault="00D61F13" w:rsidP="00D61F13">
      <w:pPr>
        <w:suppressAutoHyphens/>
        <w:spacing w:after="0" w:line="240" w:lineRule="auto"/>
        <w:rPr>
          <w:color w:val="000000"/>
          <w:sz w:val="18"/>
          <w:szCs w:val="18"/>
        </w:rPr>
      </w:pPr>
    </w:p>
    <w:p w14:paraId="3048F5FB" w14:textId="77777777" w:rsidR="003C400C" w:rsidRDefault="003C400C">
      <w:pPr>
        <w:spacing w:after="160" w:line="259" w:lineRule="auto"/>
        <w:jc w:val="left"/>
        <w:rPr>
          <w:color w:val="000000" w:themeColor="text1"/>
        </w:rPr>
      </w:pPr>
      <w:r>
        <w:rPr>
          <w:color w:val="000000" w:themeColor="text1"/>
        </w:rPr>
        <w:br w:type="page"/>
      </w:r>
    </w:p>
    <w:p w14:paraId="75BE2885" w14:textId="44B35ECF" w:rsidR="00DC2F84" w:rsidRDefault="00DC2F84" w:rsidP="00DC2F84">
      <w:pPr>
        <w:suppressAutoHyphens/>
        <w:rPr>
          <w:color w:val="000000" w:themeColor="text1"/>
        </w:rPr>
      </w:pPr>
      <w:r w:rsidRPr="00014E72">
        <w:rPr>
          <w:color w:val="000000" w:themeColor="text1"/>
        </w:rPr>
        <w:t>Do rozpočtov VÚC boli poskytnuté granty a transfery z jednotlivých rozpočtových kapitol v nasledovnom členení:</w:t>
      </w:r>
    </w:p>
    <w:tbl>
      <w:tblPr>
        <w:tblW w:w="8493" w:type="dxa"/>
        <w:tblLayout w:type="fixed"/>
        <w:tblCellMar>
          <w:left w:w="70" w:type="dxa"/>
          <w:right w:w="70" w:type="dxa"/>
        </w:tblCellMar>
        <w:tblLook w:val="04A0" w:firstRow="1" w:lastRow="0" w:firstColumn="1" w:lastColumn="0" w:noHBand="0" w:noVBand="1"/>
      </w:tblPr>
      <w:tblGrid>
        <w:gridCol w:w="3109"/>
        <w:gridCol w:w="850"/>
        <w:gridCol w:w="851"/>
        <w:gridCol w:w="850"/>
        <w:gridCol w:w="755"/>
        <w:gridCol w:w="729"/>
        <w:gridCol w:w="728"/>
        <w:gridCol w:w="621"/>
      </w:tblGrid>
      <w:tr w:rsidR="00A74FD5" w:rsidRPr="00B61C4B" w14:paraId="24838F9A" w14:textId="77777777" w:rsidTr="00EA3540">
        <w:trPr>
          <w:trHeight w:val="318"/>
        </w:trPr>
        <w:tc>
          <w:tcPr>
            <w:tcW w:w="8493" w:type="dxa"/>
            <w:gridSpan w:val="8"/>
            <w:tcBorders>
              <w:top w:val="nil"/>
              <w:left w:val="single" w:sz="8" w:space="0" w:color="auto"/>
              <w:bottom w:val="nil"/>
              <w:right w:val="nil"/>
            </w:tcBorders>
            <w:shd w:val="clear" w:color="000000" w:fill="000000"/>
            <w:vAlign w:val="center"/>
            <w:hideMark/>
          </w:tcPr>
          <w:p w14:paraId="70BD2D66" w14:textId="77777777" w:rsidR="00A74FD5" w:rsidRPr="00B61C4B" w:rsidRDefault="00A74FD5" w:rsidP="00EA3540">
            <w:pPr>
              <w:rPr>
                <w:rFonts w:cs="Times New Roman"/>
                <w:b/>
                <w:bCs/>
                <w:color w:val="FFFFFF"/>
                <w:sz w:val="18"/>
                <w:szCs w:val="18"/>
              </w:rPr>
            </w:pPr>
            <w:r w:rsidRPr="00B61C4B">
              <w:rPr>
                <w:rFonts w:cs="Times New Roman"/>
                <w:b/>
                <w:bCs/>
                <w:color w:val="FFFFFF"/>
                <w:sz w:val="18"/>
                <w:szCs w:val="18"/>
              </w:rPr>
              <w:t>Granty a transfery poskytnuté VÚC podľa kapitol ŠR</w:t>
            </w:r>
            <w:r>
              <w:rPr>
                <w:rFonts w:cs="Times New Roman"/>
                <w:b/>
                <w:bCs/>
                <w:color w:val="FFFFFF"/>
                <w:sz w:val="18"/>
                <w:szCs w:val="18"/>
              </w:rPr>
              <w:t xml:space="preserve">                                                                           </w:t>
            </w:r>
            <w:r w:rsidRPr="00B61C4B">
              <w:rPr>
                <w:rFonts w:cs="Times New Roman"/>
                <w:b/>
                <w:bCs/>
                <w:color w:val="FFFFFF"/>
                <w:sz w:val="18"/>
                <w:szCs w:val="18"/>
              </w:rPr>
              <w:t>v tis.</w:t>
            </w:r>
            <w:r>
              <w:rPr>
                <w:rFonts w:cs="Times New Roman"/>
                <w:b/>
                <w:bCs/>
                <w:color w:val="FFFFFF"/>
                <w:sz w:val="18"/>
                <w:szCs w:val="18"/>
              </w:rPr>
              <w:t xml:space="preserve"> </w:t>
            </w:r>
            <w:r w:rsidRPr="00B61C4B">
              <w:rPr>
                <w:rFonts w:cs="Times New Roman"/>
                <w:b/>
                <w:bCs/>
                <w:color w:val="FFFFFF"/>
                <w:sz w:val="18"/>
                <w:szCs w:val="18"/>
              </w:rPr>
              <w:t>eur</w:t>
            </w:r>
          </w:p>
        </w:tc>
      </w:tr>
      <w:tr w:rsidR="00A74FD5" w:rsidRPr="00B61C4B" w14:paraId="6E6B200B" w14:textId="77777777" w:rsidTr="00EA3540">
        <w:trPr>
          <w:trHeight w:val="318"/>
        </w:trPr>
        <w:tc>
          <w:tcPr>
            <w:tcW w:w="3109" w:type="dxa"/>
            <w:tcBorders>
              <w:top w:val="nil"/>
              <w:left w:val="nil"/>
              <w:bottom w:val="nil"/>
              <w:right w:val="nil"/>
            </w:tcBorders>
            <w:shd w:val="clear" w:color="000000" w:fill="BFBFBF"/>
            <w:hideMark/>
          </w:tcPr>
          <w:p w14:paraId="6628D000" w14:textId="77777777" w:rsidR="00A74FD5" w:rsidRPr="00B61C4B" w:rsidRDefault="00A74FD5" w:rsidP="00EA3540">
            <w:pPr>
              <w:rPr>
                <w:rFonts w:cs="Times New Roman"/>
                <w:b/>
                <w:bCs/>
                <w:color w:val="FFFFFF"/>
                <w:sz w:val="18"/>
                <w:szCs w:val="18"/>
              </w:rPr>
            </w:pPr>
            <w:r w:rsidRPr="00B61C4B">
              <w:rPr>
                <w:rFonts w:cs="Times New Roman"/>
                <w:b/>
                <w:bCs/>
                <w:color w:val="FFFFFF"/>
                <w:sz w:val="18"/>
                <w:szCs w:val="18"/>
              </w:rPr>
              <w:t> </w:t>
            </w:r>
          </w:p>
        </w:tc>
        <w:tc>
          <w:tcPr>
            <w:tcW w:w="1701" w:type="dxa"/>
            <w:gridSpan w:val="2"/>
            <w:tcBorders>
              <w:top w:val="nil"/>
              <w:left w:val="nil"/>
              <w:bottom w:val="nil"/>
              <w:right w:val="nil"/>
            </w:tcBorders>
            <w:shd w:val="clear" w:color="000000" w:fill="BFBFBF"/>
            <w:hideMark/>
          </w:tcPr>
          <w:p w14:paraId="46C06DA9" w14:textId="77777777" w:rsidR="00A74FD5" w:rsidRPr="00B61C4B" w:rsidRDefault="00A74FD5" w:rsidP="00EA3540">
            <w:pPr>
              <w:jc w:val="center"/>
              <w:rPr>
                <w:rFonts w:cs="Times New Roman"/>
                <w:b/>
                <w:bCs/>
                <w:color w:val="000000"/>
                <w:sz w:val="18"/>
                <w:szCs w:val="18"/>
              </w:rPr>
            </w:pPr>
            <w:r w:rsidRPr="00B61C4B">
              <w:rPr>
                <w:rFonts w:cs="Times New Roman"/>
                <w:b/>
                <w:bCs/>
                <w:color w:val="000000"/>
                <w:sz w:val="18"/>
                <w:szCs w:val="18"/>
              </w:rPr>
              <w:t>Skutočnosť</w:t>
            </w:r>
          </w:p>
        </w:tc>
        <w:tc>
          <w:tcPr>
            <w:tcW w:w="850" w:type="dxa"/>
            <w:tcBorders>
              <w:top w:val="nil"/>
              <w:left w:val="nil"/>
              <w:bottom w:val="nil"/>
              <w:right w:val="nil"/>
            </w:tcBorders>
            <w:shd w:val="clear" w:color="000000" w:fill="BFBFBF"/>
            <w:hideMark/>
          </w:tcPr>
          <w:p w14:paraId="5F3BC82E" w14:textId="77777777" w:rsidR="00A74FD5" w:rsidRPr="00B61C4B" w:rsidRDefault="00A74FD5" w:rsidP="00EA3540">
            <w:pPr>
              <w:jc w:val="center"/>
              <w:rPr>
                <w:rFonts w:cs="Times New Roman"/>
                <w:b/>
                <w:bCs/>
                <w:color w:val="000000"/>
                <w:sz w:val="18"/>
                <w:szCs w:val="18"/>
              </w:rPr>
            </w:pPr>
            <w:r w:rsidRPr="00B61C4B">
              <w:rPr>
                <w:rFonts w:cs="Times New Roman"/>
                <w:b/>
                <w:bCs/>
                <w:color w:val="000000"/>
                <w:sz w:val="18"/>
                <w:szCs w:val="18"/>
              </w:rPr>
              <w:t>Rozpočet</w:t>
            </w:r>
          </w:p>
        </w:tc>
        <w:tc>
          <w:tcPr>
            <w:tcW w:w="1484" w:type="dxa"/>
            <w:gridSpan w:val="2"/>
            <w:tcBorders>
              <w:top w:val="nil"/>
              <w:left w:val="nil"/>
              <w:bottom w:val="nil"/>
              <w:right w:val="nil"/>
            </w:tcBorders>
            <w:shd w:val="clear" w:color="000000" w:fill="BFBFBF"/>
            <w:hideMark/>
          </w:tcPr>
          <w:p w14:paraId="137B7A1C" w14:textId="77777777" w:rsidR="00A74FD5" w:rsidRPr="00B61C4B" w:rsidRDefault="00A74FD5" w:rsidP="00EA3540">
            <w:pPr>
              <w:jc w:val="center"/>
              <w:rPr>
                <w:rFonts w:cs="Times New Roman"/>
                <w:b/>
                <w:bCs/>
                <w:color w:val="000000"/>
                <w:sz w:val="18"/>
                <w:szCs w:val="18"/>
              </w:rPr>
            </w:pPr>
            <w:r w:rsidRPr="00B61C4B">
              <w:rPr>
                <w:rFonts w:cs="Times New Roman"/>
                <w:b/>
                <w:bCs/>
                <w:color w:val="000000"/>
                <w:sz w:val="18"/>
                <w:szCs w:val="18"/>
              </w:rPr>
              <w:t>Skutočnosť</w:t>
            </w:r>
          </w:p>
        </w:tc>
        <w:tc>
          <w:tcPr>
            <w:tcW w:w="1349" w:type="dxa"/>
            <w:gridSpan w:val="2"/>
            <w:tcBorders>
              <w:top w:val="nil"/>
              <w:left w:val="nil"/>
              <w:bottom w:val="nil"/>
              <w:right w:val="nil"/>
            </w:tcBorders>
            <w:shd w:val="clear" w:color="000000" w:fill="BFBFBF"/>
            <w:hideMark/>
          </w:tcPr>
          <w:p w14:paraId="03083F25" w14:textId="77777777" w:rsidR="00A74FD5" w:rsidRPr="00B61C4B" w:rsidRDefault="00A74FD5" w:rsidP="00EA3540">
            <w:pPr>
              <w:jc w:val="center"/>
              <w:rPr>
                <w:rFonts w:cs="Times New Roman"/>
                <w:b/>
                <w:bCs/>
                <w:color w:val="000000"/>
                <w:sz w:val="18"/>
                <w:szCs w:val="18"/>
              </w:rPr>
            </w:pPr>
            <w:r w:rsidRPr="00B61C4B">
              <w:rPr>
                <w:rFonts w:cs="Times New Roman"/>
                <w:b/>
                <w:bCs/>
                <w:color w:val="000000"/>
                <w:sz w:val="18"/>
                <w:szCs w:val="18"/>
              </w:rPr>
              <w:t>Rozdiel</w:t>
            </w:r>
          </w:p>
        </w:tc>
      </w:tr>
      <w:tr w:rsidR="00A74FD5" w:rsidRPr="00B61C4B" w14:paraId="703FD3ED" w14:textId="77777777" w:rsidTr="00EA3540">
        <w:trPr>
          <w:trHeight w:val="734"/>
        </w:trPr>
        <w:tc>
          <w:tcPr>
            <w:tcW w:w="3109" w:type="dxa"/>
            <w:tcBorders>
              <w:top w:val="nil"/>
              <w:left w:val="nil"/>
              <w:bottom w:val="nil"/>
              <w:right w:val="nil"/>
            </w:tcBorders>
            <w:shd w:val="clear" w:color="000000" w:fill="BFBFBF"/>
            <w:hideMark/>
          </w:tcPr>
          <w:p w14:paraId="1EB92948" w14:textId="77777777" w:rsidR="00A74FD5" w:rsidRPr="00B61C4B" w:rsidRDefault="00A74FD5" w:rsidP="00EA3540">
            <w:pPr>
              <w:jc w:val="center"/>
              <w:rPr>
                <w:rFonts w:cs="Times New Roman"/>
                <w:b/>
                <w:bCs/>
                <w:sz w:val="18"/>
                <w:szCs w:val="18"/>
              </w:rPr>
            </w:pPr>
            <w:r w:rsidRPr="00B61C4B">
              <w:rPr>
                <w:rFonts w:cs="Times New Roman"/>
                <w:b/>
                <w:bCs/>
                <w:sz w:val="18"/>
                <w:szCs w:val="18"/>
              </w:rPr>
              <w:t> </w:t>
            </w:r>
          </w:p>
        </w:tc>
        <w:tc>
          <w:tcPr>
            <w:tcW w:w="850" w:type="dxa"/>
            <w:tcBorders>
              <w:top w:val="nil"/>
              <w:left w:val="nil"/>
              <w:bottom w:val="nil"/>
              <w:right w:val="nil"/>
            </w:tcBorders>
            <w:shd w:val="clear" w:color="000000" w:fill="BFBFBF"/>
            <w:hideMark/>
          </w:tcPr>
          <w:p w14:paraId="40716D1F" w14:textId="77777777" w:rsidR="00A74FD5" w:rsidRPr="00B61C4B" w:rsidRDefault="00A74FD5" w:rsidP="00EA3540">
            <w:pPr>
              <w:jc w:val="center"/>
              <w:rPr>
                <w:rFonts w:cs="Times New Roman"/>
                <w:b/>
                <w:bCs/>
                <w:color w:val="000000"/>
                <w:sz w:val="18"/>
                <w:szCs w:val="18"/>
              </w:rPr>
            </w:pPr>
            <w:r w:rsidRPr="00B61C4B">
              <w:rPr>
                <w:rFonts w:cs="Times New Roman"/>
                <w:b/>
                <w:bCs/>
                <w:color w:val="000000"/>
                <w:sz w:val="18"/>
                <w:szCs w:val="18"/>
              </w:rPr>
              <w:t>2016</w:t>
            </w:r>
          </w:p>
        </w:tc>
        <w:tc>
          <w:tcPr>
            <w:tcW w:w="851" w:type="dxa"/>
            <w:tcBorders>
              <w:top w:val="nil"/>
              <w:left w:val="nil"/>
              <w:bottom w:val="nil"/>
              <w:right w:val="nil"/>
            </w:tcBorders>
            <w:shd w:val="clear" w:color="000000" w:fill="BFBFBF"/>
            <w:hideMark/>
          </w:tcPr>
          <w:p w14:paraId="5A74206B" w14:textId="77777777" w:rsidR="00A74FD5" w:rsidRPr="00B61C4B" w:rsidRDefault="00A74FD5" w:rsidP="00EA3540">
            <w:pPr>
              <w:jc w:val="center"/>
              <w:rPr>
                <w:rFonts w:cs="Times New Roman"/>
                <w:b/>
                <w:bCs/>
                <w:color w:val="000000"/>
                <w:sz w:val="18"/>
                <w:szCs w:val="18"/>
              </w:rPr>
            </w:pPr>
            <w:r w:rsidRPr="00B61C4B">
              <w:rPr>
                <w:rFonts w:cs="Times New Roman"/>
                <w:b/>
                <w:bCs/>
                <w:color w:val="000000"/>
                <w:sz w:val="18"/>
                <w:szCs w:val="18"/>
              </w:rPr>
              <w:t>2017</w:t>
            </w:r>
          </w:p>
        </w:tc>
        <w:tc>
          <w:tcPr>
            <w:tcW w:w="850" w:type="dxa"/>
            <w:tcBorders>
              <w:top w:val="nil"/>
              <w:left w:val="nil"/>
              <w:bottom w:val="nil"/>
              <w:right w:val="nil"/>
            </w:tcBorders>
            <w:shd w:val="clear" w:color="000000" w:fill="BFBFBF"/>
            <w:hideMark/>
          </w:tcPr>
          <w:p w14:paraId="340C80C3" w14:textId="77777777" w:rsidR="00A74FD5" w:rsidRPr="00B61C4B" w:rsidRDefault="00A74FD5" w:rsidP="00EA3540">
            <w:pPr>
              <w:jc w:val="center"/>
              <w:rPr>
                <w:rFonts w:cs="Times New Roman"/>
                <w:b/>
                <w:bCs/>
                <w:color w:val="000000"/>
                <w:sz w:val="18"/>
                <w:szCs w:val="18"/>
              </w:rPr>
            </w:pPr>
            <w:r w:rsidRPr="00B61C4B">
              <w:rPr>
                <w:rFonts w:cs="Times New Roman"/>
                <w:b/>
                <w:bCs/>
                <w:color w:val="000000"/>
                <w:sz w:val="18"/>
                <w:szCs w:val="18"/>
              </w:rPr>
              <w:t>2018</w:t>
            </w:r>
          </w:p>
        </w:tc>
        <w:tc>
          <w:tcPr>
            <w:tcW w:w="755" w:type="dxa"/>
            <w:tcBorders>
              <w:top w:val="nil"/>
              <w:left w:val="nil"/>
              <w:bottom w:val="nil"/>
              <w:right w:val="nil"/>
            </w:tcBorders>
            <w:shd w:val="clear" w:color="000000" w:fill="BFBFBF"/>
            <w:hideMark/>
          </w:tcPr>
          <w:p w14:paraId="5EB49526" w14:textId="77777777" w:rsidR="00A74FD5" w:rsidRPr="00B61C4B" w:rsidRDefault="00A74FD5" w:rsidP="00EA3540">
            <w:pPr>
              <w:jc w:val="center"/>
              <w:rPr>
                <w:rFonts w:cs="Times New Roman"/>
                <w:b/>
                <w:bCs/>
                <w:color w:val="000000"/>
                <w:sz w:val="18"/>
                <w:szCs w:val="18"/>
              </w:rPr>
            </w:pPr>
            <w:r w:rsidRPr="00B61C4B">
              <w:rPr>
                <w:rFonts w:cs="Times New Roman"/>
                <w:b/>
                <w:bCs/>
                <w:color w:val="000000"/>
                <w:sz w:val="18"/>
                <w:szCs w:val="18"/>
              </w:rPr>
              <w:t>2018</w:t>
            </w:r>
          </w:p>
        </w:tc>
        <w:tc>
          <w:tcPr>
            <w:tcW w:w="729" w:type="dxa"/>
            <w:tcBorders>
              <w:top w:val="nil"/>
              <w:left w:val="nil"/>
              <w:bottom w:val="nil"/>
              <w:right w:val="nil"/>
            </w:tcBorders>
            <w:shd w:val="clear" w:color="000000" w:fill="BFBFBF"/>
            <w:hideMark/>
          </w:tcPr>
          <w:p w14:paraId="50CACA9D" w14:textId="77777777" w:rsidR="00A74FD5" w:rsidRPr="00B61C4B" w:rsidRDefault="00A74FD5" w:rsidP="00EA3540">
            <w:pPr>
              <w:jc w:val="center"/>
              <w:rPr>
                <w:rFonts w:cs="Times New Roman"/>
                <w:b/>
                <w:bCs/>
                <w:color w:val="000000"/>
                <w:sz w:val="18"/>
                <w:szCs w:val="18"/>
              </w:rPr>
            </w:pPr>
            <w:r w:rsidRPr="00B61C4B">
              <w:rPr>
                <w:rFonts w:cs="Times New Roman"/>
                <w:b/>
                <w:bCs/>
                <w:color w:val="000000"/>
                <w:sz w:val="18"/>
                <w:szCs w:val="18"/>
              </w:rPr>
              <w:t>z toho: zdroj 111*</w:t>
            </w:r>
          </w:p>
        </w:tc>
        <w:tc>
          <w:tcPr>
            <w:tcW w:w="728" w:type="dxa"/>
            <w:tcBorders>
              <w:top w:val="nil"/>
              <w:left w:val="nil"/>
              <w:bottom w:val="nil"/>
              <w:right w:val="nil"/>
            </w:tcBorders>
            <w:shd w:val="clear" w:color="000000" w:fill="BFBFBF"/>
            <w:hideMark/>
          </w:tcPr>
          <w:p w14:paraId="0ECBD3E3" w14:textId="77777777" w:rsidR="00A74FD5" w:rsidRPr="00B61C4B" w:rsidRDefault="00A74FD5" w:rsidP="00EA3540">
            <w:pPr>
              <w:jc w:val="center"/>
              <w:rPr>
                <w:rFonts w:cs="Times New Roman"/>
                <w:b/>
                <w:bCs/>
                <w:color w:val="000000"/>
                <w:sz w:val="18"/>
                <w:szCs w:val="18"/>
              </w:rPr>
            </w:pPr>
            <w:r w:rsidRPr="00B61C4B">
              <w:rPr>
                <w:rFonts w:cs="Times New Roman"/>
                <w:b/>
                <w:bCs/>
                <w:color w:val="000000"/>
                <w:sz w:val="18"/>
                <w:szCs w:val="18"/>
              </w:rPr>
              <w:t xml:space="preserve"> v tis. eur</w:t>
            </w:r>
          </w:p>
        </w:tc>
        <w:tc>
          <w:tcPr>
            <w:tcW w:w="621" w:type="dxa"/>
            <w:tcBorders>
              <w:top w:val="nil"/>
              <w:left w:val="nil"/>
              <w:bottom w:val="nil"/>
              <w:right w:val="nil"/>
            </w:tcBorders>
            <w:shd w:val="clear" w:color="000000" w:fill="BFBFBF"/>
            <w:hideMark/>
          </w:tcPr>
          <w:p w14:paraId="3C8C5FB1" w14:textId="77777777" w:rsidR="00A74FD5" w:rsidRPr="00B61C4B" w:rsidRDefault="00A74FD5" w:rsidP="00EA3540">
            <w:pPr>
              <w:jc w:val="center"/>
              <w:rPr>
                <w:rFonts w:cs="Times New Roman"/>
                <w:b/>
                <w:bCs/>
                <w:color w:val="000000"/>
                <w:sz w:val="18"/>
                <w:szCs w:val="18"/>
              </w:rPr>
            </w:pPr>
            <w:r w:rsidRPr="00B61C4B">
              <w:rPr>
                <w:rFonts w:cs="Times New Roman"/>
                <w:b/>
                <w:bCs/>
                <w:color w:val="000000"/>
                <w:sz w:val="18"/>
                <w:szCs w:val="18"/>
              </w:rPr>
              <w:t>v %</w:t>
            </w:r>
          </w:p>
        </w:tc>
      </w:tr>
      <w:tr w:rsidR="00A74FD5" w:rsidRPr="00B61C4B" w14:paraId="697E25AB" w14:textId="77777777" w:rsidTr="00EA3540">
        <w:trPr>
          <w:trHeight w:val="77"/>
        </w:trPr>
        <w:tc>
          <w:tcPr>
            <w:tcW w:w="3109" w:type="dxa"/>
            <w:tcBorders>
              <w:top w:val="nil"/>
              <w:left w:val="nil"/>
              <w:bottom w:val="single" w:sz="8" w:space="0" w:color="auto"/>
              <w:right w:val="nil"/>
            </w:tcBorders>
            <w:shd w:val="clear" w:color="000000" w:fill="BFBFBF"/>
            <w:hideMark/>
          </w:tcPr>
          <w:p w14:paraId="5BB22800" w14:textId="77777777" w:rsidR="00A74FD5" w:rsidRPr="00B61C4B" w:rsidRDefault="00A74FD5" w:rsidP="00EA3540">
            <w:pPr>
              <w:rPr>
                <w:rFonts w:cs="Times New Roman"/>
                <w:b/>
                <w:bCs/>
                <w:color w:val="FFFFFF"/>
                <w:sz w:val="18"/>
                <w:szCs w:val="18"/>
              </w:rPr>
            </w:pPr>
            <w:r w:rsidRPr="00B61C4B">
              <w:rPr>
                <w:rFonts w:cs="Times New Roman"/>
                <w:b/>
                <w:bCs/>
                <w:color w:val="FFFFFF"/>
                <w:sz w:val="18"/>
                <w:szCs w:val="18"/>
              </w:rPr>
              <w:t> </w:t>
            </w:r>
          </w:p>
        </w:tc>
        <w:tc>
          <w:tcPr>
            <w:tcW w:w="850" w:type="dxa"/>
            <w:tcBorders>
              <w:top w:val="nil"/>
              <w:left w:val="nil"/>
              <w:bottom w:val="single" w:sz="8" w:space="0" w:color="auto"/>
              <w:right w:val="nil"/>
            </w:tcBorders>
            <w:shd w:val="clear" w:color="000000" w:fill="BFBFBF"/>
            <w:hideMark/>
          </w:tcPr>
          <w:p w14:paraId="5CB58069" w14:textId="77777777" w:rsidR="00A74FD5" w:rsidRPr="00B61C4B" w:rsidRDefault="00A74FD5" w:rsidP="00EA3540">
            <w:pPr>
              <w:jc w:val="center"/>
              <w:rPr>
                <w:rFonts w:cs="Times New Roman"/>
                <w:b/>
                <w:bCs/>
                <w:sz w:val="18"/>
                <w:szCs w:val="18"/>
              </w:rPr>
            </w:pPr>
            <w:r w:rsidRPr="00B61C4B">
              <w:rPr>
                <w:rFonts w:cs="Times New Roman"/>
                <w:b/>
                <w:bCs/>
                <w:sz w:val="18"/>
                <w:szCs w:val="18"/>
              </w:rPr>
              <w:t>1</w:t>
            </w:r>
          </w:p>
        </w:tc>
        <w:tc>
          <w:tcPr>
            <w:tcW w:w="851" w:type="dxa"/>
            <w:tcBorders>
              <w:top w:val="nil"/>
              <w:left w:val="nil"/>
              <w:bottom w:val="single" w:sz="8" w:space="0" w:color="auto"/>
              <w:right w:val="nil"/>
            </w:tcBorders>
            <w:shd w:val="clear" w:color="000000" w:fill="BFBFBF"/>
            <w:hideMark/>
          </w:tcPr>
          <w:p w14:paraId="3A0C1203" w14:textId="77777777" w:rsidR="00A74FD5" w:rsidRPr="00B61C4B" w:rsidRDefault="00A74FD5" w:rsidP="00EA3540">
            <w:pPr>
              <w:jc w:val="center"/>
              <w:rPr>
                <w:rFonts w:cs="Times New Roman"/>
                <w:b/>
                <w:bCs/>
                <w:sz w:val="18"/>
                <w:szCs w:val="18"/>
              </w:rPr>
            </w:pPr>
            <w:r w:rsidRPr="00B61C4B">
              <w:rPr>
                <w:rFonts w:cs="Times New Roman"/>
                <w:b/>
                <w:bCs/>
                <w:sz w:val="18"/>
                <w:szCs w:val="18"/>
              </w:rPr>
              <w:t>2</w:t>
            </w:r>
          </w:p>
        </w:tc>
        <w:tc>
          <w:tcPr>
            <w:tcW w:w="850" w:type="dxa"/>
            <w:tcBorders>
              <w:top w:val="nil"/>
              <w:left w:val="nil"/>
              <w:bottom w:val="single" w:sz="8" w:space="0" w:color="auto"/>
              <w:right w:val="nil"/>
            </w:tcBorders>
            <w:shd w:val="clear" w:color="000000" w:fill="BFBFBF"/>
            <w:hideMark/>
          </w:tcPr>
          <w:p w14:paraId="7C1BDD12" w14:textId="77777777" w:rsidR="00A74FD5" w:rsidRPr="00B61C4B" w:rsidRDefault="00A74FD5" w:rsidP="00EA3540">
            <w:pPr>
              <w:jc w:val="center"/>
              <w:rPr>
                <w:rFonts w:cs="Times New Roman"/>
                <w:b/>
                <w:bCs/>
                <w:sz w:val="18"/>
                <w:szCs w:val="18"/>
              </w:rPr>
            </w:pPr>
            <w:r w:rsidRPr="00B61C4B">
              <w:rPr>
                <w:rFonts w:cs="Times New Roman"/>
                <w:b/>
                <w:bCs/>
                <w:sz w:val="18"/>
                <w:szCs w:val="18"/>
              </w:rPr>
              <w:t>3</w:t>
            </w:r>
          </w:p>
        </w:tc>
        <w:tc>
          <w:tcPr>
            <w:tcW w:w="755" w:type="dxa"/>
            <w:tcBorders>
              <w:top w:val="nil"/>
              <w:left w:val="nil"/>
              <w:bottom w:val="single" w:sz="8" w:space="0" w:color="auto"/>
              <w:right w:val="nil"/>
            </w:tcBorders>
            <w:shd w:val="clear" w:color="000000" w:fill="BFBFBF"/>
            <w:hideMark/>
          </w:tcPr>
          <w:p w14:paraId="53FCEF87" w14:textId="77777777" w:rsidR="00A74FD5" w:rsidRPr="00B61C4B" w:rsidRDefault="00A74FD5" w:rsidP="00EA3540">
            <w:pPr>
              <w:jc w:val="center"/>
              <w:rPr>
                <w:rFonts w:cs="Times New Roman"/>
                <w:b/>
                <w:bCs/>
                <w:sz w:val="18"/>
                <w:szCs w:val="18"/>
              </w:rPr>
            </w:pPr>
            <w:r w:rsidRPr="00B61C4B">
              <w:rPr>
                <w:rFonts w:cs="Times New Roman"/>
                <w:b/>
                <w:bCs/>
                <w:sz w:val="18"/>
                <w:szCs w:val="18"/>
              </w:rPr>
              <w:t>4</w:t>
            </w:r>
          </w:p>
        </w:tc>
        <w:tc>
          <w:tcPr>
            <w:tcW w:w="729" w:type="dxa"/>
            <w:tcBorders>
              <w:top w:val="nil"/>
              <w:left w:val="nil"/>
              <w:bottom w:val="single" w:sz="8" w:space="0" w:color="auto"/>
              <w:right w:val="nil"/>
            </w:tcBorders>
            <w:shd w:val="clear" w:color="000000" w:fill="BFBFBF"/>
            <w:hideMark/>
          </w:tcPr>
          <w:p w14:paraId="297DEEC7" w14:textId="77777777" w:rsidR="00A74FD5" w:rsidRPr="00B61C4B" w:rsidRDefault="00A74FD5" w:rsidP="00EA3540">
            <w:pPr>
              <w:jc w:val="center"/>
              <w:rPr>
                <w:rFonts w:cs="Times New Roman"/>
                <w:b/>
                <w:bCs/>
                <w:sz w:val="18"/>
                <w:szCs w:val="18"/>
              </w:rPr>
            </w:pPr>
            <w:r w:rsidRPr="00B61C4B">
              <w:rPr>
                <w:rFonts w:cs="Times New Roman"/>
                <w:b/>
                <w:bCs/>
                <w:sz w:val="18"/>
                <w:szCs w:val="18"/>
              </w:rPr>
              <w:t>5</w:t>
            </w:r>
          </w:p>
        </w:tc>
        <w:tc>
          <w:tcPr>
            <w:tcW w:w="728" w:type="dxa"/>
            <w:tcBorders>
              <w:top w:val="nil"/>
              <w:left w:val="nil"/>
              <w:bottom w:val="single" w:sz="8" w:space="0" w:color="auto"/>
              <w:right w:val="nil"/>
            </w:tcBorders>
            <w:shd w:val="clear" w:color="000000" w:fill="BFBFBF"/>
            <w:hideMark/>
          </w:tcPr>
          <w:p w14:paraId="5F3E0EE0" w14:textId="77777777" w:rsidR="00A74FD5" w:rsidRPr="00B61C4B" w:rsidRDefault="00A74FD5" w:rsidP="00EA3540">
            <w:pPr>
              <w:jc w:val="center"/>
              <w:rPr>
                <w:rFonts w:cs="Times New Roman"/>
                <w:b/>
                <w:bCs/>
                <w:sz w:val="18"/>
                <w:szCs w:val="18"/>
              </w:rPr>
            </w:pPr>
            <w:r w:rsidRPr="00B61C4B">
              <w:rPr>
                <w:rFonts w:cs="Times New Roman"/>
                <w:b/>
                <w:bCs/>
                <w:sz w:val="18"/>
                <w:szCs w:val="18"/>
              </w:rPr>
              <w:t>6=4-3</w:t>
            </w:r>
          </w:p>
        </w:tc>
        <w:tc>
          <w:tcPr>
            <w:tcW w:w="621" w:type="dxa"/>
            <w:tcBorders>
              <w:top w:val="nil"/>
              <w:left w:val="nil"/>
              <w:bottom w:val="single" w:sz="8" w:space="0" w:color="auto"/>
              <w:right w:val="nil"/>
            </w:tcBorders>
            <w:shd w:val="clear" w:color="000000" w:fill="BFBFBF"/>
            <w:hideMark/>
          </w:tcPr>
          <w:p w14:paraId="6ACD8542" w14:textId="77777777" w:rsidR="00A74FD5" w:rsidRPr="00B61C4B" w:rsidRDefault="00A74FD5" w:rsidP="00EA3540">
            <w:pPr>
              <w:jc w:val="center"/>
              <w:rPr>
                <w:rFonts w:cs="Times New Roman"/>
                <w:b/>
                <w:bCs/>
                <w:sz w:val="18"/>
                <w:szCs w:val="18"/>
              </w:rPr>
            </w:pPr>
            <w:r w:rsidRPr="00B61C4B">
              <w:rPr>
                <w:rFonts w:cs="Times New Roman"/>
                <w:b/>
                <w:bCs/>
                <w:sz w:val="18"/>
                <w:szCs w:val="18"/>
              </w:rPr>
              <w:t>7=4-3</w:t>
            </w:r>
          </w:p>
        </w:tc>
      </w:tr>
      <w:tr w:rsidR="00A74FD5" w:rsidRPr="00B61C4B" w14:paraId="679E1982" w14:textId="77777777" w:rsidTr="009051A6">
        <w:trPr>
          <w:trHeight w:val="318"/>
        </w:trPr>
        <w:tc>
          <w:tcPr>
            <w:tcW w:w="3109" w:type="dxa"/>
            <w:tcBorders>
              <w:top w:val="nil"/>
              <w:left w:val="nil"/>
              <w:bottom w:val="nil"/>
              <w:right w:val="nil"/>
            </w:tcBorders>
            <w:shd w:val="clear" w:color="000000" w:fill="FFFFFF"/>
            <w:vAlign w:val="center"/>
            <w:hideMark/>
          </w:tcPr>
          <w:p w14:paraId="2777F228" w14:textId="77777777" w:rsidR="00A74FD5" w:rsidRPr="00B61C4B" w:rsidRDefault="00A74FD5" w:rsidP="00EA3540">
            <w:pPr>
              <w:spacing w:after="0" w:line="240" w:lineRule="auto"/>
              <w:jc w:val="left"/>
              <w:rPr>
                <w:rFonts w:eastAsia="Times New Roman" w:cs="Times New Roman"/>
                <w:color w:val="000000"/>
                <w:sz w:val="18"/>
                <w:szCs w:val="18"/>
                <w:lang w:eastAsia="sk-SK"/>
              </w:rPr>
            </w:pPr>
            <w:r w:rsidRPr="00B61C4B">
              <w:rPr>
                <w:rFonts w:eastAsia="Times New Roman" w:cs="Times New Roman"/>
                <w:color w:val="000000"/>
                <w:sz w:val="18"/>
                <w:szCs w:val="18"/>
                <w:lang w:eastAsia="sk-SK"/>
              </w:rPr>
              <w:t>Ministerstvo školstva, vedy, výskumu a športu SR</w:t>
            </w:r>
          </w:p>
        </w:tc>
        <w:tc>
          <w:tcPr>
            <w:tcW w:w="850" w:type="dxa"/>
            <w:tcBorders>
              <w:top w:val="nil"/>
              <w:left w:val="nil"/>
              <w:bottom w:val="nil"/>
              <w:right w:val="nil"/>
            </w:tcBorders>
            <w:shd w:val="clear" w:color="000000" w:fill="FFFFFF"/>
            <w:noWrap/>
            <w:vAlign w:val="center"/>
            <w:hideMark/>
          </w:tcPr>
          <w:p w14:paraId="3F91A4A0"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412 067</w:t>
            </w:r>
          </w:p>
        </w:tc>
        <w:tc>
          <w:tcPr>
            <w:tcW w:w="851" w:type="dxa"/>
            <w:tcBorders>
              <w:top w:val="nil"/>
              <w:left w:val="nil"/>
              <w:bottom w:val="nil"/>
              <w:right w:val="nil"/>
            </w:tcBorders>
            <w:shd w:val="clear" w:color="000000" w:fill="FFFFFF"/>
            <w:noWrap/>
            <w:vAlign w:val="center"/>
            <w:hideMark/>
          </w:tcPr>
          <w:p w14:paraId="51655B86"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425 608</w:t>
            </w:r>
          </w:p>
        </w:tc>
        <w:tc>
          <w:tcPr>
            <w:tcW w:w="850" w:type="dxa"/>
            <w:tcBorders>
              <w:top w:val="nil"/>
              <w:left w:val="nil"/>
              <w:bottom w:val="nil"/>
              <w:right w:val="nil"/>
            </w:tcBorders>
            <w:shd w:val="clear" w:color="000000" w:fill="FFFFFF"/>
            <w:noWrap/>
            <w:vAlign w:val="center"/>
            <w:hideMark/>
          </w:tcPr>
          <w:p w14:paraId="387515DF"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480 322</w:t>
            </w:r>
          </w:p>
        </w:tc>
        <w:tc>
          <w:tcPr>
            <w:tcW w:w="755" w:type="dxa"/>
            <w:tcBorders>
              <w:top w:val="nil"/>
              <w:left w:val="nil"/>
              <w:bottom w:val="nil"/>
              <w:right w:val="nil"/>
            </w:tcBorders>
            <w:shd w:val="clear" w:color="000000" w:fill="BFBFBF"/>
            <w:noWrap/>
            <w:vAlign w:val="center"/>
            <w:hideMark/>
          </w:tcPr>
          <w:p w14:paraId="7ED4DEF4"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431 228</w:t>
            </w:r>
          </w:p>
        </w:tc>
        <w:tc>
          <w:tcPr>
            <w:tcW w:w="729" w:type="dxa"/>
            <w:tcBorders>
              <w:top w:val="nil"/>
              <w:left w:val="nil"/>
              <w:bottom w:val="nil"/>
              <w:right w:val="nil"/>
            </w:tcBorders>
            <w:shd w:val="clear" w:color="000000" w:fill="BFBFBF"/>
            <w:noWrap/>
            <w:vAlign w:val="center"/>
            <w:hideMark/>
          </w:tcPr>
          <w:p w14:paraId="477A39C4"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430 856</w:t>
            </w:r>
          </w:p>
        </w:tc>
        <w:tc>
          <w:tcPr>
            <w:tcW w:w="728" w:type="dxa"/>
            <w:tcBorders>
              <w:top w:val="nil"/>
              <w:left w:val="nil"/>
              <w:bottom w:val="nil"/>
              <w:right w:val="nil"/>
            </w:tcBorders>
            <w:shd w:val="clear" w:color="000000" w:fill="FFFFFF"/>
            <w:vAlign w:val="center"/>
            <w:hideMark/>
          </w:tcPr>
          <w:p w14:paraId="3706E93F"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-49 094</w:t>
            </w:r>
          </w:p>
        </w:tc>
        <w:tc>
          <w:tcPr>
            <w:tcW w:w="621" w:type="dxa"/>
            <w:tcBorders>
              <w:top w:val="nil"/>
              <w:left w:val="nil"/>
              <w:bottom w:val="nil"/>
              <w:right w:val="nil"/>
            </w:tcBorders>
            <w:shd w:val="clear" w:color="000000" w:fill="FFFFFF"/>
            <w:vAlign w:val="center"/>
            <w:hideMark/>
          </w:tcPr>
          <w:p w14:paraId="1F2EF5F2"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-10,2</w:t>
            </w:r>
          </w:p>
        </w:tc>
      </w:tr>
      <w:tr w:rsidR="00A74FD5" w:rsidRPr="00B61C4B" w14:paraId="47538D86" w14:textId="77777777" w:rsidTr="009051A6">
        <w:trPr>
          <w:trHeight w:val="491"/>
        </w:trPr>
        <w:tc>
          <w:tcPr>
            <w:tcW w:w="3109" w:type="dxa"/>
            <w:tcBorders>
              <w:top w:val="nil"/>
              <w:left w:val="nil"/>
              <w:bottom w:val="nil"/>
              <w:right w:val="nil"/>
            </w:tcBorders>
            <w:shd w:val="clear" w:color="000000" w:fill="FFFFFF"/>
            <w:vAlign w:val="center"/>
            <w:hideMark/>
          </w:tcPr>
          <w:p w14:paraId="37456CD7" w14:textId="77777777" w:rsidR="00A74FD5" w:rsidRPr="00B61C4B" w:rsidRDefault="00A74FD5" w:rsidP="00EA3540">
            <w:pPr>
              <w:spacing w:after="0" w:line="240" w:lineRule="auto"/>
              <w:jc w:val="left"/>
              <w:rPr>
                <w:rFonts w:eastAsia="Times New Roman" w:cs="Times New Roman"/>
                <w:color w:val="000000"/>
                <w:sz w:val="18"/>
                <w:szCs w:val="18"/>
                <w:lang w:eastAsia="sk-SK"/>
              </w:rPr>
            </w:pPr>
            <w:r w:rsidRPr="00B61C4B">
              <w:rPr>
                <w:rFonts w:eastAsia="Times New Roman" w:cs="Times New Roman"/>
                <w:color w:val="000000"/>
                <w:sz w:val="18"/>
                <w:szCs w:val="18"/>
                <w:lang w:eastAsia="sk-SK"/>
              </w:rPr>
              <w:t>Ministerstvo pôdohospodárstva a rozvoja vidieka SR</w:t>
            </w:r>
          </w:p>
        </w:tc>
        <w:tc>
          <w:tcPr>
            <w:tcW w:w="850" w:type="dxa"/>
            <w:tcBorders>
              <w:top w:val="nil"/>
              <w:left w:val="nil"/>
              <w:bottom w:val="nil"/>
              <w:right w:val="nil"/>
            </w:tcBorders>
            <w:shd w:val="clear" w:color="000000" w:fill="FFFFFF"/>
            <w:noWrap/>
            <w:vAlign w:val="center"/>
            <w:hideMark/>
          </w:tcPr>
          <w:p w14:paraId="7D6D3B0F"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23 907</w:t>
            </w:r>
          </w:p>
        </w:tc>
        <w:tc>
          <w:tcPr>
            <w:tcW w:w="851" w:type="dxa"/>
            <w:tcBorders>
              <w:top w:val="nil"/>
              <w:left w:val="nil"/>
              <w:bottom w:val="nil"/>
              <w:right w:val="nil"/>
            </w:tcBorders>
            <w:shd w:val="clear" w:color="000000" w:fill="FFFFFF"/>
            <w:noWrap/>
            <w:vAlign w:val="center"/>
            <w:hideMark/>
          </w:tcPr>
          <w:p w14:paraId="627FAF2D"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2 322</w:t>
            </w:r>
          </w:p>
        </w:tc>
        <w:tc>
          <w:tcPr>
            <w:tcW w:w="850" w:type="dxa"/>
            <w:tcBorders>
              <w:top w:val="nil"/>
              <w:left w:val="nil"/>
              <w:bottom w:val="nil"/>
              <w:right w:val="nil"/>
            </w:tcBorders>
            <w:shd w:val="clear" w:color="000000" w:fill="FFFFFF"/>
            <w:noWrap/>
            <w:vAlign w:val="center"/>
            <w:hideMark/>
          </w:tcPr>
          <w:p w14:paraId="57702D95"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49 152</w:t>
            </w:r>
          </w:p>
        </w:tc>
        <w:tc>
          <w:tcPr>
            <w:tcW w:w="755" w:type="dxa"/>
            <w:tcBorders>
              <w:top w:val="nil"/>
              <w:left w:val="nil"/>
              <w:bottom w:val="nil"/>
              <w:right w:val="nil"/>
            </w:tcBorders>
            <w:shd w:val="clear" w:color="000000" w:fill="BFBFBF"/>
            <w:noWrap/>
            <w:vAlign w:val="center"/>
            <w:hideMark/>
          </w:tcPr>
          <w:p w14:paraId="05919DFA"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7 264</w:t>
            </w:r>
          </w:p>
        </w:tc>
        <w:tc>
          <w:tcPr>
            <w:tcW w:w="729" w:type="dxa"/>
            <w:tcBorders>
              <w:top w:val="nil"/>
              <w:left w:val="nil"/>
              <w:bottom w:val="nil"/>
              <w:right w:val="nil"/>
            </w:tcBorders>
            <w:shd w:val="clear" w:color="000000" w:fill="BFBFBF"/>
            <w:noWrap/>
            <w:vAlign w:val="center"/>
            <w:hideMark/>
          </w:tcPr>
          <w:p w14:paraId="3E662210"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x</w:t>
            </w:r>
          </w:p>
        </w:tc>
        <w:tc>
          <w:tcPr>
            <w:tcW w:w="728" w:type="dxa"/>
            <w:tcBorders>
              <w:top w:val="nil"/>
              <w:left w:val="nil"/>
              <w:bottom w:val="nil"/>
              <w:right w:val="nil"/>
            </w:tcBorders>
            <w:shd w:val="clear" w:color="000000" w:fill="FFFFFF"/>
            <w:vAlign w:val="center"/>
            <w:hideMark/>
          </w:tcPr>
          <w:p w14:paraId="6F359A06"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-41 888</w:t>
            </w:r>
          </w:p>
        </w:tc>
        <w:tc>
          <w:tcPr>
            <w:tcW w:w="621" w:type="dxa"/>
            <w:tcBorders>
              <w:top w:val="nil"/>
              <w:left w:val="nil"/>
              <w:bottom w:val="nil"/>
              <w:right w:val="nil"/>
            </w:tcBorders>
            <w:shd w:val="clear" w:color="000000" w:fill="FFFFFF"/>
            <w:vAlign w:val="center"/>
            <w:hideMark/>
          </w:tcPr>
          <w:p w14:paraId="7662CCB1"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-85,2</w:t>
            </w:r>
          </w:p>
        </w:tc>
      </w:tr>
      <w:tr w:rsidR="00A74FD5" w:rsidRPr="00B61C4B" w14:paraId="1927653F" w14:textId="77777777" w:rsidTr="009051A6">
        <w:trPr>
          <w:trHeight w:val="318"/>
        </w:trPr>
        <w:tc>
          <w:tcPr>
            <w:tcW w:w="3109" w:type="dxa"/>
            <w:tcBorders>
              <w:top w:val="nil"/>
              <w:left w:val="nil"/>
              <w:bottom w:val="nil"/>
              <w:right w:val="nil"/>
            </w:tcBorders>
            <w:shd w:val="clear" w:color="000000" w:fill="FFFFFF"/>
            <w:vAlign w:val="center"/>
            <w:hideMark/>
          </w:tcPr>
          <w:p w14:paraId="6B6924D2" w14:textId="77777777" w:rsidR="00A74FD5" w:rsidRPr="00B61C4B" w:rsidRDefault="00A74FD5" w:rsidP="00EA3540">
            <w:pPr>
              <w:spacing w:after="0" w:line="240" w:lineRule="auto"/>
              <w:jc w:val="left"/>
              <w:rPr>
                <w:rFonts w:eastAsia="Times New Roman" w:cs="Times New Roman"/>
                <w:color w:val="000000"/>
                <w:sz w:val="18"/>
                <w:szCs w:val="18"/>
                <w:lang w:eastAsia="sk-SK"/>
              </w:rPr>
            </w:pPr>
            <w:r w:rsidRPr="00B61C4B">
              <w:rPr>
                <w:rFonts w:eastAsia="Times New Roman" w:cs="Times New Roman"/>
                <w:color w:val="000000"/>
                <w:sz w:val="18"/>
                <w:szCs w:val="18"/>
                <w:lang w:eastAsia="sk-SK"/>
              </w:rPr>
              <w:t>Ministerstvo dopravy a výstavb</w:t>
            </w:r>
            <w:r>
              <w:rPr>
                <w:rFonts w:eastAsia="Times New Roman" w:cs="Times New Roman"/>
                <w:color w:val="000000"/>
                <w:sz w:val="18"/>
                <w:szCs w:val="18"/>
                <w:lang w:eastAsia="sk-SK"/>
              </w:rPr>
              <w:t>y</w:t>
            </w:r>
            <w:r w:rsidRPr="00B61C4B">
              <w:rPr>
                <w:rFonts w:eastAsia="Times New Roman" w:cs="Times New Roman"/>
                <w:color w:val="000000"/>
                <w:sz w:val="18"/>
                <w:szCs w:val="18"/>
                <w:lang w:eastAsia="sk-SK"/>
              </w:rPr>
              <w:t xml:space="preserve">  SR</w:t>
            </w:r>
          </w:p>
        </w:tc>
        <w:tc>
          <w:tcPr>
            <w:tcW w:w="850" w:type="dxa"/>
            <w:tcBorders>
              <w:top w:val="nil"/>
              <w:left w:val="nil"/>
              <w:bottom w:val="nil"/>
              <w:right w:val="nil"/>
            </w:tcBorders>
            <w:shd w:val="clear" w:color="000000" w:fill="FFFFFF"/>
            <w:noWrap/>
            <w:vAlign w:val="center"/>
            <w:hideMark/>
          </w:tcPr>
          <w:p w14:paraId="3BB66FA5"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500</w:t>
            </w:r>
          </w:p>
        </w:tc>
        <w:tc>
          <w:tcPr>
            <w:tcW w:w="851" w:type="dxa"/>
            <w:tcBorders>
              <w:top w:val="nil"/>
              <w:left w:val="nil"/>
              <w:bottom w:val="nil"/>
              <w:right w:val="nil"/>
            </w:tcBorders>
            <w:shd w:val="clear" w:color="000000" w:fill="FFFFFF"/>
            <w:noWrap/>
            <w:vAlign w:val="center"/>
            <w:hideMark/>
          </w:tcPr>
          <w:p w14:paraId="60E5E162"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x</w:t>
            </w:r>
          </w:p>
        </w:tc>
        <w:tc>
          <w:tcPr>
            <w:tcW w:w="850" w:type="dxa"/>
            <w:tcBorders>
              <w:top w:val="nil"/>
              <w:left w:val="nil"/>
              <w:bottom w:val="nil"/>
              <w:right w:val="nil"/>
            </w:tcBorders>
            <w:shd w:val="clear" w:color="000000" w:fill="FFFFFF"/>
            <w:noWrap/>
            <w:vAlign w:val="center"/>
            <w:hideMark/>
          </w:tcPr>
          <w:p w14:paraId="6E0461A3"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0</w:t>
            </w:r>
          </w:p>
        </w:tc>
        <w:tc>
          <w:tcPr>
            <w:tcW w:w="755" w:type="dxa"/>
            <w:tcBorders>
              <w:top w:val="nil"/>
              <w:left w:val="nil"/>
              <w:bottom w:val="nil"/>
              <w:right w:val="nil"/>
            </w:tcBorders>
            <w:shd w:val="clear" w:color="000000" w:fill="BFBFBF"/>
            <w:noWrap/>
            <w:vAlign w:val="center"/>
            <w:hideMark/>
          </w:tcPr>
          <w:p w14:paraId="39229FC7"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7 200</w:t>
            </w:r>
          </w:p>
        </w:tc>
        <w:tc>
          <w:tcPr>
            <w:tcW w:w="729" w:type="dxa"/>
            <w:tcBorders>
              <w:top w:val="nil"/>
              <w:left w:val="nil"/>
              <w:bottom w:val="nil"/>
              <w:right w:val="nil"/>
            </w:tcBorders>
            <w:shd w:val="clear" w:color="000000" w:fill="BFBFBF"/>
            <w:noWrap/>
            <w:vAlign w:val="center"/>
            <w:hideMark/>
          </w:tcPr>
          <w:p w14:paraId="00586EFD"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x</w:t>
            </w:r>
          </w:p>
        </w:tc>
        <w:tc>
          <w:tcPr>
            <w:tcW w:w="728" w:type="dxa"/>
            <w:tcBorders>
              <w:top w:val="nil"/>
              <w:left w:val="nil"/>
              <w:bottom w:val="nil"/>
              <w:right w:val="nil"/>
            </w:tcBorders>
            <w:shd w:val="clear" w:color="000000" w:fill="FFFFFF"/>
            <w:vAlign w:val="center"/>
            <w:hideMark/>
          </w:tcPr>
          <w:p w14:paraId="5BA67D48" w14:textId="5DE42406" w:rsidR="00A74FD5" w:rsidRPr="00B61C4B" w:rsidRDefault="00057121" w:rsidP="00EA3540">
            <w:pPr>
              <w:spacing w:after="0" w:line="240" w:lineRule="auto"/>
              <w:jc w:val="right"/>
              <w:rPr>
                <w:rFonts w:eastAsia="Times New Roman" w:cs="Times New Roman"/>
                <w:color w:val="000000"/>
                <w:sz w:val="18"/>
                <w:szCs w:val="18"/>
                <w:lang w:eastAsia="sk-SK"/>
              </w:rPr>
            </w:pPr>
            <w:r>
              <w:rPr>
                <w:rFonts w:eastAsia="Times New Roman" w:cs="Times New Roman"/>
                <w:color w:val="000000"/>
                <w:sz w:val="18"/>
                <w:szCs w:val="18"/>
                <w:lang w:eastAsia="sk-SK"/>
              </w:rPr>
              <w:t>7 200</w:t>
            </w:r>
          </w:p>
        </w:tc>
        <w:tc>
          <w:tcPr>
            <w:tcW w:w="621" w:type="dxa"/>
            <w:tcBorders>
              <w:top w:val="nil"/>
              <w:left w:val="nil"/>
              <w:bottom w:val="nil"/>
              <w:right w:val="nil"/>
            </w:tcBorders>
            <w:shd w:val="clear" w:color="000000" w:fill="FFFFFF"/>
            <w:vAlign w:val="center"/>
            <w:hideMark/>
          </w:tcPr>
          <w:p w14:paraId="1D2114CB"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x</w:t>
            </w:r>
          </w:p>
        </w:tc>
      </w:tr>
      <w:tr w:rsidR="00A74FD5" w:rsidRPr="00B61C4B" w14:paraId="490B7340" w14:textId="77777777" w:rsidTr="009051A6">
        <w:trPr>
          <w:trHeight w:val="318"/>
        </w:trPr>
        <w:tc>
          <w:tcPr>
            <w:tcW w:w="3109" w:type="dxa"/>
            <w:tcBorders>
              <w:top w:val="nil"/>
              <w:left w:val="nil"/>
              <w:bottom w:val="nil"/>
              <w:right w:val="nil"/>
            </w:tcBorders>
            <w:shd w:val="clear" w:color="000000" w:fill="FFFFFF"/>
            <w:noWrap/>
            <w:vAlign w:val="center"/>
            <w:hideMark/>
          </w:tcPr>
          <w:p w14:paraId="1763EFE4" w14:textId="77777777" w:rsidR="00A74FD5" w:rsidRPr="00B61C4B" w:rsidRDefault="00A74FD5" w:rsidP="00EA3540">
            <w:pPr>
              <w:spacing w:after="0" w:line="240" w:lineRule="auto"/>
              <w:jc w:val="left"/>
              <w:rPr>
                <w:rFonts w:eastAsia="Times New Roman" w:cs="Times New Roman"/>
                <w:color w:val="000000"/>
                <w:sz w:val="18"/>
                <w:szCs w:val="18"/>
                <w:lang w:eastAsia="sk-SK"/>
              </w:rPr>
            </w:pPr>
            <w:r w:rsidRPr="00B61C4B">
              <w:rPr>
                <w:rFonts w:eastAsia="Times New Roman" w:cs="Times New Roman"/>
                <w:color w:val="000000"/>
                <w:sz w:val="18"/>
                <w:szCs w:val="18"/>
                <w:lang w:eastAsia="sk-SK"/>
              </w:rPr>
              <w:t>Všeobecná pokladničná správa</w:t>
            </w:r>
          </w:p>
        </w:tc>
        <w:tc>
          <w:tcPr>
            <w:tcW w:w="850" w:type="dxa"/>
            <w:tcBorders>
              <w:top w:val="nil"/>
              <w:left w:val="nil"/>
              <w:bottom w:val="nil"/>
              <w:right w:val="nil"/>
            </w:tcBorders>
            <w:shd w:val="clear" w:color="000000" w:fill="FFFFFF"/>
            <w:noWrap/>
            <w:vAlign w:val="center"/>
            <w:hideMark/>
          </w:tcPr>
          <w:p w14:paraId="6FF6B4AC"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2 778</w:t>
            </w:r>
          </w:p>
        </w:tc>
        <w:tc>
          <w:tcPr>
            <w:tcW w:w="851" w:type="dxa"/>
            <w:tcBorders>
              <w:top w:val="nil"/>
              <w:left w:val="nil"/>
              <w:bottom w:val="nil"/>
              <w:right w:val="nil"/>
            </w:tcBorders>
            <w:shd w:val="clear" w:color="000000" w:fill="FFFFFF"/>
            <w:noWrap/>
            <w:vAlign w:val="center"/>
            <w:hideMark/>
          </w:tcPr>
          <w:p w14:paraId="667E2930"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2 750</w:t>
            </w:r>
          </w:p>
        </w:tc>
        <w:tc>
          <w:tcPr>
            <w:tcW w:w="850" w:type="dxa"/>
            <w:tcBorders>
              <w:top w:val="nil"/>
              <w:left w:val="nil"/>
              <w:bottom w:val="nil"/>
              <w:right w:val="nil"/>
            </w:tcBorders>
            <w:shd w:val="clear" w:color="000000" w:fill="FFFFFF"/>
            <w:noWrap/>
            <w:vAlign w:val="center"/>
            <w:hideMark/>
          </w:tcPr>
          <w:p w14:paraId="10FEF646"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0</w:t>
            </w:r>
          </w:p>
        </w:tc>
        <w:tc>
          <w:tcPr>
            <w:tcW w:w="755" w:type="dxa"/>
            <w:tcBorders>
              <w:top w:val="nil"/>
              <w:left w:val="nil"/>
              <w:bottom w:val="nil"/>
              <w:right w:val="nil"/>
            </w:tcBorders>
            <w:shd w:val="clear" w:color="000000" w:fill="BFBFBF"/>
            <w:noWrap/>
            <w:vAlign w:val="center"/>
            <w:hideMark/>
          </w:tcPr>
          <w:p w14:paraId="203A9B1F"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5 293</w:t>
            </w:r>
          </w:p>
        </w:tc>
        <w:tc>
          <w:tcPr>
            <w:tcW w:w="729" w:type="dxa"/>
            <w:tcBorders>
              <w:top w:val="nil"/>
              <w:left w:val="nil"/>
              <w:bottom w:val="nil"/>
              <w:right w:val="nil"/>
            </w:tcBorders>
            <w:shd w:val="clear" w:color="000000" w:fill="BFBFBF"/>
            <w:noWrap/>
            <w:vAlign w:val="center"/>
            <w:hideMark/>
          </w:tcPr>
          <w:p w14:paraId="035DB6E1"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5 176</w:t>
            </w:r>
          </w:p>
        </w:tc>
        <w:tc>
          <w:tcPr>
            <w:tcW w:w="728" w:type="dxa"/>
            <w:tcBorders>
              <w:top w:val="nil"/>
              <w:left w:val="nil"/>
              <w:bottom w:val="nil"/>
              <w:right w:val="nil"/>
            </w:tcBorders>
            <w:shd w:val="clear" w:color="000000" w:fill="FFFFFF"/>
            <w:vAlign w:val="center"/>
            <w:hideMark/>
          </w:tcPr>
          <w:p w14:paraId="3D3D7535"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5 293</w:t>
            </w:r>
          </w:p>
        </w:tc>
        <w:tc>
          <w:tcPr>
            <w:tcW w:w="621" w:type="dxa"/>
            <w:tcBorders>
              <w:top w:val="nil"/>
              <w:left w:val="nil"/>
              <w:bottom w:val="nil"/>
              <w:right w:val="nil"/>
            </w:tcBorders>
            <w:shd w:val="clear" w:color="000000" w:fill="FFFFFF"/>
            <w:vAlign w:val="center"/>
            <w:hideMark/>
          </w:tcPr>
          <w:p w14:paraId="79C6572E"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x</w:t>
            </w:r>
          </w:p>
        </w:tc>
      </w:tr>
      <w:tr w:rsidR="00A74FD5" w:rsidRPr="00B61C4B" w14:paraId="3D28D963" w14:textId="77777777" w:rsidTr="009051A6">
        <w:trPr>
          <w:trHeight w:val="318"/>
        </w:trPr>
        <w:tc>
          <w:tcPr>
            <w:tcW w:w="3109" w:type="dxa"/>
            <w:tcBorders>
              <w:top w:val="nil"/>
              <w:left w:val="nil"/>
              <w:bottom w:val="nil"/>
              <w:right w:val="nil"/>
            </w:tcBorders>
            <w:shd w:val="clear" w:color="000000" w:fill="FFFFFF"/>
            <w:vAlign w:val="center"/>
            <w:hideMark/>
          </w:tcPr>
          <w:p w14:paraId="57513BAF" w14:textId="77777777" w:rsidR="00A74FD5" w:rsidRPr="00B61C4B" w:rsidRDefault="00A74FD5" w:rsidP="00EA3540">
            <w:pPr>
              <w:spacing w:after="0" w:line="240" w:lineRule="auto"/>
              <w:jc w:val="left"/>
              <w:rPr>
                <w:rFonts w:eastAsia="Times New Roman" w:cs="Times New Roman"/>
                <w:color w:val="000000"/>
                <w:sz w:val="18"/>
                <w:szCs w:val="18"/>
                <w:lang w:eastAsia="sk-SK"/>
              </w:rPr>
            </w:pPr>
            <w:r w:rsidRPr="00B61C4B">
              <w:rPr>
                <w:rFonts w:eastAsia="Times New Roman" w:cs="Times New Roman"/>
                <w:color w:val="000000"/>
                <w:sz w:val="18"/>
                <w:szCs w:val="18"/>
                <w:lang w:eastAsia="sk-SK"/>
              </w:rPr>
              <w:t>Ministerstvo životného prostredia SR</w:t>
            </w:r>
          </w:p>
        </w:tc>
        <w:tc>
          <w:tcPr>
            <w:tcW w:w="850" w:type="dxa"/>
            <w:tcBorders>
              <w:top w:val="nil"/>
              <w:left w:val="nil"/>
              <w:bottom w:val="nil"/>
              <w:right w:val="nil"/>
            </w:tcBorders>
            <w:shd w:val="clear" w:color="000000" w:fill="FFFFFF"/>
            <w:noWrap/>
            <w:vAlign w:val="center"/>
            <w:hideMark/>
          </w:tcPr>
          <w:p w14:paraId="626B95D1"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x</w:t>
            </w:r>
          </w:p>
        </w:tc>
        <w:tc>
          <w:tcPr>
            <w:tcW w:w="851" w:type="dxa"/>
            <w:tcBorders>
              <w:top w:val="nil"/>
              <w:left w:val="nil"/>
              <w:bottom w:val="nil"/>
              <w:right w:val="nil"/>
            </w:tcBorders>
            <w:shd w:val="clear" w:color="000000" w:fill="FFFFFF"/>
            <w:noWrap/>
            <w:vAlign w:val="center"/>
            <w:hideMark/>
          </w:tcPr>
          <w:p w14:paraId="545F6CAF"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x</w:t>
            </w:r>
          </w:p>
        </w:tc>
        <w:tc>
          <w:tcPr>
            <w:tcW w:w="850" w:type="dxa"/>
            <w:tcBorders>
              <w:top w:val="nil"/>
              <w:left w:val="nil"/>
              <w:bottom w:val="nil"/>
              <w:right w:val="nil"/>
            </w:tcBorders>
            <w:shd w:val="clear" w:color="000000" w:fill="FFFFFF"/>
            <w:noWrap/>
            <w:vAlign w:val="center"/>
            <w:hideMark/>
          </w:tcPr>
          <w:p w14:paraId="6BD955C8"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0</w:t>
            </w:r>
          </w:p>
        </w:tc>
        <w:tc>
          <w:tcPr>
            <w:tcW w:w="755" w:type="dxa"/>
            <w:tcBorders>
              <w:top w:val="nil"/>
              <w:left w:val="nil"/>
              <w:bottom w:val="nil"/>
              <w:right w:val="nil"/>
            </w:tcBorders>
            <w:shd w:val="clear" w:color="000000" w:fill="BFBFBF"/>
            <w:noWrap/>
            <w:vAlign w:val="center"/>
            <w:hideMark/>
          </w:tcPr>
          <w:p w14:paraId="0BBCBC31"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2 532</w:t>
            </w:r>
          </w:p>
        </w:tc>
        <w:tc>
          <w:tcPr>
            <w:tcW w:w="729" w:type="dxa"/>
            <w:tcBorders>
              <w:top w:val="nil"/>
              <w:left w:val="nil"/>
              <w:bottom w:val="nil"/>
              <w:right w:val="nil"/>
            </w:tcBorders>
            <w:shd w:val="clear" w:color="000000" w:fill="BFBFBF"/>
            <w:noWrap/>
            <w:vAlign w:val="center"/>
            <w:hideMark/>
          </w:tcPr>
          <w:p w14:paraId="628C51E1"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x</w:t>
            </w:r>
          </w:p>
        </w:tc>
        <w:tc>
          <w:tcPr>
            <w:tcW w:w="728" w:type="dxa"/>
            <w:tcBorders>
              <w:top w:val="nil"/>
              <w:left w:val="nil"/>
              <w:bottom w:val="nil"/>
              <w:right w:val="nil"/>
            </w:tcBorders>
            <w:shd w:val="clear" w:color="000000" w:fill="FFFFFF"/>
            <w:vAlign w:val="center"/>
            <w:hideMark/>
          </w:tcPr>
          <w:p w14:paraId="3C2E19C7"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2 532</w:t>
            </w:r>
          </w:p>
        </w:tc>
        <w:tc>
          <w:tcPr>
            <w:tcW w:w="621" w:type="dxa"/>
            <w:tcBorders>
              <w:top w:val="nil"/>
              <w:left w:val="nil"/>
              <w:bottom w:val="nil"/>
              <w:right w:val="nil"/>
            </w:tcBorders>
            <w:shd w:val="clear" w:color="000000" w:fill="FFFFFF"/>
            <w:vAlign w:val="center"/>
            <w:hideMark/>
          </w:tcPr>
          <w:p w14:paraId="4F9FB67E"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x</w:t>
            </w:r>
          </w:p>
        </w:tc>
      </w:tr>
      <w:tr w:rsidR="00A74FD5" w:rsidRPr="00B61C4B" w14:paraId="653168E8" w14:textId="77777777" w:rsidTr="009051A6">
        <w:trPr>
          <w:trHeight w:val="318"/>
        </w:trPr>
        <w:tc>
          <w:tcPr>
            <w:tcW w:w="3109" w:type="dxa"/>
            <w:tcBorders>
              <w:top w:val="nil"/>
              <w:left w:val="nil"/>
              <w:bottom w:val="nil"/>
              <w:right w:val="nil"/>
            </w:tcBorders>
            <w:shd w:val="clear" w:color="000000" w:fill="FFFFFF"/>
            <w:vAlign w:val="center"/>
            <w:hideMark/>
          </w:tcPr>
          <w:p w14:paraId="63288E18" w14:textId="77777777" w:rsidR="00A74FD5" w:rsidRPr="00B61C4B" w:rsidRDefault="00A74FD5" w:rsidP="00EA3540">
            <w:pPr>
              <w:spacing w:after="0" w:line="240" w:lineRule="auto"/>
              <w:jc w:val="left"/>
              <w:rPr>
                <w:rFonts w:eastAsia="Times New Roman" w:cs="Times New Roman"/>
                <w:color w:val="000000"/>
                <w:sz w:val="18"/>
                <w:szCs w:val="18"/>
                <w:lang w:eastAsia="sk-SK"/>
              </w:rPr>
            </w:pPr>
            <w:r w:rsidRPr="00B61C4B">
              <w:rPr>
                <w:rFonts w:eastAsia="Times New Roman" w:cs="Times New Roman"/>
                <w:color w:val="000000"/>
                <w:sz w:val="18"/>
                <w:szCs w:val="18"/>
                <w:lang w:eastAsia="sk-SK"/>
              </w:rPr>
              <w:t xml:space="preserve">Ministerstvo práce, </w:t>
            </w:r>
            <w:proofErr w:type="spellStart"/>
            <w:r w:rsidRPr="00B61C4B">
              <w:rPr>
                <w:rFonts w:eastAsia="Times New Roman" w:cs="Times New Roman"/>
                <w:color w:val="000000"/>
                <w:sz w:val="18"/>
                <w:szCs w:val="18"/>
                <w:lang w:eastAsia="sk-SK"/>
              </w:rPr>
              <w:t>soc.vecí</w:t>
            </w:r>
            <w:proofErr w:type="spellEnd"/>
            <w:r w:rsidRPr="00B61C4B">
              <w:rPr>
                <w:rFonts w:eastAsia="Times New Roman" w:cs="Times New Roman"/>
                <w:color w:val="000000"/>
                <w:sz w:val="18"/>
                <w:szCs w:val="18"/>
                <w:lang w:eastAsia="sk-SK"/>
              </w:rPr>
              <w:t xml:space="preserve"> a rodiny SR</w:t>
            </w:r>
          </w:p>
        </w:tc>
        <w:tc>
          <w:tcPr>
            <w:tcW w:w="850" w:type="dxa"/>
            <w:tcBorders>
              <w:top w:val="nil"/>
              <w:left w:val="nil"/>
              <w:bottom w:val="nil"/>
              <w:right w:val="nil"/>
            </w:tcBorders>
            <w:shd w:val="clear" w:color="000000" w:fill="FFFFFF"/>
            <w:noWrap/>
            <w:vAlign w:val="center"/>
            <w:hideMark/>
          </w:tcPr>
          <w:p w14:paraId="25E01479"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1 838</w:t>
            </w:r>
          </w:p>
        </w:tc>
        <w:tc>
          <w:tcPr>
            <w:tcW w:w="851" w:type="dxa"/>
            <w:tcBorders>
              <w:top w:val="nil"/>
              <w:left w:val="nil"/>
              <w:bottom w:val="nil"/>
              <w:right w:val="nil"/>
            </w:tcBorders>
            <w:shd w:val="clear" w:color="000000" w:fill="FFFFFF"/>
            <w:noWrap/>
            <w:vAlign w:val="center"/>
            <w:hideMark/>
          </w:tcPr>
          <w:p w14:paraId="207E330F"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2 002</w:t>
            </w:r>
          </w:p>
        </w:tc>
        <w:tc>
          <w:tcPr>
            <w:tcW w:w="850" w:type="dxa"/>
            <w:tcBorders>
              <w:top w:val="nil"/>
              <w:left w:val="nil"/>
              <w:bottom w:val="nil"/>
              <w:right w:val="nil"/>
            </w:tcBorders>
            <w:shd w:val="clear" w:color="000000" w:fill="FFFFFF"/>
            <w:noWrap/>
            <w:vAlign w:val="center"/>
            <w:hideMark/>
          </w:tcPr>
          <w:p w14:paraId="24799CC5"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0</w:t>
            </w:r>
          </w:p>
        </w:tc>
        <w:tc>
          <w:tcPr>
            <w:tcW w:w="755" w:type="dxa"/>
            <w:tcBorders>
              <w:top w:val="nil"/>
              <w:left w:val="nil"/>
              <w:bottom w:val="nil"/>
              <w:right w:val="nil"/>
            </w:tcBorders>
            <w:shd w:val="clear" w:color="000000" w:fill="BFBFBF"/>
            <w:noWrap/>
            <w:vAlign w:val="center"/>
            <w:hideMark/>
          </w:tcPr>
          <w:p w14:paraId="687FEEA1"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2 080</w:t>
            </w:r>
          </w:p>
        </w:tc>
        <w:tc>
          <w:tcPr>
            <w:tcW w:w="729" w:type="dxa"/>
            <w:tcBorders>
              <w:top w:val="nil"/>
              <w:left w:val="nil"/>
              <w:bottom w:val="nil"/>
              <w:right w:val="nil"/>
            </w:tcBorders>
            <w:shd w:val="clear" w:color="000000" w:fill="BFBFBF"/>
            <w:noWrap/>
            <w:vAlign w:val="center"/>
            <w:hideMark/>
          </w:tcPr>
          <w:p w14:paraId="0EF2981E"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2 080</w:t>
            </w:r>
          </w:p>
        </w:tc>
        <w:tc>
          <w:tcPr>
            <w:tcW w:w="728" w:type="dxa"/>
            <w:tcBorders>
              <w:top w:val="nil"/>
              <w:left w:val="nil"/>
              <w:bottom w:val="nil"/>
              <w:right w:val="nil"/>
            </w:tcBorders>
            <w:shd w:val="clear" w:color="000000" w:fill="FFFFFF"/>
            <w:vAlign w:val="center"/>
            <w:hideMark/>
          </w:tcPr>
          <w:p w14:paraId="0BC27385"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2 080</w:t>
            </w:r>
          </w:p>
        </w:tc>
        <w:tc>
          <w:tcPr>
            <w:tcW w:w="621" w:type="dxa"/>
            <w:tcBorders>
              <w:top w:val="nil"/>
              <w:left w:val="nil"/>
              <w:bottom w:val="nil"/>
              <w:right w:val="nil"/>
            </w:tcBorders>
            <w:shd w:val="clear" w:color="000000" w:fill="FFFFFF"/>
            <w:vAlign w:val="center"/>
            <w:hideMark/>
          </w:tcPr>
          <w:p w14:paraId="3DD666C5"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x</w:t>
            </w:r>
          </w:p>
        </w:tc>
      </w:tr>
      <w:tr w:rsidR="00A74FD5" w:rsidRPr="00B61C4B" w14:paraId="722A93EE" w14:textId="77777777" w:rsidTr="009051A6">
        <w:trPr>
          <w:trHeight w:val="318"/>
        </w:trPr>
        <w:tc>
          <w:tcPr>
            <w:tcW w:w="3109" w:type="dxa"/>
            <w:tcBorders>
              <w:top w:val="nil"/>
              <w:left w:val="nil"/>
              <w:bottom w:val="nil"/>
              <w:right w:val="nil"/>
            </w:tcBorders>
            <w:shd w:val="clear" w:color="000000" w:fill="FFFFFF"/>
            <w:vAlign w:val="center"/>
            <w:hideMark/>
          </w:tcPr>
          <w:p w14:paraId="33928837" w14:textId="77777777" w:rsidR="00A74FD5" w:rsidRPr="00B61C4B" w:rsidRDefault="00A74FD5" w:rsidP="00EA3540">
            <w:pPr>
              <w:spacing w:after="0" w:line="240" w:lineRule="auto"/>
              <w:jc w:val="left"/>
              <w:rPr>
                <w:rFonts w:eastAsia="Times New Roman" w:cs="Times New Roman"/>
                <w:color w:val="000000"/>
                <w:sz w:val="18"/>
                <w:szCs w:val="18"/>
                <w:lang w:eastAsia="sk-SK"/>
              </w:rPr>
            </w:pPr>
            <w:r w:rsidRPr="00B61C4B">
              <w:rPr>
                <w:rFonts w:eastAsia="Times New Roman" w:cs="Times New Roman"/>
                <w:color w:val="000000"/>
                <w:sz w:val="18"/>
                <w:szCs w:val="18"/>
                <w:lang w:eastAsia="sk-SK"/>
              </w:rPr>
              <w:t>Ministerstvo kultúry SR</w:t>
            </w:r>
          </w:p>
        </w:tc>
        <w:tc>
          <w:tcPr>
            <w:tcW w:w="850" w:type="dxa"/>
            <w:tcBorders>
              <w:top w:val="nil"/>
              <w:left w:val="nil"/>
              <w:bottom w:val="nil"/>
              <w:right w:val="nil"/>
            </w:tcBorders>
            <w:shd w:val="clear" w:color="000000" w:fill="FFFFFF"/>
            <w:noWrap/>
            <w:vAlign w:val="center"/>
            <w:hideMark/>
          </w:tcPr>
          <w:p w14:paraId="17806A18"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690</w:t>
            </w:r>
          </w:p>
        </w:tc>
        <w:tc>
          <w:tcPr>
            <w:tcW w:w="851" w:type="dxa"/>
            <w:tcBorders>
              <w:top w:val="nil"/>
              <w:left w:val="nil"/>
              <w:bottom w:val="nil"/>
              <w:right w:val="nil"/>
            </w:tcBorders>
            <w:shd w:val="clear" w:color="000000" w:fill="FFFFFF"/>
            <w:noWrap/>
            <w:vAlign w:val="center"/>
            <w:hideMark/>
          </w:tcPr>
          <w:p w14:paraId="3472D277"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639</w:t>
            </w:r>
          </w:p>
        </w:tc>
        <w:tc>
          <w:tcPr>
            <w:tcW w:w="850" w:type="dxa"/>
            <w:tcBorders>
              <w:top w:val="nil"/>
              <w:left w:val="nil"/>
              <w:bottom w:val="nil"/>
              <w:right w:val="nil"/>
            </w:tcBorders>
            <w:shd w:val="clear" w:color="000000" w:fill="FFFFFF"/>
            <w:noWrap/>
            <w:vAlign w:val="center"/>
            <w:hideMark/>
          </w:tcPr>
          <w:p w14:paraId="3400FE77"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0</w:t>
            </w:r>
          </w:p>
        </w:tc>
        <w:tc>
          <w:tcPr>
            <w:tcW w:w="755" w:type="dxa"/>
            <w:tcBorders>
              <w:top w:val="nil"/>
              <w:left w:val="nil"/>
              <w:bottom w:val="nil"/>
              <w:right w:val="nil"/>
            </w:tcBorders>
            <w:shd w:val="clear" w:color="000000" w:fill="BFBFBF"/>
            <w:noWrap/>
            <w:vAlign w:val="center"/>
            <w:hideMark/>
          </w:tcPr>
          <w:p w14:paraId="252EEFE7"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1 425</w:t>
            </w:r>
          </w:p>
        </w:tc>
        <w:tc>
          <w:tcPr>
            <w:tcW w:w="729" w:type="dxa"/>
            <w:tcBorders>
              <w:top w:val="nil"/>
              <w:left w:val="nil"/>
              <w:bottom w:val="nil"/>
              <w:right w:val="nil"/>
            </w:tcBorders>
            <w:shd w:val="clear" w:color="000000" w:fill="BFBFBF"/>
            <w:noWrap/>
            <w:vAlign w:val="center"/>
            <w:hideMark/>
          </w:tcPr>
          <w:p w14:paraId="14B62E23"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1 375</w:t>
            </w:r>
          </w:p>
        </w:tc>
        <w:tc>
          <w:tcPr>
            <w:tcW w:w="728" w:type="dxa"/>
            <w:tcBorders>
              <w:top w:val="nil"/>
              <w:left w:val="nil"/>
              <w:bottom w:val="nil"/>
              <w:right w:val="nil"/>
            </w:tcBorders>
            <w:shd w:val="clear" w:color="000000" w:fill="FFFFFF"/>
            <w:vAlign w:val="center"/>
            <w:hideMark/>
          </w:tcPr>
          <w:p w14:paraId="2C14B78D"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1 425</w:t>
            </w:r>
          </w:p>
        </w:tc>
        <w:tc>
          <w:tcPr>
            <w:tcW w:w="621" w:type="dxa"/>
            <w:tcBorders>
              <w:top w:val="nil"/>
              <w:left w:val="nil"/>
              <w:bottom w:val="nil"/>
              <w:right w:val="nil"/>
            </w:tcBorders>
            <w:shd w:val="clear" w:color="000000" w:fill="FFFFFF"/>
            <w:vAlign w:val="center"/>
            <w:hideMark/>
          </w:tcPr>
          <w:p w14:paraId="31D276F6"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x</w:t>
            </w:r>
          </w:p>
        </w:tc>
      </w:tr>
      <w:tr w:rsidR="00A74FD5" w:rsidRPr="00B61C4B" w14:paraId="3CFEC065" w14:textId="77777777" w:rsidTr="009051A6">
        <w:trPr>
          <w:trHeight w:val="318"/>
        </w:trPr>
        <w:tc>
          <w:tcPr>
            <w:tcW w:w="3109" w:type="dxa"/>
            <w:tcBorders>
              <w:top w:val="nil"/>
              <w:left w:val="nil"/>
              <w:bottom w:val="nil"/>
              <w:right w:val="nil"/>
            </w:tcBorders>
            <w:shd w:val="clear" w:color="000000" w:fill="FFFFFF"/>
            <w:noWrap/>
            <w:vAlign w:val="center"/>
            <w:hideMark/>
          </w:tcPr>
          <w:p w14:paraId="667A061F" w14:textId="77777777" w:rsidR="00A74FD5" w:rsidRPr="00B61C4B" w:rsidRDefault="00A74FD5" w:rsidP="00EA3540">
            <w:pPr>
              <w:spacing w:after="0" w:line="240" w:lineRule="auto"/>
              <w:jc w:val="left"/>
              <w:rPr>
                <w:rFonts w:eastAsia="Times New Roman" w:cs="Times New Roman"/>
                <w:color w:val="000000"/>
                <w:sz w:val="18"/>
                <w:szCs w:val="18"/>
                <w:lang w:eastAsia="sk-SK"/>
              </w:rPr>
            </w:pPr>
            <w:r w:rsidRPr="00B61C4B">
              <w:rPr>
                <w:rFonts w:eastAsia="Times New Roman" w:cs="Times New Roman"/>
                <w:color w:val="000000"/>
                <w:sz w:val="18"/>
                <w:szCs w:val="18"/>
                <w:lang w:eastAsia="sk-SK"/>
              </w:rPr>
              <w:t>Úrad vlády SR</w:t>
            </w:r>
          </w:p>
        </w:tc>
        <w:tc>
          <w:tcPr>
            <w:tcW w:w="850" w:type="dxa"/>
            <w:tcBorders>
              <w:top w:val="nil"/>
              <w:left w:val="nil"/>
              <w:bottom w:val="nil"/>
              <w:right w:val="nil"/>
            </w:tcBorders>
            <w:shd w:val="clear" w:color="000000" w:fill="FFFFFF"/>
            <w:noWrap/>
            <w:vAlign w:val="center"/>
            <w:hideMark/>
          </w:tcPr>
          <w:p w14:paraId="7249CC6B"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133</w:t>
            </w:r>
          </w:p>
        </w:tc>
        <w:tc>
          <w:tcPr>
            <w:tcW w:w="851" w:type="dxa"/>
            <w:tcBorders>
              <w:top w:val="nil"/>
              <w:left w:val="nil"/>
              <w:bottom w:val="nil"/>
              <w:right w:val="nil"/>
            </w:tcBorders>
            <w:shd w:val="clear" w:color="000000" w:fill="FFFFFF"/>
            <w:noWrap/>
            <w:vAlign w:val="center"/>
            <w:hideMark/>
          </w:tcPr>
          <w:p w14:paraId="14341A10"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158</w:t>
            </w:r>
          </w:p>
        </w:tc>
        <w:tc>
          <w:tcPr>
            <w:tcW w:w="850" w:type="dxa"/>
            <w:tcBorders>
              <w:top w:val="nil"/>
              <w:left w:val="nil"/>
              <w:bottom w:val="nil"/>
              <w:right w:val="nil"/>
            </w:tcBorders>
            <w:shd w:val="clear" w:color="000000" w:fill="FFFFFF"/>
            <w:noWrap/>
            <w:vAlign w:val="center"/>
            <w:hideMark/>
          </w:tcPr>
          <w:p w14:paraId="2DD88E96"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0</w:t>
            </w:r>
          </w:p>
        </w:tc>
        <w:tc>
          <w:tcPr>
            <w:tcW w:w="755" w:type="dxa"/>
            <w:tcBorders>
              <w:top w:val="nil"/>
              <w:left w:val="nil"/>
              <w:bottom w:val="nil"/>
              <w:right w:val="nil"/>
            </w:tcBorders>
            <w:shd w:val="clear" w:color="000000" w:fill="BFBFBF"/>
            <w:noWrap/>
            <w:vAlign w:val="center"/>
            <w:hideMark/>
          </w:tcPr>
          <w:p w14:paraId="67E2E1DD"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317</w:t>
            </w:r>
          </w:p>
        </w:tc>
        <w:tc>
          <w:tcPr>
            <w:tcW w:w="729" w:type="dxa"/>
            <w:tcBorders>
              <w:top w:val="nil"/>
              <w:left w:val="nil"/>
              <w:bottom w:val="nil"/>
              <w:right w:val="nil"/>
            </w:tcBorders>
            <w:shd w:val="clear" w:color="000000" w:fill="BFBFBF"/>
            <w:noWrap/>
            <w:vAlign w:val="center"/>
            <w:hideMark/>
          </w:tcPr>
          <w:p w14:paraId="05FFBF2B"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139</w:t>
            </w:r>
          </w:p>
        </w:tc>
        <w:tc>
          <w:tcPr>
            <w:tcW w:w="728" w:type="dxa"/>
            <w:tcBorders>
              <w:top w:val="nil"/>
              <w:left w:val="nil"/>
              <w:bottom w:val="nil"/>
              <w:right w:val="nil"/>
            </w:tcBorders>
            <w:shd w:val="clear" w:color="000000" w:fill="FFFFFF"/>
            <w:vAlign w:val="center"/>
            <w:hideMark/>
          </w:tcPr>
          <w:p w14:paraId="3F558CF8"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317</w:t>
            </w:r>
          </w:p>
        </w:tc>
        <w:tc>
          <w:tcPr>
            <w:tcW w:w="621" w:type="dxa"/>
            <w:tcBorders>
              <w:top w:val="nil"/>
              <w:left w:val="nil"/>
              <w:bottom w:val="nil"/>
              <w:right w:val="nil"/>
            </w:tcBorders>
            <w:shd w:val="clear" w:color="000000" w:fill="FFFFFF"/>
            <w:vAlign w:val="center"/>
            <w:hideMark/>
          </w:tcPr>
          <w:p w14:paraId="500DD059"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x</w:t>
            </w:r>
          </w:p>
        </w:tc>
      </w:tr>
      <w:tr w:rsidR="00A74FD5" w:rsidRPr="00B61C4B" w14:paraId="53168F88" w14:textId="77777777" w:rsidTr="009051A6">
        <w:trPr>
          <w:trHeight w:val="318"/>
        </w:trPr>
        <w:tc>
          <w:tcPr>
            <w:tcW w:w="3109" w:type="dxa"/>
            <w:tcBorders>
              <w:top w:val="nil"/>
              <w:left w:val="nil"/>
              <w:bottom w:val="nil"/>
              <w:right w:val="nil"/>
            </w:tcBorders>
            <w:shd w:val="clear" w:color="000000" w:fill="FFFFFF"/>
            <w:noWrap/>
            <w:vAlign w:val="center"/>
            <w:hideMark/>
          </w:tcPr>
          <w:p w14:paraId="1427C945" w14:textId="77777777" w:rsidR="00A74FD5" w:rsidRPr="00B61C4B" w:rsidRDefault="00A74FD5" w:rsidP="00EA3540">
            <w:pPr>
              <w:spacing w:after="0" w:line="240" w:lineRule="auto"/>
              <w:jc w:val="left"/>
              <w:rPr>
                <w:rFonts w:eastAsia="Times New Roman" w:cs="Times New Roman"/>
                <w:color w:val="000000"/>
                <w:sz w:val="18"/>
                <w:szCs w:val="18"/>
                <w:lang w:eastAsia="sk-SK"/>
              </w:rPr>
            </w:pPr>
            <w:r w:rsidRPr="00B61C4B">
              <w:rPr>
                <w:rFonts w:eastAsia="Times New Roman" w:cs="Times New Roman"/>
                <w:color w:val="000000"/>
                <w:sz w:val="18"/>
                <w:szCs w:val="18"/>
                <w:lang w:eastAsia="sk-SK"/>
              </w:rPr>
              <w:t>Ministerstvo vnútra SR</w:t>
            </w:r>
          </w:p>
        </w:tc>
        <w:tc>
          <w:tcPr>
            <w:tcW w:w="850" w:type="dxa"/>
            <w:tcBorders>
              <w:top w:val="nil"/>
              <w:left w:val="nil"/>
              <w:bottom w:val="nil"/>
              <w:right w:val="nil"/>
            </w:tcBorders>
            <w:shd w:val="clear" w:color="000000" w:fill="FFFFFF"/>
            <w:noWrap/>
            <w:vAlign w:val="center"/>
            <w:hideMark/>
          </w:tcPr>
          <w:p w14:paraId="55612917"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23</w:t>
            </w:r>
          </w:p>
        </w:tc>
        <w:tc>
          <w:tcPr>
            <w:tcW w:w="851" w:type="dxa"/>
            <w:tcBorders>
              <w:top w:val="nil"/>
              <w:left w:val="nil"/>
              <w:bottom w:val="nil"/>
              <w:right w:val="nil"/>
            </w:tcBorders>
            <w:shd w:val="clear" w:color="000000" w:fill="FFFFFF"/>
            <w:noWrap/>
            <w:vAlign w:val="center"/>
            <w:hideMark/>
          </w:tcPr>
          <w:p w14:paraId="0B724D12"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169</w:t>
            </w:r>
          </w:p>
        </w:tc>
        <w:tc>
          <w:tcPr>
            <w:tcW w:w="850" w:type="dxa"/>
            <w:tcBorders>
              <w:top w:val="nil"/>
              <w:left w:val="nil"/>
              <w:bottom w:val="nil"/>
              <w:right w:val="nil"/>
            </w:tcBorders>
            <w:shd w:val="clear" w:color="000000" w:fill="FFFFFF"/>
            <w:noWrap/>
            <w:vAlign w:val="center"/>
            <w:hideMark/>
          </w:tcPr>
          <w:p w14:paraId="3B036CBA"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0</w:t>
            </w:r>
          </w:p>
        </w:tc>
        <w:tc>
          <w:tcPr>
            <w:tcW w:w="755" w:type="dxa"/>
            <w:tcBorders>
              <w:top w:val="nil"/>
              <w:left w:val="nil"/>
              <w:bottom w:val="nil"/>
              <w:right w:val="nil"/>
            </w:tcBorders>
            <w:shd w:val="clear" w:color="000000" w:fill="BFBFBF"/>
            <w:noWrap/>
            <w:vAlign w:val="center"/>
            <w:hideMark/>
          </w:tcPr>
          <w:p w14:paraId="0D6EF676"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5</w:t>
            </w:r>
          </w:p>
        </w:tc>
        <w:tc>
          <w:tcPr>
            <w:tcW w:w="729" w:type="dxa"/>
            <w:tcBorders>
              <w:top w:val="nil"/>
              <w:left w:val="nil"/>
              <w:bottom w:val="nil"/>
              <w:right w:val="nil"/>
            </w:tcBorders>
            <w:shd w:val="clear" w:color="000000" w:fill="BFBFBF"/>
            <w:noWrap/>
            <w:vAlign w:val="center"/>
            <w:hideMark/>
          </w:tcPr>
          <w:p w14:paraId="74F1CD01"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5</w:t>
            </w:r>
          </w:p>
        </w:tc>
        <w:tc>
          <w:tcPr>
            <w:tcW w:w="728" w:type="dxa"/>
            <w:tcBorders>
              <w:top w:val="nil"/>
              <w:left w:val="nil"/>
              <w:bottom w:val="nil"/>
              <w:right w:val="nil"/>
            </w:tcBorders>
            <w:shd w:val="clear" w:color="000000" w:fill="FFFFFF"/>
            <w:vAlign w:val="center"/>
            <w:hideMark/>
          </w:tcPr>
          <w:p w14:paraId="7B528BC8"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5</w:t>
            </w:r>
          </w:p>
        </w:tc>
        <w:tc>
          <w:tcPr>
            <w:tcW w:w="621" w:type="dxa"/>
            <w:tcBorders>
              <w:top w:val="nil"/>
              <w:left w:val="nil"/>
              <w:bottom w:val="nil"/>
              <w:right w:val="nil"/>
            </w:tcBorders>
            <w:shd w:val="clear" w:color="000000" w:fill="FFFFFF"/>
            <w:vAlign w:val="center"/>
            <w:hideMark/>
          </w:tcPr>
          <w:p w14:paraId="28C97191"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x</w:t>
            </w:r>
          </w:p>
        </w:tc>
      </w:tr>
      <w:tr w:rsidR="00A74FD5" w:rsidRPr="00B61C4B" w14:paraId="09ADE009" w14:textId="77777777" w:rsidTr="009051A6">
        <w:trPr>
          <w:trHeight w:val="318"/>
        </w:trPr>
        <w:tc>
          <w:tcPr>
            <w:tcW w:w="3109" w:type="dxa"/>
            <w:tcBorders>
              <w:top w:val="nil"/>
              <w:left w:val="nil"/>
              <w:bottom w:val="nil"/>
              <w:right w:val="nil"/>
            </w:tcBorders>
            <w:shd w:val="clear" w:color="000000" w:fill="FFFFFF"/>
            <w:noWrap/>
            <w:vAlign w:val="center"/>
            <w:hideMark/>
          </w:tcPr>
          <w:p w14:paraId="238D35AA" w14:textId="77777777" w:rsidR="00A74FD5" w:rsidRPr="00B61C4B" w:rsidRDefault="00A74FD5" w:rsidP="00EA3540">
            <w:pPr>
              <w:spacing w:after="0" w:line="240" w:lineRule="auto"/>
              <w:jc w:val="left"/>
              <w:rPr>
                <w:rFonts w:eastAsia="Times New Roman" w:cs="Times New Roman"/>
                <w:color w:val="000000"/>
                <w:sz w:val="18"/>
                <w:szCs w:val="18"/>
                <w:lang w:eastAsia="sk-SK"/>
              </w:rPr>
            </w:pPr>
            <w:r w:rsidRPr="00B61C4B">
              <w:rPr>
                <w:rFonts w:eastAsia="Times New Roman" w:cs="Times New Roman"/>
                <w:color w:val="000000"/>
                <w:sz w:val="18"/>
                <w:szCs w:val="18"/>
                <w:lang w:eastAsia="sk-SK"/>
              </w:rPr>
              <w:t>Ministerstvo financií SR</w:t>
            </w:r>
          </w:p>
        </w:tc>
        <w:tc>
          <w:tcPr>
            <w:tcW w:w="850" w:type="dxa"/>
            <w:tcBorders>
              <w:top w:val="nil"/>
              <w:left w:val="nil"/>
              <w:bottom w:val="nil"/>
              <w:right w:val="nil"/>
            </w:tcBorders>
            <w:shd w:val="clear" w:color="000000" w:fill="FFFFFF"/>
            <w:noWrap/>
            <w:vAlign w:val="center"/>
            <w:hideMark/>
          </w:tcPr>
          <w:p w14:paraId="7B508BC1"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4 244</w:t>
            </w:r>
          </w:p>
        </w:tc>
        <w:tc>
          <w:tcPr>
            <w:tcW w:w="851" w:type="dxa"/>
            <w:tcBorders>
              <w:top w:val="nil"/>
              <w:left w:val="nil"/>
              <w:bottom w:val="nil"/>
              <w:right w:val="nil"/>
            </w:tcBorders>
            <w:shd w:val="clear" w:color="000000" w:fill="FFFFFF"/>
            <w:noWrap/>
            <w:vAlign w:val="center"/>
            <w:hideMark/>
          </w:tcPr>
          <w:p w14:paraId="5C0E5283"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x</w:t>
            </w:r>
          </w:p>
        </w:tc>
        <w:tc>
          <w:tcPr>
            <w:tcW w:w="850" w:type="dxa"/>
            <w:tcBorders>
              <w:top w:val="nil"/>
              <w:left w:val="nil"/>
              <w:bottom w:val="nil"/>
              <w:right w:val="nil"/>
            </w:tcBorders>
            <w:shd w:val="clear" w:color="000000" w:fill="FFFFFF"/>
            <w:noWrap/>
            <w:vAlign w:val="center"/>
            <w:hideMark/>
          </w:tcPr>
          <w:p w14:paraId="2C805EE8"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x</w:t>
            </w:r>
          </w:p>
        </w:tc>
        <w:tc>
          <w:tcPr>
            <w:tcW w:w="755" w:type="dxa"/>
            <w:tcBorders>
              <w:top w:val="nil"/>
              <w:left w:val="nil"/>
              <w:bottom w:val="nil"/>
              <w:right w:val="nil"/>
            </w:tcBorders>
            <w:shd w:val="clear" w:color="000000" w:fill="BFBFBF"/>
            <w:noWrap/>
            <w:vAlign w:val="center"/>
            <w:hideMark/>
          </w:tcPr>
          <w:p w14:paraId="53C5B2A9"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x</w:t>
            </w:r>
          </w:p>
        </w:tc>
        <w:tc>
          <w:tcPr>
            <w:tcW w:w="729" w:type="dxa"/>
            <w:tcBorders>
              <w:top w:val="nil"/>
              <w:left w:val="nil"/>
              <w:bottom w:val="nil"/>
              <w:right w:val="nil"/>
            </w:tcBorders>
            <w:shd w:val="clear" w:color="000000" w:fill="BFBFBF"/>
            <w:noWrap/>
            <w:vAlign w:val="center"/>
            <w:hideMark/>
          </w:tcPr>
          <w:p w14:paraId="6263E911"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x</w:t>
            </w:r>
          </w:p>
        </w:tc>
        <w:tc>
          <w:tcPr>
            <w:tcW w:w="728" w:type="dxa"/>
            <w:tcBorders>
              <w:top w:val="nil"/>
              <w:left w:val="nil"/>
              <w:bottom w:val="nil"/>
              <w:right w:val="nil"/>
            </w:tcBorders>
            <w:shd w:val="clear" w:color="000000" w:fill="FFFFFF"/>
            <w:vAlign w:val="center"/>
            <w:hideMark/>
          </w:tcPr>
          <w:p w14:paraId="2DF10BB1"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x</w:t>
            </w:r>
          </w:p>
        </w:tc>
        <w:tc>
          <w:tcPr>
            <w:tcW w:w="621" w:type="dxa"/>
            <w:tcBorders>
              <w:top w:val="nil"/>
              <w:left w:val="nil"/>
              <w:bottom w:val="nil"/>
              <w:right w:val="nil"/>
            </w:tcBorders>
            <w:shd w:val="clear" w:color="000000" w:fill="FFFFFF"/>
            <w:vAlign w:val="center"/>
            <w:hideMark/>
          </w:tcPr>
          <w:p w14:paraId="135A48F7" w14:textId="77777777" w:rsidR="00A74FD5" w:rsidRPr="00B61C4B" w:rsidRDefault="00A74FD5" w:rsidP="00EA3540">
            <w:pPr>
              <w:spacing w:after="0" w:line="240" w:lineRule="auto"/>
              <w:jc w:val="right"/>
              <w:rPr>
                <w:rFonts w:eastAsia="Times New Roman" w:cs="Times New Roman"/>
                <w:color w:val="000000"/>
                <w:sz w:val="18"/>
                <w:szCs w:val="18"/>
                <w:lang w:eastAsia="sk-SK"/>
              </w:rPr>
            </w:pPr>
            <w:r w:rsidRPr="00B61C4B">
              <w:rPr>
                <w:rFonts w:eastAsia="Times New Roman" w:cs="Times New Roman"/>
                <w:color w:val="000000"/>
                <w:sz w:val="18"/>
                <w:szCs w:val="18"/>
                <w:lang w:eastAsia="sk-SK"/>
              </w:rPr>
              <w:t>x</w:t>
            </w:r>
          </w:p>
        </w:tc>
      </w:tr>
      <w:tr w:rsidR="00A74FD5" w:rsidRPr="00B61C4B" w14:paraId="08464187" w14:textId="77777777" w:rsidTr="009051A6">
        <w:trPr>
          <w:trHeight w:val="332"/>
        </w:trPr>
        <w:tc>
          <w:tcPr>
            <w:tcW w:w="3109" w:type="dxa"/>
            <w:tcBorders>
              <w:top w:val="single" w:sz="4" w:space="0" w:color="auto"/>
              <w:left w:val="nil"/>
              <w:bottom w:val="single" w:sz="8" w:space="0" w:color="auto"/>
              <w:right w:val="nil"/>
            </w:tcBorders>
            <w:shd w:val="clear" w:color="000000" w:fill="FFFFFF"/>
            <w:noWrap/>
            <w:vAlign w:val="center"/>
            <w:hideMark/>
          </w:tcPr>
          <w:p w14:paraId="6E786480" w14:textId="77777777" w:rsidR="00A74FD5" w:rsidRPr="00B61C4B" w:rsidRDefault="00A74FD5" w:rsidP="00EA3540">
            <w:pPr>
              <w:spacing w:after="0" w:line="240" w:lineRule="auto"/>
              <w:jc w:val="left"/>
              <w:rPr>
                <w:rFonts w:eastAsia="Times New Roman" w:cs="Times New Roman"/>
                <w:b/>
                <w:color w:val="000000"/>
                <w:sz w:val="18"/>
                <w:szCs w:val="18"/>
                <w:lang w:eastAsia="sk-SK"/>
              </w:rPr>
            </w:pPr>
            <w:r w:rsidRPr="00B61C4B">
              <w:rPr>
                <w:rFonts w:eastAsia="Times New Roman" w:cs="Times New Roman"/>
                <w:b/>
                <w:color w:val="000000"/>
                <w:sz w:val="18"/>
                <w:szCs w:val="18"/>
                <w:lang w:eastAsia="sk-SK"/>
              </w:rPr>
              <w:t>Spolu</w:t>
            </w:r>
          </w:p>
        </w:tc>
        <w:tc>
          <w:tcPr>
            <w:tcW w:w="850" w:type="dxa"/>
            <w:tcBorders>
              <w:top w:val="single" w:sz="4" w:space="0" w:color="auto"/>
              <w:left w:val="nil"/>
              <w:bottom w:val="single" w:sz="8" w:space="0" w:color="auto"/>
              <w:right w:val="nil"/>
            </w:tcBorders>
            <w:shd w:val="clear" w:color="000000" w:fill="FFFFFF"/>
            <w:noWrap/>
            <w:vAlign w:val="center"/>
            <w:hideMark/>
          </w:tcPr>
          <w:p w14:paraId="1BB47B49" w14:textId="77777777" w:rsidR="00A74FD5" w:rsidRPr="00B61C4B" w:rsidRDefault="00A74FD5" w:rsidP="00EA3540">
            <w:pPr>
              <w:spacing w:after="0" w:line="240" w:lineRule="auto"/>
              <w:jc w:val="right"/>
              <w:rPr>
                <w:rFonts w:eastAsia="Times New Roman" w:cs="Times New Roman"/>
                <w:b/>
                <w:color w:val="000000"/>
                <w:sz w:val="18"/>
                <w:szCs w:val="18"/>
                <w:lang w:eastAsia="sk-SK"/>
              </w:rPr>
            </w:pPr>
            <w:r w:rsidRPr="00B61C4B">
              <w:rPr>
                <w:rFonts w:eastAsia="Times New Roman" w:cs="Times New Roman"/>
                <w:b/>
                <w:color w:val="000000"/>
                <w:sz w:val="18"/>
                <w:szCs w:val="18"/>
                <w:lang w:eastAsia="sk-SK"/>
              </w:rPr>
              <w:t>446 180</w:t>
            </w:r>
          </w:p>
        </w:tc>
        <w:tc>
          <w:tcPr>
            <w:tcW w:w="851" w:type="dxa"/>
            <w:tcBorders>
              <w:top w:val="single" w:sz="4" w:space="0" w:color="auto"/>
              <w:left w:val="nil"/>
              <w:bottom w:val="single" w:sz="8" w:space="0" w:color="auto"/>
              <w:right w:val="nil"/>
            </w:tcBorders>
            <w:shd w:val="clear" w:color="000000" w:fill="FFFFFF"/>
            <w:noWrap/>
            <w:vAlign w:val="center"/>
            <w:hideMark/>
          </w:tcPr>
          <w:p w14:paraId="75EA71DD" w14:textId="77777777" w:rsidR="00A74FD5" w:rsidRPr="00B61C4B" w:rsidRDefault="00A74FD5" w:rsidP="00EA3540">
            <w:pPr>
              <w:spacing w:after="0" w:line="240" w:lineRule="auto"/>
              <w:jc w:val="right"/>
              <w:rPr>
                <w:rFonts w:eastAsia="Times New Roman" w:cs="Times New Roman"/>
                <w:b/>
                <w:color w:val="000000"/>
                <w:sz w:val="18"/>
                <w:szCs w:val="18"/>
                <w:lang w:eastAsia="sk-SK"/>
              </w:rPr>
            </w:pPr>
            <w:r w:rsidRPr="00B61C4B">
              <w:rPr>
                <w:rFonts w:eastAsia="Times New Roman" w:cs="Times New Roman"/>
                <w:b/>
                <w:color w:val="000000"/>
                <w:sz w:val="18"/>
                <w:szCs w:val="18"/>
                <w:lang w:eastAsia="sk-SK"/>
              </w:rPr>
              <w:t>433 648</w:t>
            </w:r>
          </w:p>
        </w:tc>
        <w:tc>
          <w:tcPr>
            <w:tcW w:w="850" w:type="dxa"/>
            <w:tcBorders>
              <w:top w:val="single" w:sz="4" w:space="0" w:color="auto"/>
              <w:left w:val="nil"/>
              <w:bottom w:val="single" w:sz="8" w:space="0" w:color="auto"/>
              <w:right w:val="nil"/>
            </w:tcBorders>
            <w:shd w:val="clear" w:color="000000" w:fill="FFFFFF"/>
            <w:noWrap/>
            <w:vAlign w:val="center"/>
            <w:hideMark/>
          </w:tcPr>
          <w:p w14:paraId="3E1F1D07" w14:textId="77777777" w:rsidR="00A74FD5" w:rsidRPr="00B61C4B" w:rsidRDefault="00A74FD5" w:rsidP="00EA3540">
            <w:pPr>
              <w:spacing w:after="0" w:line="240" w:lineRule="auto"/>
              <w:jc w:val="right"/>
              <w:rPr>
                <w:rFonts w:eastAsia="Times New Roman" w:cs="Times New Roman"/>
                <w:b/>
                <w:color w:val="000000"/>
                <w:sz w:val="18"/>
                <w:szCs w:val="18"/>
                <w:lang w:eastAsia="sk-SK"/>
              </w:rPr>
            </w:pPr>
            <w:r w:rsidRPr="00B61C4B">
              <w:rPr>
                <w:rFonts w:eastAsia="Times New Roman" w:cs="Times New Roman"/>
                <w:b/>
                <w:color w:val="000000"/>
                <w:sz w:val="18"/>
                <w:szCs w:val="18"/>
                <w:lang w:eastAsia="sk-SK"/>
              </w:rPr>
              <w:t>529 474</w:t>
            </w:r>
          </w:p>
        </w:tc>
        <w:tc>
          <w:tcPr>
            <w:tcW w:w="755" w:type="dxa"/>
            <w:tcBorders>
              <w:top w:val="single" w:sz="4" w:space="0" w:color="auto"/>
              <w:left w:val="nil"/>
              <w:bottom w:val="single" w:sz="8" w:space="0" w:color="auto"/>
              <w:right w:val="nil"/>
            </w:tcBorders>
            <w:shd w:val="clear" w:color="000000" w:fill="BFBFBF"/>
            <w:noWrap/>
            <w:vAlign w:val="center"/>
            <w:hideMark/>
          </w:tcPr>
          <w:p w14:paraId="4AA96531" w14:textId="77777777" w:rsidR="00A74FD5" w:rsidRPr="00B61C4B" w:rsidRDefault="00A74FD5" w:rsidP="00EA3540">
            <w:pPr>
              <w:spacing w:after="0" w:line="240" w:lineRule="auto"/>
              <w:jc w:val="right"/>
              <w:rPr>
                <w:rFonts w:eastAsia="Times New Roman" w:cs="Times New Roman"/>
                <w:b/>
                <w:color w:val="000000"/>
                <w:sz w:val="18"/>
                <w:szCs w:val="18"/>
                <w:lang w:eastAsia="sk-SK"/>
              </w:rPr>
            </w:pPr>
            <w:r w:rsidRPr="00B61C4B">
              <w:rPr>
                <w:rFonts w:eastAsia="Times New Roman" w:cs="Times New Roman"/>
                <w:b/>
                <w:color w:val="000000"/>
                <w:sz w:val="18"/>
                <w:szCs w:val="18"/>
                <w:lang w:eastAsia="sk-SK"/>
              </w:rPr>
              <w:t>457 344</w:t>
            </w:r>
          </w:p>
        </w:tc>
        <w:tc>
          <w:tcPr>
            <w:tcW w:w="729" w:type="dxa"/>
            <w:tcBorders>
              <w:top w:val="single" w:sz="4" w:space="0" w:color="auto"/>
              <w:left w:val="nil"/>
              <w:bottom w:val="single" w:sz="8" w:space="0" w:color="auto"/>
              <w:right w:val="nil"/>
            </w:tcBorders>
            <w:shd w:val="clear" w:color="000000" w:fill="BFBFBF"/>
            <w:noWrap/>
            <w:vAlign w:val="center"/>
            <w:hideMark/>
          </w:tcPr>
          <w:p w14:paraId="5F9BE5DC" w14:textId="77777777" w:rsidR="00A74FD5" w:rsidRPr="00B61C4B" w:rsidRDefault="00A74FD5" w:rsidP="00EA3540">
            <w:pPr>
              <w:spacing w:after="0" w:line="240" w:lineRule="auto"/>
              <w:jc w:val="right"/>
              <w:rPr>
                <w:rFonts w:eastAsia="Times New Roman" w:cs="Times New Roman"/>
                <w:b/>
                <w:color w:val="000000"/>
                <w:sz w:val="18"/>
                <w:szCs w:val="18"/>
                <w:lang w:eastAsia="sk-SK"/>
              </w:rPr>
            </w:pPr>
            <w:r w:rsidRPr="00B61C4B">
              <w:rPr>
                <w:rFonts w:eastAsia="Times New Roman" w:cs="Times New Roman"/>
                <w:b/>
                <w:color w:val="000000"/>
                <w:sz w:val="18"/>
                <w:szCs w:val="18"/>
                <w:lang w:eastAsia="sk-SK"/>
              </w:rPr>
              <w:t>439 631</w:t>
            </w:r>
          </w:p>
        </w:tc>
        <w:tc>
          <w:tcPr>
            <w:tcW w:w="728" w:type="dxa"/>
            <w:tcBorders>
              <w:top w:val="single" w:sz="4" w:space="0" w:color="auto"/>
              <w:left w:val="nil"/>
              <w:bottom w:val="single" w:sz="8" w:space="0" w:color="auto"/>
              <w:right w:val="nil"/>
            </w:tcBorders>
            <w:shd w:val="clear" w:color="000000" w:fill="FFFFFF"/>
            <w:noWrap/>
            <w:vAlign w:val="center"/>
            <w:hideMark/>
          </w:tcPr>
          <w:p w14:paraId="7ACE19B0" w14:textId="1A1F25F2" w:rsidR="00A74FD5" w:rsidRPr="00A265D6" w:rsidRDefault="00A74FD5" w:rsidP="00057121">
            <w:pPr>
              <w:spacing w:after="0" w:line="240" w:lineRule="auto"/>
              <w:jc w:val="right"/>
              <w:rPr>
                <w:rFonts w:eastAsia="Times New Roman" w:cs="Times New Roman"/>
                <w:b/>
                <w:color w:val="000000"/>
                <w:sz w:val="18"/>
                <w:szCs w:val="18"/>
                <w:lang w:eastAsia="sk-SK"/>
              </w:rPr>
            </w:pPr>
            <w:r w:rsidRPr="00A265D6">
              <w:rPr>
                <w:rFonts w:eastAsia="Times New Roman" w:cs="Times New Roman"/>
                <w:b/>
                <w:color w:val="000000"/>
                <w:sz w:val="18"/>
                <w:szCs w:val="18"/>
                <w:lang w:eastAsia="sk-SK"/>
              </w:rPr>
              <w:t>-7</w:t>
            </w:r>
            <w:r w:rsidR="00057121" w:rsidRPr="00A265D6">
              <w:rPr>
                <w:rFonts w:eastAsia="Times New Roman" w:cs="Times New Roman"/>
                <w:b/>
                <w:color w:val="000000"/>
                <w:sz w:val="18"/>
                <w:szCs w:val="18"/>
                <w:lang w:eastAsia="sk-SK"/>
              </w:rPr>
              <w:t>2</w:t>
            </w:r>
            <w:r w:rsidRPr="00A265D6">
              <w:rPr>
                <w:rFonts w:eastAsia="Times New Roman" w:cs="Times New Roman"/>
                <w:b/>
                <w:color w:val="000000"/>
                <w:sz w:val="18"/>
                <w:szCs w:val="18"/>
                <w:lang w:eastAsia="sk-SK"/>
              </w:rPr>
              <w:t xml:space="preserve"> </w:t>
            </w:r>
            <w:r w:rsidR="00057121" w:rsidRPr="00A265D6">
              <w:rPr>
                <w:rFonts w:eastAsia="Times New Roman" w:cs="Times New Roman"/>
                <w:b/>
                <w:color w:val="000000"/>
                <w:sz w:val="18"/>
                <w:szCs w:val="18"/>
                <w:lang w:eastAsia="sk-SK"/>
              </w:rPr>
              <w:t>1</w:t>
            </w:r>
            <w:r w:rsidRPr="00A265D6">
              <w:rPr>
                <w:rFonts w:eastAsia="Times New Roman" w:cs="Times New Roman"/>
                <w:b/>
                <w:color w:val="000000"/>
                <w:sz w:val="18"/>
                <w:szCs w:val="18"/>
                <w:lang w:eastAsia="sk-SK"/>
              </w:rPr>
              <w:t>30</w:t>
            </w:r>
          </w:p>
        </w:tc>
        <w:tc>
          <w:tcPr>
            <w:tcW w:w="621" w:type="dxa"/>
            <w:tcBorders>
              <w:top w:val="single" w:sz="4" w:space="0" w:color="auto"/>
              <w:left w:val="nil"/>
              <w:bottom w:val="single" w:sz="8" w:space="0" w:color="auto"/>
              <w:right w:val="nil"/>
            </w:tcBorders>
            <w:shd w:val="clear" w:color="000000" w:fill="FFFFFF"/>
            <w:noWrap/>
            <w:vAlign w:val="center"/>
            <w:hideMark/>
          </w:tcPr>
          <w:p w14:paraId="4FBC5CF0" w14:textId="77777777" w:rsidR="00A74FD5" w:rsidRPr="00B61C4B" w:rsidRDefault="00A74FD5" w:rsidP="00EA3540">
            <w:pPr>
              <w:spacing w:after="0" w:line="240" w:lineRule="auto"/>
              <w:jc w:val="right"/>
              <w:rPr>
                <w:rFonts w:eastAsia="Times New Roman" w:cs="Times New Roman"/>
                <w:b/>
                <w:color w:val="000000"/>
                <w:sz w:val="18"/>
                <w:szCs w:val="18"/>
                <w:lang w:eastAsia="sk-SK"/>
              </w:rPr>
            </w:pPr>
            <w:r w:rsidRPr="00B61C4B">
              <w:rPr>
                <w:rFonts w:eastAsia="Times New Roman" w:cs="Times New Roman"/>
                <w:b/>
                <w:color w:val="000000"/>
                <w:sz w:val="18"/>
                <w:szCs w:val="18"/>
                <w:lang w:eastAsia="sk-SK"/>
              </w:rPr>
              <w:t>-13,6</w:t>
            </w:r>
          </w:p>
        </w:tc>
      </w:tr>
    </w:tbl>
    <w:p w14:paraId="320CF799" w14:textId="5636150C" w:rsidR="00DC2F84" w:rsidRDefault="00DC2F84" w:rsidP="00A74FD5">
      <w:pPr>
        <w:suppressAutoHyphens/>
        <w:spacing w:after="0" w:line="240" w:lineRule="auto"/>
        <w:rPr>
          <w:color w:val="000000"/>
          <w:sz w:val="18"/>
          <w:szCs w:val="18"/>
        </w:rPr>
      </w:pPr>
      <w:r w:rsidRPr="00014E72">
        <w:rPr>
          <w:color w:val="000000"/>
          <w:sz w:val="18"/>
          <w:szCs w:val="18"/>
        </w:rPr>
        <w:t xml:space="preserve">Poznámka: * len prostriedky štátneho rozpočtu </w:t>
      </w:r>
      <w:r w:rsidR="009F0E95">
        <w:rPr>
          <w:color w:val="000000"/>
          <w:sz w:val="18"/>
          <w:szCs w:val="18"/>
        </w:rPr>
        <w:tab/>
      </w:r>
      <w:r w:rsidR="009F0E95">
        <w:rPr>
          <w:color w:val="000000"/>
          <w:sz w:val="18"/>
          <w:szCs w:val="18"/>
        </w:rPr>
        <w:tab/>
      </w:r>
      <w:r w:rsidR="009F0E95">
        <w:rPr>
          <w:color w:val="000000"/>
          <w:sz w:val="18"/>
          <w:szCs w:val="18"/>
        </w:rPr>
        <w:tab/>
      </w:r>
      <w:r w:rsidR="009F0E95">
        <w:rPr>
          <w:color w:val="000000"/>
          <w:sz w:val="18"/>
          <w:szCs w:val="18"/>
        </w:rPr>
        <w:tab/>
      </w:r>
      <w:r w:rsidR="009F0E95">
        <w:rPr>
          <w:color w:val="000000"/>
          <w:sz w:val="18"/>
          <w:szCs w:val="18"/>
        </w:rPr>
        <w:tab/>
      </w:r>
      <w:r w:rsidR="009F0E95">
        <w:rPr>
          <w:color w:val="000000"/>
          <w:sz w:val="18"/>
          <w:szCs w:val="18"/>
        </w:rPr>
        <w:tab/>
        <w:t xml:space="preserve"> </w:t>
      </w:r>
      <w:r w:rsidR="00112E7C">
        <w:rPr>
          <w:color w:val="000000"/>
          <w:sz w:val="18"/>
          <w:szCs w:val="18"/>
        </w:rPr>
        <w:t xml:space="preserve">   </w:t>
      </w:r>
      <w:r w:rsidRPr="00014E72">
        <w:rPr>
          <w:color w:val="000000"/>
          <w:sz w:val="18"/>
          <w:szCs w:val="18"/>
        </w:rPr>
        <w:t>Zdroj: MF SR</w:t>
      </w:r>
    </w:p>
    <w:p w14:paraId="67D562AF" w14:textId="77777777" w:rsidR="00A74FD5" w:rsidRPr="00A74FD5" w:rsidRDefault="00A74FD5" w:rsidP="00A74FD5">
      <w:pPr>
        <w:suppressAutoHyphens/>
        <w:spacing w:after="0" w:line="240" w:lineRule="auto"/>
        <w:rPr>
          <w:color w:val="000000"/>
          <w:sz w:val="18"/>
          <w:szCs w:val="18"/>
        </w:rPr>
      </w:pPr>
    </w:p>
    <w:p w14:paraId="6CA56C9F" w14:textId="3998A1FA" w:rsidR="00DC2F84" w:rsidRPr="003E2C08" w:rsidRDefault="00DC2F84" w:rsidP="00DC2F84">
      <w:pPr>
        <w:suppressAutoHyphens/>
        <w:rPr>
          <w:color w:val="000000" w:themeColor="text1"/>
        </w:rPr>
      </w:pPr>
      <w:r w:rsidRPr="00C974B2">
        <w:rPr>
          <w:color w:val="000000" w:themeColor="text1"/>
        </w:rPr>
        <w:t xml:space="preserve">Na celkovom objeme poskytnutých grantov a transferov VÚC sa najväčšou sumou podieľalo </w:t>
      </w:r>
      <w:r w:rsidRPr="00C974B2">
        <w:rPr>
          <w:b/>
          <w:color w:val="000000" w:themeColor="text1"/>
        </w:rPr>
        <w:t>Ministerstvo školstva, vedy, výskumu a športu SR</w:t>
      </w:r>
      <w:r w:rsidRPr="00C974B2">
        <w:rPr>
          <w:color w:val="000000" w:themeColor="text1"/>
        </w:rPr>
        <w:t>, ktoré na ten</w:t>
      </w:r>
      <w:r w:rsidR="00FD06FB">
        <w:rPr>
          <w:color w:val="000000" w:themeColor="text1"/>
        </w:rPr>
        <w:t>to účel vynaložilo 431 228 tis. </w:t>
      </w:r>
      <w:r w:rsidRPr="00C974B2">
        <w:rPr>
          <w:color w:val="000000" w:themeColor="text1"/>
        </w:rPr>
        <w:t xml:space="preserve">eur. Z tejto sumy smerovala </w:t>
      </w:r>
      <w:r w:rsidRPr="003E2C08">
        <w:rPr>
          <w:color w:val="000000" w:themeColor="text1"/>
        </w:rPr>
        <w:t xml:space="preserve">čiastka 429 774 tis. eur v rámci bežných výdavkov na financovanie kompetencií preneseného výkonu štátnej správy na úseku školstva. Išlo najmä o normatívne a nenormatívne finančné prostriedky školám v zriaďovateľskej pôsobnosti vyšších územných celkov v čiastke 429 411 tis. eur podľa zákona č. 597/2003 Z. z. o financovaní základných škôl, stredných škôl a školských zariadení v znení neskorších predpisov. Normatívne finančné prostriedky v sume 419 174 tis. eur boli poskytnuté na zabezpečenie miezd, platov, služobných príjmov a ostatných osobných vyrovnaní vrátane poistného a príspevkov do poisťovní, prevádzky a modernizácie učebných pomôcok, špeciálnych učebných pomôcok a na riešenie havarijných situácií. Nenormatívne finančné prostriedky v celkovej sume 10 237 tis. eur boli poskytnuté na odchodné, skvalitnenie podmienok na </w:t>
      </w:r>
      <w:r w:rsidR="00FD06FB">
        <w:rPr>
          <w:color w:val="000000" w:themeColor="text1"/>
        </w:rPr>
        <w:t>výchovu a vzdelávanie žiakov zo </w:t>
      </w:r>
      <w:r w:rsidRPr="003E2C08">
        <w:rPr>
          <w:color w:val="000000" w:themeColor="text1"/>
        </w:rPr>
        <w:t>sociálne znevýhodneného prostredia, osobné náklady asistentov učiteľa pre žiakov so zdravotným znevýhodnením, dopravu žiakov, záujmovú činnosť prostredníctvom vzdelávacích poukazov, kurzy pohybových aktivít v prírode a iné. Suma 363 tis. eur smerovala vyšším územným celkom pôsobiacim ako školské úrady v zmysle zákona 596/2003 Z. z. o štátnej správe v školstve a školskej samospráve a to na činnosť školských úradov (mzdy, platy, poistné a iné).</w:t>
      </w:r>
    </w:p>
    <w:p w14:paraId="214504A7" w14:textId="6A91BE09" w:rsidR="00DC2F84" w:rsidRDefault="00DC2F84" w:rsidP="00DC2F84">
      <w:pPr>
        <w:spacing w:line="360" w:lineRule="auto"/>
        <w:rPr>
          <w:bCs/>
        </w:rPr>
      </w:pPr>
      <w:r w:rsidRPr="003E2C08">
        <w:rPr>
          <w:color w:val="000000" w:themeColor="text1"/>
        </w:rPr>
        <w:t xml:space="preserve">Z kapitoly </w:t>
      </w:r>
      <w:r w:rsidRPr="003E2C08">
        <w:rPr>
          <w:b/>
          <w:color w:val="000000" w:themeColor="text1"/>
        </w:rPr>
        <w:t xml:space="preserve">Ministerstva pôdohospodárstva a rozvoja vidieka SR </w:t>
      </w:r>
      <w:r w:rsidRPr="003E2C08">
        <w:rPr>
          <w:color w:val="000000" w:themeColor="text1"/>
        </w:rPr>
        <w:t xml:space="preserve">smerovala pre vyššie územné celky čiastka 7 264 tis. eur. Pôvodne schválený rozpočet pre vyššie územné celky bol v celkovej sume 49 152 tis. eur a išlo výlučne o prostriedky EÚ v rámci Európskeho fondu regionálneho rozvoja určené na financovanie projektov v rámci Integrovaného regionálneho operačného programu 2014-2020 a v rámci programov cezhraničnej spolupráce 2014-2020 a prislúchajúceho spolufinancovania zo štátneho rozpočtu. </w:t>
      </w:r>
      <w:r w:rsidR="005D72CA" w:rsidRPr="00887693">
        <w:rPr>
          <w:color w:val="000000" w:themeColor="text1"/>
        </w:rPr>
        <w:t>Schválený rozpočet, prípadne rozpis uvoľnených zdrojov z minulých rokov sa nerozpisuje na konkrétne položky rozpočtu ale presun prostriedkov na základe reálne predložených žiadostí o platbu sa zohľadňuje v upravenom rozpočte. Uvedené malo za následok zvýšenie rozpočtu oproti schválenému rozpočtu v celkovej sume skutočného čerpania. Vysoký medziročný nárast bol spôsobený navýšením počtu projektov, ktoré sa v roku 2018 začali realizovať u jednotlivých prijímateľov.</w:t>
      </w:r>
      <w:r w:rsidR="005D72CA">
        <w:rPr>
          <w:color w:val="000000" w:themeColor="text1"/>
        </w:rPr>
        <w:t xml:space="preserve"> </w:t>
      </w:r>
      <w:r w:rsidRPr="003E2C08">
        <w:t xml:space="preserve">Z celkovo poskytnutej sumy 7 264 tis. eur </w:t>
      </w:r>
      <w:r w:rsidR="005D72CA">
        <w:t xml:space="preserve">tvorili </w:t>
      </w:r>
      <w:r w:rsidRPr="003E2C08">
        <w:t>kapitálov</w:t>
      </w:r>
      <w:r w:rsidR="005D72CA">
        <w:t>é</w:t>
      </w:r>
      <w:r w:rsidRPr="003E2C08">
        <w:t xml:space="preserve"> transfer</w:t>
      </w:r>
      <w:r w:rsidR="005D72CA">
        <w:t>y</w:t>
      </w:r>
      <w:r w:rsidRPr="003E2C08">
        <w:t xml:space="preserve"> 5 023 tis. eur</w:t>
      </w:r>
      <w:r w:rsidR="005D72CA">
        <w:t xml:space="preserve">, pričom išlo najmä o projekty v rámci </w:t>
      </w:r>
      <w:r w:rsidRPr="003E2C08">
        <w:t>Integrovaného regionálneho operačného programu 2014-2020</w:t>
      </w:r>
      <w:r w:rsidR="005D72CA">
        <w:t>,</w:t>
      </w:r>
      <w:r w:rsidRPr="003E2C08">
        <w:t xml:space="preserve"> P</w:t>
      </w:r>
      <w:r w:rsidRPr="003E2C08">
        <w:rPr>
          <w:bCs/>
        </w:rPr>
        <w:t>rogram</w:t>
      </w:r>
      <w:r w:rsidR="005D72CA">
        <w:rPr>
          <w:bCs/>
        </w:rPr>
        <w:t>u</w:t>
      </w:r>
      <w:r w:rsidRPr="003E2C08">
        <w:rPr>
          <w:bCs/>
        </w:rPr>
        <w:t xml:space="preserve"> cezhraničnej spolupráce </w:t>
      </w:r>
      <w:r w:rsidR="00FD06FB">
        <w:rPr>
          <w:bCs/>
        </w:rPr>
        <w:t>Poľsko - Slovensko 2014-2020</w:t>
      </w:r>
      <w:r w:rsidR="005D72CA">
        <w:rPr>
          <w:bCs/>
        </w:rPr>
        <w:t>,</w:t>
      </w:r>
      <w:r w:rsidR="00FD06FB">
        <w:rPr>
          <w:bCs/>
        </w:rPr>
        <w:t xml:space="preserve"> </w:t>
      </w:r>
      <w:r w:rsidRPr="003E2C08">
        <w:t>P</w:t>
      </w:r>
      <w:r w:rsidRPr="003E2C08">
        <w:rPr>
          <w:bCs/>
        </w:rPr>
        <w:t>rogramu cezhraničnej spolupráce Slovensko – Česká republika 2014-2020</w:t>
      </w:r>
      <w:r w:rsidR="005D72CA">
        <w:rPr>
          <w:bCs/>
        </w:rPr>
        <w:t>.</w:t>
      </w:r>
    </w:p>
    <w:p w14:paraId="6FD03BEE" w14:textId="76A345D0" w:rsidR="00DC2F84" w:rsidRPr="009C10B2" w:rsidRDefault="00897E25" w:rsidP="00897E25">
      <w:pPr>
        <w:spacing w:line="360" w:lineRule="auto"/>
        <w:rPr>
          <w:color w:val="000000" w:themeColor="text1"/>
        </w:rPr>
      </w:pPr>
      <w:r>
        <w:rPr>
          <w:bCs/>
        </w:rPr>
        <w:t xml:space="preserve">Výdavky ostatných kapitol smerovali najmä na podporu športovej infraštruktúry zariadení VÚC </w:t>
      </w:r>
      <w:r w:rsidR="00944014">
        <w:rPr>
          <w:bCs/>
        </w:rPr>
        <w:t>(</w:t>
      </w:r>
      <w:r w:rsidR="007B38F3">
        <w:rPr>
          <w:bCs/>
        </w:rPr>
        <w:t xml:space="preserve">3 000 tis. eur na </w:t>
      </w:r>
      <w:r w:rsidR="00944014" w:rsidRPr="009C10B2">
        <w:t>vybudovanie tréningovej hokejovej haly pre Hokejovú akadémiu v</w:t>
      </w:r>
      <w:r w:rsidR="00571BA7">
        <w:t> </w:t>
      </w:r>
      <w:r w:rsidR="00944014" w:rsidRPr="009C10B2">
        <w:t>Trenčíne</w:t>
      </w:r>
      <w:r w:rsidR="00571BA7">
        <w:t xml:space="preserve">, 1 973 tis. eur </w:t>
      </w:r>
      <w:r w:rsidR="00571BA7" w:rsidRPr="00FD06FB">
        <w:t xml:space="preserve">na komplexné riešenie školského areálu Trenčín – </w:t>
      </w:r>
      <w:proofErr w:type="spellStart"/>
      <w:r w:rsidR="00571BA7" w:rsidRPr="00FD06FB">
        <w:t>Zámostie</w:t>
      </w:r>
      <w:proofErr w:type="spellEnd"/>
      <w:r w:rsidR="00571BA7" w:rsidRPr="00FD06FB">
        <w:t xml:space="preserve"> </w:t>
      </w:r>
      <w:r w:rsidR="00571BA7">
        <w:t xml:space="preserve">v </w:t>
      </w:r>
      <w:r w:rsidR="00571BA7" w:rsidRPr="00FD06FB">
        <w:t>Trenčiansk</w:t>
      </w:r>
      <w:r w:rsidR="00571BA7">
        <w:t>om</w:t>
      </w:r>
      <w:r w:rsidR="00571BA7" w:rsidRPr="00FD06FB">
        <w:t xml:space="preserve"> samosprávn</w:t>
      </w:r>
      <w:r w:rsidR="00571BA7">
        <w:t>om</w:t>
      </w:r>
      <w:r w:rsidR="00571BA7" w:rsidRPr="00FD06FB">
        <w:t xml:space="preserve"> kraj</w:t>
      </w:r>
      <w:r w:rsidR="00571BA7">
        <w:t>i</w:t>
      </w:r>
      <w:r w:rsidR="00944014">
        <w:t>)</w:t>
      </w:r>
      <w:r>
        <w:rPr>
          <w:bCs/>
        </w:rPr>
        <w:t xml:space="preserve">, cestnú infraštruktúru (oprava cesty </w:t>
      </w:r>
      <w:r w:rsidR="00DC2F84" w:rsidRPr="009C10B2">
        <w:rPr>
          <w:color w:val="000000" w:themeColor="text1"/>
        </w:rPr>
        <w:t xml:space="preserve">II/503 Senec – Viničné – Pezinok </w:t>
      </w:r>
      <w:r>
        <w:rPr>
          <w:color w:val="000000" w:themeColor="text1"/>
        </w:rPr>
        <w:t>v</w:t>
      </w:r>
      <w:r w:rsidR="00DC2F84" w:rsidRPr="009C10B2">
        <w:rPr>
          <w:color w:val="000000" w:themeColor="text1"/>
        </w:rPr>
        <w:t xml:space="preserve"> Bratislavsk</w:t>
      </w:r>
      <w:r>
        <w:rPr>
          <w:color w:val="000000" w:themeColor="text1"/>
        </w:rPr>
        <w:t>om</w:t>
      </w:r>
      <w:r w:rsidR="00DC2F84" w:rsidRPr="009C10B2">
        <w:rPr>
          <w:color w:val="000000" w:themeColor="text1"/>
        </w:rPr>
        <w:t xml:space="preserve"> samosprávn</w:t>
      </w:r>
      <w:r>
        <w:rPr>
          <w:color w:val="000000" w:themeColor="text1"/>
        </w:rPr>
        <w:t>om</w:t>
      </w:r>
      <w:r w:rsidR="00DC2F84" w:rsidRPr="009C10B2">
        <w:rPr>
          <w:color w:val="000000" w:themeColor="text1"/>
        </w:rPr>
        <w:t xml:space="preserve"> kraj</w:t>
      </w:r>
      <w:r>
        <w:rPr>
          <w:color w:val="000000" w:themeColor="text1"/>
        </w:rPr>
        <w:t>i</w:t>
      </w:r>
      <w:r w:rsidR="00944014">
        <w:rPr>
          <w:color w:val="000000" w:themeColor="text1"/>
        </w:rPr>
        <w:t xml:space="preserve">, </w:t>
      </w:r>
      <w:r w:rsidR="00B0344E">
        <w:rPr>
          <w:color w:val="000000" w:themeColor="text1"/>
        </w:rPr>
        <w:t xml:space="preserve">118 tis. eur </w:t>
      </w:r>
      <w:r w:rsidR="00944014" w:rsidRPr="009C10B2">
        <w:t>spolufinancovanie projektu cestného prepojenia a mosta cez rieku Ipeľ</w:t>
      </w:r>
      <w:r w:rsidR="00944014">
        <w:t xml:space="preserve"> v </w:t>
      </w:r>
      <w:r w:rsidR="00944014" w:rsidRPr="009C10B2">
        <w:t>Nitriansk</w:t>
      </w:r>
      <w:r w:rsidR="00944014">
        <w:t>om samosprávnom kraji</w:t>
      </w:r>
      <w:r w:rsidR="00B0344E">
        <w:t xml:space="preserve">), podporu kultúrnych zariadení (napr. 2 115 tis. eur </w:t>
      </w:r>
      <w:r w:rsidR="00B0344E" w:rsidRPr="009C10B2">
        <w:t>n</w:t>
      </w:r>
      <w:r w:rsidR="00B0344E">
        <w:t>a rekonštrukciu Divadla Aréna v </w:t>
      </w:r>
      <w:r w:rsidR="00B0344E" w:rsidRPr="009C10B2">
        <w:t>Bratislav</w:t>
      </w:r>
      <w:r w:rsidR="00B0344E">
        <w:t>skom samosprávnom kraji</w:t>
      </w:r>
      <w:r w:rsidR="003C5D1E">
        <w:t>, 644 tis. eur n</w:t>
      </w:r>
      <w:r w:rsidR="003C5D1E" w:rsidRPr="009C10B2">
        <w:rPr>
          <w:color w:val="000000" w:themeColor="text1"/>
        </w:rPr>
        <w:t>a II. etapu obnovy renesančného kaštieľa v</w:t>
      </w:r>
      <w:r w:rsidR="00955229">
        <w:rPr>
          <w:color w:val="000000" w:themeColor="text1"/>
        </w:rPr>
        <w:t> </w:t>
      </w:r>
      <w:r w:rsidR="003C5D1E" w:rsidRPr="009C10B2">
        <w:rPr>
          <w:color w:val="000000" w:themeColor="text1"/>
        </w:rPr>
        <w:t>Humennom</w:t>
      </w:r>
      <w:r w:rsidR="00955229">
        <w:rPr>
          <w:color w:val="000000" w:themeColor="text1"/>
        </w:rPr>
        <w:t xml:space="preserve"> v rámci Prešovského samosprávneho kraja</w:t>
      </w:r>
      <w:r w:rsidR="00B0344E">
        <w:t>) a ďalšie.</w:t>
      </w:r>
    </w:p>
    <w:p w14:paraId="15389074" w14:textId="1C94DD1D" w:rsidR="00DC2F84" w:rsidRPr="009C10B2" w:rsidRDefault="00DC2F84" w:rsidP="00DC2F84">
      <w:pPr>
        <w:suppressAutoHyphens/>
        <w:rPr>
          <w:color w:val="000000" w:themeColor="text1"/>
        </w:rPr>
      </w:pPr>
      <w:r w:rsidRPr="00E23B5F">
        <w:rPr>
          <w:b/>
          <w:color w:val="000000" w:themeColor="text1"/>
        </w:rPr>
        <w:t>Podľa zákona č. 564/2004 Z. z. o rozpočtovom určení výnosu dane z príjmov územnej samospráve bolo v roku 2018 z celkového výnosu dane z príjmov fyzických osôb</w:t>
      </w:r>
      <w:r w:rsidRPr="009C10B2">
        <w:rPr>
          <w:color w:val="000000" w:themeColor="text1"/>
        </w:rPr>
        <w:t xml:space="preserve"> príjmom rozpočtov vyšších územných celkov 30,0 % (rovnako ako v roku 2017). Skutočný prevod dane z príjmov fyzických osôb do rozpočtov vyšších územných celkov daňovými úradmi bol vykonaný vo výške 858 031 tis. eur vrátane zúčtovania za predchádzajúci rok (</w:t>
      </w:r>
      <w:r w:rsidR="008C70AA">
        <w:rPr>
          <w:color w:val="000000" w:themeColor="text1"/>
        </w:rPr>
        <w:t xml:space="preserve">2017: </w:t>
      </w:r>
      <w:r w:rsidRPr="009C10B2">
        <w:rPr>
          <w:color w:val="000000" w:themeColor="text1"/>
        </w:rPr>
        <w:t xml:space="preserve">771 208 tis. eur). </w:t>
      </w:r>
    </w:p>
    <w:p w14:paraId="360A6505" w14:textId="082CE7B0" w:rsidR="00DC4EEE" w:rsidRDefault="00DC2F84" w:rsidP="00DC2F84">
      <w:pPr>
        <w:rPr>
          <w:b/>
          <w:i/>
          <w:color w:val="000000" w:themeColor="text1"/>
        </w:rPr>
      </w:pPr>
      <w:r w:rsidRPr="00DC2F84">
        <w:rPr>
          <w:b/>
          <w:i/>
          <w:color w:val="000000" w:themeColor="text1"/>
        </w:rPr>
        <w:t>Prehľad záväzných limitov dotácií VÚC za rok 2018 je uvedený v tabuľkovej časti štátneho záverečného účtu SR, v tabuľke č. 21.</w:t>
      </w:r>
    </w:p>
    <w:p w14:paraId="3DC0F25A" w14:textId="77777777" w:rsidR="00DC4EEE" w:rsidRDefault="00DC4EEE">
      <w:pPr>
        <w:spacing w:after="160" w:line="259" w:lineRule="auto"/>
        <w:jc w:val="left"/>
        <w:rPr>
          <w:b/>
          <w:i/>
          <w:color w:val="000000" w:themeColor="text1"/>
        </w:rPr>
      </w:pPr>
      <w:r>
        <w:rPr>
          <w:b/>
          <w:i/>
          <w:color w:val="000000" w:themeColor="text1"/>
        </w:rPr>
        <w:br w:type="page"/>
      </w:r>
    </w:p>
    <w:p w14:paraId="73979A5F" w14:textId="77777777" w:rsidR="008254BE" w:rsidRDefault="008254BE" w:rsidP="00C34E95">
      <w:pPr>
        <w:pStyle w:val="Nadpis3"/>
      </w:pPr>
      <w:bookmarkStart w:id="59" w:name="_Toc6415650"/>
      <w:bookmarkStart w:id="60" w:name="_Toc7502842"/>
      <w:r>
        <w:t>Čerpanie rezerv štátneho rozpočtu</w:t>
      </w:r>
      <w:bookmarkEnd w:id="59"/>
      <w:bookmarkEnd w:id="60"/>
    </w:p>
    <w:p w14:paraId="48D7B0B4" w14:textId="3C97D205" w:rsidR="00C34E95" w:rsidRPr="00DF61EF" w:rsidRDefault="00C34E95" w:rsidP="00C34E95">
      <w:r w:rsidRPr="00D54C79">
        <w:t xml:space="preserve">V zmysle § 10 zákona o </w:t>
      </w:r>
      <w:r w:rsidRPr="00F000D9">
        <w:t xml:space="preserve">rozpočtových pravidlách </w:t>
      </w:r>
      <w:r w:rsidRPr="00DF61EF">
        <w:t xml:space="preserve">sa na krytie nepredvídaných výdavkov nevyhnutných na zabezpečenie rozpočtového hospodárenia alebo na krytie zníženia rozpočtovaných príjmov vytvárajú v štátnom rozpočte rozpočtové rezervy. </w:t>
      </w:r>
    </w:p>
    <w:p w14:paraId="15A2C960" w14:textId="51B39DA9" w:rsidR="00C34E95" w:rsidRPr="00D54C79" w:rsidRDefault="00C34E95" w:rsidP="00C34E95">
      <w:r w:rsidRPr="00D54C79">
        <w:t>Národná rada SR zákonom o štátnom rozpočte na rok 2018 schválila výšku zákonných rezerv nasledovne:</w:t>
      </w:r>
    </w:p>
    <w:tbl>
      <w:tblPr>
        <w:tblW w:w="8520" w:type="dxa"/>
        <w:tblCellMar>
          <w:left w:w="70" w:type="dxa"/>
          <w:right w:w="70" w:type="dxa"/>
        </w:tblCellMar>
        <w:tblLook w:val="04A0" w:firstRow="1" w:lastRow="0" w:firstColumn="1" w:lastColumn="0" w:noHBand="0" w:noVBand="1"/>
      </w:tblPr>
      <w:tblGrid>
        <w:gridCol w:w="2283"/>
        <w:gridCol w:w="709"/>
        <w:gridCol w:w="1134"/>
        <w:gridCol w:w="992"/>
        <w:gridCol w:w="1134"/>
        <w:gridCol w:w="1134"/>
        <w:gridCol w:w="1134"/>
      </w:tblGrid>
      <w:tr w:rsidR="00C34E95" w:rsidRPr="00933769" w14:paraId="26F3D462" w14:textId="77777777" w:rsidTr="00DC4EEE">
        <w:trPr>
          <w:trHeight w:val="278"/>
        </w:trPr>
        <w:tc>
          <w:tcPr>
            <w:tcW w:w="7386" w:type="dxa"/>
            <w:gridSpan w:val="6"/>
            <w:tcBorders>
              <w:top w:val="nil"/>
              <w:left w:val="single" w:sz="8" w:space="0" w:color="auto"/>
              <w:bottom w:val="nil"/>
              <w:right w:val="nil"/>
            </w:tcBorders>
            <w:shd w:val="clear" w:color="000000" w:fill="000000"/>
            <w:vAlign w:val="center"/>
            <w:hideMark/>
          </w:tcPr>
          <w:p w14:paraId="21143581" w14:textId="77777777" w:rsidR="00C34E95" w:rsidRPr="00933769" w:rsidRDefault="00C34E95" w:rsidP="008472BD">
            <w:pPr>
              <w:rPr>
                <w:b/>
                <w:bCs/>
                <w:color w:val="FFFFFF"/>
                <w:sz w:val="18"/>
                <w:szCs w:val="18"/>
              </w:rPr>
            </w:pPr>
            <w:bookmarkStart w:id="61" w:name="RANGE!B5:H12"/>
            <w:r w:rsidRPr="00933769">
              <w:rPr>
                <w:b/>
                <w:bCs/>
                <w:color w:val="FFFFFF"/>
                <w:sz w:val="18"/>
                <w:szCs w:val="18"/>
              </w:rPr>
              <w:t>Zákonné rezervy uvoľnené platobným príkazom</w:t>
            </w:r>
            <w:bookmarkEnd w:id="61"/>
          </w:p>
        </w:tc>
        <w:tc>
          <w:tcPr>
            <w:tcW w:w="1134" w:type="dxa"/>
            <w:tcBorders>
              <w:top w:val="nil"/>
              <w:left w:val="nil"/>
              <w:bottom w:val="nil"/>
              <w:right w:val="nil"/>
            </w:tcBorders>
            <w:shd w:val="clear" w:color="000000" w:fill="000000"/>
            <w:noWrap/>
            <w:vAlign w:val="bottom"/>
            <w:hideMark/>
          </w:tcPr>
          <w:p w14:paraId="1F55503C" w14:textId="6A451876" w:rsidR="00C34E95" w:rsidRPr="00933769" w:rsidRDefault="00C34E95" w:rsidP="00C34E95">
            <w:pPr>
              <w:ind w:left="-640"/>
              <w:jc w:val="right"/>
              <w:rPr>
                <w:b/>
                <w:bCs/>
                <w:color w:val="FFFFFF"/>
                <w:sz w:val="18"/>
                <w:szCs w:val="18"/>
              </w:rPr>
            </w:pPr>
            <w:r w:rsidRPr="00933769">
              <w:rPr>
                <w:b/>
                <w:bCs/>
                <w:color w:val="FFFFFF"/>
                <w:sz w:val="18"/>
                <w:szCs w:val="18"/>
              </w:rPr>
              <w:t>v tis. eur</w:t>
            </w:r>
          </w:p>
        </w:tc>
      </w:tr>
      <w:tr w:rsidR="00C34E95" w:rsidRPr="00933769" w14:paraId="51B32F8B" w14:textId="77777777" w:rsidTr="00DC4EEE">
        <w:trPr>
          <w:trHeight w:val="278"/>
        </w:trPr>
        <w:tc>
          <w:tcPr>
            <w:tcW w:w="2283" w:type="dxa"/>
            <w:tcBorders>
              <w:top w:val="nil"/>
              <w:left w:val="nil"/>
              <w:bottom w:val="nil"/>
              <w:right w:val="nil"/>
            </w:tcBorders>
            <w:shd w:val="clear" w:color="000000" w:fill="BFBFBF"/>
            <w:vAlign w:val="center"/>
            <w:hideMark/>
          </w:tcPr>
          <w:p w14:paraId="73276B1F" w14:textId="77777777" w:rsidR="00C34E95" w:rsidRPr="00933769" w:rsidRDefault="00C34E95" w:rsidP="008472BD">
            <w:pPr>
              <w:rPr>
                <w:b/>
                <w:bCs/>
                <w:color w:val="FFFFFF"/>
                <w:sz w:val="18"/>
                <w:szCs w:val="18"/>
              </w:rPr>
            </w:pPr>
            <w:r w:rsidRPr="00933769">
              <w:rPr>
                <w:b/>
                <w:bCs/>
                <w:color w:val="FFFFFF"/>
                <w:sz w:val="18"/>
                <w:szCs w:val="18"/>
              </w:rPr>
              <w:t> </w:t>
            </w:r>
          </w:p>
        </w:tc>
        <w:tc>
          <w:tcPr>
            <w:tcW w:w="1843" w:type="dxa"/>
            <w:gridSpan w:val="2"/>
            <w:tcBorders>
              <w:top w:val="nil"/>
              <w:left w:val="nil"/>
              <w:bottom w:val="nil"/>
              <w:right w:val="nil"/>
            </w:tcBorders>
            <w:shd w:val="clear" w:color="000000" w:fill="BFBFBF"/>
            <w:vAlign w:val="center"/>
            <w:hideMark/>
          </w:tcPr>
          <w:p w14:paraId="4A4574F4" w14:textId="77777777" w:rsidR="00C34E95" w:rsidRPr="00933769" w:rsidRDefault="00C34E95" w:rsidP="008472BD">
            <w:pPr>
              <w:jc w:val="center"/>
              <w:rPr>
                <w:b/>
                <w:bCs/>
                <w:color w:val="000000"/>
                <w:sz w:val="18"/>
                <w:szCs w:val="18"/>
              </w:rPr>
            </w:pPr>
            <w:r w:rsidRPr="00933769">
              <w:rPr>
                <w:b/>
                <w:bCs/>
                <w:color w:val="000000"/>
                <w:sz w:val="18"/>
                <w:szCs w:val="18"/>
              </w:rPr>
              <w:t>Skutočnosť</w:t>
            </w:r>
          </w:p>
        </w:tc>
        <w:tc>
          <w:tcPr>
            <w:tcW w:w="992" w:type="dxa"/>
            <w:tcBorders>
              <w:top w:val="nil"/>
              <w:left w:val="nil"/>
              <w:bottom w:val="nil"/>
              <w:right w:val="nil"/>
            </w:tcBorders>
            <w:shd w:val="clear" w:color="000000" w:fill="BFBFBF"/>
            <w:vAlign w:val="center"/>
            <w:hideMark/>
          </w:tcPr>
          <w:p w14:paraId="65A495AC" w14:textId="77777777" w:rsidR="00C34E95" w:rsidRPr="00933769" w:rsidRDefault="00C34E95" w:rsidP="008472BD">
            <w:pPr>
              <w:jc w:val="center"/>
              <w:rPr>
                <w:b/>
                <w:bCs/>
                <w:color w:val="000000"/>
                <w:sz w:val="18"/>
                <w:szCs w:val="18"/>
              </w:rPr>
            </w:pPr>
            <w:r w:rsidRPr="00933769">
              <w:rPr>
                <w:b/>
                <w:bCs/>
                <w:color w:val="000000"/>
                <w:sz w:val="18"/>
                <w:szCs w:val="18"/>
              </w:rPr>
              <w:t>Rozpočet</w:t>
            </w:r>
          </w:p>
        </w:tc>
        <w:tc>
          <w:tcPr>
            <w:tcW w:w="1134" w:type="dxa"/>
            <w:tcBorders>
              <w:top w:val="nil"/>
              <w:left w:val="nil"/>
              <w:bottom w:val="nil"/>
              <w:right w:val="nil"/>
            </w:tcBorders>
            <w:shd w:val="clear" w:color="000000" w:fill="BFBFBF"/>
            <w:vAlign w:val="center"/>
            <w:hideMark/>
          </w:tcPr>
          <w:p w14:paraId="760EC9F0" w14:textId="77777777" w:rsidR="00C34E95" w:rsidRPr="00933769" w:rsidRDefault="00C34E95" w:rsidP="008472BD">
            <w:pPr>
              <w:jc w:val="center"/>
              <w:rPr>
                <w:b/>
                <w:bCs/>
                <w:color w:val="000000"/>
                <w:sz w:val="18"/>
                <w:szCs w:val="18"/>
              </w:rPr>
            </w:pPr>
            <w:r w:rsidRPr="00933769">
              <w:rPr>
                <w:b/>
                <w:bCs/>
                <w:color w:val="000000"/>
                <w:sz w:val="18"/>
                <w:szCs w:val="18"/>
              </w:rPr>
              <w:t>Skutočnosť</w:t>
            </w:r>
          </w:p>
        </w:tc>
        <w:tc>
          <w:tcPr>
            <w:tcW w:w="2268" w:type="dxa"/>
            <w:gridSpan w:val="2"/>
            <w:tcBorders>
              <w:top w:val="nil"/>
              <w:left w:val="nil"/>
              <w:bottom w:val="nil"/>
              <w:right w:val="nil"/>
            </w:tcBorders>
            <w:shd w:val="clear" w:color="000000" w:fill="BFBFBF"/>
            <w:vAlign w:val="center"/>
            <w:hideMark/>
          </w:tcPr>
          <w:p w14:paraId="3065EFF4" w14:textId="77777777" w:rsidR="00C34E95" w:rsidRPr="00933769" w:rsidRDefault="00C34E95" w:rsidP="008472BD">
            <w:pPr>
              <w:jc w:val="center"/>
              <w:rPr>
                <w:b/>
                <w:bCs/>
                <w:color w:val="000000"/>
                <w:sz w:val="18"/>
                <w:szCs w:val="18"/>
              </w:rPr>
            </w:pPr>
            <w:r w:rsidRPr="00933769">
              <w:rPr>
                <w:b/>
                <w:bCs/>
                <w:color w:val="000000"/>
                <w:sz w:val="18"/>
                <w:szCs w:val="18"/>
              </w:rPr>
              <w:t>Rozdiel</w:t>
            </w:r>
          </w:p>
        </w:tc>
      </w:tr>
      <w:tr w:rsidR="00C34E95" w:rsidRPr="00933769" w14:paraId="49626D57" w14:textId="77777777" w:rsidTr="00DC4EEE">
        <w:trPr>
          <w:trHeight w:val="278"/>
        </w:trPr>
        <w:tc>
          <w:tcPr>
            <w:tcW w:w="2283" w:type="dxa"/>
            <w:tcBorders>
              <w:top w:val="nil"/>
              <w:left w:val="nil"/>
              <w:bottom w:val="nil"/>
              <w:right w:val="nil"/>
            </w:tcBorders>
            <w:shd w:val="clear" w:color="000000" w:fill="BFBFBF"/>
            <w:vAlign w:val="center"/>
            <w:hideMark/>
          </w:tcPr>
          <w:p w14:paraId="6233C169" w14:textId="77777777" w:rsidR="00C34E95" w:rsidRPr="00933769" w:rsidRDefault="00C34E95" w:rsidP="008472BD">
            <w:pPr>
              <w:jc w:val="center"/>
              <w:rPr>
                <w:b/>
                <w:bCs/>
                <w:sz w:val="18"/>
                <w:szCs w:val="18"/>
              </w:rPr>
            </w:pPr>
            <w:r w:rsidRPr="00933769">
              <w:rPr>
                <w:b/>
                <w:bCs/>
                <w:sz w:val="18"/>
                <w:szCs w:val="18"/>
              </w:rPr>
              <w:t> </w:t>
            </w:r>
          </w:p>
        </w:tc>
        <w:tc>
          <w:tcPr>
            <w:tcW w:w="709" w:type="dxa"/>
            <w:tcBorders>
              <w:top w:val="nil"/>
              <w:left w:val="nil"/>
              <w:bottom w:val="nil"/>
              <w:right w:val="nil"/>
            </w:tcBorders>
            <w:shd w:val="clear" w:color="000000" w:fill="BFBFBF"/>
            <w:vAlign w:val="center"/>
            <w:hideMark/>
          </w:tcPr>
          <w:p w14:paraId="768FB1C8" w14:textId="77777777" w:rsidR="00C34E95" w:rsidRPr="00933769" w:rsidRDefault="00C34E95" w:rsidP="008472BD">
            <w:pPr>
              <w:jc w:val="center"/>
              <w:rPr>
                <w:b/>
                <w:bCs/>
                <w:color w:val="000000"/>
                <w:sz w:val="18"/>
                <w:szCs w:val="18"/>
              </w:rPr>
            </w:pPr>
            <w:r w:rsidRPr="00933769">
              <w:rPr>
                <w:b/>
                <w:bCs/>
                <w:color w:val="000000"/>
                <w:sz w:val="18"/>
                <w:szCs w:val="18"/>
              </w:rPr>
              <w:t>2016</w:t>
            </w:r>
          </w:p>
        </w:tc>
        <w:tc>
          <w:tcPr>
            <w:tcW w:w="1134" w:type="dxa"/>
            <w:tcBorders>
              <w:top w:val="nil"/>
              <w:left w:val="nil"/>
              <w:bottom w:val="nil"/>
              <w:right w:val="nil"/>
            </w:tcBorders>
            <w:shd w:val="clear" w:color="000000" w:fill="BFBFBF"/>
            <w:vAlign w:val="center"/>
            <w:hideMark/>
          </w:tcPr>
          <w:p w14:paraId="01A4414B" w14:textId="77777777" w:rsidR="00C34E95" w:rsidRPr="00933769" w:rsidRDefault="00C34E95" w:rsidP="008472BD">
            <w:pPr>
              <w:jc w:val="center"/>
              <w:rPr>
                <w:b/>
                <w:bCs/>
                <w:color w:val="000000"/>
                <w:sz w:val="18"/>
                <w:szCs w:val="18"/>
              </w:rPr>
            </w:pPr>
            <w:r w:rsidRPr="00933769">
              <w:rPr>
                <w:b/>
                <w:bCs/>
                <w:color w:val="000000"/>
                <w:sz w:val="18"/>
                <w:szCs w:val="18"/>
              </w:rPr>
              <w:t>2017</w:t>
            </w:r>
          </w:p>
        </w:tc>
        <w:tc>
          <w:tcPr>
            <w:tcW w:w="992" w:type="dxa"/>
            <w:tcBorders>
              <w:top w:val="nil"/>
              <w:left w:val="nil"/>
              <w:bottom w:val="nil"/>
              <w:right w:val="nil"/>
            </w:tcBorders>
            <w:shd w:val="clear" w:color="000000" w:fill="BFBFBF"/>
            <w:vAlign w:val="center"/>
            <w:hideMark/>
          </w:tcPr>
          <w:p w14:paraId="156982A3" w14:textId="77777777" w:rsidR="00C34E95" w:rsidRPr="00933769" w:rsidRDefault="00C34E95" w:rsidP="008472BD">
            <w:pPr>
              <w:jc w:val="center"/>
              <w:rPr>
                <w:b/>
                <w:bCs/>
                <w:color w:val="000000"/>
                <w:sz w:val="18"/>
                <w:szCs w:val="18"/>
              </w:rPr>
            </w:pPr>
            <w:r w:rsidRPr="00933769">
              <w:rPr>
                <w:b/>
                <w:bCs/>
                <w:color w:val="000000"/>
                <w:sz w:val="18"/>
                <w:szCs w:val="18"/>
              </w:rPr>
              <w:t>2018</w:t>
            </w:r>
          </w:p>
        </w:tc>
        <w:tc>
          <w:tcPr>
            <w:tcW w:w="1134" w:type="dxa"/>
            <w:tcBorders>
              <w:top w:val="nil"/>
              <w:left w:val="nil"/>
              <w:bottom w:val="nil"/>
              <w:right w:val="nil"/>
            </w:tcBorders>
            <w:shd w:val="clear" w:color="000000" w:fill="BFBFBF"/>
            <w:vAlign w:val="center"/>
            <w:hideMark/>
          </w:tcPr>
          <w:p w14:paraId="0BC55706" w14:textId="77777777" w:rsidR="00C34E95" w:rsidRPr="00933769" w:rsidRDefault="00C34E95" w:rsidP="008472BD">
            <w:pPr>
              <w:jc w:val="center"/>
              <w:rPr>
                <w:b/>
                <w:bCs/>
                <w:color w:val="000000"/>
                <w:sz w:val="18"/>
                <w:szCs w:val="18"/>
              </w:rPr>
            </w:pPr>
            <w:r w:rsidRPr="00933769">
              <w:rPr>
                <w:b/>
                <w:bCs/>
                <w:color w:val="000000"/>
                <w:sz w:val="18"/>
                <w:szCs w:val="18"/>
              </w:rPr>
              <w:t>2018</w:t>
            </w:r>
          </w:p>
        </w:tc>
        <w:tc>
          <w:tcPr>
            <w:tcW w:w="1134" w:type="dxa"/>
            <w:tcBorders>
              <w:top w:val="nil"/>
              <w:left w:val="nil"/>
              <w:bottom w:val="nil"/>
              <w:right w:val="nil"/>
            </w:tcBorders>
            <w:shd w:val="clear" w:color="000000" w:fill="BFBFBF"/>
            <w:vAlign w:val="center"/>
            <w:hideMark/>
          </w:tcPr>
          <w:p w14:paraId="2CA83BD0" w14:textId="77777777" w:rsidR="00C34E95" w:rsidRPr="00933769" w:rsidRDefault="00C34E95" w:rsidP="008472BD">
            <w:pPr>
              <w:jc w:val="center"/>
              <w:rPr>
                <w:b/>
                <w:bCs/>
                <w:color w:val="000000"/>
                <w:sz w:val="18"/>
                <w:szCs w:val="18"/>
              </w:rPr>
            </w:pPr>
            <w:r w:rsidRPr="00933769">
              <w:rPr>
                <w:b/>
                <w:bCs/>
                <w:color w:val="000000"/>
                <w:sz w:val="18"/>
                <w:szCs w:val="18"/>
              </w:rPr>
              <w:t xml:space="preserve"> v tis. eur</w:t>
            </w:r>
          </w:p>
        </w:tc>
        <w:tc>
          <w:tcPr>
            <w:tcW w:w="1134" w:type="dxa"/>
            <w:tcBorders>
              <w:top w:val="nil"/>
              <w:left w:val="nil"/>
              <w:bottom w:val="nil"/>
              <w:right w:val="nil"/>
            </w:tcBorders>
            <w:shd w:val="clear" w:color="000000" w:fill="BFBFBF"/>
            <w:vAlign w:val="center"/>
            <w:hideMark/>
          </w:tcPr>
          <w:p w14:paraId="4D0B665A" w14:textId="77777777" w:rsidR="00C34E95" w:rsidRPr="00933769" w:rsidRDefault="00C34E95" w:rsidP="008472BD">
            <w:pPr>
              <w:jc w:val="center"/>
              <w:rPr>
                <w:b/>
                <w:bCs/>
                <w:color w:val="000000"/>
                <w:sz w:val="18"/>
                <w:szCs w:val="18"/>
              </w:rPr>
            </w:pPr>
            <w:r w:rsidRPr="00933769">
              <w:rPr>
                <w:b/>
                <w:bCs/>
                <w:color w:val="000000"/>
                <w:sz w:val="18"/>
                <w:szCs w:val="18"/>
              </w:rPr>
              <w:t>v %</w:t>
            </w:r>
          </w:p>
        </w:tc>
      </w:tr>
      <w:tr w:rsidR="00C34E95" w:rsidRPr="00933769" w14:paraId="388EC62A" w14:textId="77777777" w:rsidTr="00DC4EEE">
        <w:trPr>
          <w:trHeight w:val="290"/>
        </w:trPr>
        <w:tc>
          <w:tcPr>
            <w:tcW w:w="2283" w:type="dxa"/>
            <w:tcBorders>
              <w:top w:val="nil"/>
              <w:left w:val="nil"/>
              <w:bottom w:val="single" w:sz="8" w:space="0" w:color="auto"/>
              <w:right w:val="nil"/>
            </w:tcBorders>
            <w:shd w:val="clear" w:color="000000" w:fill="BFBFBF"/>
            <w:vAlign w:val="center"/>
            <w:hideMark/>
          </w:tcPr>
          <w:p w14:paraId="60096E48" w14:textId="77777777" w:rsidR="00C34E95" w:rsidRPr="00933769" w:rsidRDefault="00C34E95" w:rsidP="008472BD">
            <w:pPr>
              <w:rPr>
                <w:b/>
                <w:bCs/>
                <w:color w:val="FFFFFF"/>
                <w:sz w:val="18"/>
                <w:szCs w:val="18"/>
              </w:rPr>
            </w:pPr>
            <w:r w:rsidRPr="00933769">
              <w:rPr>
                <w:b/>
                <w:bCs/>
                <w:color w:val="FFFFFF"/>
                <w:sz w:val="18"/>
                <w:szCs w:val="18"/>
              </w:rPr>
              <w:t> </w:t>
            </w:r>
          </w:p>
        </w:tc>
        <w:tc>
          <w:tcPr>
            <w:tcW w:w="709" w:type="dxa"/>
            <w:tcBorders>
              <w:top w:val="nil"/>
              <w:left w:val="nil"/>
              <w:bottom w:val="single" w:sz="8" w:space="0" w:color="auto"/>
              <w:right w:val="nil"/>
            </w:tcBorders>
            <w:shd w:val="clear" w:color="000000" w:fill="BFBFBF"/>
            <w:vAlign w:val="center"/>
            <w:hideMark/>
          </w:tcPr>
          <w:p w14:paraId="64D8AB87" w14:textId="77777777" w:rsidR="00C34E95" w:rsidRPr="00933769" w:rsidRDefault="00C34E95" w:rsidP="008472BD">
            <w:pPr>
              <w:jc w:val="center"/>
              <w:rPr>
                <w:b/>
                <w:bCs/>
                <w:sz w:val="18"/>
                <w:szCs w:val="18"/>
              </w:rPr>
            </w:pPr>
            <w:r w:rsidRPr="00933769">
              <w:rPr>
                <w:b/>
                <w:bCs/>
                <w:sz w:val="18"/>
                <w:szCs w:val="18"/>
              </w:rPr>
              <w:t>1</w:t>
            </w:r>
          </w:p>
        </w:tc>
        <w:tc>
          <w:tcPr>
            <w:tcW w:w="1134" w:type="dxa"/>
            <w:tcBorders>
              <w:top w:val="nil"/>
              <w:left w:val="nil"/>
              <w:bottom w:val="single" w:sz="8" w:space="0" w:color="auto"/>
              <w:right w:val="nil"/>
            </w:tcBorders>
            <w:shd w:val="clear" w:color="000000" w:fill="BFBFBF"/>
            <w:vAlign w:val="center"/>
            <w:hideMark/>
          </w:tcPr>
          <w:p w14:paraId="67393F0B" w14:textId="77777777" w:rsidR="00C34E95" w:rsidRPr="00933769" w:rsidRDefault="00C34E95" w:rsidP="008472BD">
            <w:pPr>
              <w:jc w:val="center"/>
              <w:rPr>
                <w:b/>
                <w:bCs/>
                <w:sz w:val="18"/>
                <w:szCs w:val="18"/>
              </w:rPr>
            </w:pPr>
            <w:r w:rsidRPr="00933769">
              <w:rPr>
                <w:b/>
                <w:bCs/>
                <w:sz w:val="18"/>
                <w:szCs w:val="18"/>
              </w:rPr>
              <w:t>2</w:t>
            </w:r>
          </w:p>
        </w:tc>
        <w:tc>
          <w:tcPr>
            <w:tcW w:w="992" w:type="dxa"/>
            <w:tcBorders>
              <w:top w:val="nil"/>
              <w:left w:val="nil"/>
              <w:bottom w:val="single" w:sz="8" w:space="0" w:color="auto"/>
              <w:right w:val="nil"/>
            </w:tcBorders>
            <w:shd w:val="clear" w:color="000000" w:fill="BFBFBF"/>
            <w:vAlign w:val="center"/>
            <w:hideMark/>
          </w:tcPr>
          <w:p w14:paraId="1A348382" w14:textId="77777777" w:rsidR="00C34E95" w:rsidRPr="00933769" w:rsidRDefault="00C34E95" w:rsidP="008472BD">
            <w:pPr>
              <w:jc w:val="center"/>
              <w:rPr>
                <w:b/>
                <w:bCs/>
                <w:sz w:val="18"/>
                <w:szCs w:val="18"/>
              </w:rPr>
            </w:pPr>
            <w:r w:rsidRPr="00933769">
              <w:rPr>
                <w:b/>
                <w:bCs/>
                <w:sz w:val="18"/>
                <w:szCs w:val="18"/>
              </w:rPr>
              <w:t>3</w:t>
            </w:r>
          </w:p>
        </w:tc>
        <w:tc>
          <w:tcPr>
            <w:tcW w:w="1134" w:type="dxa"/>
            <w:tcBorders>
              <w:top w:val="nil"/>
              <w:left w:val="nil"/>
              <w:bottom w:val="single" w:sz="8" w:space="0" w:color="auto"/>
              <w:right w:val="nil"/>
            </w:tcBorders>
            <w:shd w:val="clear" w:color="000000" w:fill="BFBFBF"/>
            <w:vAlign w:val="center"/>
            <w:hideMark/>
          </w:tcPr>
          <w:p w14:paraId="6BA5C507" w14:textId="77777777" w:rsidR="00C34E95" w:rsidRPr="00933769" w:rsidRDefault="00C34E95" w:rsidP="008472BD">
            <w:pPr>
              <w:jc w:val="center"/>
              <w:rPr>
                <w:b/>
                <w:bCs/>
                <w:sz w:val="18"/>
                <w:szCs w:val="18"/>
              </w:rPr>
            </w:pPr>
            <w:r w:rsidRPr="00933769">
              <w:rPr>
                <w:b/>
                <w:bCs/>
                <w:sz w:val="18"/>
                <w:szCs w:val="18"/>
              </w:rPr>
              <w:t>4</w:t>
            </w:r>
          </w:p>
        </w:tc>
        <w:tc>
          <w:tcPr>
            <w:tcW w:w="1134" w:type="dxa"/>
            <w:tcBorders>
              <w:top w:val="nil"/>
              <w:left w:val="nil"/>
              <w:bottom w:val="single" w:sz="8" w:space="0" w:color="auto"/>
              <w:right w:val="nil"/>
            </w:tcBorders>
            <w:shd w:val="clear" w:color="000000" w:fill="BFBFBF"/>
            <w:vAlign w:val="center"/>
            <w:hideMark/>
          </w:tcPr>
          <w:p w14:paraId="51847D3A" w14:textId="77777777" w:rsidR="00C34E95" w:rsidRPr="00933769" w:rsidRDefault="00C34E95" w:rsidP="008472BD">
            <w:pPr>
              <w:jc w:val="center"/>
              <w:rPr>
                <w:b/>
                <w:bCs/>
                <w:sz w:val="18"/>
                <w:szCs w:val="18"/>
              </w:rPr>
            </w:pPr>
            <w:r w:rsidRPr="00933769">
              <w:rPr>
                <w:b/>
                <w:bCs/>
                <w:sz w:val="18"/>
                <w:szCs w:val="18"/>
              </w:rPr>
              <w:t>5=4-3</w:t>
            </w:r>
          </w:p>
        </w:tc>
        <w:tc>
          <w:tcPr>
            <w:tcW w:w="1134" w:type="dxa"/>
            <w:tcBorders>
              <w:top w:val="nil"/>
              <w:left w:val="nil"/>
              <w:bottom w:val="single" w:sz="8" w:space="0" w:color="auto"/>
              <w:right w:val="nil"/>
            </w:tcBorders>
            <w:shd w:val="clear" w:color="000000" w:fill="BFBFBF"/>
            <w:vAlign w:val="center"/>
            <w:hideMark/>
          </w:tcPr>
          <w:p w14:paraId="62C4F242" w14:textId="77777777" w:rsidR="00C34E95" w:rsidRPr="00933769" w:rsidRDefault="00C34E95" w:rsidP="00C34E95">
            <w:pPr>
              <w:ind w:right="490"/>
              <w:jc w:val="center"/>
              <w:rPr>
                <w:b/>
                <w:bCs/>
                <w:sz w:val="18"/>
                <w:szCs w:val="18"/>
              </w:rPr>
            </w:pPr>
            <w:r w:rsidRPr="00933769">
              <w:rPr>
                <w:b/>
                <w:bCs/>
                <w:sz w:val="18"/>
                <w:szCs w:val="18"/>
              </w:rPr>
              <w:t>6=4-3</w:t>
            </w:r>
          </w:p>
        </w:tc>
      </w:tr>
      <w:tr w:rsidR="00C34E95" w:rsidRPr="00933769" w14:paraId="0EFB32FD" w14:textId="77777777" w:rsidTr="000D4942">
        <w:trPr>
          <w:trHeight w:val="278"/>
        </w:trPr>
        <w:tc>
          <w:tcPr>
            <w:tcW w:w="2283" w:type="dxa"/>
            <w:tcBorders>
              <w:top w:val="nil"/>
              <w:left w:val="nil"/>
              <w:bottom w:val="nil"/>
              <w:right w:val="nil"/>
            </w:tcBorders>
            <w:shd w:val="clear" w:color="000000" w:fill="FFFFFF"/>
            <w:noWrap/>
            <w:vAlign w:val="center"/>
            <w:hideMark/>
          </w:tcPr>
          <w:p w14:paraId="5854FA38" w14:textId="77777777" w:rsidR="00C34E95" w:rsidRPr="00933769" w:rsidRDefault="00C34E95" w:rsidP="00C34E95">
            <w:pPr>
              <w:spacing w:after="0" w:line="240" w:lineRule="auto"/>
              <w:jc w:val="left"/>
              <w:rPr>
                <w:rFonts w:eastAsia="Times New Roman" w:cs="Times New Roman"/>
                <w:color w:val="000000"/>
                <w:sz w:val="18"/>
                <w:szCs w:val="18"/>
                <w:lang w:eastAsia="sk-SK"/>
              </w:rPr>
            </w:pPr>
            <w:r w:rsidRPr="00933769">
              <w:rPr>
                <w:rFonts w:eastAsia="Times New Roman" w:cs="Times New Roman"/>
                <w:color w:val="000000"/>
                <w:sz w:val="18"/>
                <w:szCs w:val="18"/>
                <w:lang w:eastAsia="sk-SK"/>
              </w:rPr>
              <w:t>Rezerva vlády SR</w:t>
            </w:r>
          </w:p>
        </w:tc>
        <w:tc>
          <w:tcPr>
            <w:tcW w:w="709" w:type="dxa"/>
            <w:tcBorders>
              <w:top w:val="nil"/>
              <w:left w:val="nil"/>
              <w:bottom w:val="nil"/>
              <w:right w:val="nil"/>
            </w:tcBorders>
            <w:shd w:val="clear" w:color="000000" w:fill="FFFFFF"/>
            <w:noWrap/>
            <w:vAlign w:val="center"/>
            <w:hideMark/>
          </w:tcPr>
          <w:p w14:paraId="4F1022B1" w14:textId="77777777" w:rsidR="00C34E95" w:rsidRPr="00933769" w:rsidRDefault="00C34E95" w:rsidP="00F94C4D">
            <w:pPr>
              <w:spacing w:after="0" w:line="240" w:lineRule="auto"/>
              <w:jc w:val="right"/>
              <w:rPr>
                <w:rFonts w:eastAsia="Times New Roman" w:cs="Times New Roman"/>
                <w:color w:val="000000"/>
                <w:sz w:val="18"/>
                <w:szCs w:val="18"/>
                <w:lang w:eastAsia="sk-SK"/>
              </w:rPr>
            </w:pPr>
            <w:r w:rsidRPr="00933769">
              <w:rPr>
                <w:rFonts w:eastAsia="Times New Roman" w:cs="Times New Roman"/>
                <w:color w:val="000000"/>
                <w:sz w:val="18"/>
                <w:szCs w:val="18"/>
                <w:lang w:eastAsia="sk-SK"/>
              </w:rPr>
              <w:t>19</w:t>
            </w:r>
          </w:p>
        </w:tc>
        <w:tc>
          <w:tcPr>
            <w:tcW w:w="1134" w:type="dxa"/>
            <w:tcBorders>
              <w:top w:val="nil"/>
              <w:left w:val="nil"/>
              <w:bottom w:val="nil"/>
              <w:right w:val="nil"/>
            </w:tcBorders>
            <w:shd w:val="clear" w:color="000000" w:fill="FFFFFF"/>
            <w:noWrap/>
            <w:vAlign w:val="center"/>
            <w:hideMark/>
          </w:tcPr>
          <w:p w14:paraId="390FACCE" w14:textId="77777777" w:rsidR="00C34E95" w:rsidRPr="00933769" w:rsidRDefault="00C34E95" w:rsidP="00F94C4D">
            <w:pPr>
              <w:spacing w:after="0" w:line="240" w:lineRule="auto"/>
              <w:jc w:val="right"/>
              <w:rPr>
                <w:rFonts w:eastAsia="Times New Roman" w:cs="Times New Roman"/>
                <w:color w:val="000000"/>
                <w:sz w:val="18"/>
                <w:szCs w:val="18"/>
                <w:lang w:eastAsia="sk-SK"/>
              </w:rPr>
            </w:pPr>
            <w:r w:rsidRPr="00933769">
              <w:rPr>
                <w:rFonts w:eastAsia="Times New Roman" w:cs="Times New Roman"/>
                <w:color w:val="000000"/>
                <w:sz w:val="18"/>
                <w:szCs w:val="18"/>
                <w:lang w:eastAsia="sk-SK"/>
              </w:rPr>
              <w:t>2 186</w:t>
            </w:r>
          </w:p>
        </w:tc>
        <w:tc>
          <w:tcPr>
            <w:tcW w:w="992" w:type="dxa"/>
            <w:tcBorders>
              <w:top w:val="nil"/>
              <w:left w:val="nil"/>
              <w:bottom w:val="nil"/>
              <w:right w:val="nil"/>
            </w:tcBorders>
            <w:shd w:val="clear" w:color="000000" w:fill="FFFFFF"/>
            <w:noWrap/>
            <w:vAlign w:val="center"/>
            <w:hideMark/>
          </w:tcPr>
          <w:p w14:paraId="29651FC6" w14:textId="77777777" w:rsidR="00C34E95" w:rsidRPr="00933769" w:rsidRDefault="00C34E95" w:rsidP="00F94C4D">
            <w:pPr>
              <w:spacing w:after="0" w:line="240" w:lineRule="auto"/>
              <w:jc w:val="right"/>
              <w:rPr>
                <w:rFonts w:eastAsia="Times New Roman" w:cs="Times New Roman"/>
                <w:color w:val="000000"/>
                <w:sz w:val="18"/>
                <w:szCs w:val="18"/>
                <w:lang w:eastAsia="sk-SK"/>
              </w:rPr>
            </w:pPr>
            <w:r w:rsidRPr="00933769">
              <w:rPr>
                <w:rFonts w:eastAsia="Times New Roman" w:cs="Times New Roman"/>
                <w:color w:val="000000"/>
                <w:sz w:val="18"/>
                <w:szCs w:val="18"/>
                <w:lang w:eastAsia="sk-SK"/>
              </w:rPr>
              <w:t>5 000</w:t>
            </w:r>
          </w:p>
        </w:tc>
        <w:tc>
          <w:tcPr>
            <w:tcW w:w="1134" w:type="dxa"/>
            <w:tcBorders>
              <w:top w:val="nil"/>
              <w:left w:val="nil"/>
              <w:bottom w:val="nil"/>
              <w:right w:val="nil"/>
            </w:tcBorders>
            <w:shd w:val="clear" w:color="auto" w:fill="BFBFBF" w:themeFill="background1" w:themeFillShade="BF"/>
            <w:noWrap/>
            <w:vAlign w:val="center"/>
            <w:hideMark/>
          </w:tcPr>
          <w:p w14:paraId="2780A69A" w14:textId="77777777" w:rsidR="00C34E95" w:rsidRPr="00933769" w:rsidRDefault="00C34E95" w:rsidP="00F94C4D">
            <w:pPr>
              <w:spacing w:after="0" w:line="240" w:lineRule="auto"/>
              <w:jc w:val="right"/>
              <w:rPr>
                <w:rFonts w:eastAsia="Times New Roman" w:cs="Times New Roman"/>
                <w:color w:val="000000"/>
                <w:sz w:val="18"/>
                <w:szCs w:val="18"/>
                <w:lang w:eastAsia="sk-SK"/>
              </w:rPr>
            </w:pPr>
            <w:r w:rsidRPr="00933769">
              <w:rPr>
                <w:rFonts w:eastAsia="Times New Roman" w:cs="Times New Roman"/>
                <w:color w:val="000000"/>
                <w:sz w:val="18"/>
                <w:szCs w:val="18"/>
                <w:lang w:eastAsia="sk-SK"/>
              </w:rPr>
              <w:t>3 477</w:t>
            </w:r>
          </w:p>
        </w:tc>
        <w:tc>
          <w:tcPr>
            <w:tcW w:w="1134" w:type="dxa"/>
            <w:tcBorders>
              <w:top w:val="nil"/>
              <w:left w:val="nil"/>
              <w:bottom w:val="nil"/>
              <w:right w:val="nil"/>
            </w:tcBorders>
            <w:shd w:val="clear" w:color="000000" w:fill="FFFFFF"/>
            <w:vAlign w:val="center"/>
            <w:hideMark/>
          </w:tcPr>
          <w:p w14:paraId="0D843A37" w14:textId="77777777" w:rsidR="00C34E95" w:rsidRPr="00933769" w:rsidRDefault="00C34E95" w:rsidP="00F94C4D">
            <w:pPr>
              <w:spacing w:after="0" w:line="240" w:lineRule="auto"/>
              <w:jc w:val="right"/>
              <w:rPr>
                <w:rFonts w:eastAsia="Times New Roman" w:cs="Times New Roman"/>
                <w:color w:val="000000"/>
                <w:sz w:val="18"/>
                <w:szCs w:val="18"/>
                <w:lang w:eastAsia="sk-SK"/>
              </w:rPr>
            </w:pPr>
            <w:r w:rsidRPr="00933769">
              <w:rPr>
                <w:rFonts w:eastAsia="Times New Roman" w:cs="Times New Roman"/>
                <w:color w:val="000000"/>
                <w:sz w:val="18"/>
                <w:szCs w:val="18"/>
                <w:lang w:eastAsia="sk-SK"/>
              </w:rPr>
              <w:t>-1 523</w:t>
            </w:r>
          </w:p>
        </w:tc>
        <w:tc>
          <w:tcPr>
            <w:tcW w:w="1134" w:type="dxa"/>
            <w:tcBorders>
              <w:top w:val="nil"/>
              <w:left w:val="nil"/>
              <w:bottom w:val="nil"/>
              <w:right w:val="nil"/>
            </w:tcBorders>
            <w:shd w:val="clear" w:color="000000" w:fill="FFFFFF"/>
            <w:vAlign w:val="center"/>
            <w:hideMark/>
          </w:tcPr>
          <w:p w14:paraId="24BA0269" w14:textId="77777777" w:rsidR="00C34E95" w:rsidRPr="00933769" w:rsidRDefault="00C34E95" w:rsidP="00F94C4D">
            <w:pPr>
              <w:spacing w:after="0" w:line="240" w:lineRule="auto"/>
              <w:jc w:val="right"/>
              <w:rPr>
                <w:rFonts w:eastAsia="Times New Roman" w:cs="Times New Roman"/>
                <w:color w:val="000000"/>
                <w:sz w:val="18"/>
                <w:szCs w:val="18"/>
                <w:lang w:eastAsia="sk-SK"/>
              </w:rPr>
            </w:pPr>
            <w:r w:rsidRPr="00933769">
              <w:rPr>
                <w:rFonts w:eastAsia="Times New Roman" w:cs="Times New Roman"/>
                <w:color w:val="000000"/>
                <w:sz w:val="18"/>
                <w:szCs w:val="18"/>
                <w:lang w:eastAsia="sk-SK"/>
              </w:rPr>
              <w:t>-30,5</w:t>
            </w:r>
          </w:p>
        </w:tc>
      </w:tr>
      <w:tr w:rsidR="00C34E95" w:rsidRPr="00933769" w14:paraId="63C14E26" w14:textId="77777777" w:rsidTr="000D4942">
        <w:trPr>
          <w:trHeight w:val="278"/>
        </w:trPr>
        <w:tc>
          <w:tcPr>
            <w:tcW w:w="2283" w:type="dxa"/>
            <w:tcBorders>
              <w:top w:val="nil"/>
              <w:left w:val="nil"/>
              <w:bottom w:val="nil"/>
              <w:right w:val="nil"/>
            </w:tcBorders>
            <w:shd w:val="clear" w:color="000000" w:fill="FFFFFF"/>
            <w:noWrap/>
            <w:vAlign w:val="center"/>
            <w:hideMark/>
          </w:tcPr>
          <w:p w14:paraId="55DFDA44" w14:textId="77777777" w:rsidR="00C34E95" w:rsidRPr="00933769" w:rsidRDefault="00C34E95" w:rsidP="00C34E95">
            <w:pPr>
              <w:spacing w:after="0" w:line="240" w:lineRule="auto"/>
              <w:jc w:val="left"/>
              <w:rPr>
                <w:rFonts w:eastAsia="Times New Roman" w:cs="Times New Roman"/>
                <w:color w:val="000000"/>
                <w:sz w:val="18"/>
                <w:szCs w:val="18"/>
                <w:lang w:eastAsia="sk-SK"/>
              </w:rPr>
            </w:pPr>
            <w:r w:rsidRPr="00933769">
              <w:rPr>
                <w:rFonts w:eastAsia="Times New Roman" w:cs="Times New Roman"/>
                <w:color w:val="000000"/>
                <w:sz w:val="18"/>
                <w:szCs w:val="18"/>
                <w:lang w:eastAsia="sk-SK"/>
              </w:rPr>
              <w:t>Rezerva predsedu vlády SR</w:t>
            </w:r>
          </w:p>
        </w:tc>
        <w:tc>
          <w:tcPr>
            <w:tcW w:w="709" w:type="dxa"/>
            <w:tcBorders>
              <w:top w:val="nil"/>
              <w:left w:val="nil"/>
              <w:bottom w:val="nil"/>
              <w:right w:val="nil"/>
            </w:tcBorders>
            <w:shd w:val="clear" w:color="000000" w:fill="FFFFFF"/>
            <w:noWrap/>
            <w:vAlign w:val="center"/>
            <w:hideMark/>
          </w:tcPr>
          <w:p w14:paraId="07C5520D" w14:textId="77777777" w:rsidR="00C34E95" w:rsidRPr="00933769" w:rsidRDefault="00C34E95" w:rsidP="00F94C4D">
            <w:pPr>
              <w:spacing w:after="0" w:line="240" w:lineRule="auto"/>
              <w:jc w:val="right"/>
              <w:rPr>
                <w:rFonts w:eastAsia="Times New Roman" w:cs="Times New Roman"/>
                <w:color w:val="000000"/>
                <w:sz w:val="18"/>
                <w:szCs w:val="18"/>
                <w:lang w:eastAsia="sk-SK"/>
              </w:rPr>
            </w:pPr>
            <w:r w:rsidRPr="00933769">
              <w:rPr>
                <w:rFonts w:eastAsia="Times New Roman" w:cs="Times New Roman"/>
                <w:color w:val="000000"/>
                <w:sz w:val="18"/>
                <w:szCs w:val="18"/>
                <w:lang w:eastAsia="sk-SK"/>
              </w:rPr>
              <w:t>3 060</w:t>
            </w:r>
          </w:p>
        </w:tc>
        <w:tc>
          <w:tcPr>
            <w:tcW w:w="1134" w:type="dxa"/>
            <w:tcBorders>
              <w:top w:val="nil"/>
              <w:left w:val="nil"/>
              <w:bottom w:val="nil"/>
              <w:right w:val="nil"/>
            </w:tcBorders>
            <w:shd w:val="clear" w:color="000000" w:fill="FFFFFF"/>
            <w:noWrap/>
            <w:vAlign w:val="center"/>
            <w:hideMark/>
          </w:tcPr>
          <w:p w14:paraId="37E96D0D" w14:textId="77777777" w:rsidR="00C34E95" w:rsidRPr="00933769" w:rsidRDefault="00C34E95" w:rsidP="00F94C4D">
            <w:pPr>
              <w:spacing w:after="0" w:line="240" w:lineRule="auto"/>
              <w:jc w:val="right"/>
              <w:rPr>
                <w:rFonts w:eastAsia="Times New Roman" w:cs="Times New Roman"/>
                <w:color w:val="000000"/>
                <w:sz w:val="18"/>
                <w:szCs w:val="18"/>
                <w:lang w:eastAsia="sk-SK"/>
              </w:rPr>
            </w:pPr>
            <w:r w:rsidRPr="00933769">
              <w:rPr>
                <w:rFonts w:eastAsia="Times New Roman" w:cs="Times New Roman"/>
                <w:color w:val="000000"/>
                <w:sz w:val="18"/>
                <w:szCs w:val="18"/>
                <w:lang w:eastAsia="sk-SK"/>
              </w:rPr>
              <w:t>1 575</w:t>
            </w:r>
          </w:p>
        </w:tc>
        <w:tc>
          <w:tcPr>
            <w:tcW w:w="992" w:type="dxa"/>
            <w:tcBorders>
              <w:top w:val="nil"/>
              <w:left w:val="nil"/>
              <w:bottom w:val="nil"/>
              <w:right w:val="nil"/>
            </w:tcBorders>
            <w:shd w:val="clear" w:color="000000" w:fill="FFFFFF"/>
            <w:noWrap/>
            <w:vAlign w:val="center"/>
            <w:hideMark/>
          </w:tcPr>
          <w:p w14:paraId="11096BA2" w14:textId="77777777" w:rsidR="00C34E95" w:rsidRPr="00933769" w:rsidRDefault="00C34E95" w:rsidP="00F94C4D">
            <w:pPr>
              <w:spacing w:after="0" w:line="240" w:lineRule="auto"/>
              <w:jc w:val="right"/>
              <w:rPr>
                <w:rFonts w:eastAsia="Times New Roman" w:cs="Times New Roman"/>
                <w:color w:val="000000"/>
                <w:sz w:val="18"/>
                <w:szCs w:val="18"/>
                <w:lang w:eastAsia="sk-SK"/>
              </w:rPr>
            </w:pPr>
            <w:r w:rsidRPr="00933769">
              <w:rPr>
                <w:rFonts w:eastAsia="Times New Roman" w:cs="Times New Roman"/>
                <w:color w:val="000000"/>
                <w:sz w:val="18"/>
                <w:szCs w:val="18"/>
                <w:lang w:eastAsia="sk-SK"/>
              </w:rPr>
              <w:t>1 500</w:t>
            </w:r>
          </w:p>
        </w:tc>
        <w:tc>
          <w:tcPr>
            <w:tcW w:w="1134" w:type="dxa"/>
            <w:tcBorders>
              <w:top w:val="nil"/>
              <w:left w:val="nil"/>
              <w:bottom w:val="nil"/>
              <w:right w:val="nil"/>
            </w:tcBorders>
            <w:shd w:val="clear" w:color="auto" w:fill="BFBFBF" w:themeFill="background1" w:themeFillShade="BF"/>
            <w:noWrap/>
            <w:vAlign w:val="center"/>
            <w:hideMark/>
          </w:tcPr>
          <w:p w14:paraId="3172EC83" w14:textId="77777777" w:rsidR="00C34E95" w:rsidRPr="00933769" w:rsidRDefault="00C34E95" w:rsidP="00F94C4D">
            <w:pPr>
              <w:spacing w:after="0" w:line="240" w:lineRule="auto"/>
              <w:jc w:val="right"/>
              <w:rPr>
                <w:rFonts w:eastAsia="Times New Roman" w:cs="Times New Roman"/>
                <w:color w:val="000000"/>
                <w:sz w:val="18"/>
                <w:szCs w:val="18"/>
                <w:lang w:eastAsia="sk-SK"/>
              </w:rPr>
            </w:pPr>
            <w:r w:rsidRPr="00933769">
              <w:rPr>
                <w:rFonts w:eastAsia="Times New Roman" w:cs="Times New Roman"/>
                <w:color w:val="000000"/>
                <w:sz w:val="18"/>
                <w:szCs w:val="18"/>
                <w:lang w:eastAsia="sk-SK"/>
              </w:rPr>
              <w:t>3 144</w:t>
            </w:r>
          </w:p>
        </w:tc>
        <w:tc>
          <w:tcPr>
            <w:tcW w:w="1134" w:type="dxa"/>
            <w:tcBorders>
              <w:top w:val="nil"/>
              <w:left w:val="nil"/>
              <w:bottom w:val="nil"/>
              <w:right w:val="nil"/>
            </w:tcBorders>
            <w:shd w:val="clear" w:color="000000" w:fill="FFFFFF"/>
            <w:vAlign w:val="center"/>
            <w:hideMark/>
          </w:tcPr>
          <w:p w14:paraId="20E81C15" w14:textId="77777777" w:rsidR="00C34E95" w:rsidRPr="00933769" w:rsidRDefault="00C34E95" w:rsidP="00F94C4D">
            <w:pPr>
              <w:spacing w:after="0" w:line="240" w:lineRule="auto"/>
              <w:jc w:val="right"/>
              <w:rPr>
                <w:rFonts w:eastAsia="Times New Roman" w:cs="Times New Roman"/>
                <w:color w:val="000000"/>
                <w:sz w:val="18"/>
                <w:szCs w:val="18"/>
                <w:lang w:eastAsia="sk-SK"/>
              </w:rPr>
            </w:pPr>
            <w:r w:rsidRPr="00933769">
              <w:rPr>
                <w:rFonts w:eastAsia="Times New Roman" w:cs="Times New Roman"/>
                <w:color w:val="000000"/>
                <w:sz w:val="18"/>
                <w:szCs w:val="18"/>
                <w:lang w:eastAsia="sk-SK"/>
              </w:rPr>
              <w:t>1 644</w:t>
            </w:r>
          </w:p>
        </w:tc>
        <w:tc>
          <w:tcPr>
            <w:tcW w:w="1134" w:type="dxa"/>
            <w:tcBorders>
              <w:top w:val="nil"/>
              <w:left w:val="nil"/>
              <w:bottom w:val="nil"/>
              <w:right w:val="nil"/>
            </w:tcBorders>
            <w:shd w:val="clear" w:color="000000" w:fill="FFFFFF"/>
            <w:vAlign w:val="center"/>
            <w:hideMark/>
          </w:tcPr>
          <w:p w14:paraId="038A17D7" w14:textId="77777777" w:rsidR="00C34E95" w:rsidRPr="00933769" w:rsidRDefault="00C34E95" w:rsidP="00F94C4D">
            <w:pPr>
              <w:spacing w:after="0" w:line="240" w:lineRule="auto"/>
              <w:jc w:val="right"/>
              <w:rPr>
                <w:rFonts w:eastAsia="Times New Roman" w:cs="Times New Roman"/>
                <w:color w:val="000000"/>
                <w:sz w:val="18"/>
                <w:szCs w:val="18"/>
                <w:lang w:eastAsia="sk-SK"/>
              </w:rPr>
            </w:pPr>
            <w:r w:rsidRPr="00933769">
              <w:rPr>
                <w:rFonts w:eastAsia="Times New Roman" w:cs="Times New Roman"/>
                <w:color w:val="000000"/>
                <w:sz w:val="18"/>
                <w:szCs w:val="18"/>
                <w:lang w:eastAsia="sk-SK"/>
              </w:rPr>
              <w:t>109,6</w:t>
            </w:r>
          </w:p>
        </w:tc>
      </w:tr>
      <w:tr w:rsidR="00C34E95" w:rsidRPr="00933769" w14:paraId="763A6114" w14:textId="77777777" w:rsidTr="000D4942">
        <w:trPr>
          <w:trHeight w:val="278"/>
        </w:trPr>
        <w:tc>
          <w:tcPr>
            <w:tcW w:w="2283" w:type="dxa"/>
            <w:tcBorders>
              <w:top w:val="nil"/>
              <w:left w:val="nil"/>
              <w:bottom w:val="nil"/>
              <w:right w:val="nil"/>
            </w:tcBorders>
            <w:shd w:val="clear" w:color="000000" w:fill="FFFFFF"/>
            <w:noWrap/>
            <w:vAlign w:val="center"/>
            <w:hideMark/>
          </w:tcPr>
          <w:p w14:paraId="09DFE6BE" w14:textId="77777777" w:rsidR="00C34E95" w:rsidRPr="00933769" w:rsidRDefault="00C34E95" w:rsidP="00C34E95">
            <w:pPr>
              <w:spacing w:after="0" w:line="240" w:lineRule="auto"/>
              <w:jc w:val="left"/>
              <w:rPr>
                <w:rFonts w:eastAsia="Times New Roman" w:cs="Times New Roman"/>
                <w:color w:val="000000"/>
                <w:sz w:val="18"/>
                <w:szCs w:val="18"/>
                <w:lang w:eastAsia="sk-SK"/>
              </w:rPr>
            </w:pPr>
            <w:r w:rsidRPr="00933769">
              <w:rPr>
                <w:rFonts w:eastAsia="Times New Roman" w:cs="Times New Roman"/>
                <w:color w:val="000000"/>
                <w:sz w:val="18"/>
                <w:szCs w:val="18"/>
                <w:lang w:eastAsia="sk-SK"/>
              </w:rPr>
              <w:t>Rezerva na prostriedky Európskej únie a odvody EÚ</w:t>
            </w:r>
          </w:p>
        </w:tc>
        <w:tc>
          <w:tcPr>
            <w:tcW w:w="709" w:type="dxa"/>
            <w:tcBorders>
              <w:top w:val="nil"/>
              <w:left w:val="nil"/>
              <w:bottom w:val="nil"/>
              <w:right w:val="nil"/>
            </w:tcBorders>
            <w:shd w:val="clear" w:color="000000" w:fill="FFFFFF"/>
            <w:noWrap/>
            <w:vAlign w:val="center"/>
            <w:hideMark/>
          </w:tcPr>
          <w:p w14:paraId="6DA3BFD1" w14:textId="77777777" w:rsidR="00C34E95" w:rsidRPr="00933769" w:rsidRDefault="00C34E95" w:rsidP="00F94C4D">
            <w:pPr>
              <w:spacing w:after="0" w:line="240" w:lineRule="auto"/>
              <w:jc w:val="right"/>
              <w:rPr>
                <w:rFonts w:eastAsia="Times New Roman" w:cs="Times New Roman"/>
                <w:color w:val="000000"/>
                <w:sz w:val="18"/>
                <w:szCs w:val="18"/>
                <w:lang w:eastAsia="sk-SK"/>
              </w:rPr>
            </w:pPr>
            <w:r w:rsidRPr="00933769">
              <w:rPr>
                <w:rFonts w:eastAsia="Times New Roman" w:cs="Times New Roman"/>
                <w:color w:val="000000"/>
                <w:sz w:val="18"/>
                <w:szCs w:val="18"/>
                <w:lang w:eastAsia="sk-SK"/>
              </w:rPr>
              <w:t>11 109</w:t>
            </w:r>
          </w:p>
        </w:tc>
        <w:tc>
          <w:tcPr>
            <w:tcW w:w="1134" w:type="dxa"/>
            <w:tcBorders>
              <w:top w:val="nil"/>
              <w:left w:val="nil"/>
              <w:bottom w:val="nil"/>
              <w:right w:val="nil"/>
            </w:tcBorders>
            <w:shd w:val="clear" w:color="000000" w:fill="FFFFFF"/>
            <w:noWrap/>
            <w:vAlign w:val="center"/>
            <w:hideMark/>
          </w:tcPr>
          <w:p w14:paraId="3E02A8FD" w14:textId="77777777" w:rsidR="00C34E95" w:rsidRPr="00933769" w:rsidRDefault="00C34E95" w:rsidP="00F94C4D">
            <w:pPr>
              <w:spacing w:after="0" w:line="240" w:lineRule="auto"/>
              <w:jc w:val="right"/>
              <w:rPr>
                <w:rFonts w:eastAsia="Times New Roman" w:cs="Times New Roman"/>
                <w:color w:val="000000"/>
                <w:sz w:val="18"/>
                <w:szCs w:val="18"/>
                <w:lang w:eastAsia="sk-SK"/>
              </w:rPr>
            </w:pPr>
            <w:r w:rsidRPr="00933769">
              <w:rPr>
                <w:rFonts w:eastAsia="Times New Roman" w:cs="Times New Roman"/>
                <w:color w:val="000000"/>
                <w:sz w:val="18"/>
                <w:szCs w:val="18"/>
                <w:lang w:eastAsia="sk-SK"/>
              </w:rPr>
              <w:t>0</w:t>
            </w:r>
          </w:p>
        </w:tc>
        <w:tc>
          <w:tcPr>
            <w:tcW w:w="992" w:type="dxa"/>
            <w:tcBorders>
              <w:top w:val="nil"/>
              <w:left w:val="nil"/>
              <w:bottom w:val="nil"/>
              <w:right w:val="nil"/>
            </w:tcBorders>
            <w:shd w:val="clear" w:color="000000" w:fill="FFFFFF"/>
            <w:noWrap/>
            <w:vAlign w:val="center"/>
            <w:hideMark/>
          </w:tcPr>
          <w:p w14:paraId="0719D9B1" w14:textId="77777777" w:rsidR="00C34E95" w:rsidRPr="00933769" w:rsidRDefault="00C34E95" w:rsidP="00F94C4D">
            <w:pPr>
              <w:spacing w:after="0" w:line="240" w:lineRule="auto"/>
              <w:jc w:val="right"/>
              <w:rPr>
                <w:rFonts w:eastAsia="Times New Roman" w:cs="Times New Roman"/>
                <w:color w:val="000000"/>
                <w:sz w:val="18"/>
                <w:szCs w:val="18"/>
                <w:lang w:eastAsia="sk-SK"/>
              </w:rPr>
            </w:pPr>
            <w:r w:rsidRPr="00933769">
              <w:rPr>
                <w:rFonts w:eastAsia="Times New Roman" w:cs="Times New Roman"/>
                <w:color w:val="000000"/>
                <w:sz w:val="18"/>
                <w:szCs w:val="18"/>
                <w:lang w:eastAsia="sk-SK"/>
              </w:rPr>
              <w:t>130 206</w:t>
            </w:r>
          </w:p>
        </w:tc>
        <w:tc>
          <w:tcPr>
            <w:tcW w:w="1134" w:type="dxa"/>
            <w:tcBorders>
              <w:top w:val="nil"/>
              <w:left w:val="nil"/>
              <w:bottom w:val="nil"/>
              <w:right w:val="nil"/>
            </w:tcBorders>
            <w:shd w:val="clear" w:color="auto" w:fill="BFBFBF" w:themeFill="background1" w:themeFillShade="BF"/>
            <w:noWrap/>
            <w:vAlign w:val="center"/>
            <w:hideMark/>
          </w:tcPr>
          <w:p w14:paraId="05C0FE5F" w14:textId="77777777" w:rsidR="00C34E95" w:rsidRPr="00933769" w:rsidRDefault="00C34E95" w:rsidP="00F94C4D">
            <w:pPr>
              <w:spacing w:after="0" w:line="240" w:lineRule="auto"/>
              <w:jc w:val="right"/>
              <w:rPr>
                <w:rFonts w:eastAsia="Times New Roman" w:cs="Times New Roman"/>
                <w:color w:val="000000"/>
                <w:sz w:val="18"/>
                <w:szCs w:val="18"/>
                <w:lang w:eastAsia="sk-SK"/>
              </w:rPr>
            </w:pPr>
            <w:r w:rsidRPr="00933769">
              <w:rPr>
                <w:rFonts w:eastAsia="Times New Roman" w:cs="Times New Roman"/>
                <w:color w:val="000000"/>
                <w:sz w:val="18"/>
                <w:szCs w:val="18"/>
                <w:lang w:eastAsia="sk-SK"/>
              </w:rPr>
              <w:t>0</w:t>
            </w:r>
          </w:p>
        </w:tc>
        <w:tc>
          <w:tcPr>
            <w:tcW w:w="1134" w:type="dxa"/>
            <w:tcBorders>
              <w:top w:val="nil"/>
              <w:left w:val="nil"/>
              <w:bottom w:val="nil"/>
              <w:right w:val="nil"/>
            </w:tcBorders>
            <w:shd w:val="clear" w:color="000000" w:fill="FFFFFF"/>
            <w:vAlign w:val="center"/>
            <w:hideMark/>
          </w:tcPr>
          <w:p w14:paraId="57EB3649" w14:textId="77777777" w:rsidR="00C34E95" w:rsidRPr="00933769" w:rsidRDefault="00C34E95" w:rsidP="00F94C4D">
            <w:pPr>
              <w:spacing w:after="0" w:line="240" w:lineRule="auto"/>
              <w:jc w:val="right"/>
              <w:rPr>
                <w:rFonts w:eastAsia="Times New Roman" w:cs="Times New Roman"/>
                <w:color w:val="000000"/>
                <w:sz w:val="18"/>
                <w:szCs w:val="18"/>
                <w:lang w:eastAsia="sk-SK"/>
              </w:rPr>
            </w:pPr>
            <w:r w:rsidRPr="00933769">
              <w:rPr>
                <w:rFonts w:eastAsia="Times New Roman" w:cs="Times New Roman"/>
                <w:color w:val="000000"/>
                <w:sz w:val="18"/>
                <w:szCs w:val="18"/>
                <w:lang w:eastAsia="sk-SK"/>
              </w:rPr>
              <w:t>-130 206</w:t>
            </w:r>
          </w:p>
        </w:tc>
        <w:tc>
          <w:tcPr>
            <w:tcW w:w="1134" w:type="dxa"/>
            <w:tcBorders>
              <w:top w:val="nil"/>
              <w:left w:val="nil"/>
              <w:bottom w:val="nil"/>
              <w:right w:val="nil"/>
            </w:tcBorders>
            <w:shd w:val="clear" w:color="000000" w:fill="FFFFFF"/>
            <w:vAlign w:val="center"/>
            <w:hideMark/>
          </w:tcPr>
          <w:p w14:paraId="758E7C10" w14:textId="77777777" w:rsidR="00C34E95" w:rsidRPr="00933769" w:rsidRDefault="00C34E95" w:rsidP="00F94C4D">
            <w:pPr>
              <w:spacing w:after="0" w:line="240" w:lineRule="auto"/>
              <w:jc w:val="right"/>
              <w:rPr>
                <w:rFonts w:eastAsia="Times New Roman" w:cs="Times New Roman"/>
                <w:color w:val="000000"/>
                <w:sz w:val="18"/>
                <w:szCs w:val="18"/>
                <w:lang w:eastAsia="sk-SK"/>
              </w:rPr>
            </w:pPr>
            <w:r w:rsidRPr="00933769">
              <w:rPr>
                <w:rFonts w:eastAsia="Times New Roman" w:cs="Times New Roman"/>
                <w:color w:val="000000"/>
                <w:sz w:val="18"/>
                <w:szCs w:val="18"/>
                <w:lang w:eastAsia="sk-SK"/>
              </w:rPr>
              <w:t>-100,0</w:t>
            </w:r>
          </w:p>
        </w:tc>
      </w:tr>
      <w:tr w:rsidR="00C34E95" w:rsidRPr="00933769" w14:paraId="7FD1B7E8" w14:textId="77777777" w:rsidTr="00DC4EEE">
        <w:trPr>
          <w:trHeight w:val="290"/>
        </w:trPr>
        <w:tc>
          <w:tcPr>
            <w:tcW w:w="2283" w:type="dxa"/>
            <w:tcBorders>
              <w:top w:val="single" w:sz="4" w:space="0" w:color="auto"/>
              <w:left w:val="nil"/>
              <w:bottom w:val="single" w:sz="8" w:space="0" w:color="auto"/>
              <w:right w:val="nil"/>
            </w:tcBorders>
            <w:shd w:val="clear" w:color="000000" w:fill="FFFFFF"/>
            <w:noWrap/>
            <w:vAlign w:val="center"/>
            <w:hideMark/>
          </w:tcPr>
          <w:p w14:paraId="38AB326E" w14:textId="77777777" w:rsidR="00C34E95" w:rsidRPr="00933769" w:rsidRDefault="00C34E95" w:rsidP="00C34E95">
            <w:pPr>
              <w:spacing w:after="0" w:line="240" w:lineRule="auto"/>
              <w:jc w:val="left"/>
              <w:rPr>
                <w:rFonts w:eastAsia="Times New Roman" w:cs="Times New Roman"/>
                <w:b/>
                <w:color w:val="000000"/>
                <w:sz w:val="18"/>
                <w:szCs w:val="18"/>
                <w:lang w:eastAsia="sk-SK"/>
              </w:rPr>
            </w:pPr>
            <w:r w:rsidRPr="00933769">
              <w:rPr>
                <w:rFonts w:eastAsia="Times New Roman" w:cs="Times New Roman"/>
                <w:b/>
                <w:color w:val="000000"/>
                <w:sz w:val="18"/>
                <w:szCs w:val="18"/>
                <w:lang w:eastAsia="sk-SK"/>
              </w:rPr>
              <w:t>Spolu</w:t>
            </w:r>
          </w:p>
        </w:tc>
        <w:tc>
          <w:tcPr>
            <w:tcW w:w="709" w:type="dxa"/>
            <w:tcBorders>
              <w:top w:val="single" w:sz="4" w:space="0" w:color="auto"/>
              <w:left w:val="nil"/>
              <w:bottom w:val="single" w:sz="8" w:space="0" w:color="auto"/>
              <w:right w:val="nil"/>
            </w:tcBorders>
            <w:shd w:val="clear" w:color="000000" w:fill="FFFFFF"/>
            <w:noWrap/>
            <w:vAlign w:val="center"/>
            <w:hideMark/>
          </w:tcPr>
          <w:p w14:paraId="1ABA6AAC" w14:textId="77777777" w:rsidR="00C34E95" w:rsidRPr="00933769" w:rsidRDefault="00C34E95" w:rsidP="00C34E95">
            <w:pPr>
              <w:spacing w:after="0" w:line="240" w:lineRule="auto"/>
              <w:jc w:val="right"/>
              <w:rPr>
                <w:rFonts w:eastAsia="Times New Roman" w:cs="Times New Roman"/>
                <w:b/>
                <w:color w:val="000000"/>
                <w:sz w:val="18"/>
                <w:szCs w:val="18"/>
                <w:lang w:eastAsia="sk-SK"/>
              </w:rPr>
            </w:pPr>
            <w:r w:rsidRPr="00933769">
              <w:rPr>
                <w:rFonts w:eastAsia="Times New Roman" w:cs="Times New Roman"/>
                <w:b/>
                <w:color w:val="000000"/>
                <w:sz w:val="18"/>
                <w:szCs w:val="18"/>
                <w:lang w:eastAsia="sk-SK"/>
              </w:rPr>
              <w:t>14 188</w:t>
            </w:r>
          </w:p>
        </w:tc>
        <w:tc>
          <w:tcPr>
            <w:tcW w:w="1134" w:type="dxa"/>
            <w:tcBorders>
              <w:top w:val="single" w:sz="4" w:space="0" w:color="auto"/>
              <w:left w:val="nil"/>
              <w:bottom w:val="single" w:sz="8" w:space="0" w:color="auto"/>
              <w:right w:val="nil"/>
            </w:tcBorders>
            <w:shd w:val="clear" w:color="000000" w:fill="FFFFFF"/>
            <w:noWrap/>
            <w:vAlign w:val="center"/>
            <w:hideMark/>
          </w:tcPr>
          <w:p w14:paraId="7C9B119C" w14:textId="77777777" w:rsidR="00C34E95" w:rsidRPr="00933769" w:rsidRDefault="00C34E95" w:rsidP="00C34E95">
            <w:pPr>
              <w:spacing w:after="0" w:line="240" w:lineRule="auto"/>
              <w:jc w:val="right"/>
              <w:rPr>
                <w:rFonts w:eastAsia="Times New Roman" w:cs="Times New Roman"/>
                <w:b/>
                <w:color w:val="000000"/>
                <w:sz w:val="18"/>
                <w:szCs w:val="18"/>
                <w:lang w:eastAsia="sk-SK"/>
              </w:rPr>
            </w:pPr>
            <w:r w:rsidRPr="00933769">
              <w:rPr>
                <w:rFonts w:eastAsia="Times New Roman" w:cs="Times New Roman"/>
                <w:b/>
                <w:color w:val="000000"/>
                <w:sz w:val="18"/>
                <w:szCs w:val="18"/>
                <w:lang w:eastAsia="sk-SK"/>
              </w:rPr>
              <w:t>3 761</w:t>
            </w:r>
          </w:p>
        </w:tc>
        <w:tc>
          <w:tcPr>
            <w:tcW w:w="992" w:type="dxa"/>
            <w:tcBorders>
              <w:top w:val="single" w:sz="4" w:space="0" w:color="auto"/>
              <w:left w:val="nil"/>
              <w:bottom w:val="single" w:sz="8" w:space="0" w:color="auto"/>
              <w:right w:val="nil"/>
            </w:tcBorders>
            <w:shd w:val="clear" w:color="000000" w:fill="FFFFFF"/>
            <w:noWrap/>
            <w:vAlign w:val="center"/>
            <w:hideMark/>
          </w:tcPr>
          <w:p w14:paraId="63FF98A9" w14:textId="77777777" w:rsidR="00C34E95" w:rsidRPr="00933769" w:rsidRDefault="00C34E95" w:rsidP="00C34E95">
            <w:pPr>
              <w:spacing w:after="0" w:line="240" w:lineRule="auto"/>
              <w:jc w:val="right"/>
              <w:rPr>
                <w:rFonts w:eastAsia="Times New Roman" w:cs="Times New Roman"/>
                <w:b/>
                <w:color w:val="000000"/>
                <w:sz w:val="18"/>
                <w:szCs w:val="18"/>
                <w:lang w:eastAsia="sk-SK"/>
              </w:rPr>
            </w:pPr>
            <w:r w:rsidRPr="00933769">
              <w:rPr>
                <w:rFonts w:eastAsia="Times New Roman" w:cs="Times New Roman"/>
                <w:b/>
                <w:color w:val="000000"/>
                <w:sz w:val="18"/>
                <w:szCs w:val="18"/>
                <w:lang w:eastAsia="sk-SK"/>
              </w:rPr>
              <w:t>136 706</w:t>
            </w:r>
          </w:p>
        </w:tc>
        <w:tc>
          <w:tcPr>
            <w:tcW w:w="1134" w:type="dxa"/>
            <w:tcBorders>
              <w:top w:val="single" w:sz="4" w:space="0" w:color="auto"/>
              <w:left w:val="nil"/>
              <w:bottom w:val="single" w:sz="8" w:space="0" w:color="auto"/>
              <w:right w:val="nil"/>
            </w:tcBorders>
            <w:shd w:val="clear" w:color="000000" w:fill="BFBFBF"/>
            <w:noWrap/>
            <w:vAlign w:val="center"/>
            <w:hideMark/>
          </w:tcPr>
          <w:p w14:paraId="5F90897F" w14:textId="77777777" w:rsidR="00C34E95" w:rsidRPr="00933769" w:rsidRDefault="00C34E95" w:rsidP="00C34E95">
            <w:pPr>
              <w:spacing w:after="0" w:line="240" w:lineRule="auto"/>
              <w:jc w:val="right"/>
              <w:rPr>
                <w:rFonts w:eastAsia="Times New Roman" w:cs="Times New Roman"/>
                <w:b/>
                <w:color w:val="000000"/>
                <w:sz w:val="18"/>
                <w:szCs w:val="18"/>
                <w:lang w:eastAsia="sk-SK"/>
              </w:rPr>
            </w:pPr>
            <w:r w:rsidRPr="00933769">
              <w:rPr>
                <w:rFonts w:eastAsia="Times New Roman" w:cs="Times New Roman"/>
                <w:b/>
                <w:color w:val="000000"/>
                <w:sz w:val="18"/>
                <w:szCs w:val="18"/>
                <w:lang w:eastAsia="sk-SK"/>
              </w:rPr>
              <w:t>6 621</w:t>
            </w:r>
          </w:p>
        </w:tc>
        <w:tc>
          <w:tcPr>
            <w:tcW w:w="1134" w:type="dxa"/>
            <w:tcBorders>
              <w:top w:val="single" w:sz="4" w:space="0" w:color="auto"/>
              <w:left w:val="nil"/>
              <w:bottom w:val="single" w:sz="8" w:space="0" w:color="auto"/>
              <w:right w:val="nil"/>
            </w:tcBorders>
            <w:shd w:val="clear" w:color="000000" w:fill="FFFFFF"/>
            <w:noWrap/>
            <w:vAlign w:val="center"/>
            <w:hideMark/>
          </w:tcPr>
          <w:p w14:paraId="46F7C1E0" w14:textId="77777777" w:rsidR="00C34E95" w:rsidRPr="00933769" w:rsidRDefault="00C34E95" w:rsidP="00C34E95">
            <w:pPr>
              <w:spacing w:after="0" w:line="240" w:lineRule="auto"/>
              <w:jc w:val="right"/>
              <w:rPr>
                <w:rFonts w:eastAsia="Times New Roman" w:cs="Times New Roman"/>
                <w:b/>
                <w:color w:val="000000"/>
                <w:sz w:val="18"/>
                <w:szCs w:val="18"/>
                <w:lang w:eastAsia="sk-SK"/>
              </w:rPr>
            </w:pPr>
            <w:r w:rsidRPr="00933769">
              <w:rPr>
                <w:rFonts w:eastAsia="Times New Roman" w:cs="Times New Roman"/>
                <w:b/>
                <w:color w:val="000000"/>
                <w:sz w:val="18"/>
                <w:szCs w:val="18"/>
                <w:lang w:eastAsia="sk-SK"/>
              </w:rPr>
              <w:t>-130 085</w:t>
            </w:r>
          </w:p>
        </w:tc>
        <w:tc>
          <w:tcPr>
            <w:tcW w:w="1134" w:type="dxa"/>
            <w:tcBorders>
              <w:top w:val="single" w:sz="4" w:space="0" w:color="auto"/>
              <w:left w:val="nil"/>
              <w:bottom w:val="single" w:sz="8" w:space="0" w:color="auto"/>
              <w:right w:val="nil"/>
            </w:tcBorders>
            <w:shd w:val="clear" w:color="000000" w:fill="FFFFFF"/>
            <w:noWrap/>
            <w:vAlign w:val="center"/>
            <w:hideMark/>
          </w:tcPr>
          <w:p w14:paraId="29D58811" w14:textId="77777777" w:rsidR="00C34E95" w:rsidRPr="00933769" w:rsidRDefault="00C34E95" w:rsidP="00C34E95">
            <w:pPr>
              <w:spacing w:after="0" w:line="240" w:lineRule="auto"/>
              <w:jc w:val="right"/>
              <w:rPr>
                <w:rFonts w:eastAsia="Times New Roman" w:cs="Times New Roman"/>
                <w:b/>
                <w:color w:val="000000"/>
                <w:sz w:val="18"/>
                <w:szCs w:val="18"/>
                <w:lang w:eastAsia="sk-SK"/>
              </w:rPr>
            </w:pPr>
            <w:r w:rsidRPr="00933769">
              <w:rPr>
                <w:rFonts w:eastAsia="Times New Roman" w:cs="Times New Roman"/>
                <w:b/>
                <w:color w:val="000000"/>
                <w:sz w:val="18"/>
                <w:szCs w:val="18"/>
                <w:lang w:eastAsia="sk-SK"/>
              </w:rPr>
              <w:t>-95,2</w:t>
            </w:r>
          </w:p>
        </w:tc>
      </w:tr>
    </w:tbl>
    <w:p w14:paraId="2B894747" w14:textId="77777777" w:rsidR="00C34E95" w:rsidRPr="00C34E95" w:rsidRDefault="00C34E95" w:rsidP="00C97AF7">
      <w:pPr>
        <w:spacing w:after="0" w:line="240" w:lineRule="auto"/>
        <w:jc w:val="right"/>
        <w:rPr>
          <w:rFonts w:eastAsia="Times New Roman" w:cs="Times New Roman"/>
          <w:color w:val="000000"/>
          <w:sz w:val="18"/>
          <w:szCs w:val="18"/>
          <w:lang w:eastAsia="sk-SK"/>
        </w:rPr>
      </w:pPr>
      <w:r w:rsidRPr="00C34E95">
        <w:rPr>
          <w:rFonts w:eastAsia="Times New Roman" w:cs="Times New Roman"/>
          <w:color w:val="000000"/>
          <w:sz w:val="18"/>
          <w:szCs w:val="18"/>
          <w:lang w:eastAsia="sk-SK"/>
        </w:rPr>
        <w:t>Zdroj: MF SR</w:t>
      </w:r>
    </w:p>
    <w:p w14:paraId="4C803C58" w14:textId="77777777" w:rsidR="00C34E95" w:rsidRPr="00F000D9" w:rsidRDefault="00C34E95" w:rsidP="00933769">
      <w:pPr>
        <w:pStyle w:val="Zkladntext1"/>
        <w:tabs>
          <w:tab w:val="left" w:pos="284"/>
        </w:tabs>
        <w:spacing w:after="120" w:line="336" w:lineRule="auto"/>
        <w:rPr>
          <w:rFonts w:ascii="Times New Roman" w:hAnsi="Times New Roman"/>
          <w:b/>
          <w:color w:val="000000" w:themeColor="text1"/>
          <w:sz w:val="22"/>
          <w:szCs w:val="22"/>
          <w:lang w:val="sk-SK"/>
        </w:rPr>
      </w:pPr>
      <w:r w:rsidRPr="00F000D9">
        <w:rPr>
          <w:rFonts w:ascii="Times New Roman" w:hAnsi="Times New Roman"/>
          <w:b/>
          <w:color w:val="000000" w:themeColor="text1"/>
          <w:sz w:val="22"/>
          <w:szCs w:val="22"/>
          <w:lang w:val="sk-SK"/>
        </w:rPr>
        <w:t>Rezerva vlády Slovenskej republiky</w:t>
      </w:r>
    </w:p>
    <w:p w14:paraId="6E97D5BB" w14:textId="77777777" w:rsidR="00C34E95" w:rsidRPr="00161301" w:rsidRDefault="00C34E95" w:rsidP="00C34E9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themeColor="text1"/>
        </w:rPr>
      </w:pPr>
      <w:r w:rsidRPr="00F000D9">
        <w:rPr>
          <w:color w:val="000000" w:themeColor="text1"/>
        </w:rPr>
        <w:t xml:space="preserve">Rezerva vlády SR je rozpočtovaná na krytie nepredvídaných a mimoriadnych potrieb súvisiacich so zabezpečením plnenia vnútorných a zahraničných úloh Slovenskej republiky. O jej použití rozhoduje vláda SR na návrh ministra financií. </w:t>
      </w:r>
      <w:r w:rsidRPr="00161301">
        <w:rPr>
          <w:color w:val="000000" w:themeColor="text1"/>
        </w:rPr>
        <w:t xml:space="preserve">Z rezervy vlády SR bola uvoľnená celková suma 4 426 tis. eur, z toho prostredníctvom platobných príkazov čiastka 3 477 tis. eur a formou rozpočtových opatrení suma 949 tis. eur. </w:t>
      </w:r>
    </w:p>
    <w:p w14:paraId="51EF5800" w14:textId="5B3DDD26" w:rsidR="00C34E95" w:rsidRPr="009464BC" w:rsidRDefault="00C34E95" w:rsidP="00C34E95">
      <w:r w:rsidRPr="00161301">
        <w:t xml:space="preserve">V zmysle uznesenia vlády SR č. 96 </w:t>
      </w:r>
      <w:r w:rsidRPr="009464BC">
        <w:t xml:space="preserve">zo dňa 26. februára 2018 k návrhu dodatku č. 1 Akčného plánu rozvoja okresu Rimavská Sobota sa čerpalo 1 080 tis. eur formou platobného príkazu. V zmysle uznesenia vlády SR č. 139 zo dňa 4. apríla 2018 k Priebežnej informácii o realizácii Akčného plánu rozvoja okresu Sabinov sa čerpalo 1 000 tis. eur formou platobného príkazu. </w:t>
      </w:r>
    </w:p>
    <w:p w14:paraId="660FD595" w14:textId="77777777" w:rsidR="00C34E95" w:rsidRPr="00EF1C01" w:rsidRDefault="00C34E95" w:rsidP="00C34E95">
      <w:r w:rsidRPr="00EF1C01">
        <w:t xml:space="preserve">V zmysle uznesenia vlády SR č. 140 zo dňa 5. apríla 2018 k návrhu Akčného plánu rozvoja okresu Gelnica sa čerpalo 1 000 tis. eur formou platobného príkazu. </w:t>
      </w:r>
    </w:p>
    <w:p w14:paraId="0881B051" w14:textId="77777777" w:rsidR="00C34E95" w:rsidRPr="00EF1C01" w:rsidRDefault="00C34E95" w:rsidP="00C34E95">
      <w:r w:rsidRPr="00EF1C01">
        <w:t xml:space="preserve">V zmysle uznesenia vlády SR č. 72 zo dňa 31. januára 2018 k návrhu na uvoľnenie finančných prostriedkov pre Múzeum židovskej kultúry v Seredi 850 tis. eur formou rozpočtového opatrenia pre Ministerstvo kultúry SR. </w:t>
      </w:r>
    </w:p>
    <w:p w14:paraId="7255B836" w14:textId="77777777" w:rsidR="00C34E95" w:rsidRPr="00EF1C01" w:rsidRDefault="00C34E95" w:rsidP="00C34E95">
      <w:r w:rsidRPr="00EF1C01">
        <w:t xml:space="preserve">V zmysle uznesenia vlády SR č. 76 zo dňa 7. februára </w:t>
      </w:r>
      <w:r w:rsidRPr="00220AA1">
        <w:t xml:space="preserve">2018 </w:t>
      </w:r>
      <w:r w:rsidRPr="00EF1C01">
        <w:t>na zabezpečenie koordinácie systému prevencie násilia na ženách a domáceho násilia sa uvoľnilo 4</w:t>
      </w:r>
      <w:r w:rsidRPr="00DF61EF">
        <w:t>96 tis. eur, z toho platobným príkazom 397 tis. eur pre jednotlivé neziskové organizácie a formou rozpočtového opatrenia 99</w:t>
      </w:r>
      <w:r w:rsidRPr="00EF1C01">
        <w:t xml:space="preserve"> tis. eur pre Ministerstvo práce, sociálnych vecí a rodiny SR. </w:t>
      </w:r>
    </w:p>
    <w:p w14:paraId="5D88F6F0" w14:textId="77777777" w:rsidR="00C34E95" w:rsidRPr="00EF1C01" w:rsidRDefault="00C34E95" w:rsidP="00C34E95">
      <w:r w:rsidRPr="00EF1C01">
        <w:t>Nevyčerpané zostali finančné prostriedky v sume 574 tis. eur.</w:t>
      </w:r>
    </w:p>
    <w:p w14:paraId="5A8A7B0F" w14:textId="77777777" w:rsidR="00B938AC" w:rsidRDefault="00B938AC" w:rsidP="00EA2CD5">
      <w:pPr>
        <w:pStyle w:val="Odsekzoznamu"/>
        <w:tabs>
          <w:tab w:val="left" w:pos="28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36" w:lineRule="auto"/>
        <w:ind w:left="0"/>
        <w:jc w:val="both"/>
        <w:rPr>
          <w:rFonts w:ascii="Times New Roman" w:hAnsi="Times New Roman" w:cstheme="minorBidi"/>
        </w:rPr>
      </w:pPr>
    </w:p>
    <w:p w14:paraId="533BEE1C" w14:textId="77777777" w:rsidR="00C34E95" w:rsidRPr="00DF61EF" w:rsidRDefault="00C34E95" w:rsidP="00B938AC">
      <w:pPr>
        <w:pStyle w:val="Odsekzoznamu"/>
        <w:tabs>
          <w:tab w:val="left" w:pos="28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336" w:lineRule="auto"/>
        <w:ind w:left="0"/>
        <w:jc w:val="both"/>
        <w:rPr>
          <w:rFonts w:ascii="Times New Roman" w:hAnsi="Times New Roman"/>
          <w:color w:val="000000" w:themeColor="text1"/>
        </w:rPr>
      </w:pPr>
      <w:r w:rsidRPr="00DF61EF">
        <w:rPr>
          <w:rFonts w:ascii="Times New Roman" w:hAnsi="Times New Roman"/>
          <w:b/>
          <w:color w:val="000000" w:themeColor="text1"/>
        </w:rPr>
        <w:t>Rezerva predsedu vlády Slovenskej republiky</w:t>
      </w:r>
    </w:p>
    <w:p w14:paraId="3D2A91BF" w14:textId="77777777" w:rsidR="00C34E95" w:rsidRPr="00DF61EF" w:rsidRDefault="00C34E95" w:rsidP="00C34E95">
      <w:pPr>
        <w:pStyle w:val="Zkladntext1"/>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336" w:lineRule="auto"/>
        <w:jc w:val="both"/>
        <w:rPr>
          <w:rFonts w:ascii="Times New Roman" w:hAnsi="Times New Roman"/>
          <w:color w:val="000000" w:themeColor="text1"/>
          <w:sz w:val="22"/>
          <w:szCs w:val="22"/>
          <w:lang w:val="sk-SK"/>
        </w:rPr>
      </w:pPr>
      <w:r w:rsidRPr="00DF61EF">
        <w:rPr>
          <w:rFonts w:ascii="Times New Roman" w:hAnsi="Times New Roman"/>
          <w:color w:val="000000" w:themeColor="text1"/>
          <w:sz w:val="22"/>
          <w:szCs w:val="22"/>
          <w:lang w:val="sk-SK"/>
        </w:rPr>
        <w:t xml:space="preserve">Rezerva predsedu vlády SR sa v súlade s § 10 odsek 3 zákona o rozpočtových pravidlách verejnej správy rozpočtuje a vykazuje v rozpočtovej kapitole Úradu vlády SR. O použití prostriedkov rozhoduje predseda vlády. </w:t>
      </w:r>
    </w:p>
    <w:p w14:paraId="2526239B" w14:textId="6284AB6C" w:rsidR="00C34E95" w:rsidRPr="00DF61EF" w:rsidRDefault="00C34E95" w:rsidP="00C34E95">
      <w:pPr>
        <w:pStyle w:val="Zkladntext1"/>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336" w:lineRule="auto"/>
        <w:jc w:val="both"/>
        <w:rPr>
          <w:rFonts w:ascii="Times New Roman" w:hAnsi="Times New Roman"/>
          <w:color w:val="000000" w:themeColor="text1"/>
          <w:sz w:val="22"/>
          <w:szCs w:val="22"/>
          <w:lang w:val="sk-SK"/>
        </w:rPr>
      </w:pPr>
      <w:r w:rsidRPr="00DF61EF">
        <w:rPr>
          <w:rFonts w:ascii="Times New Roman" w:hAnsi="Times New Roman"/>
          <w:color w:val="000000" w:themeColor="text1"/>
          <w:sz w:val="22"/>
          <w:szCs w:val="22"/>
          <w:lang w:val="sk-SK"/>
        </w:rPr>
        <w:t xml:space="preserve">Schválený rozpočet rezervy v sume 1 500 tis. eur bol úpravami zvýšený na čiastku 3 144 tis. eur. Celkovo sa príjemcom, ktorými boli najmä neziskové organizácie, obce a mestá poskytlo 3 212 tis. eur, a to platobným príkazom 3 144 tis. eur a rozpočtovými opatreniami 68 tis. eur. </w:t>
      </w:r>
    </w:p>
    <w:p w14:paraId="2DBA551F" w14:textId="77777777" w:rsidR="001B072E" w:rsidRDefault="001B072E" w:rsidP="001B072E">
      <w:pPr>
        <w:pStyle w:val="Odsekzoznamu"/>
        <w:tabs>
          <w:tab w:val="left" w:pos="284"/>
        </w:tabs>
        <w:spacing w:after="120" w:line="336" w:lineRule="auto"/>
        <w:ind w:left="0"/>
        <w:jc w:val="both"/>
        <w:rPr>
          <w:rFonts w:ascii="Times New Roman" w:hAnsi="Times New Roman"/>
          <w:b/>
          <w:color w:val="000000" w:themeColor="text1"/>
        </w:rPr>
      </w:pPr>
    </w:p>
    <w:p w14:paraId="4330B545" w14:textId="77777777" w:rsidR="00C34E95" w:rsidRPr="008A761C" w:rsidRDefault="00C34E95" w:rsidP="001B072E">
      <w:pPr>
        <w:pStyle w:val="Odsekzoznamu"/>
        <w:tabs>
          <w:tab w:val="left" w:pos="284"/>
        </w:tabs>
        <w:spacing w:after="120" w:line="336" w:lineRule="auto"/>
        <w:ind w:left="0"/>
        <w:jc w:val="both"/>
        <w:rPr>
          <w:rFonts w:ascii="Times New Roman" w:hAnsi="Times New Roman"/>
          <w:b/>
          <w:color w:val="000000" w:themeColor="text1"/>
        </w:rPr>
      </w:pPr>
      <w:r w:rsidRPr="008A761C">
        <w:rPr>
          <w:rFonts w:ascii="Times New Roman" w:hAnsi="Times New Roman"/>
          <w:b/>
          <w:color w:val="000000" w:themeColor="text1"/>
        </w:rPr>
        <w:t>Rezerva na prostriedky EÚ a odvody EÚ</w:t>
      </w:r>
    </w:p>
    <w:p w14:paraId="3EA6E83D" w14:textId="7E4F77F3" w:rsidR="00C34E95" w:rsidRPr="008A761C" w:rsidRDefault="00C34E95" w:rsidP="00C34E95">
      <w:r w:rsidRPr="008A761C">
        <w:t>Rezerva na prostriedky EÚ a odvody EÚ</w:t>
      </w:r>
      <w:r w:rsidRPr="008A761C">
        <w:rPr>
          <w:b/>
        </w:rPr>
        <w:t xml:space="preserve"> </w:t>
      </w:r>
      <w:r w:rsidRPr="008A761C">
        <w:t xml:space="preserve">bola rozpočtovaná na rok 2018 vo výške 130 206 tis. eur. Uvedená rezerva sa vytvorila na zabezpečenie plynulého financovania spoločných programov Slovenskej republiky a Európskej únie. Prostriedky z rezervy v roku 2018 boli určené na rýchlejšiu realizáciu a väčší počet projektov, ďalšie výdavky súvisiace s financovaním spoločných programov a na zefektívnenie systému finančného riadenia fondov EÚ a iných finančných nástrojov. </w:t>
      </w:r>
    </w:p>
    <w:p w14:paraId="242853A3" w14:textId="686D956C" w:rsidR="00C34E95" w:rsidRPr="00815D35" w:rsidRDefault="00C34E95" w:rsidP="00C34E95">
      <w:r w:rsidRPr="008A761C">
        <w:t xml:space="preserve">V priebehu roka bola rezerva navýšená o prostriedky minulých </w:t>
      </w:r>
      <w:r w:rsidR="00DC2F84">
        <w:t>rokov v sume 61 862 tis. eur. V </w:t>
      </w:r>
      <w:r w:rsidRPr="008A761C">
        <w:t xml:space="preserve">roku 2018 nedošlo k čerpaniu rezervy prostredníctvom platobných príkazov, avšak došlo k čerpaniu rozpočtovými opatreniami v sume 189 437 tis. eur. </w:t>
      </w:r>
      <w:r w:rsidR="00DC2F84">
        <w:t>Zostatok rezervy z roku 2018 vo </w:t>
      </w:r>
      <w:r w:rsidRPr="008A761C">
        <w:t>výške 2 631 tis. eur spolu s rozviazanými finančnými prostriedkami z predchádzajúcich rokov vo výške 47 173 tis. eur bol v zmysle zákona o rozpočtových pravidlách viazaný na použitie v nasledujúcich rokoch</w:t>
      </w:r>
      <w:r w:rsidR="008F513A">
        <w:t>.</w:t>
      </w:r>
    </w:p>
    <w:p w14:paraId="24CB0DE5" w14:textId="77777777" w:rsidR="009A3A58" w:rsidRDefault="009A3A58">
      <w:pPr>
        <w:spacing w:after="160" w:line="259" w:lineRule="auto"/>
        <w:jc w:val="left"/>
        <w:rPr>
          <w:rFonts w:eastAsiaTheme="majorEastAsia" w:cstheme="majorBidi"/>
          <w:b/>
          <w:sz w:val="24"/>
          <w:szCs w:val="26"/>
        </w:rPr>
      </w:pPr>
      <w:r>
        <w:br w:type="page"/>
      </w:r>
    </w:p>
    <w:p w14:paraId="1A0A2DAB" w14:textId="7EA54167" w:rsidR="008254BE" w:rsidRDefault="008254BE" w:rsidP="0042635A">
      <w:pPr>
        <w:pStyle w:val="Nadpis2"/>
      </w:pPr>
      <w:bookmarkStart w:id="62" w:name="_Toc6415651"/>
      <w:bookmarkStart w:id="63" w:name="_Toc7502843"/>
      <w:r>
        <w:t>Štátne finančné aktíva</w:t>
      </w:r>
      <w:bookmarkEnd w:id="62"/>
      <w:bookmarkEnd w:id="63"/>
    </w:p>
    <w:p w14:paraId="1386B60A" w14:textId="77777777" w:rsidR="005717A4" w:rsidRPr="002E5018" w:rsidRDefault="005717A4" w:rsidP="005717A4">
      <w:pPr>
        <w:contextualSpacing/>
      </w:pPr>
      <w:r w:rsidRPr="002E5018">
        <w:t>Štátne finančné aktíva</w:t>
      </w:r>
      <w:r>
        <w:t xml:space="preserve"> rovnako ako aj</w:t>
      </w:r>
      <w:r w:rsidRPr="002E5018">
        <w:t xml:space="preserve"> štátne finančné pasíva</w:t>
      </w:r>
      <w:r>
        <w:rPr>
          <w:rStyle w:val="Odkaznapoznmkupodiarou"/>
        </w:rPr>
        <w:footnoteReference w:id="26"/>
      </w:r>
      <w:r w:rsidRPr="002E5018">
        <w:t xml:space="preserve"> sú súčasťou návrhu štátneho rozpočtu na príslušný rok. Finančné operácie so štátnymi finančnými aktívami a iné operácie, ktoré ovplyvňujú stav štátnych finančných aktív, nie sú súčasťou príjmov štátneho rozpočtu a výdavkov štátneho rozpočtu. Správu štátnych finančných aktív vykonáva Ministerstvo financií SR, v rozsahu zákona o rozpočtových pravidlách, pričom na niektoré transakcie sa vyžaduje súhlas vlády a</w:t>
      </w:r>
      <w:r>
        <w:t xml:space="preserve"> </w:t>
      </w:r>
      <w:r w:rsidRPr="002E5018">
        <w:t xml:space="preserve">na niektoré </w:t>
      </w:r>
      <w:r>
        <w:t>aj</w:t>
      </w:r>
      <w:r w:rsidRPr="002E5018">
        <w:t xml:space="preserve"> súhlas národnej rady SR</w:t>
      </w:r>
      <w:r w:rsidRPr="002E5018">
        <w:rPr>
          <w:rStyle w:val="Odkaznapoznmkupodiarou"/>
        </w:rPr>
        <w:footnoteReference w:id="27"/>
      </w:r>
      <w:r w:rsidRPr="002E5018">
        <w:t>.</w:t>
      </w:r>
    </w:p>
    <w:p w14:paraId="32026AF6" w14:textId="77777777" w:rsidR="005717A4" w:rsidRPr="002E5018" w:rsidRDefault="005717A4" w:rsidP="005717A4">
      <w:r w:rsidRPr="002E5018">
        <w:t>Podľa zákona o rozpočtových pravidlách sú štátnymi finančnými aktívami:</w:t>
      </w:r>
    </w:p>
    <w:p w14:paraId="21CE243A" w14:textId="77777777" w:rsidR="005717A4" w:rsidRPr="005717A4" w:rsidRDefault="005717A4" w:rsidP="009A3A58">
      <w:pPr>
        <w:pStyle w:val="Odsekzoznamu"/>
        <w:numPr>
          <w:ilvl w:val="0"/>
          <w:numId w:val="9"/>
        </w:numPr>
        <w:spacing w:after="120" w:line="336" w:lineRule="auto"/>
        <w:ind w:left="284" w:hanging="284"/>
        <w:rPr>
          <w:rFonts w:ascii="Times New Roman" w:hAnsi="Times New Roman"/>
        </w:rPr>
      </w:pPr>
      <w:r w:rsidRPr="005717A4">
        <w:rPr>
          <w:rFonts w:ascii="Times New Roman" w:hAnsi="Times New Roman"/>
        </w:rPr>
        <w:t>peňažné prostriedky štátu vytvorené z výsledkov rozpočtového hospodárenia štátneho rozpočtu z minulých rokov,</w:t>
      </w:r>
    </w:p>
    <w:p w14:paraId="2C3B3041" w14:textId="77777777" w:rsidR="009A3A58" w:rsidRDefault="005717A4" w:rsidP="009A3A58">
      <w:pPr>
        <w:pStyle w:val="Odsekzoznamu"/>
        <w:numPr>
          <w:ilvl w:val="0"/>
          <w:numId w:val="9"/>
        </w:numPr>
        <w:spacing w:after="120" w:line="336" w:lineRule="auto"/>
        <w:ind w:left="284" w:hanging="295"/>
        <w:rPr>
          <w:rFonts w:ascii="Times New Roman" w:hAnsi="Times New Roman"/>
        </w:rPr>
      </w:pPr>
      <w:r w:rsidRPr="005717A4">
        <w:rPr>
          <w:rFonts w:ascii="Times New Roman" w:hAnsi="Times New Roman"/>
        </w:rPr>
        <w:t>peňažné prostriedky štátu zo splácania istín poskytnutých návratných výpomocí a úverov a pôžičiek,</w:t>
      </w:r>
    </w:p>
    <w:p w14:paraId="3B82C71A" w14:textId="75B6FEC2" w:rsidR="005717A4" w:rsidRPr="009A3A58" w:rsidRDefault="005717A4" w:rsidP="009A3A58">
      <w:pPr>
        <w:pStyle w:val="Odsekzoznamu"/>
        <w:numPr>
          <w:ilvl w:val="0"/>
          <w:numId w:val="9"/>
        </w:numPr>
        <w:spacing w:after="120" w:line="336" w:lineRule="auto"/>
        <w:ind w:left="284" w:hanging="295"/>
        <w:rPr>
          <w:rFonts w:ascii="Times New Roman" w:hAnsi="Times New Roman"/>
        </w:rPr>
      </w:pPr>
      <w:r w:rsidRPr="009A3A58">
        <w:rPr>
          <w:rFonts w:ascii="Times New Roman" w:hAnsi="Times New Roman"/>
        </w:rPr>
        <w:t>majetkové účasti štátu,</w:t>
      </w:r>
    </w:p>
    <w:p w14:paraId="58F2C0BA" w14:textId="77777777" w:rsidR="009A3A58" w:rsidRDefault="005717A4" w:rsidP="009A3A58">
      <w:pPr>
        <w:pStyle w:val="Odsekzoznamu"/>
        <w:numPr>
          <w:ilvl w:val="0"/>
          <w:numId w:val="9"/>
        </w:numPr>
        <w:spacing w:after="120" w:line="336" w:lineRule="auto"/>
        <w:ind w:left="284" w:hanging="295"/>
        <w:rPr>
          <w:rFonts w:ascii="Times New Roman" w:hAnsi="Times New Roman"/>
        </w:rPr>
      </w:pPr>
      <w:r w:rsidRPr="005717A4">
        <w:rPr>
          <w:rFonts w:ascii="Times New Roman" w:hAnsi="Times New Roman"/>
        </w:rPr>
        <w:t>peňažné pr</w:t>
      </w:r>
      <w:r>
        <w:rPr>
          <w:rFonts w:ascii="Times New Roman" w:hAnsi="Times New Roman"/>
        </w:rPr>
        <w:t xml:space="preserve">ostriedky v pokladnici a </w:t>
      </w:r>
      <w:r w:rsidRPr="005717A4">
        <w:rPr>
          <w:rFonts w:ascii="Times New Roman" w:hAnsi="Times New Roman"/>
        </w:rPr>
        <w:t>na bežných účtoch štát</w:t>
      </w:r>
      <w:r w:rsidR="009A3A58">
        <w:rPr>
          <w:rFonts w:ascii="Times New Roman" w:hAnsi="Times New Roman"/>
        </w:rPr>
        <w:t xml:space="preserve">nych rozpočtových </w:t>
      </w:r>
      <w:r>
        <w:rPr>
          <w:rFonts w:ascii="Times New Roman" w:hAnsi="Times New Roman"/>
        </w:rPr>
        <w:t xml:space="preserve">organizácií a </w:t>
      </w:r>
      <w:r w:rsidRPr="005717A4">
        <w:rPr>
          <w:rFonts w:ascii="Times New Roman" w:hAnsi="Times New Roman"/>
        </w:rPr>
        <w:t>štátnych príspevkových organizácií a odvod za porušenie finančnej disciplíny pri nakladaní so štátnymi finančnými aktívami,</w:t>
      </w:r>
    </w:p>
    <w:p w14:paraId="20428889" w14:textId="77777777" w:rsidR="009A3A58" w:rsidRDefault="005717A4" w:rsidP="009A3A58">
      <w:pPr>
        <w:pStyle w:val="Odsekzoznamu"/>
        <w:numPr>
          <w:ilvl w:val="0"/>
          <w:numId w:val="9"/>
        </w:numPr>
        <w:spacing w:after="120" w:line="336" w:lineRule="auto"/>
        <w:ind w:left="284" w:hanging="295"/>
        <w:rPr>
          <w:rFonts w:ascii="Times New Roman" w:hAnsi="Times New Roman"/>
        </w:rPr>
      </w:pPr>
      <w:r w:rsidRPr="009A3A58">
        <w:rPr>
          <w:rFonts w:ascii="Times New Roman" w:hAnsi="Times New Roman"/>
        </w:rPr>
        <w:t>cenné papiere vo vlastníctve štátu,</w:t>
      </w:r>
    </w:p>
    <w:p w14:paraId="6933B0D1" w14:textId="77777777" w:rsidR="009A3A58" w:rsidRDefault="005717A4" w:rsidP="009A3A58">
      <w:pPr>
        <w:pStyle w:val="Odsekzoznamu"/>
        <w:numPr>
          <w:ilvl w:val="0"/>
          <w:numId w:val="9"/>
        </w:numPr>
        <w:spacing w:after="120" w:line="336" w:lineRule="auto"/>
        <w:ind w:left="284" w:hanging="295"/>
        <w:rPr>
          <w:rFonts w:ascii="Times New Roman" w:hAnsi="Times New Roman"/>
        </w:rPr>
      </w:pPr>
      <w:r w:rsidRPr="009A3A58">
        <w:rPr>
          <w:rFonts w:ascii="Times New Roman" w:hAnsi="Times New Roman"/>
        </w:rPr>
        <w:t>pohľadávky štátu z poskytnutých návratných finančných výpomocí a úverov a pôžičiek,</w:t>
      </w:r>
    </w:p>
    <w:p w14:paraId="6094D360" w14:textId="7F132D85" w:rsidR="005717A4" w:rsidRPr="009A3A58" w:rsidRDefault="005717A4" w:rsidP="009A3A58">
      <w:pPr>
        <w:pStyle w:val="Odsekzoznamu"/>
        <w:numPr>
          <w:ilvl w:val="0"/>
          <w:numId w:val="9"/>
        </w:numPr>
        <w:spacing w:after="120" w:line="336" w:lineRule="auto"/>
        <w:ind w:left="284" w:hanging="295"/>
        <w:rPr>
          <w:rFonts w:ascii="Times New Roman" w:hAnsi="Times New Roman"/>
        </w:rPr>
      </w:pPr>
      <w:r w:rsidRPr="009A3A58">
        <w:rPr>
          <w:rFonts w:ascii="Times New Roman" w:hAnsi="Times New Roman"/>
        </w:rPr>
        <w:t>ďalšie peňažné prostriedky na základe rozhodnutia vlády alebo národnej rady.</w:t>
      </w:r>
    </w:p>
    <w:p w14:paraId="487DEEA7" w14:textId="7F875618" w:rsidR="005717A4" w:rsidRDefault="005717A4" w:rsidP="005717A4">
      <w:r w:rsidRPr="002E5018">
        <w:t xml:space="preserve">Štátne finančné aktíva sú vedené na samostatných </w:t>
      </w:r>
      <w:r>
        <w:t xml:space="preserve">účtoch v Štátnej pokladnici a </w:t>
      </w:r>
      <w:r w:rsidRPr="002E5018">
        <w:t xml:space="preserve">ich zostatok prechádza vždy do nasledujúceho rozpočtového roka. Okrem prostriedkov, ktoré vznikajú z operácií súvisiacich so správou štátneho dlhu, sú rozhodujúcimi položkami dividendy od obchodných spoločností štátu, príjem z predaja </w:t>
      </w:r>
      <w:r>
        <w:t xml:space="preserve">majetkových </w:t>
      </w:r>
      <w:r w:rsidRPr="002E5018">
        <w:t>podielov v obchodných spoločnostiach štátu</w:t>
      </w:r>
      <w:r>
        <w:t xml:space="preserve">, </w:t>
      </w:r>
      <w:r w:rsidRPr="002E5018">
        <w:t>osobitný odvod vybraných finančných inštitúcií</w:t>
      </w:r>
      <w:r w:rsidRPr="002E5018">
        <w:rPr>
          <w:rStyle w:val="Odkaznapoznmkupodiarou"/>
        </w:rPr>
        <w:footnoteReference w:id="28"/>
      </w:r>
      <w:r w:rsidRPr="002E5018">
        <w:t xml:space="preserve"> a</w:t>
      </w:r>
      <w:r>
        <w:t xml:space="preserve"> </w:t>
      </w:r>
      <w:r w:rsidRPr="002E5018">
        <w:t>osobitný odvod z podnikania v regulovaných odvetviach</w:t>
      </w:r>
      <w:r w:rsidRPr="002E5018">
        <w:rPr>
          <w:rStyle w:val="Odkaznapoznmkupodiarou"/>
        </w:rPr>
        <w:footnoteReference w:id="29"/>
      </w:r>
      <w:r w:rsidRPr="002E5018">
        <w:t>.</w:t>
      </w:r>
    </w:p>
    <w:p w14:paraId="22396246" w14:textId="77777777" w:rsidR="005717A4" w:rsidRDefault="005717A4" w:rsidP="005717A4">
      <w:r>
        <w:t xml:space="preserve">Medzi príjmové finančné operácie štátnych finančných aktív patria </w:t>
      </w:r>
      <w:r w:rsidRPr="002E5018">
        <w:t>splátky istín z poskytnutých návratných finančných výpomocí</w:t>
      </w:r>
      <w:r>
        <w:t>.</w:t>
      </w:r>
      <w:r w:rsidRPr="002E5018">
        <w:t xml:space="preserve"> </w:t>
      </w:r>
      <w:r>
        <w:t xml:space="preserve">Medzi finančné operácie na strane výdavkov štátnych finančných aktív sa zaraďuje poskytovanie </w:t>
      </w:r>
      <w:r w:rsidRPr="002E5018">
        <w:t>návratných finančných výpomocí,</w:t>
      </w:r>
      <w:r>
        <w:t xml:space="preserve"> ú</w:t>
      </w:r>
      <w:r w:rsidRPr="002E5018">
        <w:t>hrada podielov na základnom imaní zahraničných finančných inštitúcií (napríklad Európsk</w:t>
      </w:r>
      <w:r>
        <w:t>ej investičnej</w:t>
      </w:r>
      <w:r w:rsidRPr="002E5018">
        <w:t xml:space="preserve"> bank</w:t>
      </w:r>
      <w:r>
        <w:t>y</w:t>
      </w:r>
      <w:r w:rsidRPr="002E5018">
        <w:t>) a</w:t>
      </w:r>
      <w:r>
        <w:t xml:space="preserve"> </w:t>
      </w:r>
      <w:r w:rsidRPr="002E5018">
        <w:t>ďalšie transakcie</w:t>
      </w:r>
      <w:r>
        <w:t>. V</w:t>
      </w:r>
      <w:r w:rsidRPr="002E5018">
        <w:t xml:space="preserve">ýdavky predstavujú </w:t>
      </w:r>
      <w:r>
        <w:t xml:space="preserve">najmä </w:t>
      </w:r>
      <w:r w:rsidRPr="002E5018">
        <w:t>prevod prostriedkov do príjmov štátneho rozpočtu na realizáciu rozpočtových výdavkov</w:t>
      </w:r>
      <w:r>
        <w:t>, pričom ich vplyv na bilanciu štátnych finančných aktív je neutrálny.</w:t>
      </w:r>
    </w:p>
    <w:p w14:paraId="0E7BD699" w14:textId="33EBB46A" w:rsidR="005717A4" w:rsidRDefault="005717A4" w:rsidP="009F4CD0">
      <w:pPr>
        <w:spacing w:after="0"/>
      </w:pPr>
      <w:r>
        <w:t xml:space="preserve">Nasledovný prehľad štátnych finančných aktív abstrahuje od účtov, ktoré slúžia na operácie so štátnym </w:t>
      </w:r>
      <w:r w:rsidRPr="00D10702">
        <w:t>dlhom</w:t>
      </w:r>
      <w:r>
        <w:t xml:space="preserve">. Odpočet štátnych finančných aktív je podľa štruktúry uvádzanej v Návrhu rozpočtu verejnej správy na príslušný rozpočtový rok. </w:t>
      </w:r>
    </w:p>
    <w:tbl>
      <w:tblPr>
        <w:tblpPr w:leftFromText="141" w:rightFromText="141" w:vertAnchor="text" w:horzAnchor="margin" w:tblpXSpec="center" w:tblpY="59"/>
        <w:tblW w:w="8505" w:type="dxa"/>
        <w:tblCellMar>
          <w:left w:w="70" w:type="dxa"/>
          <w:right w:w="70" w:type="dxa"/>
        </w:tblCellMar>
        <w:tblLook w:val="04A0" w:firstRow="1" w:lastRow="0" w:firstColumn="1" w:lastColumn="0" w:noHBand="0" w:noVBand="1"/>
      </w:tblPr>
      <w:tblGrid>
        <w:gridCol w:w="4678"/>
        <w:gridCol w:w="992"/>
        <w:gridCol w:w="1418"/>
        <w:gridCol w:w="1417"/>
      </w:tblGrid>
      <w:tr w:rsidR="005717A4" w:rsidRPr="001F655F" w14:paraId="37D4ABF9" w14:textId="77777777" w:rsidTr="00725AC6">
        <w:trPr>
          <w:trHeight w:val="279"/>
        </w:trPr>
        <w:tc>
          <w:tcPr>
            <w:tcW w:w="8505" w:type="dxa"/>
            <w:gridSpan w:val="4"/>
            <w:tcBorders>
              <w:top w:val="single" w:sz="4" w:space="0" w:color="auto"/>
              <w:left w:val="nil"/>
              <w:bottom w:val="nil"/>
              <w:right w:val="nil"/>
            </w:tcBorders>
            <w:shd w:val="clear" w:color="000000" w:fill="000000"/>
            <w:noWrap/>
            <w:vAlign w:val="center"/>
          </w:tcPr>
          <w:p w14:paraId="3FE463C7" w14:textId="72D01612" w:rsidR="005717A4" w:rsidRPr="001F655F" w:rsidRDefault="005717A4" w:rsidP="00645E8D">
            <w:pPr>
              <w:spacing w:after="0" w:line="240" w:lineRule="auto"/>
              <w:jc w:val="left"/>
              <w:rPr>
                <w:b/>
                <w:bCs/>
                <w:color w:val="FFFFFF"/>
                <w:sz w:val="18"/>
                <w:szCs w:val="18"/>
              </w:rPr>
            </w:pPr>
            <w:r w:rsidRPr="001F655F">
              <w:rPr>
                <w:sz w:val="18"/>
                <w:szCs w:val="18"/>
              </w:rPr>
              <w:br w:type="page"/>
            </w:r>
            <w:r w:rsidRPr="00FC075E">
              <w:rPr>
                <w:b/>
                <w:bCs/>
                <w:color w:val="FFFFFF"/>
                <w:sz w:val="18"/>
                <w:szCs w:val="18"/>
                <w:lang w:eastAsia="sk-SK"/>
              </w:rPr>
              <w:t>Vybrané účty štátnych finančných aktív                                                                                                     v tis. eur</w:t>
            </w:r>
          </w:p>
        </w:tc>
      </w:tr>
      <w:tr w:rsidR="005717A4" w:rsidRPr="001F655F" w14:paraId="5D0B8BAA" w14:textId="77777777" w:rsidTr="00725AC6">
        <w:trPr>
          <w:trHeight w:hRule="exact" w:val="284"/>
        </w:trPr>
        <w:tc>
          <w:tcPr>
            <w:tcW w:w="8505" w:type="dxa"/>
            <w:gridSpan w:val="4"/>
            <w:tcBorders>
              <w:top w:val="nil"/>
              <w:left w:val="nil"/>
              <w:right w:val="nil"/>
            </w:tcBorders>
            <w:shd w:val="clear" w:color="000000" w:fill="BFBFBF"/>
            <w:noWrap/>
            <w:vAlign w:val="center"/>
          </w:tcPr>
          <w:p w14:paraId="74D651C3" w14:textId="71E9C2D9" w:rsidR="005717A4" w:rsidRPr="001F655F" w:rsidRDefault="00C92682" w:rsidP="00C92682">
            <w:pPr>
              <w:spacing w:after="0" w:line="240" w:lineRule="auto"/>
              <w:jc w:val="center"/>
              <w:rPr>
                <w:b/>
                <w:bCs/>
                <w:color w:val="000000"/>
                <w:sz w:val="18"/>
                <w:szCs w:val="18"/>
              </w:rPr>
            </w:pPr>
            <w:r>
              <w:rPr>
                <w:b/>
                <w:bCs/>
                <w:color w:val="000000"/>
                <w:sz w:val="18"/>
                <w:szCs w:val="18"/>
              </w:rPr>
              <w:t xml:space="preserve">                                                                                                            </w:t>
            </w:r>
            <w:r w:rsidR="005717A4" w:rsidRPr="001F655F">
              <w:rPr>
                <w:b/>
                <w:bCs/>
                <w:color w:val="000000"/>
                <w:sz w:val="18"/>
                <w:szCs w:val="18"/>
              </w:rPr>
              <w:t>Skutočnosť</w:t>
            </w:r>
          </w:p>
        </w:tc>
      </w:tr>
      <w:tr w:rsidR="005717A4" w:rsidRPr="001F655F" w14:paraId="2F96795D" w14:textId="77777777" w:rsidTr="00725AC6">
        <w:trPr>
          <w:trHeight w:hRule="exact" w:val="284"/>
        </w:trPr>
        <w:tc>
          <w:tcPr>
            <w:tcW w:w="4678" w:type="dxa"/>
            <w:tcBorders>
              <w:top w:val="nil"/>
              <w:left w:val="nil"/>
              <w:bottom w:val="single" w:sz="4" w:space="0" w:color="auto"/>
              <w:right w:val="nil"/>
            </w:tcBorders>
            <w:shd w:val="clear" w:color="000000" w:fill="BFBFBF"/>
            <w:noWrap/>
            <w:vAlign w:val="center"/>
          </w:tcPr>
          <w:p w14:paraId="1EF9F345" w14:textId="77777777" w:rsidR="005717A4" w:rsidRPr="001F655F" w:rsidRDefault="005717A4" w:rsidP="005717A4">
            <w:pPr>
              <w:spacing w:after="0" w:line="240" w:lineRule="auto"/>
              <w:rPr>
                <w:color w:val="000000"/>
                <w:sz w:val="18"/>
                <w:szCs w:val="18"/>
              </w:rPr>
            </w:pPr>
            <w:r w:rsidRPr="001F655F">
              <w:rPr>
                <w:color w:val="000000"/>
                <w:sz w:val="18"/>
                <w:szCs w:val="18"/>
              </w:rPr>
              <w:t> </w:t>
            </w:r>
          </w:p>
        </w:tc>
        <w:tc>
          <w:tcPr>
            <w:tcW w:w="992" w:type="dxa"/>
            <w:tcBorders>
              <w:top w:val="nil"/>
              <w:left w:val="nil"/>
              <w:bottom w:val="single" w:sz="4" w:space="0" w:color="auto"/>
              <w:right w:val="nil"/>
            </w:tcBorders>
            <w:shd w:val="clear" w:color="000000" w:fill="BFBFBF"/>
            <w:noWrap/>
            <w:vAlign w:val="center"/>
          </w:tcPr>
          <w:p w14:paraId="75F650DD" w14:textId="77777777" w:rsidR="005717A4" w:rsidRPr="001F655F" w:rsidRDefault="005717A4" w:rsidP="005A24A6">
            <w:pPr>
              <w:spacing w:after="0" w:line="240" w:lineRule="auto"/>
              <w:jc w:val="center"/>
              <w:rPr>
                <w:b/>
                <w:bCs/>
                <w:color w:val="000000"/>
                <w:sz w:val="18"/>
                <w:szCs w:val="18"/>
              </w:rPr>
            </w:pPr>
            <w:r w:rsidRPr="001F655F">
              <w:rPr>
                <w:b/>
                <w:bCs/>
                <w:color w:val="000000"/>
                <w:sz w:val="18"/>
                <w:szCs w:val="18"/>
              </w:rPr>
              <w:t>201</w:t>
            </w:r>
            <w:r>
              <w:rPr>
                <w:b/>
                <w:bCs/>
                <w:color w:val="000000"/>
                <w:sz w:val="18"/>
                <w:szCs w:val="18"/>
              </w:rPr>
              <w:t>6</w:t>
            </w:r>
          </w:p>
        </w:tc>
        <w:tc>
          <w:tcPr>
            <w:tcW w:w="1418" w:type="dxa"/>
            <w:tcBorders>
              <w:top w:val="nil"/>
              <w:left w:val="nil"/>
              <w:bottom w:val="single" w:sz="4" w:space="0" w:color="auto"/>
              <w:right w:val="nil"/>
            </w:tcBorders>
            <w:shd w:val="clear" w:color="000000" w:fill="BFBFBF"/>
            <w:noWrap/>
            <w:vAlign w:val="center"/>
          </w:tcPr>
          <w:p w14:paraId="05893456" w14:textId="1F4D1A75" w:rsidR="005717A4" w:rsidRPr="001F655F" w:rsidRDefault="005A24A6" w:rsidP="005A24A6">
            <w:pPr>
              <w:spacing w:after="0" w:line="240" w:lineRule="auto"/>
              <w:jc w:val="center"/>
              <w:rPr>
                <w:b/>
                <w:bCs/>
                <w:color w:val="000000"/>
                <w:sz w:val="18"/>
                <w:szCs w:val="18"/>
              </w:rPr>
            </w:pPr>
            <w:r>
              <w:rPr>
                <w:b/>
                <w:bCs/>
                <w:color w:val="000000"/>
                <w:sz w:val="18"/>
                <w:szCs w:val="18"/>
              </w:rPr>
              <w:t xml:space="preserve">          </w:t>
            </w:r>
            <w:r w:rsidR="005717A4" w:rsidRPr="001F655F">
              <w:rPr>
                <w:b/>
                <w:bCs/>
                <w:color w:val="000000"/>
                <w:sz w:val="18"/>
                <w:szCs w:val="18"/>
              </w:rPr>
              <w:t>2</w:t>
            </w:r>
            <w:r w:rsidR="005717A4">
              <w:rPr>
                <w:b/>
                <w:bCs/>
                <w:color w:val="000000"/>
                <w:sz w:val="18"/>
                <w:szCs w:val="18"/>
              </w:rPr>
              <w:t>017</w:t>
            </w:r>
          </w:p>
        </w:tc>
        <w:tc>
          <w:tcPr>
            <w:tcW w:w="1417" w:type="dxa"/>
            <w:tcBorders>
              <w:top w:val="nil"/>
              <w:left w:val="nil"/>
              <w:bottom w:val="single" w:sz="4" w:space="0" w:color="auto"/>
              <w:right w:val="nil"/>
            </w:tcBorders>
            <w:shd w:val="clear" w:color="auto" w:fill="BFBFBF" w:themeFill="background1" w:themeFillShade="BF"/>
            <w:noWrap/>
            <w:vAlign w:val="center"/>
          </w:tcPr>
          <w:p w14:paraId="7BA97911" w14:textId="6BFCCBF3" w:rsidR="005717A4" w:rsidRPr="001F655F" w:rsidRDefault="005A24A6" w:rsidP="005A24A6">
            <w:pPr>
              <w:spacing w:after="0" w:line="240" w:lineRule="auto"/>
              <w:jc w:val="center"/>
              <w:rPr>
                <w:b/>
                <w:bCs/>
                <w:color w:val="000000"/>
                <w:sz w:val="18"/>
                <w:szCs w:val="18"/>
              </w:rPr>
            </w:pPr>
            <w:r>
              <w:rPr>
                <w:b/>
                <w:bCs/>
                <w:color w:val="000000"/>
                <w:sz w:val="18"/>
                <w:szCs w:val="18"/>
              </w:rPr>
              <w:t xml:space="preserve">          </w:t>
            </w:r>
            <w:r w:rsidR="005717A4" w:rsidRPr="001F655F">
              <w:rPr>
                <w:b/>
                <w:bCs/>
                <w:color w:val="000000"/>
                <w:sz w:val="18"/>
                <w:szCs w:val="18"/>
              </w:rPr>
              <w:t>201</w:t>
            </w:r>
            <w:r w:rsidR="005717A4">
              <w:rPr>
                <w:b/>
                <w:bCs/>
                <w:color w:val="000000"/>
                <w:sz w:val="18"/>
                <w:szCs w:val="18"/>
              </w:rPr>
              <w:t>8</w:t>
            </w:r>
          </w:p>
        </w:tc>
      </w:tr>
      <w:tr w:rsidR="005717A4" w:rsidRPr="001F655F" w14:paraId="40E500D1" w14:textId="77777777" w:rsidTr="00725AC6">
        <w:trPr>
          <w:trHeight w:hRule="exact" w:val="284"/>
        </w:trPr>
        <w:tc>
          <w:tcPr>
            <w:tcW w:w="4678" w:type="dxa"/>
            <w:tcBorders>
              <w:top w:val="single" w:sz="4" w:space="0" w:color="auto"/>
              <w:left w:val="nil"/>
              <w:right w:val="nil"/>
            </w:tcBorders>
            <w:noWrap/>
            <w:vAlign w:val="center"/>
          </w:tcPr>
          <w:p w14:paraId="3ABAA5C0" w14:textId="77777777" w:rsidR="005717A4" w:rsidRPr="001F655F" w:rsidRDefault="005717A4" w:rsidP="005717A4">
            <w:pPr>
              <w:spacing w:after="0" w:line="240" w:lineRule="auto"/>
              <w:rPr>
                <w:b/>
                <w:color w:val="000000"/>
                <w:sz w:val="18"/>
                <w:szCs w:val="18"/>
              </w:rPr>
            </w:pPr>
            <w:r w:rsidRPr="001F655F">
              <w:rPr>
                <w:b/>
                <w:color w:val="000000"/>
                <w:sz w:val="18"/>
                <w:szCs w:val="18"/>
              </w:rPr>
              <w:t>Stav k 1.1.</w:t>
            </w:r>
          </w:p>
        </w:tc>
        <w:tc>
          <w:tcPr>
            <w:tcW w:w="992" w:type="dxa"/>
            <w:tcBorders>
              <w:top w:val="single" w:sz="4" w:space="0" w:color="auto"/>
              <w:left w:val="nil"/>
              <w:right w:val="nil"/>
            </w:tcBorders>
            <w:noWrap/>
            <w:vAlign w:val="center"/>
          </w:tcPr>
          <w:p w14:paraId="25757CBC" w14:textId="77777777" w:rsidR="005717A4" w:rsidRPr="001F655F" w:rsidRDefault="005717A4" w:rsidP="005717A4">
            <w:pPr>
              <w:spacing w:after="0" w:line="240" w:lineRule="auto"/>
              <w:jc w:val="right"/>
              <w:rPr>
                <w:b/>
                <w:color w:val="000000"/>
                <w:sz w:val="18"/>
                <w:szCs w:val="18"/>
              </w:rPr>
            </w:pPr>
            <w:r w:rsidRPr="001F655F">
              <w:rPr>
                <w:b/>
                <w:color w:val="000000"/>
                <w:sz w:val="18"/>
                <w:szCs w:val="18"/>
              </w:rPr>
              <w:t>2 123 062</w:t>
            </w:r>
          </w:p>
        </w:tc>
        <w:tc>
          <w:tcPr>
            <w:tcW w:w="1418" w:type="dxa"/>
            <w:tcBorders>
              <w:top w:val="single" w:sz="4" w:space="0" w:color="auto"/>
              <w:left w:val="nil"/>
              <w:right w:val="nil"/>
            </w:tcBorders>
            <w:noWrap/>
            <w:vAlign w:val="center"/>
          </w:tcPr>
          <w:p w14:paraId="273F04CD" w14:textId="77777777" w:rsidR="005717A4" w:rsidRPr="001F655F" w:rsidRDefault="005717A4" w:rsidP="005717A4">
            <w:pPr>
              <w:spacing w:after="0" w:line="240" w:lineRule="auto"/>
              <w:jc w:val="right"/>
              <w:rPr>
                <w:b/>
                <w:color w:val="000000"/>
                <w:sz w:val="18"/>
                <w:szCs w:val="18"/>
              </w:rPr>
            </w:pPr>
            <w:r>
              <w:rPr>
                <w:b/>
                <w:color w:val="000000"/>
                <w:sz w:val="18"/>
                <w:szCs w:val="18"/>
              </w:rPr>
              <w:t>1 958 451</w:t>
            </w:r>
          </w:p>
        </w:tc>
        <w:tc>
          <w:tcPr>
            <w:tcW w:w="1417" w:type="dxa"/>
            <w:tcBorders>
              <w:top w:val="single" w:sz="4" w:space="0" w:color="auto"/>
              <w:left w:val="nil"/>
              <w:right w:val="nil"/>
            </w:tcBorders>
            <w:shd w:val="clear" w:color="auto" w:fill="BFBFBF" w:themeFill="background1" w:themeFillShade="BF"/>
            <w:noWrap/>
            <w:vAlign w:val="center"/>
          </w:tcPr>
          <w:p w14:paraId="37A7F168" w14:textId="77777777" w:rsidR="005717A4" w:rsidRPr="001F655F" w:rsidRDefault="005717A4" w:rsidP="005717A4">
            <w:pPr>
              <w:spacing w:after="0" w:line="240" w:lineRule="auto"/>
              <w:jc w:val="right"/>
              <w:rPr>
                <w:b/>
                <w:color w:val="000000"/>
                <w:sz w:val="18"/>
                <w:szCs w:val="18"/>
              </w:rPr>
            </w:pPr>
            <w:r>
              <w:rPr>
                <w:b/>
                <w:color w:val="000000"/>
                <w:sz w:val="18"/>
                <w:szCs w:val="18"/>
              </w:rPr>
              <w:t>2 116 449</w:t>
            </w:r>
          </w:p>
        </w:tc>
      </w:tr>
      <w:tr w:rsidR="005717A4" w:rsidRPr="001F655F" w14:paraId="6E95EC92" w14:textId="77777777" w:rsidTr="00725AC6">
        <w:trPr>
          <w:trHeight w:hRule="exact" w:val="284"/>
        </w:trPr>
        <w:tc>
          <w:tcPr>
            <w:tcW w:w="4678" w:type="dxa"/>
            <w:tcBorders>
              <w:top w:val="single" w:sz="4" w:space="0" w:color="auto"/>
              <w:left w:val="nil"/>
              <w:right w:val="nil"/>
            </w:tcBorders>
            <w:noWrap/>
            <w:vAlign w:val="center"/>
          </w:tcPr>
          <w:p w14:paraId="2C5D2A31" w14:textId="0A8AA9BC" w:rsidR="005717A4" w:rsidRPr="001F655F" w:rsidRDefault="005717A4" w:rsidP="005717A4">
            <w:pPr>
              <w:spacing w:after="0" w:line="240" w:lineRule="auto"/>
              <w:rPr>
                <w:b/>
                <w:color w:val="000000"/>
                <w:sz w:val="18"/>
                <w:szCs w:val="18"/>
              </w:rPr>
            </w:pPr>
            <w:r w:rsidRPr="001F655F">
              <w:rPr>
                <w:b/>
                <w:color w:val="000000"/>
                <w:sz w:val="18"/>
                <w:szCs w:val="18"/>
              </w:rPr>
              <w:t>Príjmy</w:t>
            </w:r>
          </w:p>
          <w:p w14:paraId="0D287298" w14:textId="77777777" w:rsidR="005717A4" w:rsidRPr="001F655F" w:rsidRDefault="005717A4" w:rsidP="005717A4">
            <w:pPr>
              <w:spacing w:after="0" w:line="240" w:lineRule="auto"/>
              <w:rPr>
                <w:b/>
                <w:color w:val="000000"/>
                <w:sz w:val="18"/>
                <w:szCs w:val="18"/>
              </w:rPr>
            </w:pPr>
          </w:p>
        </w:tc>
        <w:tc>
          <w:tcPr>
            <w:tcW w:w="992" w:type="dxa"/>
            <w:tcBorders>
              <w:top w:val="single" w:sz="4" w:space="0" w:color="auto"/>
              <w:left w:val="nil"/>
              <w:right w:val="nil"/>
            </w:tcBorders>
            <w:noWrap/>
            <w:vAlign w:val="center"/>
          </w:tcPr>
          <w:p w14:paraId="63C0EE0F" w14:textId="77777777" w:rsidR="005717A4" w:rsidRPr="001F655F" w:rsidRDefault="005717A4" w:rsidP="005717A4">
            <w:pPr>
              <w:spacing w:after="0" w:line="240" w:lineRule="auto"/>
              <w:jc w:val="right"/>
              <w:rPr>
                <w:b/>
                <w:color w:val="000000"/>
                <w:sz w:val="18"/>
                <w:szCs w:val="18"/>
              </w:rPr>
            </w:pPr>
            <w:r w:rsidRPr="001F655F">
              <w:rPr>
                <w:b/>
                <w:color w:val="000000"/>
                <w:sz w:val="18"/>
                <w:szCs w:val="18"/>
              </w:rPr>
              <w:t>224 597</w:t>
            </w:r>
          </w:p>
        </w:tc>
        <w:tc>
          <w:tcPr>
            <w:tcW w:w="1418" w:type="dxa"/>
            <w:tcBorders>
              <w:top w:val="single" w:sz="4" w:space="0" w:color="auto"/>
              <w:left w:val="nil"/>
              <w:right w:val="nil"/>
            </w:tcBorders>
            <w:noWrap/>
            <w:vAlign w:val="center"/>
          </w:tcPr>
          <w:p w14:paraId="7B79A22B" w14:textId="77777777" w:rsidR="005717A4" w:rsidRPr="001F655F" w:rsidRDefault="005717A4" w:rsidP="005717A4">
            <w:pPr>
              <w:spacing w:after="0" w:line="240" w:lineRule="auto"/>
              <w:jc w:val="right"/>
              <w:rPr>
                <w:b/>
                <w:color w:val="000000"/>
                <w:sz w:val="18"/>
                <w:szCs w:val="18"/>
              </w:rPr>
            </w:pPr>
            <w:r>
              <w:rPr>
                <w:b/>
                <w:color w:val="000000"/>
                <w:sz w:val="18"/>
                <w:szCs w:val="18"/>
              </w:rPr>
              <w:t>348 988</w:t>
            </w:r>
          </w:p>
        </w:tc>
        <w:tc>
          <w:tcPr>
            <w:tcW w:w="1417" w:type="dxa"/>
            <w:tcBorders>
              <w:top w:val="single" w:sz="4" w:space="0" w:color="auto"/>
              <w:left w:val="nil"/>
              <w:right w:val="nil"/>
            </w:tcBorders>
            <w:shd w:val="clear" w:color="auto" w:fill="BFBFBF" w:themeFill="background1" w:themeFillShade="BF"/>
            <w:noWrap/>
            <w:vAlign w:val="center"/>
          </w:tcPr>
          <w:p w14:paraId="044F3AF8" w14:textId="68EFD322" w:rsidR="005717A4" w:rsidRPr="001F655F" w:rsidRDefault="00DC1A1A" w:rsidP="005717A4">
            <w:pPr>
              <w:spacing w:after="0" w:line="240" w:lineRule="auto"/>
              <w:jc w:val="right"/>
              <w:rPr>
                <w:b/>
                <w:color w:val="000000"/>
                <w:sz w:val="18"/>
                <w:szCs w:val="18"/>
              </w:rPr>
            </w:pPr>
            <w:r>
              <w:rPr>
                <w:b/>
                <w:color w:val="000000"/>
                <w:sz w:val="18"/>
                <w:szCs w:val="18"/>
              </w:rPr>
              <w:t>367 796</w:t>
            </w:r>
          </w:p>
        </w:tc>
      </w:tr>
      <w:tr w:rsidR="005717A4" w:rsidRPr="001F655F" w14:paraId="77F42363" w14:textId="77777777" w:rsidTr="00725AC6">
        <w:trPr>
          <w:trHeight w:hRule="exact" w:val="284"/>
        </w:trPr>
        <w:tc>
          <w:tcPr>
            <w:tcW w:w="4678" w:type="dxa"/>
            <w:tcBorders>
              <w:top w:val="nil"/>
              <w:left w:val="nil"/>
              <w:right w:val="nil"/>
            </w:tcBorders>
            <w:noWrap/>
            <w:vAlign w:val="center"/>
          </w:tcPr>
          <w:p w14:paraId="08A18AE3" w14:textId="77777777" w:rsidR="005717A4" w:rsidRPr="001F655F" w:rsidRDefault="005717A4" w:rsidP="005717A4">
            <w:pPr>
              <w:spacing w:after="0" w:line="240" w:lineRule="auto"/>
              <w:rPr>
                <w:color w:val="000000"/>
                <w:sz w:val="18"/>
                <w:szCs w:val="18"/>
              </w:rPr>
            </w:pPr>
            <w:r w:rsidRPr="001F655F">
              <w:rPr>
                <w:color w:val="000000"/>
                <w:sz w:val="18"/>
                <w:szCs w:val="18"/>
              </w:rPr>
              <w:t>z toho:</w:t>
            </w:r>
          </w:p>
        </w:tc>
        <w:tc>
          <w:tcPr>
            <w:tcW w:w="992" w:type="dxa"/>
            <w:tcBorders>
              <w:top w:val="nil"/>
              <w:left w:val="nil"/>
              <w:right w:val="nil"/>
            </w:tcBorders>
            <w:noWrap/>
            <w:vAlign w:val="center"/>
          </w:tcPr>
          <w:p w14:paraId="3859E508" w14:textId="77777777" w:rsidR="005717A4" w:rsidRPr="001F655F" w:rsidRDefault="005717A4" w:rsidP="005717A4">
            <w:pPr>
              <w:spacing w:after="0" w:line="240" w:lineRule="auto"/>
              <w:jc w:val="right"/>
              <w:rPr>
                <w:color w:val="000000"/>
                <w:sz w:val="18"/>
                <w:szCs w:val="18"/>
              </w:rPr>
            </w:pPr>
          </w:p>
        </w:tc>
        <w:tc>
          <w:tcPr>
            <w:tcW w:w="1418" w:type="dxa"/>
            <w:tcBorders>
              <w:top w:val="nil"/>
              <w:left w:val="nil"/>
              <w:right w:val="nil"/>
            </w:tcBorders>
            <w:noWrap/>
            <w:vAlign w:val="center"/>
          </w:tcPr>
          <w:p w14:paraId="6BB43114" w14:textId="77777777" w:rsidR="005717A4" w:rsidRPr="001F655F" w:rsidRDefault="005717A4" w:rsidP="005717A4">
            <w:pPr>
              <w:spacing w:after="0" w:line="240" w:lineRule="auto"/>
              <w:jc w:val="right"/>
              <w:rPr>
                <w:color w:val="000000"/>
                <w:sz w:val="18"/>
                <w:szCs w:val="18"/>
              </w:rPr>
            </w:pPr>
          </w:p>
        </w:tc>
        <w:tc>
          <w:tcPr>
            <w:tcW w:w="1417" w:type="dxa"/>
            <w:tcBorders>
              <w:top w:val="nil"/>
              <w:left w:val="nil"/>
              <w:right w:val="nil"/>
            </w:tcBorders>
            <w:shd w:val="clear" w:color="auto" w:fill="BFBFBF" w:themeFill="background1" w:themeFillShade="BF"/>
            <w:noWrap/>
            <w:vAlign w:val="center"/>
          </w:tcPr>
          <w:p w14:paraId="7ACBCFE9" w14:textId="77777777" w:rsidR="005717A4" w:rsidRPr="001F655F" w:rsidRDefault="005717A4" w:rsidP="005717A4">
            <w:pPr>
              <w:spacing w:after="0" w:line="240" w:lineRule="auto"/>
              <w:jc w:val="right"/>
              <w:rPr>
                <w:color w:val="000000"/>
                <w:sz w:val="18"/>
                <w:szCs w:val="18"/>
              </w:rPr>
            </w:pPr>
          </w:p>
        </w:tc>
      </w:tr>
      <w:tr w:rsidR="005717A4" w:rsidRPr="001F655F" w14:paraId="7887DB6F" w14:textId="77777777" w:rsidTr="00725AC6">
        <w:trPr>
          <w:trHeight w:hRule="exact" w:val="284"/>
        </w:trPr>
        <w:tc>
          <w:tcPr>
            <w:tcW w:w="4678" w:type="dxa"/>
            <w:tcBorders>
              <w:left w:val="nil"/>
              <w:right w:val="nil"/>
            </w:tcBorders>
            <w:noWrap/>
            <w:vAlign w:val="center"/>
          </w:tcPr>
          <w:p w14:paraId="6BFE9602" w14:textId="77777777" w:rsidR="005717A4" w:rsidRPr="001F655F" w:rsidRDefault="005717A4" w:rsidP="005717A4">
            <w:pPr>
              <w:spacing w:after="0" w:line="240" w:lineRule="auto"/>
              <w:rPr>
                <w:color w:val="000000"/>
                <w:sz w:val="18"/>
                <w:szCs w:val="18"/>
              </w:rPr>
            </w:pPr>
            <w:r w:rsidRPr="001F655F">
              <w:rPr>
                <w:color w:val="000000"/>
                <w:sz w:val="18"/>
                <w:szCs w:val="18"/>
              </w:rPr>
              <w:t xml:space="preserve">   účelové prostriedky z</w:t>
            </w:r>
            <w:r>
              <w:rPr>
                <w:color w:val="000000"/>
                <w:sz w:val="18"/>
                <w:szCs w:val="18"/>
              </w:rPr>
              <w:t> </w:t>
            </w:r>
            <w:r w:rsidRPr="001F655F">
              <w:rPr>
                <w:color w:val="000000"/>
                <w:sz w:val="18"/>
                <w:szCs w:val="18"/>
              </w:rPr>
              <w:t>FNM</w:t>
            </w:r>
            <w:r>
              <w:rPr>
                <w:color w:val="000000"/>
                <w:sz w:val="18"/>
                <w:szCs w:val="18"/>
              </w:rPr>
              <w:t xml:space="preserve">/MH Manažment, </w:t>
            </w:r>
            <w:proofErr w:type="spellStart"/>
            <w:r>
              <w:rPr>
                <w:color w:val="000000"/>
                <w:sz w:val="18"/>
                <w:szCs w:val="18"/>
              </w:rPr>
              <w:t>a.s</w:t>
            </w:r>
            <w:proofErr w:type="spellEnd"/>
            <w:r>
              <w:rPr>
                <w:color w:val="000000"/>
                <w:sz w:val="18"/>
                <w:szCs w:val="18"/>
              </w:rPr>
              <w:t>.</w:t>
            </w:r>
          </w:p>
        </w:tc>
        <w:tc>
          <w:tcPr>
            <w:tcW w:w="992" w:type="dxa"/>
            <w:tcBorders>
              <w:left w:val="nil"/>
              <w:right w:val="nil"/>
            </w:tcBorders>
            <w:noWrap/>
            <w:vAlign w:val="center"/>
          </w:tcPr>
          <w:p w14:paraId="20CDAD1C" w14:textId="77777777" w:rsidR="005717A4" w:rsidRPr="001F655F" w:rsidRDefault="005717A4" w:rsidP="005717A4">
            <w:pPr>
              <w:spacing w:after="0" w:line="240" w:lineRule="auto"/>
              <w:jc w:val="right"/>
              <w:rPr>
                <w:color w:val="000000"/>
                <w:sz w:val="18"/>
                <w:szCs w:val="18"/>
              </w:rPr>
            </w:pPr>
            <w:r w:rsidRPr="001F655F">
              <w:rPr>
                <w:color w:val="000000"/>
                <w:sz w:val="18"/>
                <w:szCs w:val="18"/>
              </w:rPr>
              <w:t>5 107</w:t>
            </w:r>
          </w:p>
        </w:tc>
        <w:tc>
          <w:tcPr>
            <w:tcW w:w="1418" w:type="dxa"/>
            <w:tcBorders>
              <w:left w:val="nil"/>
              <w:right w:val="nil"/>
            </w:tcBorders>
            <w:noWrap/>
            <w:vAlign w:val="center"/>
          </w:tcPr>
          <w:p w14:paraId="0D76D1AF" w14:textId="77777777" w:rsidR="005717A4" w:rsidRPr="001F655F" w:rsidRDefault="005717A4" w:rsidP="005717A4">
            <w:pPr>
              <w:spacing w:after="0" w:line="240" w:lineRule="auto"/>
              <w:jc w:val="right"/>
              <w:rPr>
                <w:color w:val="000000"/>
                <w:sz w:val="18"/>
                <w:szCs w:val="18"/>
              </w:rPr>
            </w:pPr>
            <w:r>
              <w:rPr>
                <w:color w:val="000000"/>
                <w:sz w:val="18"/>
                <w:szCs w:val="18"/>
              </w:rPr>
              <w:t>29</w:t>
            </w:r>
          </w:p>
        </w:tc>
        <w:tc>
          <w:tcPr>
            <w:tcW w:w="1417" w:type="dxa"/>
            <w:tcBorders>
              <w:left w:val="nil"/>
              <w:right w:val="nil"/>
            </w:tcBorders>
            <w:shd w:val="clear" w:color="auto" w:fill="BFBFBF" w:themeFill="background1" w:themeFillShade="BF"/>
            <w:noWrap/>
            <w:vAlign w:val="center"/>
          </w:tcPr>
          <w:p w14:paraId="2256D721" w14:textId="77777777" w:rsidR="005717A4" w:rsidRPr="001F655F" w:rsidRDefault="005717A4" w:rsidP="005717A4">
            <w:pPr>
              <w:spacing w:after="0" w:line="240" w:lineRule="auto"/>
              <w:jc w:val="right"/>
              <w:rPr>
                <w:color w:val="000000"/>
                <w:sz w:val="18"/>
                <w:szCs w:val="18"/>
              </w:rPr>
            </w:pPr>
            <w:r>
              <w:rPr>
                <w:color w:val="000000"/>
                <w:sz w:val="18"/>
                <w:szCs w:val="18"/>
              </w:rPr>
              <w:t>518</w:t>
            </w:r>
          </w:p>
        </w:tc>
      </w:tr>
      <w:tr w:rsidR="005717A4" w:rsidRPr="001F655F" w14:paraId="02A93DE7" w14:textId="77777777" w:rsidTr="00725AC6">
        <w:trPr>
          <w:trHeight w:hRule="exact" w:val="284"/>
        </w:trPr>
        <w:tc>
          <w:tcPr>
            <w:tcW w:w="4678" w:type="dxa"/>
            <w:tcBorders>
              <w:top w:val="nil"/>
              <w:left w:val="nil"/>
              <w:right w:val="nil"/>
            </w:tcBorders>
            <w:noWrap/>
            <w:vAlign w:val="center"/>
          </w:tcPr>
          <w:p w14:paraId="0EFA3859" w14:textId="77777777" w:rsidR="005717A4" w:rsidRPr="001F655F" w:rsidRDefault="005717A4" w:rsidP="005717A4">
            <w:pPr>
              <w:spacing w:after="0" w:line="240" w:lineRule="auto"/>
              <w:rPr>
                <w:color w:val="000000"/>
                <w:sz w:val="18"/>
                <w:szCs w:val="18"/>
              </w:rPr>
            </w:pPr>
            <w:r w:rsidRPr="001F655F">
              <w:rPr>
                <w:color w:val="000000"/>
                <w:sz w:val="18"/>
                <w:szCs w:val="18"/>
              </w:rPr>
              <w:t xml:space="preserve">   </w:t>
            </w:r>
            <w:r>
              <w:rPr>
                <w:color w:val="000000"/>
                <w:sz w:val="18"/>
                <w:szCs w:val="18"/>
              </w:rPr>
              <w:t xml:space="preserve">bežný účet </w:t>
            </w:r>
            <w:r w:rsidRPr="001F655F">
              <w:rPr>
                <w:color w:val="000000"/>
                <w:sz w:val="18"/>
                <w:szCs w:val="18"/>
              </w:rPr>
              <w:t xml:space="preserve">návratných finančných výpomocí </w:t>
            </w:r>
          </w:p>
        </w:tc>
        <w:tc>
          <w:tcPr>
            <w:tcW w:w="992" w:type="dxa"/>
            <w:tcBorders>
              <w:top w:val="nil"/>
              <w:left w:val="nil"/>
              <w:right w:val="nil"/>
            </w:tcBorders>
            <w:noWrap/>
            <w:vAlign w:val="center"/>
          </w:tcPr>
          <w:p w14:paraId="30506E19" w14:textId="77777777" w:rsidR="005717A4" w:rsidRPr="001F655F" w:rsidRDefault="005717A4" w:rsidP="005717A4">
            <w:pPr>
              <w:spacing w:after="0" w:line="240" w:lineRule="auto"/>
              <w:jc w:val="right"/>
              <w:rPr>
                <w:color w:val="000000"/>
                <w:sz w:val="18"/>
                <w:szCs w:val="18"/>
              </w:rPr>
            </w:pPr>
            <w:r w:rsidRPr="001F655F">
              <w:rPr>
                <w:color w:val="000000"/>
                <w:sz w:val="18"/>
                <w:szCs w:val="18"/>
              </w:rPr>
              <w:t>9 141</w:t>
            </w:r>
          </w:p>
        </w:tc>
        <w:tc>
          <w:tcPr>
            <w:tcW w:w="1418" w:type="dxa"/>
            <w:tcBorders>
              <w:top w:val="nil"/>
              <w:left w:val="nil"/>
              <w:right w:val="nil"/>
            </w:tcBorders>
            <w:noWrap/>
            <w:vAlign w:val="center"/>
          </w:tcPr>
          <w:p w14:paraId="189C7EAA" w14:textId="77777777" w:rsidR="005717A4" w:rsidRPr="001F655F" w:rsidRDefault="005717A4" w:rsidP="005717A4">
            <w:pPr>
              <w:spacing w:after="0" w:line="240" w:lineRule="auto"/>
              <w:jc w:val="right"/>
              <w:rPr>
                <w:color w:val="000000"/>
                <w:sz w:val="18"/>
                <w:szCs w:val="18"/>
              </w:rPr>
            </w:pPr>
            <w:r>
              <w:rPr>
                <w:color w:val="000000"/>
                <w:sz w:val="18"/>
                <w:szCs w:val="18"/>
              </w:rPr>
              <w:t>61 270</w:t>
            </w:r>
          </w:p>
        </w:tc>
        <w:tc>
          <w:tcPr>
            <w:tcW w:w="1417" w:type="dxa"/>
            <w:tcBorders>
              <w:top w:val="nil"/>
              <w:left w:val="nil"/>
              <w:right w:val="nil"/>
            </w:tcBorders>
            <w:shd w:val="clear" w:color="auto" w:fill="BFBFBF" w:themeFill="background1" w:themeFillShade="BF"/>
            <w:noWrap/>
            <w:vAlign w:val="center"/>
          </w:tcPr>
          <w:p w14:paraId="46B40178" w14:textId="77777777" w:rsidR="005717A4" w:rsidRPr="001F655F" w:rsidRDefault="005717A4" w:rsidP="005717A4">
            <w:pPr>
              <w:spacing w:after="0" w:line="240" w:lineRule="auto"/>
              <w:jc w:val="right"/>
              <w:rPr>
                <w:color w:val="000000"/>
                <w:sz w:val="18"/>
                <w:szCs w:val="18"/>
              </w:rPr>
            </w:pPr>
            <w:r>
              <w:rPr>
                <w:color w:val="000000"/>
                <w:sz w:val="18"/>
                <w:szCs w:val="18"/>
              </w:rPr>
              <w:t>52 172</w:t>
            </w:r>
          </w:p>
        </w:tc>
      </w:tr>
      <w:tr w:rsidR="005717A4" w:rsidRPr="001F655F" w14:paraId="0F0A22E4" w14:textId="77777777" w:rsidTr="00725AC6">
        <w:trPr>
          <w:trHeight w:hRule="exact" w:val="284"/>
        </w:trPr>
        <w:tc>
          <w:tcPr>
            <w:tcW w:w="4678" w:type="dxa"/>
            <w:tcBorders>
              <w:top w:val="nil"/>
              <w:left w:val="nil"/>
              <w:right w:val="nil"/>
            </w:tcBorders>
            <w:noWrap/>
            <w:vAlign w:val="center"/>
          </w:tcPr>
          <w:p w14:paraId="31B86A36" w14:textId="77777777" w:rsidR="005717A4" w:rsidRPr="001F655F" w:rsidRDefault="005717A4" w:rsidP="005717A4">
            <w:pPr>
              <w:spacing w:after="0" w:line="240" w:lineRule="auto"/>
              <w:rPr>
                <w:color w:val="000000"/>
                <w:sz w:val="18"/>
                <w:szCs w:val="18"/>
              </w:rPr>
            </w:pPr>
            <w:r w:rsidRPr="001F655F">
              <w:rPr>
                <w:color w:val="000000"/>
                <w:sz w:val="18"/>
                <w:szCs w:val="18"/>
              </w:rPr>
              <w:t xml:space="preserve">   osobitný odvod finančných inštitúcií</w:t>
            </w:r>
          </w:p>
        </w:tc>
        <w:tc>
          <w:tcPr>
            <w:tcW w:w="992" w:type="dxa"/>
            <w:tcBorders>
              <w:top w:val="nil"/>
              <w:left w:val="nil"/>
              <w:right w:val="nil"/>
            </w:tcBorders>
            <w:noWrap/>
            <w:vAlign w:val="center"/>
          </w:tcPr>
          <w:p w14:paraId="0ACF624E" w14:textId="77777777" w:rsidR="005717A4" w:rsidRPr="001F655F" w:rsidRDefault="005717A4" w:rsidP="005717A4">
            <w:pPr>
              <w:spacing w:after="0" w:line="240" w:lineRule="auto"/>
              <w:jc w:val="right"/>
              <w:rPr>
                <w:color w:val="000000"/>
                <w:sz w:val="18"/>
                <w:szCs w:val="18"/>
              </w:rPr>
            </w:pPr>
            <w:r w:rsidRPr="001F655F">
              <w:rPr>
                <w:color w:val="000000"/>
                <w:sz w:val="18"/>
                <w:szCs w:val="18"/>
              </w:rPr>
              <w:t>119 772</w:t>
            </w:r>
          </w:p>
        </w:tc>
        <w:tc>
          <w:tcPr>
            <w:tcW w:w="1418" w:type="dxa"/>
            <w:tcBorders>
              <w:top w:val="nil"/>
              <w:left w:val="nil"/>
              <w:right w:val="nil"/>
            </w:tcBorders>
            <w:noWrap/>
            <w:vAlign w:val="center"/>
          </w:tcPr>
          <w:p w14:paraId="50FAF5CB" w14:textId="77777777" w:rsidR="005717A4" w:rsidRPr="001F655F" w:rsidRDefault="005717A4" w:rsidP="005717A4">
            <w:pPr>
              <w:spacing w:after="0" w:line="240" w:lineRule="auto"/>
              <w:jc w:val="right"/>
              <w:rPr>
                <w:color w:val="000000"/>
                <w:sz w:val="18"/>
                <w:szCs w:val="18"/>
              </w:rPr>
            </w:pPr>
            <w:r>
              <w:rPr>
                <w:color w:val="000000"/>
                <w:sz w:val="18"/>
                <w:szCs w:val="18"/>
              </w:rPr>
              <w:t>127 284</w:t>
            </w:r>
          </w:p>
        </w:tc>
        <w:tc>
          <w:tcPr>
            <w:tcW w:w="1417" w:type="dxa"/>
            <w:tcBorders>
              <w:top w:val="nil"/>
              <w:left w:val="nil"/>
              <w:right w:val="nil"/>
            </w:tcBorders>
            <w:shd w:val="clear" w:color="auto" w:fill="BFBFBF" w:themeFill="background1" w:themeFillShade="BF"/>
            <w:noWrap/>
            <w:vAlign w:val="center"/>
          </w:tcPr>
          <w:p w14:paraId="46B45412" w14:textId="77777777" w:rsidR="005717A4" w:rsidRPr="001F655F" w:rsidRDefault="005717A4" w:rsidP="005717A4">
            <w:pPr>
              <w:spacing w:after="0" w:line="240" w:lineRule="auto"/>
              <w:jc w:val="right"/>
              <w:rPr>
                <w:color w:val="000000"/>
                <w:sz w:val="18"/>
                <w:szCs w:val="18"/>
              </w:rPr>
            </w:pPr>
            <w:r>
              <w:rPr>
                <w:color w:val="000000"/>
                <w:sz w:val="18"/>
                <w:szCs w:val="18"/>
              </w:rPr>
              <w:t>134 177</w:t>
            </w:r>
          </w:p>
        </w:tc>
      </w:tr>
      <w:tr w:rsidR="005717A4" w:rsidRPr="001F655F" w14:paraId="4B4CE8B2" w14:textId="77777777" w:rsidTr="00725AC6">
        <w:trPr>
          <w:trHeight w:hRule="exact" w:val="265"/>
        </w:trPr>
        <w:tc>
          <w:tcPr>
            <w:tcW w:w="4678" w:type="dxa"/>
            <w:tcBorders>
              <w:top w:val="nil"/>
              <w:left w:val="nil"/>
              <w:right w:val="nil"/>
            </w:tcBorders>
            <w:noWrap/>
            <w:vAlign w:val="center"/>
          </w:tcPr>
          <w:p w14:paraId="12E92AF8" w14:textId="77777777" w:rsidR="005717A4" w:rsidRPr="001F655F" w:rsidRDefault="005717A4" w:rsidP="005717A4">
            <w:pPr>
              <w:spacing w:after="0" w:line="240" w:lineRule="auto"/>
              <w:rPr>
                <w:color w:val="000000"/>
                <w:sz w:val="18"/>
                <w:szCs w:val="18"/>
              </w:rPr>
            </w:pPr>
            <w:r w:rsidRPr="001F655F">
              <w:rPr>
                <w:color w:val="000000"/>
                <w:sz w:val="18"/>
                <w:szCs w:val="18"/>
              </w:rPr>
              <w:t xml:space="preserve">   osobitný odvod z podnikania v regulovaných odvetviach</w:t>
            </w:r>
          </w:p>
        </w:tc>
        <w:tc>
          <w:tcPr>
            <w:tcW w:w="992" w:type="dxa"/>
            <w:tcBorders>
              <w:top w:val="nil"/>
              <w:left w:val="nil"/>
              <w:right w:val="nil"/>
            </w:tcBorders>
            <w:noWrap/>
            <w:vAlign w:val="center"/>
          </w:tcPr>
          <w:p w14:paraId="16223108" w14:textId="77777777" w:rsidR="005717A4" w:rsidRPr="001F655F" w:rsidRDefault="005717A4" w:rsidP="005717A4">
            <w:pPr>
              <w:spacing w:after="0" w:line="240" w:lineRule="auto"/>
              <w:jc w:val="right"/>
              <w:rPr>
                <w:color w:val="000000"/>
                <w:sz w:val="18"/>
                <w:szCs w:val="18"/>
              </w:rPr>
            </w:pPr>
            <w:r w:rsidRPr="001F655F">
              <w:rPr>
                <w:color w:val="000000"/>
                <w:sz w:val="18"/>
                <w:szCs w:val="18"/>
              </w:rPr>
              <w:t>82 252</w:t>
            </w:r>
          </w:p>
        </w:tc>
        <w:tc>
          <w:tcPr>
            <w:tcW w:w="1418" w:type="dxa"/>
            <w:tcBorders>
              <w:top w:val="nil"/>
              <w:left w:val="nil"/>
              <w:right w:val="nil"/>
            </w:tcBorders>
            <w:noWrap/>
            <w:vAlign w:val="center"/>
          </w:tcPr>
          <w:p w14:paraId="38BFB794" w14:textId="77777777" w:rsidR="005717A4" w:rsidRPr="001F655F" w:rsidRDefault="005717A4" w:rsidP="005717A4">
            <w:pPr>
              <w:spacing w:after="0" w:line="240" w:lineRule="auto"/>
              <w:jc w:val="right"/>
              <w:rPr>
                <w:color w:val="000000"/>
                <w:sz w:val="18"/>
                <w:szCs w:val="18"/>
              </w:rPr>
            </w:pPr>
            <w:r>
              <w:rPr>
                <w:color w:val="000000"/>
                <w:sz w:val="18"/>
                <w:szCs w:val="18"/>
              </w:rPr>
              <w:t>159 121</w:t>
            </w:r>
          </w:p>
        </w:tc>
        <w:tc>
          <w:tcPr>
            <w:tcW w:w="1417" w:type="dxa"/>
            <w:tcBorders>
              <w:top w:val="nil"/>
              <w:left w:val="nil"/>
              <w:right w:val="nil"/>
            </w:tcBorders>
            <w:shd w:val="clear" w:color="auto" w:fill="BFBFBF" w:themeFill="background1" w:themeFillShade="BF"/>
            <w:noWrap/>
            <w:vAlign w:val="center"/>
          </w:tcPr>
          <w:p w14:paraId="2DF28108" w14:textId="161649D8" w:rsidR="005717A4" w:rsidRPr="001F655F" w:rsidRDefault="00A57EE4" w:rsidP="005717A4">
            <w:pPr>
              <w:spacing w:after="0" w:line="240" w:lineRule="auto"/>
              <w:jc w:val="right"/>
              <w:rPr>
                <w:color w:val="000000"/>
                <w:sz w:val="18"/>
                <w:szCs w:val="18"/>
              </w:rPr>
            </w:pPr>
            <w:r>
              <w:rPr>
                <w:color w:val="000000"/>
                <w:sz w:val="18"/>
                <w:szCs w:val="18"/>
              </w:rPr>
              <w:t>180 865</w:t>
            </w:r>
          </w:p>
        </w:tc>
      </w:tr>
      <w:tr w:rsidR="005717A4" w:rsidRPr="001F655F" w14:paraId="7872F623" w14:textId="77777777" w:rsidTr="00725AC6">
        <w:trPr>
          <w:trHeight w:hRule="exact" w:val="284"/>
        </w:trPr>
        <w:tc>
          <w:tcPr>
            <w:tcW w:w="4678" w:type="dxa"/>
            <w:tcBorders>
              <w:top w:val="nil"/>
              <w:left w:val="nil"/>
              <w:right w:val="nil"/>
            </w:tcBorders>
            <w:noWrap/>
            <w:vAlign w:val="center"/>
          </w:tcPr>
          <w:p w14:paraId="6087D7DE" w14:textId="77777777" w:rsidR="005717A4" w:rsidRPr="001F655F" w:rsidRDefault="005717A4" w:rsidP="005717A4">
            <w:pPr>
              <w:spacing w:after="0" w:line="240" w:lineRule="auto"/>
              <w:rPr>
                <w:color w:val="000000"/>
                <w:sz w:val="18"/>
                <w:szCs w:val="18"/>
              </w:rPr>
            </w:pPr>
            <w:r w:rsidRPr="001F655F">
              <w:rPr>
                <w:color w:val="000000"/>
                <w:sz w:val="18"/>
                <w:szCs w:val="18"/>
              </w:rPr>
              <w:t xml:space="preserve">   anonymné vklady</w:t>
            </w:r>
          </w:p>
        </w:tc>
        <w:tc>
          <w:tcPr>
            <w:tcW w:w="992" w:type="dxa"/>
            <w:tcBorders>
              <w:top w:val="nil"/>
              <w:left w:val="nil"/>
              <w:right w:val="nil"/>
            </w:tcBorders>
            <w:noWrap/>
            <w:vAlign w:val="center"/>
          </w:tcPr>
          <w:p w14:paraId="56714C5E" w14:textId="77777777" w:rsidR="005717A4" w:rsidRPr="001F655F" w:rsidRDefault="005717A4" w:rsidP="005717A4">
            <w:pPr>
              <w:spacing w:after="0" w:line="240" w:lineRule="auto"/>
              <w:jc w:val="right"/>
              <w:rPr>
                <w:color w:val="000000"/>
                <w:sz w:val="18"/>
                <w:szCs w:val="18"/>
              </w:rPr>
            </w:pPr>
            <w:r w:rsidRPr="001F655F">
              <w:rPr>
                <w:color w:val="000000"/>
                <w:sz w:val="18"/>
                <w:szCs w:val="18"/>
              </w:rPr>
              <w:t>30</w:t>
            </w:r>
          </w:p>
        </w:tc>
        <w:tc>
          <w:tcPr>
            <w:tcW w:w="1418" w:type="dxa"/>
            <w:tcBorders>
              <w:top w:val="nil"/>
              <w:left w:val="nil"/>
              <w:right w:val="nil"/>
            </w:tcBorders>
            <w:noWrap/>
            <w:vAlign w:val="center"/>
          </w:tcPr>
          <w:p w14:paraId="538BA17E" w14:textId="77777777" w:rsidR="005717A4" w:rsidRPr="001F655F" w:rsidRDefault="005717A4" w:rsidP="005717A4">
            <w:pPr>
              <w:spacing w:after="0" w:line="240" w:lineRule="auto"/>
              <w:jc w:val="right"/>
              <w:rPr>
                <w:color w:val="000000"/>
                <w:sz w:val="18"/>
                <w:szCs w:val="18"/>
              </w:rPr>
            </w:pPr>
            <w:r>
              <w:rPr>
                <w:color w:val="000000"/>
                <w:sz w:val="18"/>
                <w:szCs w:val="18"/>
              </w:rPr>
              <w:t>0</w:t>
            </w:r>
          </w:p>
        </w:tc>
        <w:tc>
          <w:tcPr>
            <w:tcW w:w="1417" w:type="dxa"/>
            <w:tcBorders>
              <w:top w:val="nil"/>
              <w:left w:val="nil"/>
              <w:right w:val="nil"/>
            </w:tcBorders>
            <w:shd w:val="clear" w:color="auto" w:fill="BFBFBF" w:themeFill="background1" w:themeFillShade="BF"/>
            <w:noWrap/>
            <w:vAlign w:val="center"/>
          </w:tcPr>
          <w:p w14:paraId="2EBF3578" w14:textId="77777777" w:rsidR="005717A4" w:rsidRPr="001F655F" w:rsidRDefault="005717A4" w:rsidP="005717A4">
            <w:pPr>
              <w:spacing w:after="0" w:line="240" w:lineRule="auto"/>
              <w:jc w:val="right"/>
              <w:rPr>
                <w:color w:val="000000"/>
                <w:sz w:val="18"/>
                <w:szCs w:val="18"/>
              </w:rPr>
            </w:pPr>
            <w:r>
              <w:rPr>
                <w:color w:val="000000"/>
                <w:sz w:val="18"/>
                <w:szCs w:val="18"/>
              </w:rPr>
              <w:t>44</w:t>
            </w:r>
          </w:p>
        </w:tc>
      </w:tr>
      <w:tr w:rsidR="005717A4" w:rsidRPr="001F655F" w14:paraId="603B532F" w14:textId="77777777" w:rsidTr="00725AC6">
        <w:trPr>
          <w:trHeight w:hRule="exact" w:val="284"/>
        </w:trPr>
        <w:tc>
          <w:tcPr>
            <w:tcW w:w="4678" w:type="dxa"/>
            <w:tcBorders>
              <w:top w:val="nil"/>
              <w:left w:val="nil"/>
              <w:right w:val="nil"/>
            </w:tcBorders>
            <w:noWrap/>
            <w:vAlign w:val="center"/>
          </w:tcPr>
          <w:p w14:paraId="6D5989BC" w14:textId="77777777" w:rsidR="005717A4" w:rsidRPr="001F655F" w:rsidRDefault="005717A4" w:rsidP="005717A4">
            <w:pPr>
              <w:spacing w:after="0" w:line="240" w:lineRule="auto"/>
              <w:rPr>
                <w:color w:val="000000"/>
                <w:sz w:val="18"/>
                <w:szCs w:val="18"/>
              </w:rPr>
            </w:pPr>
            <w:r w:rsidRPr="001F655F">
              <w:rPr>
                <w:color w:val="000000"/>
                <w:sz w:val="18"/>
                <w:szCs w:val="18"/>
              </w:rPr>
              <w:t xml:space="preserve">   ostatné</w:t>
            </w:r>
          </w:p>
        </w:tc>
        <w:tc>
          <w:tcPr>
            <w:tcW w:w="992" w:type="dxa"/>
            <w:tcBorders>
              <w:top w:val="nil"/>
              <w:left w:val="nil"/>
              <w:right w:val="nil"/>
            </w:tcBorders>
            <w:noWrap/>
            <w:vAlign w:val="center"/>
          </w:tcPr>
          <w:p w14:paraId="1F05D63A" w14:textId="77777777" w:rsidR="005717A4" w:rsidRPr="001F655F" w:rsidRDefault="005717A4" w:rsidP="005717A4">
            <w:pPr>
              <w:spacing w:after="0" w:line="240" w:lineRule="auto"/>
              <w:jc w:val="right"/>
              <w:rPr>
                <w:color w:val="000000"/>
                <w:sz w:val="18"/>
                <w:szCs w:val="18"/>
              </w:rPr>
            </w:pPr>
            <w:r w:rsidRPr="001F655F">
              <w:rPr>
                <w:color w:val="000000"/>
                <w:sz w:val="18"/>
                <w:szCs w:val="18"/>
              </w:rPr>
              <w:t>8 295</w:t>
            </w:r>
          </w:p>
        </w:tc>
        <w:tc>
          <w:tcPr>
            <w:tcW w:w="1418" w:type="dxa"/>
            <w:tcBorders>
              <w:top w:val="nil"/>
              <w:left w:val="nil"/>
              <w:right w:val="nil"/>
            </w:tcBorders>
            <w:noWrap/>
            <w:vAlign w:val="center"/>
          </w:tcPr>
          <w:p w14:paraId="3DF83C52" w14:textId="77777777" w:rsidR="005717A4" w:rsidRPr="001F655F" w:rsidRDefault="005717A4" w:rsidP="005717A4">
            <w:pPr>
              <w:spacing w:after="0" w:line="240" w:lineRule="auto"/>
              <w:jc w:val="right"/>
              <w:rPr>
                <w:color w:val="000000"/>
                <w:sz w:val="18"/>
                <w:szCs w:val="18"/>
              </w:rPr>
            </w:pPr>
            <w:r>
              <w:rPr>
                <w:color w:val="000000"/>
                <w:sz w:val="18"/>
                <w:szCs w:val="18"/>
              </w:rPr>
              <w:t>1 284</w:t>
            </w:r>
          </w:p>
        </w:tc>
        <w:tc>
          <w:tcPr>
            <w:tcW w:w="1417" w:type="dxa"/>
            <w:tcBorders>
              <w:top w:val="nil"/>
              <w:left w:val="nil"/>
              <w:right w:val="nil"/>
            </w:tcBorders>
            <w:shd w:val="clear" w:color="auto" w:fill="BFBFBF" w:themeFill="background1" w:themeFillShade="BF"/>
            <w:noWrap/>
            <w:vAlign w:val="center"/>
          </w:tcPr>
          <w:p w14:paraId="772EFA0A" w14:textId="77777777" w:rsidR="005717A4" w:rsidRPr="001F655F" w:rsidRDefault="005717A4" w:rsidP="005717A4">
            <w:pPr>
              <w:spacing w:after="0" w:line="240" w:lineRule="auto"/>
              <w:jc w:val="right"/>
              <w:rPr>
                <w:color w:val="000000"/>
                <w:sz w:val="18"/>
                <w:szCs w:val="18"/>
              </w:rPr>
            </w:pPr>
            <w:r>
              <w:rPr>
                <w:color w:val="000000"/>
                <w:sz w:val="18"/>
                <w:szCs w:val="18"/>
              </w:rPr>
              <w:t>20</w:t>
            </w:r>
          </w:p>
        </w:tc>
      </w:tr>
      <w:tr w:rsidR="005717A4" w:rsidRPr="001F655F" w14:paraId="17A56BCF" w14:textId="77777777" w:rsidTr="00725AC6">
        <w:trPr>
          <w:trHeight w:hRule="exact" w:val="284"/>
        </w:trPr>
        <w:tc>
          <w:tcPr>
            <w:tcW w:w="4678" w:type="dxa"/>
            <w:tcBorders>
              <w:top w:val="nil"/>
              <w:left w:val="nil"/>
              <w:right w:val="nil"/>
            </w:tcBorders>
            <w:noWrap/>
            <w:vAlign w:val="center"/>
          </w:tcPr>
          <w:p w14:paraId="5EF30E29" w14:textId="3D0C4D68" w:rsidR="005717A4" w:rsidRPr="001F655F" w:rsidRDefault="005717A4" w:rsidP="002272DE">
            <w:pPr>
              <w:spacing w:after="0" w:line="240" w:lineRule="auto"/>
              <w:rPr>
                <w:b/>
                <w:color w:val="000000"/>
                <w:sz w:val="18"/>
                <w:szCs w:val="18"/>
              </w:rPr>
            </w:pPr>
            <w:r w:rsidRPr="001F655F">
              <w:rPr>
                <w:b/>
                <w:color w:val="000000"/>
                <w:sz w:val="18"/>
                <w:szCs w:val="18"/>
              </w:rPr>
              <w:t>Výdavky</w:t>
            </w:r>
          </w:p>
        </w:tc>
        <w:tc>
          <w:tcPr>
            <w:tcW w:w="992" w:type="dxa"/>
            <w:tcBorders>
              <w:top w:val="nil"/>
              <w:left w:val="nil"/>
              <w:right w:val="nil"/>
            </w:tcBorders>
            <w:noWrap/>
            <w:vAlign w:val="center"/>
          </w:tcPr>
          <w:p w14:paraId="2D731DCD" w14:textId="77777777" w:rsidR="005717A4" w:rsidRPr="001F655F" w:rsidRDefault="005717A4" w:rsidP="005717A4">
            <w:pPr>
              <w:spacing w:after="0" w:line="240" w:lineRule="auto"/>
              <w:jc w:val="right"/>
              <w:rPr>
                <w:b/>
                <w:color w:val="000000"/>
                <w:sz w:val="18"/>
                <w:szCs w:val="18"/>
              </w:rPr>
            </w:pPr>
            <w:r w:rsidRPr="001F655F">
              <w:rPr>
                <w:b/>
                <w:color w:val="000000"/>
                <w:sz w:val="18"/>
                <w:szCs w:val="18"/>
              </w:rPr>
              <w:t>389 208</w:t>
            </w:r>
          </w:p>
        </w:tc>
        <w:tc>
          <w:tcPr>
            <w:tcW w:w="1418" w:type="dxa"/>
            <w:tcBorders>
              <w:top w:val="nil"/>
              <w:left w:val="nil"/>
              <w:right w:val="nil"/>
            </w:tcBorders>
            <w:noWrap/>
            <w:vAlign w:val="center"/>
          </w:tcPr>
          <w:p w14:paraId="344B1252" w14:textId="77777777" w:rsidR="005717A4" w:rsidRPr="001F655F" w:rsidRDefault="005717A4" w:rsidP="005717A4">
            <w:pPr>
              <w:spacing w:after="0" w:line="240" w:lineRule="auto"/>
              <w:jc w:val="right"/>
              <w:rPr>
                <w:b/>
                <w:color w:val="000000"/>
                <w:sz w:val="18"/>
                <w:szCs w:val="18"/>
              </w:rPr>
            </w:pPr>
            <w:r>
              <w:rPr>
                <w:b/>
                <w:color w:val="000000"/>
                <w:sz w:val="18"/>
                <w:szCs w:val="18"/>
              </w:rPr>
              <w:t>190 990</w:t>
            </w:r>
          </w:p>
        </w:tc>
        <w:tc>
          <w:tcPr>
            <w:tcW w:w="1417" w:type="dxa"/>
            <w:tcBorders>
              <w:top w:val="nil"/>
              <w:left w:val="nil"/>
              <w:right w:val="nil"/>
            </w:tcBorders>
            <w:shd w:val="clear" w:color="auto" w:fill="BFBFBF" w:themeFill="background1" w:themeFillShade="BF"/>
            <w:noWrap/>
            <w:vAlign w:val="center"/>
          </w:tcPr>
          <w:p w14:paraId="3F0AAD41" w14:textId="3DE17834" w:rsidR="005717A4" w:rsidRPr="001F655F" w:rsidRDefault="00DC1A1A" w:rsidP="005717A4">
            <w:pPr>
              <w:spacing w:after="0" w:line="240" w:lineRule="auto"/>
              <w:jc w:val="right"/>
              <w:rPr>
                <w:b/>
                <w:color w:val="000000"/>
                <w:sz w:val="18"/>
                <w:szCs w:val="18"/>
              </w:rPr>
            </w:pPr>
            <w:r>
              <w:rPr>
                <w:b/>
                <w:color w:val="000000"/>
                <w:sz w:val="18"/>
                <w:szCs w:val="18"/>
              </w:rPr>
              <w:t>376 786</w:t>
            </w:r>
          </w:p>
        </w:tc>
      </w:tr>
      <w:tr w:rsidR="005717A4" w:rsidRPr="001F655F" w14:paraId="1A2E1A96" w14:textId="77777777" w:rsidTr="00725AC6">
        <w:trPr>
          <w:trHeight w:hRule="exact" w:val="284"/>
        </w:trPr>
        <w:tc>
          <w:tcPr>
            <w:tcW w:w="4678" w:type="dxa"/>
            <w:tcBorders>
              <w:left w:val="nil"/>
              <w:right w:val="nil"/>
            </w:tcBorders>
            <w:noWrap/>
            <w:vAlign w:val="center"/>
          </w:tcPr>
          <w:p w14:paraId="4025ABD5" w14:textId="77777777" w:rsidR="005717A4" w:rsidRPr="001F655F" w:rsidRDefault="005717A4" w:rsidP="005717A4">
            <w:pPr>
              <w:spacing w:after="0" w:line="240" w:lineRule="auto"/>
              <w:rPr>
                <w:color w:val="000000"/>
                <w:sz w:val="18"/>
                <w:szCs w:val="18"/>
              </w:rPr>
            </w:pPr>
            <w:r w:rsidRPr="001F655F">
              <w:rPr>
                <w:color w:val="000000"/>
                <w:sz w:val="18"/>
                <w:szCs w:val="18"/>
              </w:rPr>
              <w:t>z toho:</w:t>
            </w:r>
          </w:p>
        </w:tc>
        <w:tc>
          <w:tcPr>
            <w:tcW w:w="992" w:type="dxa"/>
            <w:tcBorders>
              <w:left w:val="nil"/>
              <w:right w:val="nil"/>
            </w:tcBorders>
            <w:noWrap/>
            <w:vAlign w:val="center"/>
          </w:tcPr>
          <w:p w14:paraId="003DD6BC" w14:textId="77777777" w:rsidR="005717A4" w:rsidRPr="001F655F" w:rsidRDefault="005717A4" w:rsidP="005717A4">
            <w:pPr>
              <w:spacing w:after="0" w:line="240" w:lineRule="auto"/>
              <w:jc w:val="right"/>
              <w:rPr>
                <w:b/>
                <w:color w:val="000000"/>
                <w:sz w:val="18"/>
                <w:szCs w:val="18"/>
              </w:rPr>
            </w:pPr>
          </w:p>
        </w:tc>
        <w:tc>
          <w:tcPr>
            <w:tcW w:w="1418" w:type="dxa"/>
            <w:tcBorders>
              <w:left w:val="nil"/>
              <w:right w:val="nil"/>
            </w:tcBorders>
            <w:noWrap/>
            <w:vAlign w:val="center"/>
          </w:tcPr>
          <w:p w14:paraId="5F63A14B" w14:textId="77777777" w:rsidR="005717A4" w:rsidRPr="001F655F" w:rsidRDefault="005717A4" w:rsidP="005717A4">
            <w:pPr>
              <w:spacing w:after="0" w:line="240" w:lineRule="auto"/>
              <w:jc w:val="right"/>
              <w:rPr>
                <w:b/>
                <w:color w:val="000000"/>
                <w:sz w:val="18"/>
                <w:szCs w:val="18"/>
              </w:rPr>
            </w:pPr>
          </w:p>
        </w:tc>
        <w:tc>
          <w:tcPr>
            <w:tcW w:w="1417" w:type="dxa"/>
            <w:tcBorders>
              <w:left w:val="nil"/>
              <w:right w:val="nil"/>
            </w:tcBorders>
            <w:shd w:val="clear" w:color="auto" w:fill="BFBFBF" w:themeFill="background1" w:themeFillShade="BF"/>
            <w:noWrap/>
            <w:vAlign w:val="center"/>
          </w:tcPr>
          <w:p w14:paraId="0C2FA087" w14:textId="77777777" w:rsidR="005717A4" w:rsidRPr="001F655F" w:rsidRDefault="005717A4" w:rsidP="005717A4">
            <w:pPr>
              <w:spacing w:after="0" w:line="240" w:lineRule="auto"/>
              <w:jc w:val="right"/>
              <w:rPr>
                <w:b/>
                <w:color w:val="000000"/>
                <w:sz w:val="18"/>
                <w:szCs w:val="18"/>
              </w:rPr>
            </w:pPr>
          </w:p>
        </w:tc>
      </w:tr>
      <w:tr w:rsidR="005717A4" w:rsidRPr="001F655F" w14:paraId="74EBF9D9" w14:textId="77777777" w:rsidTr="00725AC6">
        <w:trPr>
          <w:trHeight w:hRule="exact" w:val="284"/>
        </w:trPr>
        <w:tc>
          <w:tcPr>
            <w:tcW w:w="4678" w:type="dxa"/>
            <w:tcBorders>
              <w:left w:val="nil"/>
              <w:right w:val="nil"/>
            </w:tcBorders>
            <w:noWrap/>
            <w:vAlign w:val="center"/>
          </w:tcPr>
          <w:p w14:paraId="75BEA12A" w14:textId="77777777" w:rsidR="005717A4" w:rsidRPr="001F655F" w:rsidRDefault="005717A4" w:rsidP="005717A4">
            <w:pPr>
              <w:spacing w:after="0" w:line="240" w:lineRule="auto"/>
              <w:rPr>
                <w:color w:val="000000"/>
                <w:sz w:val="18"/>
                <w:szCs w:val="18"/>
              </w:rPr>
            </w:pPr>
            <w:r w:rsidRPr="001F655F">
              <w:rPr>
                <w:color w:val="000000"/>
                <w:sz w:val="18"/>
                <w:szCs w:val="18"/>
              </w:rPr>
              <w:t xml:space="preserve">   účelové prostriedky z</w:t>
            </w:r>
            <w:r>
              <w:rPr>
                <w:color w:val="000000"/>
                <w:sz w:val="18"/>
                <w:szCs w:val="18"/>
              </w:rPr>
              <w:t> </w:t>
            </w:r>
            <w:r w:rsidRPr="001F655F">
              <w:rPr>
                <w:color w:val="000000"/>
                <w:sz w:val="18"/>
                <w:szCs w:val="18"/>
              </w:rPr>
              <w:t>FNM</w:t>
            </w:r>
            <w:r>
              <w:rPr>
                <w:color w:val="000000"/>
                <w:sz w:val="18"/>
                <w:szCs w:val="18"/>
              </w:rPr>
              <w:t xml:space="preserve">/ MH Manažment, </w:t>
            </w:r>
            <w:proofErr w:type="spellStart"/>
            <w:r>
              <w:rPr>
                <w:color w:val="000000"/>
                <w:sz w:val="18"/>
                <w:szCs w:val="18"/>
              </w:rPr>
              <w:t>a.s</w:t>
            </w:r>
            <w:proofErr w:type="spellEnd"/>
            <w:r>
              <w:rPr>
                <w:color w:val="000000"/>
                <w:sz w:val="18"/>
                <w:szCs w:val="18"/>
              </w:rPr>
              <w:t>.</w:t>
            </w:r>
          </w:p>
        </w:tc>
        <w:tc>
          <w:tcPr>
            <w:tcW w:w="992" w:type="dxa"/>
            <w:tcBorders>
              <w:left w:val="nil"/>
              <w:right w:val="nil"/>
            </w:tcBorders>
            <w:noWrap/>
            <w:vAlign w:val="center"/>
          </w:tcPr>
          <w:p w14:paraId="2D39BCB3" w14:textId="77777777" w:rsidR="005717A4" w:rsidRPr="001F655F" w:rsidRDefault="005717A4" w:rsidP="005717A4">
            <w:pPr>
              <w:spacing w:after="0" w:line="240" w:lineRule="auto"/>
              <w:jc w:val="right"/>
              <w:rPr>
                <w:color w:val="000000"/>
                <w:sz w:val="18"/>
                <w:szCs w:val="18"/>
              </w:rPr>
            </w:pPr>
            <w:r w:rsidRPr="001F655F">
              <w:rPr>
                <w:color w:val="000000"/>
                <w:sz w:val="18"/>
                <w:szCs w:val="18"/>
              </w:rPr>
              <w:t>36 483</w:t>
            </w:r>
          </w:p>
        </w:tc>
        <w:tc>
          <w:tcPr>
            <w:tcW w:w="1418" w:type="dxa"/>
            <w:tcBorders>
              <w:left w:val="nil"/>
              <w:right w:val="nil"/>
            </w:tcBorders>
            <w:noWrap/>
            <w:vAlign w:val="center"/>
          </w:tcPr>
          <w:p w14:paraId="1B08DCFF" w14:textId="77777777" w:rsidR="005717A4" w:rsidRPr="001F655F" w:rsidRDefault="005717A4" w:rsidP="005717A4">
            <w:pPr>
              <w:spacing w:after="0" w:line="240" w:lineRule="auto"/>
              <w:jc w:val="right"/>
              <w:rPr>
                <w:color w:val="000000"/>
                <w:sz w:val="18"/>
                <w:szCs w:val="18"/>
              </w:rPr>
            </w:pPr>
            <w:r>
              <w:rPr>
                <w:color w:val="000000"/>
                <w:sz w:val="18"/>
                <w:szCs w:val="18"/>
              </w:rPr>
              <w:t>32 003</w:t>
            </w:r>
          </w:p>
        </w:tc>
        <w:tc>
          <w:tcPr>
            <w:tcW w:w="1417" w:type="dxa"/>
            <w:tcBorders>
              <w:left w:val="nil"/>
              <w:right w:val="nil"/>
            </w:tcBorders>
            <w:shd w:val="clear" w:color="auto" w:fill="BFBFBF" w:themeFill="background1" w:themeFillShade="BF"/>
            <w:noWrap/>
            <w:vAlign w:val="center"/>
          </w:tcPr>
          <w:p w14:paraId="3E12DE6E" w14:textId="32F69548" w:rsidR="005717A4" w:rsidRPr="001F655F" w:rsidRDefault="00CF64DA" w:rsidP="00CF64DA">
            <w:pPr>
              <w:spacing w:after="0" w:line="240" w:lineRule="auto"/>
              <w:jc w:val="right"/>
              <w:rPr>
                <w:color w:val="000000"/>
                <w:sz w:val="18"/>
                <w:szCs w:val="18"/>
              </w:rPr>
            </w:pPr>
            <w:r>
              <w:rPr>
                <w:color w:val="000000"/>
                <w:sz w:val="18"/>
                <w:szCs w:val="18"/>
              </w:rPr>
              <w:t>34 560</w:t>
            </w:r>
          </w:p>
        </w:tc>
      </w:tr>
      <w:tr w:rsidR="005717A4" w:rsidRPr="001F655F" w14:paraId="40B1D239" w14:textId="77777777" w:rsidTr="00725AC6">
        <w:trPr>
          <w:trHeight w:hRule="exact" w:val="284"/>
        </w:trPr>
        <w:tc>
          <w:tcPr>
            <w:tcW w:w="4678" w:type="dxa"/>
            <w:tcBorders>
              <w:left w:val="nil"/>
              <w:right w:val="nil"/>
            </w:tcBorders>
            <w:noWrap/>
            <w:vAlign w:val="center"/>
          </w:tcPr>
          <w:p w14:paraId="1BDCFC82" w14:textId="77777777" w:rsidR="005717A4" w:rsidRPr="001F655F" w:rsidRDefault="005717A4" w:rsidP="005717A4">
            <w:pPr>
              <w:spacing w:after="0" w:line="240" w:lineRule="auto"/>
              <w:rPr>
                <w:color w:val="000000"/>
                <w:sz w:val="18"/>
                <w:szCs w:val="18"/>
              </w:rPr>
            </w:pPr>
            <w:r w:rsidRPr="001F655F">
              <w:rPr>
                <w:color w:val="000000"/>
                <w:sz w:val="18"/>
                <w:szCs w:val="18"/>
              </w:rPr>
              <w:t xml:space="preserve">   </w:t>
            </w:r>
            <w:r>
              <w:rPr>
                <w:color w:val="000000"/>
                <w:sz w:val="18"/>
                <w:szCs w:val="18"/>
              </w:rPr>
              <w:t xml:space="preserve">bežný účet </w:t>
            </w:r>
            <w:r w:rsidRPr="001F655F">
              <w:rPr>
                <w:color w:val="000000"/>
                <w:sz w:val="18"/>
                <w:szCs w:val="18"/>
              </w:rPr>
              <w:t xml:space="preserve">návratných finančných výpomocí </w:t>
            </w:r>
          </w:p>
        </w:tc>
        <w:tc>
          <w:tcPr>
            <w:tcW w:w="992" w:type="dxa"/>
            <w:tcBorders>
              <w:left w:val="nil"/>
              <w:right w:val="nil"/>
            </w:tcBorders>
            <w:noWrap/>
            <w:vAlign w:val="center"/>
          </w:tcPr>
          <w:p w14:paraId="07CFD8AD" w14:textId="77777777" w:rsidR="005717A4" w:rsidRPr="001F655F" w:rsidRDefault="005717A4" w:rsidP="005717A4">
            <w:pPr>
              <w:spacing w:after="0" w:line="240" w:lineRule="auto"/>
              <w:jc w:val="right"/>
              <w:rPr>
                <w:color w:val="000000"/>
                <w:sz w:val="18"/>
                <w:szCs w:val="18"/>
              </w:rPr>
            </w:pPr>
            <w:r w:rsidRPr="001F655F">
              <w:rPr>
                <w:color w:val="000000"/>
                <w:sz w:val="18"/>
                <w:szCs w:val="18"/>
              </w:rPr>
              <w:t>2 500</w:t>
            </w:r>
          </w:p>
        </w:tc>
        <w:tc>
          <w:tcPr>
            <w:tcW w:w="1418" w:type="dxa"/>
            <w:tcBorders>
              <w:left w:val="nil"/>
              <w:right w:val="nil"/>
            </w:tcBorders>
            <w:noWrap/>
            <w:vAlign w:val="center"/>
          </w:tcPr>
          <w:p w14:paraId="4BB82955" w14:textId="77777777" w:rsidR="005717A4" w:rsidRPr="001F655F" w:rsidRDefault="005717A4" w:rsidP="005717A4">
            <w:pPr>
              <w:spacing w:after="0" w:line="240" w:lineRule="auto"/>
              <w:jc w:val="right"/>
              <w:rPr>
                <w:color w:val="000000"/>
                <w:sz w:val="18"/>
                <w:szCs w:val="18"/>
              </w:rPr>
            </w:pPr>
            <w:r>
              <w:rPr>
                <w:color w:val="000000"/>
                <w:sz w:val="18"/>
                <w:szCs w:val="18"/>
              </w:rPr>
              <w:t>0</w:t>
            </w:r>
          </w:p>
        </w:tc>
        <w:tc>
          <w:tcPr>
            <w:tcW w:w="1417" w:type="dxa"/>
            <w:tcBorders>
              <w:left w:val="nil"/>
              <w:right w:val="nil"/>
            </w:tcBorders>
            <w:shd w:val="clear" w:color="auto" w:fill="BFBFBF" w:themeFill="background1" w:themeFillShade="BF"/>
            <w:noWrap/>
            <w:vAlign w:val="center"/>
          </w:tcPr>
          <w:p w14:paraId="73167C77" w14:textId="77777777" w:rsidR="005717A4" w:rsidRPr="001F655F" w:rsidRDefault="005717A4" w:rsidP="005717A4">
            <w:pPr>
              <w:spacing w:after="0" w:line="240" w:lineRule="auto"/>
              <w:jc w:val="right"/>
              <w:rPr>
                <w:color w:val="000000"/>
                <w:sz w:val="18"/>
                <w:szCs w:val="18"/>
              </w:rPr>
            </w:pPr>
            <w:r>
              <w:rPr>
                <w:color w:val="000000"/>
                <w:sz w:val="18"/>
                <w:szCs w:val="18"/>
              </w:rPr>
              <w:t>64 154</w:t>
            </w:r>
          </w:p>
        </w:tc>
      </w:tr>
      <w:tr w:rsidR="005717A4" w:rsidRPr="001F655F" w14:paraId="64A9EB0C" w14:textId="77777777" w:rsidTr="00725AC6">
        <w:trPr>
          <w:trHeight w:hRule="exact" w:val="284"/>
        </w:trPr>
        <w:tc>
          <w:tcPr>
            <w:tcW w:w="4678" w:type="dxa"/>
            <w:tcBorders>
              <w:left w:val="nil"/>
              <w:right w:val="nil"/>
            </w:tcBorders>
            <w:noWrap/>
            <w:vAlign w:val="center"/>
          </w:tcPr>
          <w:p w14:paraId="00DAAB41" w14:textId="77777777" w:rsidR="005717A4" w:rsidRPr="001F655F" w:rsidRDefault="005717A4" w:rsidP="005717A4">
            <w:pPr>
              <w:spacing w:after="0" w:line="240" w:lineRule="auto"/>
              <w:rPr>
                <w:color w:val="000000"/>
                <w:sz w:val="18"/>
                <w:szCs w:val="18"/>
              </w:rPr>
            </w:pPr>
            <w:r w:rsidRPr="001F655F">
              <w:rPr>
                <w:color w:val="000000"/>
                <w:sz w:val="18"/>
                <w:szCs w:val="18"/>
              </w:rPr>
              <w:t xml:space="preserve">   osobitný odvod finančných inštitúcií</w:t>
            </w:r>
          </w:p>
        </w:tc>
        <w:tc>
          <w:tcPr>
            <w:tcW w:w="992" w:type="dxa"/>
            <w:tcBorders>
              <w:left w:val="nil"/>
              <w:right w:val="nil"/>
            </w:tcBorders>
            <w:noWrap/>
            <w:vAlign w:val="center"/>
          </w:tcPr>
          <w:p w14:paraId="5FE88838" w14:textId="77777777" w:rsidR="005717A4" w:rsidRPr="001F655F" w:rsidRDefault="005717A4" w:rsidP="005717A4">
            <w:pPr>
              <w:spacing w:after="0" w:line="240" w:lineRule="auto"/>
              <w:jc w:val="right"/>
              <w:rPr>
                <w:color w:val="000000"/>
                <w:sz w:val="18"/>
                <w:szCs w:val="18"/>
              </w:rPr>
            </w:pPr>
            <w:r w:rsidRPr="001F655F">
              <w:rPr>
                <w:color w:val="000000"/>
                <w:sz w:val="18"/>
                <w:szCs w:val="18"/>
              </w:rPr>
              <w:t>0</w:t>
            </w:r>
          </w:p>
        </w:tc>
        <w:tc>
          <w:tcPr>
            <w:tcW w:w="1418" w:type="dxa"/>
            <w:tcBorders>
              <w:left w:val="nil"/>
              <w:right w:val="nil"/>
            </w:tcBorders>
            <w:noWrap/>
            <w:vAlign w:val="center"/>
          </w:tcPr>
          <w:p w14:paraId="76BEC19B" w14:textId="77777777" w:rsidR="005717A4" w:rsidRPr="001F655F" w:rsidRDefault="005717A4" w:rsidP="005717A4">
            <w:pPr>
              <w:spacing w:after="0" w:line="240" w:lineRule="auto"/>
              <w:jc w:val="right"/>
              <w:rPr>
                <w:color w:val="000000"/>
                <w:sz w:val="18"/>
                <w:szCs w:val="18"/>
              </w:rPr>
            </w:pPr>
            <w:r>
              <w:rPr>
                <w:color w:val="000000"/>
                <w:sz w:val="18"/>
                <w:szCs w:val="18"/>
              </w:rPr>
              <w:t>0</w:t>
            </w:r>
          </w:p>
        </w:tc>
        <w:tc>
          <w:tcPr>
            <w:tcW w:w="1417" w:type="dxa"/>
            <w:tcBorders>
              <w:left w:val="nil"/>
              <w:right w:val="nil"/>
            </w:tcBorders>
            <w:shd w:val="clear" w:color="auto" w:fill="BFBFBF" w:themeFill="background1" w:themeFillShade="BF"/>
            <w:noWrap/>
            <w:vAlign w:val="center"/>
          </w:tcPr>
          <w:p w14:paraId="0F1646E1" w14:textId="77777777" w:rsidR="005717A4" w:rsidRPr="001F655F" w:rsidRDefault="005717A4" w:rsidP="005717A4">
            <w:pPr>
              <w:spacing w:after="0" w:line="240" w:lineRule="auto"/>
              <w:jc w:val="right"/>
              <w:rPr>
                <w:color w:val="000000"/>
                <w:sz w:val="18"/>
                <w:szCs w:val="18"/>
              </w:rPr>
            </w:pPr>
            <w:r>
              <w:rPr>
                <w:color w:val="000000"/>
                <w:sz w:val="18"/>
                <w:szCs w:val="18"/>
              </w:rPr>
              <w:t>0</w:t>
            </w:r>
          </w:p>
        </w:tc>
      </w:tr>
      <w:tr w:rsidR="005717A4" w:rsidRPr="001F655F" w14:paraId="33986466" w14:textId="77777777" w:rsidTr="00725AC6">
        <w:trPr>
          <w:trHeight w:hRule="exact" w:val="284"/>
        </w:trPr>
        <w:tc>
          <w:tcPr>
            <w:tcW w:w="4678" w:type="dxa"/>
            <w:tcBorders>
              <w:left w:val="nil"/>
              <w:right w:val="nil"/>
            </w:tcBorders>
            <w:noWrap/>
            <w:vAlign w:val="center"/>
          </w:tcPr>
          <w:p w14:paraId="65AB05DF" w14:textId="77777777" w:rsidR="005717A4" w:rsidRPr="001F655F" w:rsidRDefault="005717A4" w:rsidP="005717A4">
            <w:pPr>
              <w:spacing w:after="0" w:line="240" w:lineRule="auto"/>
              <w:rPr>
                <w:color w:val="000000"/>
                <w:sz w:val="18"/>
                <w:szCs w:val="18"/>
              </w:rPr>
            </w:pPr>
            <w:r w:rsidRPr="001F655F">
              <w:rPr>
                <w:color w:val="000000"/>
                <w:sz w:val="18"/>
                <w:szCs w:val="18"/>
              </w:rPr>
              <w:t xml:space="preserve">   osobitný odvod z podnikania v regulovaných odvetviach</w:t>
            </w:r>
          </w:p>
        </w:tc>
        <w:tc>
          <w:tcPr>
            <w:tcW w:w="992" w:type="dxa"/>
            <w:tcBorders>
              <w:left w:val="nil"/>
              <w:right w:val="nil"/>
            </w:tcBorders>
            <w:noWrap/>
            <w:vAlign w:val="center"/>
          </w:tcPr>
          <w:p w14:paraId="6D0D2608" w14:textId="77777777" w:rsidR="005717A4" w:rsidRPr="001F655F" w:rsidRDefault="005717A4" w:rsidP="005717A4">
            <w:pPr>
              <w:spacing w:after="0" w:line="240" w:lineRule="auto"/>
              <w:jc w:val="right"/>
              <w:rPr>
                <w:color w:val="000000"/>
                <w:sz w:val="18"/>
                <w:szCs w:val="18"/>
              </w:rPr>
            </w:pPr>
            <w:r w:rsidRPr="001F655F">
              <w:rPr>
                <w:color w:val="000000"/>
                <w:sz w:val="18"/>
                <w:szCs w:val="18"/>
              </w:rPr>
              <w:t>350 000</w:t>
            </w:r>
          </w:p>
        </w:tc>
        <w:tc>
          <w:tcPr>
            <w:tcW w:w="1418" w:type="dxa"/>
            <w:tcBorders>
              <w:left w:val="nil"/>
              <w:right w:val="nil"/>
            </w:tcBorders>
            <w:noWrap/>
            <w:vAlign w:val="center"/>
          </w:tcPr>
          <w:p w14:paraId="2C7901EF" w14:textId="77777777" w:rsidR="005717A4" w:rsidRPr="001F655F" w:rsidRDefault="005717A4" w:rsidP="005717A4">
            <w:pPr>
              <w:spacing w:after="0" w:line="240" w:lineRule="auto"/>
              <w:jc w:val="right"/>
              <w:rPr>
                <w:color w:val="000000"/>
                <w:sz w:val="18"/>
                <w:szCs w:val="18"/>
              </w:rPr>
            </w:pPr>
            <w:r>
              <w:rPr>
                <w:color w:val="000000"/>
                <w:sz w:val="18"/>
                <w:szCs w:val="18"/>
              </w:rPr>
              <w:t>158 643</w:t>
            </w:r>
          </w:p>
        </w:tc>
        <w:tc>
          <w:tcPr>
            <w:tcW w:w="1417" w:type="dxa"/>
            <w:tcBorders>
              <w:left w:val="nil"/>
              <w:right w:val="nil"/>
            </w:tcBorders>
            <w:shd w:val="clear" w:color="auto" w:fill="BFBFBF" w:themeFill="background1" w:themeFillShade="BF"/>
            <w:noWrap/>
            <w:vAlign w:val="center"/>
          </w:tcPr>
          <w:p w14:paraId="394BFF92" w14:textId="48D259C4" w:rsidR="005717A4" w:rsidRPr="001F655F" w:rsidRDefault="00CF64DA" w:rsidP="005717A4">
            <w:pPr>
              <w:spacing w:after="0" w:line="240" w:lineRule="auto"/>
              <w:jc w:val="right"/>
              <w:rPr>
                <w:color w:val="000000"/>
                <w:sz w:val="18"/>
                <w:szCs w:val="18"/>
              </w:rPr>
            </w:pPr>
            <w:r>
              <w:rPr>
                <w:color w:val="000000"/>
                <w:sz w:val="18"/>
                <w:szCs w:val="18"/>
              </w:rPr>
              <w:t>277 923</w:t>
            </w:r>
          </w:p>
        </w:tc>
      </w:tr>
      <w:tr w:rsidR="005717A4" w:rsidRPr="001F655F" w14:paraId="110AD752" w14:textId="77777777" w:rsidTr="00725AC6">
        <w:trPr>
          <w:trHeight w:hRule="exact" w:val="284"/>
        </w:trPr>
        <w:tc>
          <w:tcPr>
            <w:tcW w:w="4678" w:type="dxa"/>
            <w:tcBorders>
              <w:left w:val="nil"/>
              <w:right w:val="nil"/>
            </w:tcBorders>
            <w:noWrap/>
            <w:vAlign w:val="center"/>
          </w:tcPr>
          <w:p w14:paraId="78506728" w14:textId="77777777" w:rsidR="005717A4" w:rsidRPr="001F655F" w:rsidRDefault="005717A4" w:rsidP="005717A4">
            <w:pPr>
              <w:spacing w:after="0" w:line="240" w:lineRule="auto"/>
              <w:rPr>
                <w:color w:val="000000"/>
                <w:sz w:val="18"/>
                <w:szCs w:val="18"/>
              </w:rPr>
            </w:pPr>
            <w:r w:rsidRPr="001F655F">
              <w:rPr>
                <w:color w:val="000000"/>
                <w:sz w:val="18"/>
                <w:szCs w:val="18"/>
              </w:rPr>
              <w:t xml:space="preserve">   anonymné vklady</w:t>
            </w:r>
          </w:p>
        </w:tc>
        <w:tc>
          <w:tcPr>
            <w:tcW w:w="992" w:type="dxa"/>
            <w:tcBorders>
              <w:left w:val="nil"/>
              <w:right w:val="nil"/>
            </w:tcBorders>
            <w:noWrap/>
            <w:vAlign w:val="center"/>
          </w:tcPr>
          <w:p w14:paraId="3F925C06" w14:textId="77777777" w:rsidR="005717A4" w:rsidRPr="001F655F" w:rsidRDefault="005717A4" w:rsidP="005717A4">
            <w:pPr>
              <w:spacing w:after="0" w:line="240" w:lineRule="auto"/>
              <w:jc w:val="right"/>
              <w:rPr>
                <w:color w:val="000000"/>
                <w:sz w:val="18"/>
                <w:szCs w:val="18"/>
              </w:rPr>
            </w:pPr>
            <w:r w:rsidRPr="001F655F">
              <w:rPr>
                <w:color w:val="000000"/>
                <w:sz w:val="18"/>
                <w:szCs w:val="18"/>
              </w:rPr>
              <w:t>8</w:t>
            </w:r>
          </w:p>
        </w:tc>
        <w:tc>
          <w:tcPr>
            <w:tcW w:w="1418" w:type="dxa"/>
            <w:tcBorders>
              <w:left w:val="nil"/>
              <w:right w:val="nil"/>
            </w:tcBorders>
            <w:noWrap/>
            <w:vAlign w:val="center"/>
          </w:tcPr>
          <w:p w14:paraId="6CE11AA2" w14:textId="77777777" w:rsidR="005717A4" w:rsidRPr="001F655F" w:rsidRDefault="005717A4" w:rsidP="005717A4">
            <w:pPr>
              <w:spacing w:after="0" w:line="240" w:lineRule="auto"/>
              <w:jc w:val="right"/>
              <w:rPr>
                <w:color w:val="000000"/>
                <w:sz w:val="18"/>
                <w:szCs w:val="18"/>
              </w:rPr>
            </w:pPr>
            <w:r>
              <w:rPr>
                <w:color w:val="000000"/>
                <w:sz w:val="18"/>
                <w:szCs w:val="18"/>
              </w:rPr>
              <w:t>127</w:t>
            </w:r>
          </w:p>
        </w:tc>
        <w:tc>
          <w:tcPr>
            <w:tcW w:w="1417" w:type="dxa"/>
            <w:tcBorders>
              <w:left w:val="nil"/>
              <w:right w:val="nil"/>
            </w:tcBorders>
            <w:shd w:val="clear" w:color="auto" w:fill="BFBFBF" w:themeFill="background1" w:themeFillShade="BF"/>
            <w:noWrap/>
            <w:vAlign w:val="center"/>
          </w:tcPr>
          <w:p w14:paraId="12C7AB7F" w14:textId="77777777" w:rsidR="005717A4" w:rsidRPr="001F655F" w:rsidRDefault="005717A4" w:rsidP="005717A4">
            <w:pPr>
              <w:spacing w:after="0" w:line="240" w:lineRule="auto"/>
              <w:jc w:val="right"/>
              <w:rPr>
                <w:color w:val="000000"/>
                <w:sz w:val="18"/>
                <w:szCs w:val="18"/>
              </w:rPr>
            </w:pPr>
            <w:r>
              <w:rPr>
                <w:color w:val="000000"/>
                <w:sz w:val="18"/>
                <w:szCs w:val="18"/>
              </w:rPr>
              <w:t>0</w:t>
            </w:r>
          </w:p>
        </w:tc>
      </w:tr>
      <w:tr w:rsidR="005717A4" w:rsidRPr="001F655F" w14:paraId="1F162479" w14:textId="77777777" w:rsidTr="00725AC6">
        <w:trPr>
          <w:trHeight w:hRule="exact" w:val="284"/>
        </w:trPr>
        <w:tc>
          <w:tcPr>
            <w:tcW w:w="4678" w:type="dxa"/>
            <w:tcBorders>
              <w:left w:val="nil"/>
              <w:bottom w:val="single" w:sz="4" w:space="0" w:color="auto"/>
              <w:right w:val="nil"/>
            </w:tcBorders>
            <w:noWrap/>
            <w:vAlign w:val="center"/>
          </w:tcPr>
          <w:p w14:paraId="67F31065" w14:textId="77777777" w:rsidR="005717A4" w:rsidRPr="001F655F" w:rsidRDefault="005717A4" w:rsidP="005717A4">
            <w:pPr>
              <w:spacing w:after="0" w:line="240" w:lineRule="auto"/>
              <w:rPr>
                <w:color w:val="000000"/>
                <w:sz w:val="18"/>
                <w:szCs w:val="18"/>
              </w:rPr>
            </w:pPr>
            <w:r w:rsidRPr="001F655F">
              <w:rPr>
                <w:color w:val="000000"/>
                <w:sz w:val="18"/>
                <w:szCs w:val="18"/>
              </w:rPr>
              <w:t xml:space="preserve">   ostatné</w:t>
            </w:r>
          </w:p>
        </w:tc>
        <w:tc>
          <w:tcPr>
            <w:tcW w:w="992" w:type="dxa"/>
            <w:tcBorders>
              <w:left w:val="nil"/>
              <w:bottom w:val="single" w:sz="4" w:space="0" w:color="auto"/>
              <w:right w:val="nil"/>
            </w:tcBorders>
            <w:noWrap/>
            <w:vAlign w:val="center"/>
          </w:tcPr>
          <w:p w14:paraId="72C8E7F4" w14:textId="77777777" w:rsidR="005717A4" w:rsidRPr="001F655F" w:rsidRDefault="005717A4" w:rsidP="005717A4">
            <w:pPr>
              <w:spacing w:after="0" w:line="240" w:lineRule="auto"/>
              <w:jc w:val="right"/>
              <w:rPr>
                <w:color w:val="000000"/>
                <w:sz w:val="18"/>
                <w:szCs w:val="18"/>
              </w:rPr>
            </w:pPr>
            <w:r w:rsidRPr="001F655F">
              <w:rPr>
                <w:color w:val="000000"/>
                <w:sz w:val="18"/>
                <w:szCs w:val="18"/>
              </w:rPr>
              <w:t>217</w:t>
            </w:r>
          </w:p>
        </w:tc>
        <w:tc>
          <w:tcPr>
            <w:tcW w:w="1418" w:type="dxa"/>
            <w:tcBorders>
              <w:left w:val="nil"/>
              <w:bottom w:val="single" w:sz="4" w:space="0" w:color="auto"/>
              <w:right w:val="nil"/>
            </w:tcBorders>
            <w:noWrap/>
            <w:vAlign w:val="center"/>
          </w:tcPr>
          <w:p w14:paraId="20775FBF" w14:textId="77777777" w:rsidR="005717A4" w:rsidRPr="001F655F" w:rsidRDefault="005717A4" w:rsidP="005717A4">
            <w:pPr>
              <w:spacing w:after="0" w:line="240" w:lineRule="auto"/>
              <w:jc w:val="right"/>
              <w:rPr>
                <w:color w:val="000000"/>
                <w:sz w:val="18"/>
                <w:szCs w:val="18"/>
              </w:rPr>
            </w:pPr>
            <w:r>
              <w:rPr>
                <w:color w:val="000000"/>
                <w:sz w:val="18"/>
                <w:szCs w:val="18"/>
              </w:rPr>
              <w:t>217</w:t>
            </w:r>
          </w:p>
        </w:tc>
        <w:tc>
          <w:tcPr>
            <w:tcW w:w="1417" w:type="dxa"/>
            <w:tcBorders>
              <w:left w:val="nil"/>
              <w:bottom w:val="single" w:sz="4" w:space="0" w:color="auto"/>
              <w:right w:val="nil"/>
            </w:tcBorders>
            <w:shd w:val="clear" w:color="auto" w:fill="BFBFBF" w:themeFill="background1" w:themeFillShade="BF"/>
            <w:noWrap/>
            <w:vAlign w:val="center"/>
          </w:tcPr>
          <w:p w14:paraId="1EA0EFA4" w14:textId="77777777" w:rsidR="005717A4" w:rsidRPr="001F655F" w:rsidRDefault="005717A4" w:rsidP="005717A4">
            <w:pPr>
              <w:spacing w:after="0" w:line="240" w:lineRule="auto"/>
              <w:jc w:val="right"/>
              <w:rPr>
                <w:color w:val="000000"/>
                <w:sz w:val="18"/>
                <w:szCs w:val="18"/>
              </w:rPr>
            </w:pPr>
            <w:r>
              <w:rPr>
                <w:color w:val="000000"/>
                <w:sz w:val="18"/>
                <w:szCs w:val="18"/>
              </w:rPr>
              <w:t>149</w:t>
            </w:r>
          </w:p>
        </w:tc>
      </w:tr>
      <w:tr w:rsidR="005717A4" w:rsidRPr="001F655F" w14:paraId="72FEAFF5" w14:textId="77777777" w:rsidTr="00725AC6">
        <w:trPr>
          <w:trHeight w:hRule="exact" w:val="419"/>
        </w:trPr>
        <w:tc>
          <w:tcPr>
            <w:tcW w:w="4678" w:type="dxa"/>
            <w:tcBorders>
              <w:top w:val="single" w:sz="4" w:space="0" w:color="auto"/>
              <w:left w:val="nil"/>
              <w:bottom w:val="single" w:sz="4" w:space="0" w:color="auto"/>
              <w:right w:val="nil"/>
            </w:tcBorders>
            <w:noWrap/>
            <w:vAlign w:val="center"/>
          </w:tcPr>
          <w:p w14:paraId="2F81EAC8" w14:textId="77777777" w:rsidR="005717A4" w:rsidRPr="001F655F" w:rsidRDefault="005717A4" w:rsidP="005717A4">
            <w:pPr>
              <w:spacing w:after="0" w:line="240" w:lineRule="auto"/>
              <w:rPr>
                <w:b/>
                <w:bCs/>
                <w:color w:val="000000"/>
                <w:sz w:val="18"/>
                <w:szCs w:val="18"/>
              </w:rPr>
            </w:pPr>
            <w:r w:rsidRPr="001F655F">
              <w:rPr>
                <w:b/>
                <w:bCs/>
                <w:color w:val="000000"/>
                <w:sz w:val="18"/>
                <w:szCs w:val="18"/>
              </w:rPr>
              <w:t>Stav k 31.12.</w:t>
            </w:r>
          </w:p>
        </w:tc>
        <w:tc>
          <w:tcPr>
            <w:tcW w:w="992" w:type="dxa"/>
            <w:tcBorders>
              <w:top w:val="single" w:sz="4" w:space="0" w:color="auto"/>
              <w:left w:val="nil"/>
              <w:bottom w:val="single" w:sz="4" w:space="0" w:color="auto"/>
              <w:right w:val="nil"/>
            </w:tcBorders>
            <w:noWrap/>
            <w:vAlign w:val="center"/>
          </w:tcPr>
          <w:p w14:paraId="2618D6AC" w14:textId="77777777" w:rsidR="005717A4" w:rsidRPr="001F655F" w:rsidRDefault="005717A4" w:rsidP="005717A4">
            <w:pPr>
              <w:spacing w:after="0" w:line="240" w:lineRule="auto"/>
              <w:jc w:val="right"/>
              <w:rPr>
                <w:b/>
                <w:color w:val="000000"/>
                <w:sz w:val="18"/>
                <w:szCs w:val="18"/>
              </w:rPr>
            </w:pPr>
            <w:r w:rsidRPr="001F655F">
              <w:rPr>
                <w:b/>
                <w:color w:val="000000"/>
                <w:sz w:val="18"/>
                <w:szCs w:val="18"/>
              </w:rPr>
              <w:t>1 958 451</w:t>
            </w:r>
          </w:p>
        </w:tc>
        <w:tc>
          <w:tcPr>
            <w:tcW w:w="1418" w:type="dxa"/>
            <w:tcBorders>
              <w:top w:val="single" w:sz="4" w:space="0" w:color="auto"/>
              <w:left w:val="nil"/>
              <w:bottom w:val="single" w:sz="4" w:space="0" w:color="auto"/>
              <w:right w:val="nil"/>
            </w:tcBorders>
            <w:noWrap/>
            <w:vAlign w:val="center"/>
          </w:tcPr>
          <w:p w14:paraId="21F03A0F" w14:textId="77777777" w:rsidR="005717A4" w:rsidRPr="001F655F" w:rsidRDefault="005717A4" w:rsidP="005717A4">
            <w:pPr>
              <w:spacing w:after="0" w:line="240" w:lineRule="auto"/>
              <w:jc w:val="right"/>
              <w:rPr>
                <w:b/>
                <w:color w:val="000000"/>
                <w:sz w:val="18"/>
                <w:szCs w:val="18"/>
              </w:rPr>
            </w:pPr>
            <w:r>
              <w:rPr>
                <w:b/>
                <w:color w:val="000000"/>
                <w:sz w:val="18"/>
                <w:szCs w:val="18"/>
              </w:rPr>
              <w:t>2 116 449</w:t>
            </w:r>
          </w:p>
        </w:tc>
        <w:tc>
          <w:tcPr>
            <w:tcW w:w="1417" w:type="dxa"/>
            <w:tcBorders>
              <w:top w:val="single" w:sz="4" w:space="0" w:color="auto"/>
              <w:left w:val="nil"/>
              <w:bottom w:val="single" w:sz="4" w:space="0" w:color="auto"/>
              <w:right w:val="nil"/>
            </w:tcBorders>
            <w:shd w:val="clear" w:color="auto" w:fill="BFBFBF" w:themeFill="background1" w:themeFillShade="BF"/>
            <w:noWrap/>
            <w:vAlign w:val="center"/>
          </w:tcPr>
          <w:p w14:paraId="17F0266C" w14:textId="77777777" w:rsidR="005717A4" w:rsidRPr="001F655F" w:rsidRDefault="005717A4" w:rsidP="005717A4">
            <w:pPr>
              <w:spacing w:after="0" w:line="240" w:lineRule="auto"/>
              <w:jc w:val="right"/>
              <w:rPr>
                <w:b/>
                <w:color w:val="000000"/>
                <w:sz w:val="18"/>
                <w:szCs w:val="18"/>
              </w:rPr>
            </w:pPr>
            <w:r>
              <w:rPr>
                <w:b/>
                <w:color w:val="000000"/>
                <w:sz w:val="18"/>
                <w:szCs w:val="18"/>
              </w:rPr>
              <w:t>2 107 459</w:t>
            </w:r>
          </w:p>
        </w:tc>
      </w:tr>
    </w:tbl>
    <w:p w14:paraId="2FB14915" w14:textId="77777777" w:rsidR="005717A4" w:rsidRDefault="005717A4" w:rsidP="005717A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color w:val="000000"/>
          <w:sz w:val="18"/>
          <w:szCs w:val="18"/>
        </w:rPr>
      </w:pPr>
      <w:r>
        <w:rPr>
          <w:color w:val="000000"/>
          <w:sz w:val="18"/>
          <w:szCs w:val="18"/>
        </w:rPr>
        <w:t>Zdroj: MF SR</w:t>
      </w:r>
    </w:p>
    <w:p w14:paraId="3F4D86DE" w14:textId="66A8CE30" w:rsidR="005717A4" w:rsidRDefault="005717A4" w:rsidP="005717A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Pr>
          <w:u w:val="single"/>
        </w:rPr>
        <w:t>P</w:t>
      </w:r>
      <w:r w:rsidRPr="00C24538">
        <w:rPr>
          <w:u w:val="single"/>
        </w:rPr>
        <w:t>ríjmy štátnych finančných aktív</w:t>
      </w:r>
      <w:r>
        <w:t xml:space="preserve"> pre rok 2018 sa rozpočtovali v sume 419 994 tis. eur, z čoho príjmové finančné operácie tvorili 110 685 tis. eur. Oproti roku 2017 sa príjmy (spolu s príjmovými finančnými operáciami) rozpočtovali úhrnom vyššie </w:t>
      </w:r>
      <w:r w:rsidR="00112E7C">
        <w:t>o 80 390 tis. eur, a to najmä z </w:t>
      </w:r>
      <w:r>
        <w:t>predpokladaných splátok poskytnutých návratných výpomocí, ktoré mali byť medziročne vyššie o 78</w:t>
      </w:r>
      <w:r w:rsidR="001747AE">
        <w:t> </w:t>
      </w:r>
      <w:r>
        <w:t>358</w:t>
      </w:r>
      <w:r w:rsidR="001747AE">
        <w:t> </w:t>
      </w:r>
      <w:r>
        <w:t>tis.</w:t>
      </w:r>
      <w:r w:rsidR="001747AE">
        <w:t> </w:t>
      </w:r>
      <w:r>
        <w:t>eur, z predaja majetku štátu o 31 032 tis. eur a z vyšších príjmov osobitného odvodu vybraných finančných inštitúcií o 6</w:t>
      </w:r>
      <w:r w:rsidR="001747AE">
        <w:t> </w:t>
      </w:r>
      <w:r>
        <w:t>954</w:t>
      </w:r>
      <w:r w:rsidR="001747AE">
        <w:t> tis. </w:t>
      </w:r>
      <w:r>
        <w:t>eur.</w:t>
      </w:r>
    </w:p>
    <w:p w14:paraId="1C3BBD21" w14:textId="77777777" w:rsidR="005717A4" w:rsidRDefault="005717A4" w:rsidP="005717A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Naopak, nižšie príjmy ako v roku 2017 sa rozpočtovali príjmy z osobitného odvodu z podnikania</w:t>
      </w:r>
      <w:r w:rsidR="001747AE">
        <w:t xml:space="preserve"> v regulovaných odvetviach o 35 </w:t>
      </w:r>
      <w:r>
        <w:t>947</w:t>
      </w:r>
      <w:r w:rsidR="001747AE">
        <w:t> tis. </w:t>
      </w:r>
      <w:r>
        <w:t>eur a</w:t>
      </w:r>
      <w:r w:rsidR="001747AE">
        <w:t xml:space="preserve"> </w:t>
      </w:r>
      <w:r>
        <w:t xml:space="preserve">príjmy z dividend od podnikov pod MH Manažment, </w:t>
      </w:r>
      <w:proofErr w:type="spellStart"/>
      <w:r>
        <w:t>a.s</w:t>
      </w:r>
      <w:proofErr w:type="spellEnd"/>
      <w:r>
        <w:t>.</w:t>
      </w:r>
      <w:r w:rsidR="00883866">
        <w:t>,</w:t>
      </w:r>
      <w:r>
        <w:t xml:space="preserve"> o 7 tis. eur.</w:t>
      </w:r>
    </w:p>
    <w:p w14:paraId="3AD36398" w14:textId="77777777" w:rsidR="005717A4" w:rsidRDefault="005717A4" w:rsidP="005717A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41964">
        <w:rPr>
          <w:u w:val="single"/>
        </w:rPr>
        <w:t>Výdavky štátnych finančných aktív</w:t>
      </w:r>
      <w:r>
        <w:t xml:space="preserve"> pre rok 2018</w:t>
      </w:r>
      <w:r w:rsidRPr="00741964">
        <w:t xml:space="preserve"> </w:t>
      </w:r>
      <w:r>
        <w:t>sa rozpočtovali v sume 87</w:t>
      </w:r>
      <w:r w:rsidR="001747AE">
        <w:t> </w:t>
      </w:r>
      <w:r>
        <w:t>082</w:t>
      </w:r>
      <w:r w:rsidR="001747AE">
        <w:t> </w:t>
      </w:r>
      <w:r>
        <w:t>tis.</w:t>
      </w:r>
      <w:r w:rsidR="001747AE">
        <w:t> </w:t>
      </w:r>
      <w:r>
        <w:t>eur, z čoho výdavkové finančné operácie tvorili 21</w:t>
      </w:r>
      <w:r w:rsidR="001747AE">
        <w:t> </w:t>
      </w:r>
      <w:r>
        <w:t>000</w:t>
      </w:r>
      <w:r w:rsidR="001747AE">
        <w:t> tis. </w:t>
      </w:r>
      <w:r>
        <w:t>eur. Oproti roku 2017 sa výdavky (spolu s výdavkovými finančnými operáciami) rozpočtovali úhrnom nižšie o 50 051 tis. eur, a</w:t>
      </w:r>
      <w:r w:rsidR="001747AE">
        <w:t xml:space="preserve"> </w:t>
      </w:r>
      <w:r>
        <w:t>to najmä z dôvodu nižšieho kapitálového transferu do základného imania spoločnosti MH Invest o 73 042 tis.</w:t>
      </w:r>
      <w:r w:rsidR="001747AE">
        <w:t> </w:t>
      </w:r>
      <w:r>
        <w:t>eur. Naopak, vyššie ako v roku 2017 sa rozpočtovali výdavky na účasť v medzinárodných finančných organizáciách o 23 000 tis. eur, z ktorých 21</w:t>
      </w:r>
      <w:r w:rsidR="001747AE">
        <w:t> </w:t>
      </w:r>
      <w:r>
        <w:t>000</w:t>
      </w:r>
      <w:r w:rsidR="001747AE">
        <w:t> tis. </w:t>
      </w:r>
      <w:r>
        <w:t>eur tvorili výdavkové finančné operácie.</w:t>
      </w:r>
    </w:p>
    <w:p w14:paraId="5AA0986E" w14:textId="77777777" w:rsidR="005717A4" w:rsidRDefault="001747AE" w:rsidP="005717A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 xml:space="preserve">Celkové saldo príjmov a </w:t>
      </w:r>
      <w:r w:rsidR="005717A4">
        <w:t>výdavkov štátnych finančných aktív v rok</w:t>
      </w:r>
      <w:r>
        <w:t>u 2018 sa rozpočtovalo vo </w:t>
      </w:r>
      <w:r w:rsidR="005717A4">
        <w:t>výške 332 911 tis. eur a</w:t>
      </w:r>
      <w:r>
        <w:t xml:space="preserve"> </w:t>
      </w:r>
      <w:r w:rsidR="005717A4">
        <w:t>po vylúčení finančných operácií vo výške 243</w:t>
      </w:r>
      <w:r>
        <w:t> </w:t>
      </w:r>
      <w:r w:rsidR="005717A4">
        <w:t>226</w:t>
      </w:r>
      <w:r>
        <w:t> tis. </w:t>
      </w:r>
      <w:r w:rsidR="005717A4">
        <w:t>eur, čo je o 41</w:t>
      </w:r>
      <w:r>
        <w:t> </w:t>
      </w:r>
      <w:r w:rsidR="005717A4">
        <w:t>050</w:t>
      </w:r>
      <w:r>
        <w:t> </w:t>
      </w:r>
      <w:r w:rsidR="005717A4">
        <w:t>tis.</w:t>
      </w:r>
      <w:r>
        <w:t> </w:t>
      </w:r>
      <w:r w:rsidR="005717A4">
        <w:t>eur viac ako v roku 2017.</w:t>
      </w:r>
    </w:p>
    <w:p w14:paraId="5E04A879" w14:textId="77777777" w:rsidR="005717A4" w:rsidRDefault="005717A4" w:rsidP="005717A4">
      <w:pPr>
        <w:spacing w:before="120"/>
      </w:pPr>
      <w:r w:rsidRPr="00C2258B">
        <w:rPr>
          <w:i/>
          <w:u w:val="single"/>
        </w:rPr>
        <w:t xml:space="preserve">Účelové prostriedky FNM/MH Manažment, </w:t>
      </w:r>
      <w:proofErr w:type="spellStart"/>
      <w:r w:rsidRPr="00C2258B">
        <w:rPr>
          <w:i/>
          <w:u w:val="single"/>
        </w:rPr>
        <w:t>a.s</w:t>
      </w:r>
      <w:proofErr w:type="spellEnd"/>
      <w:r w:rsidRPr="00C2258B">
        <w:rPr>
          <w:i/>
          <w:u w:val="single"/>
        </w:rPr>
        <w:t>.</w:t>
      </w:r>
      <w:r w:rsidR="001747AE">
        <w:rPr>
          <w:i/>
          <w:u w:val="single"/>
        </w:rPr>
        <w:t>,</w:t>
      </w:r>
      <w:r>
        <w:rPr>
          <w:i/>
        </w:rPr>
        <w:t xml:space="preserve"> </w:t>
      </w:r>
      <w:r>
        <w:t xml:space="preserve">boli v minulosti tvorené najmä prevodom dividend obchodných spoločností štátu, v ktorých podiely do roku 2016 spravoval Fond národného majetku. V jeho činnosti od 1.1.2016 pokračuje spoločnosť MH Manažment, </w:t>
      </w:r>
      <w:proofErr w:type="spellStart"/>
      <w:r>
        <w:t>a.s</w:t>
      </w:r>
      <w:proofErr w:type="spellEnd"/>
      <w:r>
        <w:t>.</w:t>
      </w:r>
      <w:r>
        <w:rPr>
          <w:i/>
        </w:rPr>
        <w:t xml:space="preserve"> </w:t>
      </w:r>
      <w:r>
        <w:t xml:space="preserve">V príjmoch sa realizovali rozpočtované prostriedky vo výške 9,8 tis. eur, ako dividendy z MH Manažment, </w:t>
      </w:r>
      <w:proofErr w:type="spellStart"/>
      <w:r>
        <w:t>a.s</w:t>
      </w:r>
      <w:proofErr w:type="spellEnd"/>
      <w:r>
        <w:t>.</w:t>
      </w:r>
      <w:r w:rsidR="00883866">
        <w:t>,</w:t>
      </w:r>
      <w:r>
        <w:t xml:space="preserve"> a ďalšie príjmy nad rámec rozpočtu tvorila splátka z poskytnutej návratnej finančnej výpomoci Univerzite P.</w:t>
      </w:r>
      <w:r w:rsidR="009E7884">
        <w:t xml:space="preserve"> </w:t>
      </w:r>
      <w:r>
        <w:t>J. Šafárika v Košiciach, a to vo výške 500</w:t>
      </w:r>
      <w:r w:rsidR="00883866">
        <w:t> </w:t>
      </w:r>
      <w:r>
        <w:t>tis.</w:t>
      </w:r>
      <w:r w:rsidR="00883866">
        <w:t> </w:t>
      </w:r>
      <w:r>
        <w:t>eur a splátky z pohľadávok za realizované záruky za odvodové úvery vo výške 7,8 tis. eur.</w:t>
      </w:r>
    </w:p>
    <w:p w14:paraId="73C0151A" w14:textId="459F74A5" w:rsidR="005717A4" w:rsidRDefault="005717A4" w:rsidP="005717A4">
      <w:pPr>
        <w:spacing w:before="120"/>
      </w:pPr>
      <w:r>
        <w:t>Na strane výdavkov sa z tohto účtu ŠFA poskytlo 20 000 tis. eur Ministerstvu vnútra SR za účelom navýšenia základného imania v Nemo</w:t>
      </w:r>
      <w:r w:rsidR="00883866">
        <w:t xml:space="preserve">cnici sv. Michala, </w:t>
      </w:r>
      <w:proofErr w:type="spellStart"/>
      <w:r w:rsidR="00883866">
        <w:t>a.s</w:t>
      </w:r>
      <w:proofErr w:type="spellEnd"/>
      <w:r w:rsidR="00883866">
        <w:t>., 9 500 </w:t>
      </w:r>
      <w:r>
        <w:t xml:space="preserve">tis. eur ako návratná finančná výpomoc spoločnosti GA </w:t>
      </w:r>
      <w:proofErr w:type="spellStart"/>
      <w:r>
        <w:t>Drilling</w:t>
      </w:r>
      <w:proofErr w:type="spellEnd"/>
      <w:r>
        <w:t xml:space="preserve">, </w:t>
      </w:r>
      <w:proofErr w:type="spellStart"/>
      <w:r>
        <w:t>a.s</w:t>
      </w:r>
      <w:proofErr w:type="spellEnd"/>
      <w:r>
        <w:t>.</w:t>
      </w:r>
      <w:r w:rsidR="00883866">
        <w:t>,</w:t>
      </w:r>
      <w:r>
        <w:t xml:space="preserve"> v súlade s</w:t>
      </w:r>
      <w:r w:rsidR="00883866">
        <w:t> uznesením vlády SR č. </w:t>
      </w:r>
      <w:r>
        <w:t>523/2018, 2 600 tis. eur predstavovala splátka SR na doplnenie iniciatívy pre Medzinárodné združenie pre rozvoj (IDA) a</w:t>
      </w:r>
      <w:r w:rsidR="00883866">
        <w:t xml:space="preserve"> </w:t>
      </w:r>
      <w:r>
        <w:t>2</w:t>
      </w:r>
      <w:r w:rsidR="00883866">
        <w:t> </w:t>
      </w:r>
      <w:r>
        <w:t>250</w:t>
      </w:r>
      <w:r w:rsidR="00883866">
        <w:t> tis. </w:t>
      </w:r>
      <w:r>
        <w:t>eur sa poskytlo Ministerstvu hospodárstva SR za účelom navýšenia základného imania MH Invest II, s.r.o.</w:t>
      </w:r>
      <w:r w:rsidR="00883866">
        <w:t>,</w:t>
      </w:r>
      <w:r>
        <w:t xml:space="preserve"> a</w:t>
      </w:r>
      <w:r w:rsidR="00883866">
        <w:t xml:space="preserve"> </w:t>
      </w:r>
      <w:proofErr w:type="spellStart"/>
      <w:r>
        <w:t>InvEast</w:t>
      </w:r>
      <w:proofErr w:type="spellEnd"/>
      <w:r>
        <w:t xml:space="preserve"> SK, s.r.o.</w:t>
      </w:r>
      <w:r w:rsidR="007B2C2E">
        <w:t xml:space="preserve"> Ďalej sa uskutočnil prevod vyinkasovaných dividend vo výške 9,8 tis. eur do príjmov Všeobecnej pokladničnej správy.</w:t>
      </w:r>
    </w:p>
    <w:p w14:paraId="2AF67CE9" w14:textId="39DA04E0" w:rsidR="005717A4" w:rsidRDefault="005717A4" w:rsidP="005717A4">
      <w:pPr>
        <w:spacing w:before="120"/>
      </w:pPr>
      <w:r>
        <w:rPr>
          <w:i/>
          <w:u w:val="single"/>
        </w:rPr>
        <w:t xml:space="preserve">Bežný účet </w:t>
      </w:r>
      <w:r w:rsidRPr="00C2258B">
        <w:rPr>
          <w:i/>
          <w:u w:val="single"/>
        </w:rPr>
        <w:t>návratných finančných výpomocí (NFV)</w:t>
      </w:r>
      <w:r>
        <w:rPr>
          <w:i/>
        </w:rPr>
        <w:t xml:space="preserve"> </w:t>
      </w:r>
      <w:r w:rsidRPr="007F29E2">
        <w:t>zaznamenali</w:t>
      </w:r>
      <w:r w:rsidR="00883866">
        <w:t xml:space="preserve"> v roku 2018 príjem vo výške 52 </w:t>
      </w:r>
      <w:r>
        <w:t>172</w:t>
      </w:r>
      <w:r w:rsidR="00883866">
        <w:t> </w:t>
      </w:r>
      <w:r>
        <w:t>tis.</w:t>
      </w:r>
      <w:r w:rsidR="00883866">
        <w:t> </w:t>
      </w:r>
      <w:r>
        <w:t xml:space="preserve">eur, z čoho takmer celú hodnotu tvorí splátka NFV od Agentúry pre núdzové zásoby ropy a ropných výrobkov (EOSA) vo výške 50 000 tis. eur. Vláda SR </w:t>
      </w:r>
      <w:r w:rsidRPr="006F1D9A">
        <w:t xml:space="preserve">poskytla </w:t>
      </w:r>
      <w:r>
        <w:t xml:space="preserve">agentúre </w:t>
      </w:r>
      <w:r w:rsidRPr="006F1D9A">
        <w:t>v roku 2014 NFV vo výške 520</w:t>
      </w:r>
      <w:r w:rsidR="00883866">
        <w:t> </w:t>
      </w:r>
      <w:r>
        <w:t>000</w:t>
      </w:r>
      <w:r w:rsidR="00883866">
        <w:t> </w:t>
      </w:r>
      <w:r>
        <w:t>tis.</w:t>
      </w:r>
      <w:r w:rsidR="00883866">
        <w:t> </w:t>
      </w:r>
      <w:r>
        <w:t xml:space="preserve">eur, s dohodnutou splatnosťou v decembri 2024, pričom dlžnú sumu je možné splatiť jednorazovo alebo aj po </w:t>
      </w:r>
      <w:r w:rsidRPr="00A265D6">
        <w:t>častiach.</w:t>
      </w:r>
      <w:r w:rsidR="002C705A" w:rsidRPr="00A265D6">
        <w:t xml:space="preserve"> V novembri 2018 bol schválený Dodatok č. 1 k Zmluve o NFV, </w:t>
      </w:r>
      <w:r w:rsidR="004F6C3B" w:rsidRPr="00A265D6">
        <w:t>ktorým</w:t>
      </w:r>
      <w:r w:rsidR="002C705A" w:rsidRPr="00A265D6">
        <w:t xml:space="preserve"> sa predĺžila splatnosť NFV do decembra 2031, pričom dlžnú sumu je agentúra povinná splatiť v pravidelných ročných splátkach v minimálnej výške 25 000 tis. eur.</w:t>
      </w:r>
      <w:r w:rsidRPr="00A265D6">
        <w:t xml:space="preserve"> V roku 2017 bolo vrátených z </w:t>
      </w:r>
      <w:r w:rsidR="00883866" w:rsidRPr="00A265D6">
        <w:t>tejto finančnej výpomoci 60 000 tis. </w:t>
      </w:r>
      <w:r w:rsidRPr="00A265D6">
        <w:t>eur</w:t>
      </w:r>
      <w:r w:rsidR="00883866" w:rsidRPr="00A265D6">
        <w:t xml:space="preserve"> a </w:t>
      </w:r>
      <w:r w:rsidRPr="00A265D6">
        <w:t>zostatok</w:t>
      </w:r>
      <w:r>
        <w:t xml:space="preserve"> činí 410</w:t>
      </w:r>
      <w:r w:rsidR="00883866">
        <w:t> </w:t>
      </w:r>
      <w:r>
        <w:t>000</w:t>
      </w:r>
      <w:r w:rsidR="00883866">
        <w:t> </w:t>
      </w:r>
      <w:r>
        <w:t>tis.</w:t>
      </w:r>
      <w:r w:rsidR="00883866">
        <w:t> </w:t>
      </w:r>
      <w:r>
        <w:t>eur. Ďalšie splátky NFV predstavovala suma 1</w:t>
      </w:r>
      <w:r w:rsidR="00883866">
        <w:t> </w:t>
      </w:r>
      <w:r>
        <w:t>50</w:t>
      </w:r>
      <w:r w:rsidR="00883866">
        <w:t>0 tis. eur od Mesta Košice, 369 </w:t>
      </w:r>
      <w:r>
        <w:t>t</w:t>
      </w:r>
      <w:r w:rsidR="00883866">
        <w:t>is. eur od Mesta Prievidza, 250 tis. </w:t>
      </w:r>
      <w:r>
        <w:t>eur od Mesta Martin a</w:t>
      </w:r>
      <w:r w:rsidR="00883866">
        <w:t xml:space="preserve"> </w:t>
      </w:r>
      <w:r>
        <w:t>20</w:t>
      </w:r>
      <w:r w:rsidR="00883866">
        <w:t> </w:t>
      </w:r>
      <w:r>
        <w:t>tis. eur od obce Ľubotice. Oproti rozpočtu bolo plnenie týchto príjmov nižšie o</w:t>
      </w:r>
      <w:r w:rsidR="00883866">
        <w:t> </w:t>
      </w:r>
      <w:r>
        <w:t>27</w:t>
      </w:r>
      <w:r w:rsidR="00883866">
        <w:t> </w:t>
      </w:r>
      <w:r>
        <w:t>448</w:t>
      </w:r>
      <w:r w:rsidR="00883866">
        <w:t> </w:t>
      </w:r>
      <w:r>
        <w:t>tis.</w:t>
      </w:r>
      <w:r w:rsidR="00883866">
        <w:t> </w:t>
      </w:r>
      <w:r>
        <w:t>eur.</w:t>
      </w:r>
    </w:p>
    <w:p w14:paraId="4D22B0DD" w14:textId="77777777" w:rsidR="005717A4" w:rsidRDefault="005717A4" w:rsidP="005717A4">
      <w:pPr>
        <w:spacing w:before="120"/>
      </w:pPr>
      <w:r>
        <w:t>Na strane výdavkov boli v roku 2018 poskytnuté nasledovné náv</w:t>
      </w:r>
      <w:r w:rsidR="00883866">
        <w:t>ratné finančné výpomoci: 28 000 </w:t>
      </w:r>
      <w:r>
        <w:t>tis.</w:t>
      </w:r>
      <w:r w:rsidR="00883866">
        <w:t> </w:t>
      </w:r>
      <w:r>
        <w:t xml:space="preserve">eur Národnej </w:t>
      </w:r>
      <w:r w:rsidR="00883866">
        <w:t>transfúznej spoločnosti, 14 500 tis. eur Mestu Košice, 2 000 </w:t>
      </w:r>
      <w:r>
        <w:t>Mestskej časti Bratislava – Staré Mesto, 800</w:t>
      </w:r>
      <w:r w:rsidR="00883866">
        <w:t> </w:t>
      </w:r>
      <w:r>
        <w:t>tis.</w:t>
      </w:r>
      <w:r w:rsidR="00883866">
        <w:t> </w:t>
      </w:r>
      <w:r>
        <w:t>eur Mestu Bardejov. Medzi ďalšími výdavkami bol transfer Ministerstvu zdravotníctva SR vo výške 18</w:t>
      </w:r>
      <w:r w:rsidR="00883866">
        <w:t> </w:t>
      </w:r>
      <w:r>
        <w:t>854</w:t>
      </w:r>
      <w:r w:rsidR="00883866">
        <w:t> </w:t>
      </w:r>
      <w:r>
        <w:t>tis</w:t>
      </w:r>
      <w:r w:rsidR="00883866">
        <w:t>.</w:t>
      </w:r>
      <w:r>
        <w:t xml:space="preserve"> eur za účelom plnenia koncepcie oddlženia zdravotníckych zariadení.</w:t>
      </w:r>
    </w:p>
    <w:p w14:paraId="46E7ED4B" w14:textId="652AC658" w:rsidR="005717A4" w:rsidRDefault="005717A4" w:rsidP="005717A4">
      <w:pPr>
        <w:spacing w:before="120"/>
      </w:pPr>
      <w:r w:rsidRPr="00C2258B">
        <w:rPr>
          <w:i/>
          <w:u w:val="single"/>
        </w:rPr>
        <w:t>Osobitný odvod finančných inštitúcií</w:t>
      </w:r>
      <w:r w:rsidRPr="00C24538">
        <w:t xml:space="preserve"> prispieva k vytvoreniu mechanizmov podieľania sa týchto finančných</w:t>
      </w:r>
      <w:r>
        <w:t xml:space="preserve"> inštitúcií na nákladoch budúcich finančných kríz v bankovom sektore, k zabezpečeniu spravodlivého rozdelenia záťaže a k predchádzaniu vzniku rozsiahlych výdavkov pre daňových poplatníkov, vládu a hospodárstvo v prípade riešenia finančných kríz, k stimulovaniu vybraných </w:t>
      </w:r>
      <w:r w:rsidRPr="00361DD6">
        <w:t>finančných inštitúcií obmedzovať systémové riziká a k ochrane stability finančného sektora Slovenskej republiky. Rozpočet na rok 201</w:t>
      </w:r>
      <w:r>
        <w:t>8</w:t>
      </w:r>
      <w:r w:rsidRPr="00361DD6">
        <w:t xml:space="preserve"> predpokladal s príjmami z tohto odvodu vo výške </w:t>
      </w:r>
      <w:r>
        <w:t>133</w:t>
      </w:r>
      <w:r w:rsidR="009051A6">
        <w:t> </w:t>
      </w:r>
      <w:r>
        <w:t>646</w:t>
      </w:r>
      <w:r w:rsidR="009051A6">
        <w:t> </w:t>
      </w:r>
      <w:r w:rsidRPr="00361DD6">
        <w:t>tis.</w:t>
      </w:r>
      <w:r w:rsidR="009051A6">
        <w:t> </w:t>
      </w:r>
      <w:r w:rsidRPr="00361DD6">
        <w:t>eur, čo je o</w:t>
      </w:r>
      <w:r>
        <w:t xml:space="preserve"> 6 954 </w:t>
      </w:r>
      <w:r w:rsidRPr="00361DD6">
        <w:t>tis. eur viac ako v roku 201</w:t>
      </w:r>
      <w:r>
        <w:t>7</w:t>
      </w:r>
      <w:r w:rsidR="0011636A">
        <w:t>.</w:t>
      </w:r>
      <w:r w:rsidR="009051A6">
        <w:t xml:space="preserve"> </w:t>
      </w:r>
      <w:r w:rsidRPr="00361DD6">
        <w:t>V skutočnosti boli prijaté odvody vo</w:t>
      </w:r>
      <w:r w:rsidR="009051A6">
        <w:t> </w:t>
      </w:r>
      <w:r w:rsidRPr="00361DD6">
        <w:t>výške 1</w:t>
      </w:r>
      <w:r>
        <w:t>34</w:t>
      </w:r>
      <w:r w:rsidR="009051A6">
        <w:t> </w:t>
      </w:r>
      <w:r>
        <w:t>177</w:t>
      </w:r>
      <w:r w:rsidR="009051A6">
        <w:t> </w:t>
      </w:r>
      <w:r w:rsidRPr="00361DD6">
        <w:t>tis. eur</w:t>
      </w:r>
      <w:r w:rsidRPr="00D57C10">
        <w:t xml:space="preserve">. </w:t>
      </w:r>
      <w:r w:rsidRPr="00C660FA">
        <w:t>Medziročne vyššie príjmy z odvodu, a to v rozpočte ako aj skutočnosti je možné pripísať rastu efektívnej daňovej sadzby. Výdavky</w:t>
      </w:r>
      <w:r>
        <w:t xml:space="preserve"> z týchto prostriedkov neboli v roku 2018 realizované.</w:t>
      </w:r>
    </w:p>
    <w:p w14:paraId="4A873C5F" w14:textId="476DB43D" w:rsidR="005717A4" w:rsidRDefault="005717A4" w:rsidP="005717A4">
      <w:pPr>
        <w:spacing w:before="120"/>
      </w:pPr>
      <w:r w:rsidRPr="00C2258B">
        <w:rPr>
          <w:i/>
          <w:u w:val="single"/>
        </w:rPr>
        <w:t>Prostriedky osobitného odvodu z podnikania v regulovaných odvetviach</w:t>
      </w:r>
      <w:r w:rsidRPr="00B07894">
        <w:rPr>
          <w:i/>
        </w:rPr>
        <w:t>,</w:t>
      </w:r>
      <w:r w:rsidR="00883866">
        <w:t xml:space="preserve"> v zmysle zákona č. </w:t>
      </w:r>
      <w:r w:rsidRPr="00B07894">
        <w:t xml:space="preserve">235/2012 Z. z., slúžia na perspektívne vytvorenie účelovo určenej osobitnej časti štátnych finančných aktív, z ktorých sa budú financovať prioritné projekty </w:t>
      </w:r>
      <w:r w:rsidRPr="00531BCC">
        <w:t>vlády. Rozpočet na rok 201</w:t>
      </w:r>
      <w:r>
        <w:t>8</w:t>
      </w:r>
      <w:r w:rsidRPr="00531BCC">
        <w:t xml:space="preserve"> predpokladal príjem vo výške </w:t>
      </w:r>
      <w:r>
        <w:t>175</w:t>
      </w:r>
      <w:r w:rsidR="00883866">
        <w:t> </w:t>
      </w:r>
      <w:r>
        <w:t>653</w:t>
      </w:r>
      <w:r w:rsidR="00883866">
        <w:t> </w:t>
      </w:r>
      <w:r w:rsidRPr="00531BCC">
        <w:t>tis.</w:t>
      </w:r>
      <w:r w:rsidR="00883866">
        <w:t> </w:t>
      </w:r>
      <w:r w:rsidRPr="00531BCC">
        <w:t xml:space="preserve">eur, čo je o </w:t>
      </w:r>
      <w:r>
        <w:t>35</w:t>
      </w:r>
      <w:r w:rsidR="00883866">
        <w:t> </w:t>
      </w:r>
      <w:r>
        <w:t>947</w:t>
      </w:r>
      <w:r w:rsidR="00883866">
        <w:t> </w:t>
      </w:r>
      <w:r w:rsidRPr="00531BCC">
        <w:t>tis.</w:t>
      </w:r>
      <w:r w:rsidR="00883866">
        <w:t> </w:t>
      </w:r>
      <w:r w:rsidRPr="00531BCC">
        <w:t xml:space="preserve">eur </w:t>
      </w:r>
      <w:r>
        <w:t>menej</w:t>
      </w:r>
      <w:r w:rsidRPr="00531BCC">
        <w:t xml:space="preserve"> ako </w:t>
      </w:r>
      <w:r>
        <w:t xml:space="preserve">v </w:t>
      </w:r>
      <w:r w:rsidRPr="00531BCC">
        <w:t>rok</w:t>
      </w:r>
      <w:r>
        <w:t>u</w:t>
      </w:r>
      <w:r w:rsidRPr="00531BCC">
        <w:t xml:space="preserve"> 201</w:t>
      </w:r>
      <w:r>
        <w:t>7</w:t>
      </w:r>
      <w:r w:rsidRPr="00531BCC">
        <w:t xml:space="preserve">. Skutočné vyinkasované príjmy na účet štátnych finančných aktív z tohto osobitného odvodu boli v hodnote </w:t>
      </w:r>
      <w:r w:rsidR="00883866">
        <w:t>180 </w:t>
      </w:r>
      <w:r>
        <w:t>866</w:t>
      </w:r>
      <w:r w:rsidR="00883866">
        <w:t> </w:t>
      </w:r>
      <w:r w:rsidRPr="00531BCC">
        <w:t>tis.</w:t>
      </w:r>
      <w:r w:rsidR="00883866">
        <w:t> </w:t>
      </w:r>
      <w:r w:rsidRPr="00531BCC">
        <w:t>eur.</w:t>
      </w:r>
      <w:r>
        <w:t xml:space="preserve"> </w:t>
      </w:r>
    </w:p>
    <w:p w14:paraId="4123F874" w14:textId="77777777" w:rsidR="005717A4" w:rsidRDefault="005717A4" w:rsidP="005717A4">
      <w:r>
        <w:rPr>
          <w:i/>
          <w:u w:val="single"/>
        </w:rPr>
        <w:t>Zvýšenie prostriedkov anonymných vkladov</w:t>
      </w:r>
      <w:r w:rsidRPr="002E70FE">
        <w:t xml:space="preserve"> </w:t>
      </w:r>
      <w:r>
        <w:t xml:space="preserve">o 44 tis. eur </w:t>
      </w:r>
      <w:r w:rsidRPr="002E70FE">
        <w:t>predstavoval</w:t>
      </w:r>
      <w:r>
        <w:t>o</w:t>
      </w:r>
      <w:r w:rsidRPr="002E70FE">
        <w:t xml:space="preserve"> </w:t>
      </w:r>
      <w:r>
        <w:t>precenenie prostriedkov v cudzej mene ku koncu roka 2018.</w:t>
      </w:r>
    </w:p>
    <w:p w14:paraId="1BFF6238" w14:textId="77777777" w:rsidR="005717A4" w:rsidRDefault="005717A4" w:rsidP="005717A4">
      <w:r w:rsidRPr="00A65F6A">
        <w:rPr>
          <w:i/>
          <w:u w:val="single"/>
        </w:rPr>
        <w:t>Z ostatných účtov ŠFA</w:t>
      </w:r>
      <w:r>
        <w:t xml:space="preserve"> boli hradené napríklad bankové poplatky a úroky vo výške 149 tis. eur.</w:t>
      </w:r>
    </w:p>
    <w:p w14:paraId="2DC25964" w14:textId="77777777" w:rsidR="008F0C64" w:rsidRDefault="008F0C64">
      <w:pPr>
        <w:spacing w:after="160" w:line="259" w:lineRule="auto"/>
        <w:jc w:val="left"/>
        <w:rPr>
          <w:rFonts w:eastAsiaTheme="majorEastAsia" w:cstheme="majorBidi"/>
          <w:b/>
          <w:sz w:val="24"/>
          <w:szCs w:val="26"/>
        </w:rPr>
      </w:pPr>
      <w:bookmarkStart w:id="64" w:name="_Toc6415652"/>
      <w:r>
        <w:br w:type="page"/>
      </w:r>
    </w:p>
    <w:p w14:paraId="39D5632D" w14:textId="19D2242C" w:rsidR="008254BE" w:rsidRDefault="008254BE" w:rsidP="0042635A">
      <w:pPr>
        <w:pStyle w:val="Nadpis2"/>
      </w:pPr>
      <w:bookmarkStart w:id="65" w:name="_Toc7502844"/>
      <w:r>
        <w:t>Vzťahy štátneho rozpočtu k Európskej únii</w:t>
      </w:r>
      <w:bookmarkEnd w:id="64"/>
      <w:bookmarkEnd w:id="65"/>
    </w:p>
    <w:p w14:paraId="4A4A7E07" w14:textId="741B3413" w:rsidR="00757547" w:rsidRPr="007215DF" w:rsidRDefault="00757547" w:rsidP="00757547">
      <w:r w:rsidRPr="00757547">
        <w:rPr>
          <w:b/>
        </w:rPr>
        <w:t>Príjmy Slovenskej republiky z rozpočtu EÚ</w:t>
      </w:r>
      <w:r w:rsidRPr="00757547">
        <w:t xml:space="preserve"> </w:t>
      </w:r>
      <w:r w:rsidRPr="007215DF">
        <w:t>tvoria</w:t>
      </w:r>
      <w:r w:rsidRPr="00757547">
        <w:t xml:space="preserve"> </w:t>
      </w:r>
      <w:r w:rsidRPr="007215DF">
        <w:t>zahraničné transfery a zahraničné granty poskytnuté z rozpočtu EÚ. Príjmy zo zahraničných transferov boli rozpočtované v ŠR na rok 2018 vo výške 1 378 419 tis. eur. Rozpočet zahraničných transferov bol uprave</w:t>
      </w:r>
      <w:r w:rsidR="006D1CF4">
        <w:t>ný na úroveň 2 169 725 tis. eur a ich s</w:t>
      </w:r>
      <w:r w:rsidRPr="007215DF">
        <w:t xml:space="preserve">kutočné plnenie </w:t>
      </w:r>
      <w:r w:rsidR="006D1CF4">
        <w:t>dosiahlo</w:t>
      </w:r>
      <w:r w:rsidRPr="007215DF">
        <w:t xml:space="preserve"> 2 169 732 tis. eur, z toho príjmy za zahraničné transfery sú vo výške 2 169 </w:t>
      </w:r>
      <w:r>
        <w:t>7</w:t>
      </w:r>
      <w:r w:rsidRPr="007215DF">
        <w:t>25 tis. eur</w:t>
      </w:r>
      <w:r w:rsidR="00564260">
        <w:t>.</w:t>
      </w:r>
    </w:p>
    <w:p w14:paraId="26D1B3BA" w14:textId="77777777" w:rsidR="00757547" w:rsidRDefault="00757547" w:rsidP="00757547">
      <w:r w:rsidRPr="00757547">
        <w:rPr>
          <w:b/>
        </w:rPr>
        <w:t>Odvody a</w:t>
      </w:r>
      <w:r w:rsidR="00867CCC">
        <w:rPr>
          <w:b/>
        </w:rPr>
        <w:t xml:space="preserve"> </w:t>
      </w:r>
      <w:r w:rsidRPr="00757547">
        <w:rPr>
          <w:b/>
        </w:rPr>
        <w:t>príspevky SR do všeobecného rozpočtu EÚ</w:t>
      </w:r>
      <w:r w:rsidRPr="00757547">
        <w:t xml:space="preserve"> </w:t>
      </w:r>
      <w:r w:rsidRPr="00844DDF">
        <w:t>tvoria odvody do rozpočtu EÚ a</w:t>
      </w:r>
      <w:r w:rsidR="00867CCC">
        <w:t xml:space="preserve"> </w:t>
      </w:r>
      <w:r w:rsidRPr="00844DDF">
        <w:t>príspevky do Európskeho rozvojového fondu. Odvody a príspevky SR do všeobecného rozpočtu EÚ boli rozpočto</w:t>
      </w:r>
      <w:r>
        <w:t>vané na rok 2018 v sume 873</w:t>
      </w:r>
      <w:r w:rsidR="00867CCC">
        <w:t> </w:t>
      </w:r>
      <w:r>
        <w:t>422</w:t>
      </w:r>
      <w:r w:rsidR="00867CCC">
        <w:t> </w:t>
      </w:r>
      <w:r w:rsidRPr="00844DDF">
        <w:t>tis. eur.</w:t>
      </w:r>
    </w:p>
    <w:tbl>
      <w:tblPr>
        <w:tblW w:w="5252" w:type="pct"/>
        <w:tblInd w:w="-284" w:type="dxa"/>
        <w:tblLayout w:type="fixed"/>
        <w:tblCellMar>
          <w:left w:w="70" w:type="dxa"/>
          <w:right w:w="70" w:type="dxa"/>
        </w:tblCellMar>
        <w:tblLook w:val="04A0" w:firstRow="1" w:lastRow="0" w:firstColumn="1" w:lastColumn="0" w:noHBand="0" w:noVBand="1"/>
      </w:tblPr>
      <w:tblGrid>
        <w:gridCol w:w="2978"/>
        <w:gridCol w:w="1134"/>
        <w:gridCol w:w="963"/>
        <w:gridCol w:w="1065"/>
        <w:gridCol w:w="1090"/>
        <w:gridCol w:w="995"/>
        <w:gridCol w:w="707"/>
      </w:tblGrid>
      <w:tr w:rsidR="00EC7566" w:rsidRPr="00931FAA" w14:paraId="5ACBC91A" w14:textId="77777777" w:rsidTr="008F0C64">
        <w:trPr>
          <w:trHeight w:val="278"/>
        </w:trPr>
        <w:tc>
          <w:tcPr>
            <w:tcW w:w="5000" w:type="pct"/>
            <w:gridSpan w:val="7"/>
            <w:tcBorders>
              <w:top w:val="nil"/>
              <w:left w:val="nil"/>
              <w:bottom w:val="nil"/>
              <w:right w:val="nil"/>
            </w:tcBorders>
            <w:shd w:val="clear" w:color="000000" w:fill="000000"/>
            <w:noWrap/>
            <w:vAlign w:val="center"/>
            <w:hideMark/>
          </w:tcPr>
          <w:p w14:paraId="55E8B099" w14:textId="77777777" w:rsidR="00EC7566" w:rsidRPr="00931FAA" w:rsidRDefault="00EC7566" w:rsidP="00EC7566">
            <w:pPr>
              <w:rPr>
                <w:rFonts w:cs="Times New Roman"/>
                <w:b/>
                <w:bCs/>
                <w:color w:val="FFFFFF"/>
                <w:sz w:val="18"/>
                <w:szCs w:val="18"/>
              </w:rPr>
            </w:pPr>
            <w:bookmarkStart w:id="66" w:name="RANGE!A2:G14"/>
            <w:r w:rsidRPr="00931FAA">
              <w:rPr>
                <w:rFonts w:cs="Times New Roman"/>
                <w:b/>
                <w:bCs/>
                <w:color w:val="FFFFFF"/>
                <w:sz w:val="18"/>
                <w:szCs w:val="18"/>
              </w:rPr>
              <w:t>Príjmy z rozpočtu EÚ a odvody a príspevky do všeobecného rozpočtu EÚ</w:t>
            </w:r>
            <w:bookmarkEnd w:id="66"/>
            <w:r w:rsidRPr="00931FAA">
              <w:rPr>
                <w:rFonts w:cs="Times New Roman"/>
                <w:b/>
                <w:bCs/>
                <w:color w:val="FFFFFF"/>
                <w:sz w:val="18"/>
                <w:szCs w:val="18"/>
              </w:rPr>
              <w:t xml:space="preserve">                    </w:t>
            </w:r>
            <w:r w:rsidR="00F057AA" w:rsidRPr="00931FAA">
              <w:rPr>
                <w:rFonts w:cs="Times New Roman"/>
                <w:b/>
                <w:bCs/>
                <w:color w:val="FFFFFF"/>
                <w:sz w:val="18"/>
                <w:szCs w:val="18"/>
              </w:rPr>
              <w:t xml:space="preserve">         </w:t>
            </w:r>
            <w:r w:rsidRPr="00931FAA">
              <w:rPr>
                <w:rFonts w:cs="Times New Roman"/>
                <w:b/>
                <w:bCs/>
                <w:color w:val="FFFFFF"/>
                <w:sz w:val="18"/>
                <w:szCs w:val="18"/>
              </w:rPr>
              <w:t xml:space="preserve">                      v</w:t>
            </w:r>
            <w:r w:rsidR="00F057AA" w:rsidRPr="00931FAA">
              <w:rPr>
                <w:rFonts w:cs="Times New Roman"/>
                <w:b/>
                <w:bCs/>
                <w:color w:val="FFFFFF"/>
                <w:sz w:val="18"/>
                <w:szCs w:val="18"/>
              </w:rPr>
              <w:t> </w:t>
            </w:r>
            <w:r w:rsidRPr="00931FAA">
              <w:rPr>
                <w:rFonts w:cs="Times New Roman"/>
                <w:b/>
                <w:bCs/>
                <w:color w:val="FFFFFF"/>
                <w:sz w:val="18"/>
                <w:szCs w:val="18"/>
              </w:rPr>
              <w:t>tis. eur</w:t>
            </w:r>
          </w:p>
        </w:tc>
      </w:tr>
      <w:tr w:rsidR="00F057AA" w:rsidRPr="00931FAA" w14:paraId="60FCD63E" w14:textId="77777777" w:rsidTr="00F057AA">
        <w:trPr>
          <w:trHeight w:val="330"/>
        </w:trPr>
        <w:tc>
          <w:tcPr>
            <w:tcW w:w="1667" w:type="pct"/>
            <w:tcBorders>
              <w:top w:val="nil"/>
              <w:left w:val="nil"/>
              <w:bottom w:val="nil"/>
              <w:right w:val="nil"/>
            </w:tcBorders>
            <w:shd w:val="clear" w:color="000000" w:fill="BFBFBF"/>
            <w:vAlign w:val="center"/>
            <w:hideMark/>
          </w:tcPr>
          <w:p w14:paraId="56EEDD62" w14:textId="77777777" w:rsidR="00EC7566" w:rsidRPr="00931FAA" w:rsidRDefault="00EC7566" w:rsidP="00EC7566">
            <w:pPr>
              <w:spacing w:after="0" w:line="240" w:lineRule="auto"/>
              <w:jc w:val="center"/>
              <w:rPr>
                <w:rFonts w:eastAsia="Times New Roman" w:cs="Times New Roman"/>
                <w:b/>
                <w:bCs/>
                <w:color w:val="000000"/>
                <w:sz w:val="18"/>
                <w:szCs w:val="18"/>
                <w:lang w:eastAsia="sk-SK"/>
              </w:rPr>
            </w:pPr>
            <w:r w:rsidRPr="00931FAA">
              <w:rPr>
                <w:rFonts w:eastAsia="Times New Roman" w:cs="Times New Roman"/>
                <w:b/>
                <w:bCs/>
                <w:color w:val="000000"/>
                <w:sz w:val="18"/>
                <w:szCs w:val="18"/>
                <w:lang w:eastAsia="sk-SK"/>
              </w:rPr>
              <w:t> </w:t>
            </w:r>
          </w:p>
        </w:tc>
        <w:tc>
          <w:tcPr>
            <w:tcW w:w="1174" w:type="pct"/>
            <w:gridSpan w:val="2"/>
            <w:tcBorders>
              <w:top w:val="nil"/>
              <w:left w:val="nil"/>
              <w:bottom w:val="nil"/>
              <w:right w:val="nil"/>
            </w:tcBorders>
            <w:shd w:val="clear" w:color="000000" w:fill="BFBFBF"/>
            <w:vAlign w:val="center"/>
            <w:hideMark/>
          </w:tcPr>
          <w:p w14:paraId="24AFEADF" w14:textId="77777777" w:rsidR="00EC7566" w:rsidRPr="00931FAA" w:rsidRDefault="00EC7566" w:rsidP="00EC7566">
            <w:pPr>
              <w:spacing w:after="0" w:line="240" w:lineRule="auto"/>
              <w:jc w:val="center"/>
              <w:rPr>
                <w:rFonts w:eastAsia="Times New Roman" w:cs="Times New Roman"/>
                <w:b/>
                <w:bCs/>
                <w:color w:val="000000"/>
                <w:sz w:val="18"/>
                <w:szCs w:val="18"/>
                <w:lang w:eastAsia="sk-SK"/>
              </w:rPr>
            </w:pPr>
            <w:r w:rsidRPr="00931FAA">
              <w:rPr>
                <w:rFonts w:eastAsia="Times New Roman" w:cs="Times New Roman"/>
                <w:b/>
                <w:bCs/>
                <w:color w:val="000000"/>
                <w:sz w:val="18"/>
                <w:szCs w:val="18"/>
                <w:lang w:eastAsia="sk-SK"/>
              </w:rPr>
              <w:t>Skutočnosť</w:t>
            </w:r>
          </w:p>
        </w:tc>
        <w:tc>
          <w:tcPr>
            <w:tcW w:w="596" w:type="pct"/>
            <w:tcBorders>
              <w:top w:val="nil"/>
              <w:left w:val="nil"/>
              <w:bottom w:val="nil"/>
              <w:right w:val="nil"/>
            </w:tcBorders>
            <w:shd w:val="clear" w:color="000000" w:fill="BFBFBF"/>
            <w:vAlign w:val="center"/>
            <w:hideMark/>
          </w:tcPr>
          <w:p w14:paraId="0BD22091" w14:textId="77777777" w:rsidR="00EC7566" w:rsidRPr="00931FAA" w:rsidRDefault="00EC7566" w:rsidP="00EC7566">
            <w:pPr>
              <w:spacing w:after="0" w:line="240" w:lineRule="auto"/>
              <w:jc w:val="center"/>
              <w:rPr>
                <w:rFonts w:eastAsia="Times New Roman" w:cs="Times New Roman"/>
                <w:b/>
                <w:bCs/>
                <w:color w:val="000000"/>
                <w:sz w:val="18"/>
                <w:szCs w:val="18"/>
                <w:lang w:eastAsia="sk-SK"/>
              </w:rPr>
            </w:pPr>
            <w:r w:rsidRPr="00931FAA">
              <w:rPr>
                <w:rFonts w:eastAsia="Times New Roman" w:cs="Times New Roman"/>
                <w:b/>
                <w:bCs/>
                <w:color w:val="000000"/>
                <w:sz w:val="18"/>
                <w:szCs w:val="18"/>
                <w:lang w:eastAsia="sk-SK"/>
              </w:rPr>
              <w:t>Rozpočet</w:t>
            </w:r>
          </w:p>
        </w:tc>
        <w:tc>
          <w:tcPr>
            <w:tcW w:w="610" w:type="pct"/>
            <w:tcBorders>
              <w:top w:val="nil"/>
              <w:left w:val="nil"/>
              <w:bottom w:val="nil"/>
              <w:right w:val="nil"/>
            </w:tcBorders>
            <w:shd w:val="clear" w:color="000000" w:fill="BFBFBF"/>
            <w:vAlign w:val="center"/>
            <w:hideMark/>
          </w:tcPr>
          <w:p w14:paraId="17380CF5" w14:textId="77777777" w:rsidR="00EC7566" w:rsidRPr="00931FAA" w:rsidRDefault="00EC7566" w:rsidP="00EC7566">
            <w:pPr>
              <w:spacing w:after="0" w:line="240" w:lineRule="auto"/>
              <w:jc w:val="center"/>
              <w:rPr>
                <w:rFonts w:eastAsia="Times New Roman" w:cs="Times New Roman"/>
                <w:b/>
                <w:bCs/>
                <w:color w:val="000000"/>
                <w:sz w:val="18"/>
                <w:szCs w:val="18"/>
                <w:lang w:eastAsia="sk-SK"/>
              </w:rPr>
            </w:pPr>
            <w:r w:rsidRPr="00931FAA">
              <w:rPr>
                <w:rFonts w:eastAsia="Times New Roman" w:cs="Times New Roman"/>
                <w:b/>
                <w:bCs/>
                <w:color w:val="000000"/>
                <w:sz w:val="18"/>
                <w:szCs w:val="18"/>
                <w:lang w:eastAsia="sk-SK"/>
              </w:rPr>
              <w:t>Skutočnosť</w:t>
            </w:r>
          </w:p>
        </w:tc>
        <w:tc>
          <w:tcPr>
            <w:tcW w:w="953" w:type="pct"/>
            <w:gridSpan w:val="2"/>
            <w:tcBorders>
              <w:top w:val="nil"/>
              <w:left w:val="nil"/>
              <w:bottom w:val="nil"/>
              <w:right w:val="nil"/>
            </w:tcBorders>
            <w:shd w:val="clear" w:color="000000" w:fill="BFBFBF"/>
            <w:vAlign w:val="center"/>
            <w:hideMark/>
          </w:tcPr>
          <w:p w14:paraId="5C55C1E8" w14:textId="77777777" w:rsidR="00EC7566" w:rsidRPr="00931FAA" w:rsidRDefault="00EC7566" w:rsidP="00EC7566">
            <w:pPr>
              <w:spacing w:after="0" w:line="240" w:lineRule="auto"/>
              <w:jc w:val="center"/>
              <w:rPr>
                <w:rFonts w:eastAsia="Times New Roman" w:cs="Times New Roman"/>
                <w:b/>
                <w:bCs/>
                <w:color w:val="000000"/>
                <w:sz w:val="18"/>
                <w:szCs w:val="18"/>
                <w:lang w:eastAsia="sk-SK"/>
              </w:rPr>
            </w:pPr>
            <w:r w:rsidRPr="00931FAA">
              <w:rPr>
                <w:rFonts w:eastAsia="Times New Roman" w:cs="Times New Roman"/>
                <w:b/>
                <w:bCs/>
                <w:color w:val="000000"/>
                <w:sz w:val="18"/>
                <w:szCs w:val="18"/>
                <w:lang w:eastAsia="sk-SK"/>
              </w:rPr>
              <w:t>Rozdiel</w:t>
            </w:r>
          </w:p>
        </w:tc>
      </w:tr>
      <w:tr w:rsidR="00EC7566" w:rsidRPr="00931FAA" w14:paraId="6D028DE2" w14:textId="77777777" w:rsidTr="00F057AA">
        <w:trPr>
          <w:trHeight w:val="330"/>
        </w:trPr>
        <w:tc>
          <w:tcPr>
            <w:tcW w:w="1667" w:type="pct"/>
            <w:tcBorders>
              <w:top w:val="nil"/>
              <w:left w:val="nil"/>
              <w:bottom w:val="nil"/>
              <w:right w:val="nil"/>
            </w:tcBorders>
            <w:shd w:val="clear" w:color="000000" w:fill="BFBFBF"/>
            <w:vAlign w:val="center"/>
            <w:hideMark/>
          </w:tcPr>
          <w:p w14:paraId="5EB3F71E" w14:textId="77777777" w:rsidR="00EC7566" w:rsidRPr="00931FAA" w:rsidRDefault="00EC7566" w:rsidP="00EC7566">
            <w:pPr>
              <w:spacing w:after="0" w:line="240" w:lineRule="auto"/>
              <w:jc w:val="center"/>
              <w:rPr>
                <w:rFonts w:eastAsia="Times New Roman" w:cs="Times New Roman"/>
                <w:b/>
                <w:bCs/>
                <w:color w:val="000000"/>
                <w:sz w:val="18"/>
                <w:szCs w:val="18"/>
                <w:lang w:eastAsia="sk-SK"/>
              </w:rPr>
            </w:pPr>
            <w:r w:rsidRPr="00931FAA">
              <w:rPr>
                <w:rFonts w:eastAsia="Times New Roman" w:cs="Times New Roman"/>
                <w:b/>
                <w:bCs/>
                <w:color w:val="000000"/>
                <w:sz w:val="18"/>
                <w:szCs w:val="18"/>
                <w:lang w:eastAsia="sk-SK"/>
              </w:rPr>
              <w:t> </w:t>
            </w:r>
          </w:p>
        </w:tc>
        <w:tc>
          <w:tcPr>
            <w:tcW w:w="635" w:type="pct"/>
            <w:tcBorders>
              <w:top w:val="nil"/>
              <w:left w:val="nil"/>
              <w:bottom w:val="nil"/>
              <w:right w:val="nil"/>
            </w:tcBorders>
            <w:shd w:val="clear" w:color="000000" w:fill="BFBFBF"/>
            <w:vAlign w:val="center"/>
            <w:hideMark/>
          </w:tcPr>
          <w:p w14:paraId="391C17A2" w14:textId="77777777" w:rsidR="00EC7566" w:rsidRPr="00931FAA" w:rsidRDefault="00EC7566" w:rsidP="00EC7566">
            <w:pPr>
              <w:spacing w:after="0" w:line="240" w:lineRule="auto"/>
              <w:jc w:val="center"/>
              <w:rPr>
                <w:rFonts w:eastAsia="Times New Roman" w:cs="Times New Roman"/>
                <w:b/>
                <w:bCs/>
                <w:color w:val="000000"/>
                <w:sz w:val="18"/>
                <w:szCs w:val="18"/>
                <w:lang w:eastAsia="sk-SK"/>
              </w:rPr>
            </w:pPr>
            <w:r w:rsidRPr="00931FAA">
              <w:rPr>
                <w:rFonts w:eastAsia="Times New Roman" w:cs="Times New Roman"/>
                <w:b/>
                <w:bCs/>
                <w:color w:val="000000"/>
                <w:sz w:val="18"/>
                <w:szCs w:val="18"/>
                <w:lang w:eastAsia="sk-SK"/>
              </w:rPr>
              <w:t>2016</w:t>
            </w:r>
          </w:p>
        </w:tc>
        <w:tc>
          <w:tcPr>
            <w:tcW w:w="539" w:type="pct"/>
            <w:tcBorders>
              <w:top w:val="nil"/>
              <w:left w:val="nil"/>
              <w:bottom w:val="nil"/>
              <w:right w:val="nil"/>
            </w:tcBorders>
            <w:shd w:val="clear" w:color="000000" w:fill="BFBFBF"/>
            <w:vAlign w:val="center"/>
            <w:hideMark/>
          </w:tcPr>
          <w:p w14:paraId="05C3849C" w14:textId="77777777" w:rsidR="00EC7566" w:rsidRPr="00931FAA" w:rsidRDefault="00EC7566" w:rsidP="00EC7566">
            <w:pPr>
              <w:spacing w:after="0" w:line="240" w:lineRule="auto"/>
              <w:jc w:val="center"/>
              <w:rPr>
                <w:rFonts w:eastAsia="Times New Roman" w:cs="Times New Roman"/>
                <w:b/>
                <w:bCs/>
                <w:color w:val="000000"/>
                <w:sz w:val="18"/>
                <w:szCs w:val="18"/>
                <w:lang w:eastAsia="sk-SK"/>
              </w:rPr>
            </w:pPr>
            <w:r w:rsidRPr="00931FAA">
              <w:rPr>
                <w:rFonts w:eastAsia="Times New Roman" w:cs="Times New Roman"/>
                <w:b/>
                <w:bCs/>
                <w:color w:val="000000"/>
                <w:sz w:val="18"/>
                <w:szCs w:val="18"/>
                <w:lang w:eastAsia="sk-SK"/>
              </w:rPr>
              <w:t>2017</w:t>
            </w:r>
          </w:p>
        </w:tc>
        <w:tc>
          <w:tcPr>
            <w:tcW w:w="596" w:type="pct"/>
            <w:tcBorders>
              <w:top w:val="nil"/>
              <w:left w:val="nil"/>
              <w:bottom w:val="nil"/>
              <w:right w:val="nil"/>
            </w:tcBorders>
            <w:shd w:val="clear" w:color="000000" w:fill="BFBFBF"/>
            <w:vAlign w:val="center"/>
            <w:hideMark/>
          </w:tcPr>
          <w:p w14:paraId="38C31795" w14:textId="77777777" w:rsidR="00EC7566" w:rsidRPr="00931FAA" w:rsidRDefault="00EC7566" w:rsidP="00EC7566">
            <w:pPr>
              <w:spacing w:after="0" w:line="240" w:lineRule="auto"/>
              <w:jc w:val="center"/>
              <w:rPr>
                <w:rFonts w:eastAsia="Times New Roman" w:cs="Times New Roman"/>
                <w:b/>
                <w:bCs/>
                <w:color w:val="000000"/>
                <w:sz w:val="18"/>
                <w:szCs w:val="18"/>
                <w:lang w:eastAsia="sk-SK"/>
              </w:rPr>
            </w:pPr>
            <w:r w:rsidRPr="00931FAA">
              <w:rPr>
                <w:rFonts w:eastAsia="Times New Roman" w:cs="Times New Roman"/>
                <w:b/>
                <w:bCs/>
                <w:color w:val="000000"/>
                <w:sz w:val="18"/>
                <w:szCs w:val="18"/>
                <w:lang w:eastAsia="sk-SK"/>
              </w:rPr>
              <w:t>2018</w:t>
            </w:r>
          </w:p>
        </w:tc>
        <w:tc>
          <w:tcPr>
            <w:tcW w:w="610" w:type="pct"/>
            <w:tcBorders>
              <w:top w:val="nil"/>
              <w:left w:val="nil"/>
              <w:bottom w:val="nil"/>
              <w:right w:val="nil"/>
            </w:tcBorders>
            <w:shd w:val="clear" w:color="000000" w:fill="BFBFBF"/>
            <w:vAlign w:val="center"/>
            <w:hideMark/>
          </w:tcPr>
          <w:p w14:paraId="2F6C90D6" w14:textId="77777777" w:rsidR="00EC7566" w:rsidRPr="00931FAA" w:rsidRDefault="00EC7566" w:rsidP="00EC7566">
            <w:pPr>
              <w:spacing w:after="0" w:line="240" w:lineRule="auto"/>
              <w:jc w:val="center"/>
              <w:rPr>
                <w:rFonts w:eastAsia="Times New Roman" w:cs="Times New Roman"/>
                <w:b/>
                <w:bCs/>
                <w:color w:val="000000"/>
                <w:sz w:val="18"/>
                <w:szCs w:val="18"/>
                <w:lang w:eastAsia="sk-SK"/>
              </w:rPr>
            </w:pPr>
            <w:r w:rsidRPr="00931FAA">
              <w:rPr>
                <w:rFonts w:eastAsia="Times New Roman" w:cs="Times New Roman"/>
                <w:b/>
                <w:bCs/>
                <w:color w:val="000000"/>
                <w:sz w:val="18"/>
                <w:szCs w:val="18"/>
                <w:lang w:eastAsia="sk-SK"/>
              </w:rPr>
              <w:t>2018</w:t>
            </w:r>
          </w:p>
        </w:tc>
        <w:tc>
          <w:tcPr>
            <w:tcW w:w="557" w:type="pct"/>
            <w:tcBorders>
              <w:top w:val="nil"/>
              <w:left w:val="nil"/>
              <w:bottom w:val="nil"/>
              <w:right w:val="nil"/>
            </w:tcBorders>
            <w:shd w:val="clear" w:color="000000" w:fill="BFBFBF"/>
            <w:vAlign w:val="center"/>
            <w:hideMark/>
          </w:tcPr>
          <w:p w14:paraId="72FD362F" w14:textId="77777777" w:rsidR="00EC7566" w:rsidRPr="00931FAA" w:rsidRDefault="00EC7566" w:rsidP="00EC7566">
            <w:pPr>
              <w:spacing w:after="0" w:line="240" w:lineRule="auto"/>
              <w:jc w:val="center"/>
              <w:rPr>
                <w:rFonts w:eastAsia="Times New Roman" w:cs="Times New Roman"/>
                <w:b/>
                <w:bCs/>
                <w:color w:val="000000"/>
                <w:sz w:val="18"/>
                <w:szCs w:val="18"/>
                <w:lang w:eastAsia="sk-SK"/>
              </w:rPr>
            </w:pPr>
            <w:r w:rsidRPr="00931FAA">
              <w:rPr>
                <w:rFonts w:eastAsia="Times New Roman" w:cs="Times New Roman"/>
                <w:b/>
                <w:bCs/>
                <w:color w:val="000000"/>
                <w:sz w:val="18"/>
                <w:szCs w:val="18"/>
                <w:lang w:eastAsia="sk-SK"/>
              </w:rPr>
              <w:t xml:space="preserve"> v</w:t>
            </w:r>
            <w:r w:rsidR="00F057AA" w:rsidRPr="00931FAA">
              <w:rPr>
                <w:rFonts w:eastAsia="Times New Roman" w:cs="Times New Roman"/>
                <w:b/>
                <w:bCs/>
                <w:color w:val="000000"/>
                <w:sz w:val="18"/>
                <w:szCs w:val="18"/>
                <w:lang w:eastAsia="sk-SK"/>
              </w:rPr>
              <w:t> </w:t>
            </w:r>
            <w:r w:rsidRPr="00931FAA">
              <w:rPr>
                <w:rFonts w:eastAsia="Times New Roman" w:cs="Times New Roman"/>
                <w:b/>
                <w:bCs/>
                <w:color w:val="000000"/>
                <w:sz w:val="18"/>
                <w:szCs w:val="18"/>
                <w:lang w:eastAsia="sk-SK"/>
              </w:rPr>
              <w:t>tis. eur</w:t>
            </w:r>
          </w:p>
        </w:tc>
        <w:tc>
          <w:tcPr>
            <w:tcW w:w="396" w:type="pct"/>
            <w:tcBorders>
              <w:top w:val="nil"/>
              <w:left w:val="nil"/>
              <w:bottom w:val="nil"/>
              <w:right w:val="nil"/>
            </w:tcBorders>
            <w:shd w:val="clear" w:color="000000" w:fill="BFBFBF"/>
            <w:vAlign w:val="center"/>
            <w:hideMark/>
          </w:tcPr>
          <w:p w14:paraId="77149E1C" w14:textId="77777777" w:rsidR="00EC7566" w:rsidRPr="00931FAA" w:rsidRDefault="00EC7566" w:rsidP="00EC7566">
            <w:pPr>
              <w:spacing w:after="0" w:line="240" w:lineRule="auto"/>
              <w:jc w:val="center"/>
              <w:rPr>
                <w:rFonts w:eastAsia="Times New Roman" w:cs="Times New Roman"/>
                <w:b/>
                <w:bCs/>
                <w:color w:val="000000"/>
                <w:sz w:val="18"/>
                <w:szCs w:val="18"/>
                <w:lang w:eastAsia="sk-SK"/>
              </w:rPr>
            </w:pPr>
            <w:r w:rsidRPr="00931FAA">
              <w:rPr>
                <w:rFonts w:eastAsia="Times New Roman" w:cs="Times New Roman"/>
                <w:b/>
                <w:bCs/>
                <w:color w:val="000000"/>
                <w:sz w:val="18"/>
                <w:szCs w:val="18"/>
                <w:lang w:eastAsia="sk-SK"/>
              </w:rPr>
              <w:t>v %</w:t>
            </w:r>
          </w:p>
        </w:tc>
      </w:tr>
      <w:tr w:rsidR="00EC7566" w:rsidRPr="00931FAA" w14:paraId="39F45A2E" w14:textId="77777777" w:rsidTr="007D7833">
        <w:trPr>
          <w:trHeight w:val="345"/>
        </w:trPr>
        <w:tc>
          <w:tcPr>
            <w:tcW w:w="1667" w:type="pct"/>
            <w:tcBorders>
              <w:top w:val="nil"/>
              <w:left w:val="nil"/>
              <w:bottom w:val="single" w:sz="8" w:space="0" w:color="auto"/>
              <w:right w:val="nil"/>
            </w:tcBorders>
            <w:shd w:val="clear" w:color="000000" w:fill="BFBFBF"/>
            <w:vAlign w:val="center"/>
            <w:hideMark/>
          </w:tcPr>
          <w:p w14:paraId="1609FEBB" w14:textId="77777777" w:rsidR="00EC7566" w:rsidRPr="00931FAA" w:rsidRDefault="00EC7566" w:rsidP="00EC7566">
            <w:pPr>
              <w:spacing w:after="0" w:line="240" w:lineRule="auto"/>
              <w:jc w:val="center"/>
              <w:rPr>
                <w:rFonts w:eastAsia="Times New Roman" w:cs="Times New Roman"/>
                <w:b/>
                <w:bCs/>
                <w:color w:val="000000"/>
                <w:sz w:val="18"/>
                <w:szCs w:val="18"/>
                <w:lang w:eastAsia="sk-SK"/>
              </w:rPr>
            </w:pPr>
            <w:r w:rsidRPr="00931FAA">
              <w:rPr>
                <w:rFonts w:eastAsia="Times New Roman" w:cs="Times New Roman"/>
                <w:b/>
                <w:bCs/>
                <w:color w:val="000000"/>
                <w:sz w:val="18"/>
                <w:szCs w:val="18"/>
                <w:lang w:eastAsia="sk-SK"/>
              </w:rPr>
              <w:t> </w:t>
            </w:r>
          </w:p>
        </w:tc>
        <w:tc>
          <w:tcPr>
            <w:tcW w:w="635" w:type="pct"/>
            <w:tcBorders>
              <w:top w:val="nil"/>
              <w:left w:val="nil"/>
              <w:bottom w:val="single" w:sz="8" w:space="0" w:color="auto"/>
              <w:right w:val="nil"/>
            </w:tcBorders>
            <w:shd w:val="clear" w:color="000000" w:fill="BFBFBF"/>
            <w:vAlign w:val="center"/>
            <w:hideMark/>
          </w:tcPr>
          <w:p w14:paraId="187E0781" w14:textId="77777777" w:rsidR="00EC7566" w:rsidRPr="00931FAA" w:rsidRDefault="00EC7566" w:rsidP="00EC7566">
            <w:pPr>
              <w:spacing w:after="0" w:line="240" w:lineRule="auto"/>
              <w:jc w:val="center"/>
              <w:rPr>
                <w:rFonts w:eastAsia="Times New Roman" w:cs="Times New Roman"/>
                <w:b/>
                <w:bCs/>
                <w:color w:val="000000"/>
                <w:sz w:val="18"/>
                <w:szCs w:val="18"/>
                <w:lang w:eastAsia="sk-SK"/>
              </w:rPr>
            </w:pPr>
            <w:r w:rsidRPr="00931FAA">
              <w:rPr>
                <w:rFonts w:eastAsia="Times New Roman" w:cs="Times New Roman"/>
                <w:b/>
                <w:bCs/>
                <w:color w:val="000000"/>
                <w:sz w:val="18"/>
                <w:szCs w:val="18"/>
                <w:lang w:eastAsia="sk-SK"/>
              </w:rPr>
              <w:t>1</w:t>
            </w:r>
          </w:p>
        </w:tc>
        <w:tc>
          <w:tcPr>
            <w:tcW w:w="539" w:type="pct"/>
            <w:tcBorders>
              <w:top w:val="nil"/>
              <w:left w:val="nil"/>
              <w:bottom w:val="single" w:sz="8" w:space="0" w:color="auto"/>
              <w:right w:val="nil"/>
            </w:tcBorders>
            <w:shd w:val="clear" w:color="000000" w:fill="BFBFBF"/>
            <w:vAlign w:val="center"/>
            <w:hideMark/>
          </w:tcPr>
          <w:p w14:paraId="35F2A2DA" w14:textId="77777777" w:rsidR="00EC7566" w:rsidRPr="00931FAA" w:rsidRDefault="00EC7566" w:rsidP="00EC7566">
            <w:pPr>
              <w:spacing w:after="0" w:line="240" w:lineRule="auto"/>
              <w:jc w:val="center"/>
              <w:rPr>
                <w:rFonts w:eastAsia="Times New Roman" w:cs="Times New Roman"/>
                <w:b/>
                <w:bCs/>
                <w:color w:val="000000"/>
                <w:sz w:val="18"/>
                <w:szCs w:val="18"/>
                <w:lang w:eastAsia="sk-SK"/>
              </w:rPr>
            </w:pPr>
            <w:r w:rsidRPr="00931FAA">
              <w:rPr>
                <w:rFonts w:eastAsia="Times New Roman" w:cs="Times New Roman"/>
                <w:b/>
                <w:bCs/>
                <w:color w:val="000000"/>
                <w:sz w:val="18"/>
                <w:szCs w:val="18"/>
                <w:lang w:eastAsia="sk-SK"/>
              </w:rPr>
              <w:t>2</w:t>
            </w:r>
          </w:p>
        </w:tc>
        <w:tc>
          <w:tcPr>
            <w:tcW w:w="596" w:type="pct"/>
            <w:tcBorders>
              <w:top w:val="nil"/>
              <w:left w:val="nil"/>
              <w:bottom w:val="single" w:sz="8" w:space="0" w:color="auto"/>
              <w:right w:val="nil"/>
            </w:tcBorders>
            <w:shd w:val="clear" w:color="000000" w:fill="BFBFBF"/>
            <w:vAlign w:val="center"/>
            <w:hideMark/>
          </w:tcPr>
          <w:p w14:paraId="385E4782" w14:textId="77777777" w:rsidR="00EC7566" w:rsidRPr="00931FAA" w:rsidRDefault="00EC7566" w:rsidP="00EC7566">
            <w:pPr>
              <w:spacing w:after="0" w:line="240" w:lineRule="auto"/>
              <w:jc w:val="center"/>
              <w:rPr>
                <w:rFonts w:eastAsia="Times New Roman" w:cs="Times New Roman"/>
                <w:b/>
                <w:bCs/>
                <w:color w:val="000000"/>
                <w:sz w:val="18"/>
                <w:szCs w:val="18"/>
                <w:lang w:eastAsia="sk-SK"/>
              </w:rPr>
            </w:pPr>
            <w:r w:rsidRPr="00931FAA">
              <w:rPr>
                <w:rFonts w:eastAsia="Times New Roman" w:cs="Times New Roman"/>
                <w:b/>
                <w:bCs/>
                <w:color w:val="000000"/>
                <w:sz w:val="18"/>
                <w:szCs w:val="18"/>
                <w:lang w:eastAsia="sk-SK"/>
              </w:rPr>
              <w:t>3</w:t>
            </w:r>
          </w:p>
        </w:tc>
        <w:tc>
          <w:tcPr>
            <w:tcW w:w="610" w:type="pct"/>
            <w:tcBorders>
              <w:top w:val="nil"/>
              <w:left w:val="nil"/>
              <w:bottom w:val="single" w:sz="8" w:space="0" w:color="auto"/>
              <w:right w:val="nil"/>
            </w:tcBorders>
            <w:shd w:val="clear" w:color="000000" w:fill="BFBFBF"/>
            <w:vAlign w:val="center"/>
            <w:hideMark/>
          </w:tcPr>
          <w:p w14:paraId="13EA168D" w14:textId="77777777" w:rsidR="00EC7566" w:rsidRPr="00931FAA" w:rsidRDefault="00EC7566" w:rsidP="00EC7566">
            <w:pPr>
              <w:spacing w:after="0" w:line="240" w:lineRule="auto"/>
              <w:jc w:val="center"/>
              <w:rPr>
                <w:rFonts w:eastAsia="Times New Roman" w:cs="Times New Roman"/>
                <w:b/>
                <w:bCs/>
                <w:color w:val="000000"/>
                <w:sz w:val="18"/>
                <w:szCs w:val="18"/>
                <w:lang w:eastAsia="sk-SK"/>
              </w:rPr>
            </w:pPr>
            <w:r w:rsidRPr="00931FAA">
              <w:rPr>
                <w:rFonts w:eastAsia="Times New Roman" w:cs="Times New Roman"/>
                <w:b/>
                <w:bCs/>
                <w:color w:val="000000"/>
                <w:sz w:val="18"/>
                <w:szCs w:val="18"/>
                <w:lang w:eastAsia="sk-SK"/>
              </w:rPr>
              <w:t>4</w:t>
            </w:r>
          </w:p>
        </w:tc>
        <w:tc>
          <w:tcPr>
            <w:tcW w:w="557" w:type="pct"/>
            <w:tcBorders>
              <w:top w:val="nil"/>
              <w:left w:val="nil"/>
              <w:bottom w:val="single" w:sz="8" w:space="0" w:color="auto"/>
              <w:right w:val="nil"/>
            </w:tcBorders>
            <w:shd w:val="clear" w:color="000000" w:fill="BFBFBF"/>
            <w:vAlign w:val="center"/>
            <w:hideMark/>
          </w:tcPr>
          <w:p w14:paraId="166FEE46" w14:textId="77777777" w:rsidR="00EC7566" w:rsidRPr="00931FAA" w:rsidRDefault="00EC7566" w:rsidP="00EC7566">
            <w:pPr>
              <w:spacing w:after="0" w:line="240" w:lineRule="auto"/>
              <w:jc w:val="center"/>
              <w:rPr>
                <w:rFonts w:eastAsia="Times New Roman" w:cs="Times New Roman"/>
                <w:b/>
                <w:bCs/>
                <w:color w:val="000000"/>
                <w:sz w:val="18"/>
                <w:szCs w:val="18"/>
                <w:lang w:eastAsia="sk-SK"/>
              </w:rPr>
            </w:pPr>
            <w:r w:rsidRPr="00931FAA">
              <w:rPr>
                <w:rFonts w:eastAsia="Times New Roman" w:cs="Times New Roman"/>
                <w:b/>
                <w:bCs/>
                <w:color w:val="000000"/>
                <w:sz w:val="18"/>
                <w:szCs w:val="18"/>
                <w:lang w:eastAsia="sk-SK"/>
              </w:rPr>
              <w:t>5=4-3</w:t>
            </w:r>
          </w:p>
        </w:tc>
        <w:tc>
          <w:tcPr>
            <w:tcW w:w="396" w:type="pct"/>
            <w:tcBorders>
              <w:top w:val="nil"/>
              <w:left w:val="nil"/>
              <w:bottom w:val="single" w:sz="8" w:space="0" w:color="auto"/>
              <w:right w:val="nil"/>
            </w:tcBorders>
            <w:shd w:val="clear" w:color="000000" w:fill="BFBFBF"/>
            <w:vAlign w:val="center"/>
            <w:hideMark/>
          </w:tcPr>
          <w:p w14:paraId="5F14BF1B" w14:textId="77777777" w:rsidR="00EC7566" w:rsidRPr="00931FAA" w:rsidRDefault="00EC7566" w:rsidP="00EC7566">
            <w:pPr>
              <w:spacing w:after="0" w:line="240" w:lineRule="auto"/>
              <w:jc w:val="center"/>
              <w:rPr>
                <w:rFonts w:eastAsia="Times New Roman" w:cs="Times New Roman"/>
                <w:b/>
                <w:bCs/>
                <w:color w:val="000000"/>
                <w:sz w:val="18"/>
                <w:szCs w:val="18"/>
                <w:lang w:eastAsia="sk-SK"/>
              </w:rPr>
            </w:pPr>
            <w:r w:rsidRPr="00931FAA">
              <w:rPr>
                <w:rFonts w:eastAsia="Times New Roman" w:cs="Times New Roman"/>
                <w:b/>
                <w:bCs/>
                <w:color w:val="000000"/>
                <w:sz w:val="18"/>
                <w:szCs w:val="18"/>
                <w:lang w:eastAsia="sk-SK"/>
              </w:rPr>
              <w:t>6=4-3</w:t>
            </w:r>
          </w:p>
        </w:tc>
      </w:tr>
      <w:tr w:rsidR="00EC7566" w:rsidRPr="00931FAA" w14:paraId="70EBFBFD" w14:textId="77777777" w:rsidTr="007D7833">
        <w:trPr>
          <w:trHeight w:val="330"/>
        </w:trPr>
        <w:tc>
          <w:tcPr>
            <w:tcW w:w="1667" w:type="pct"/>
            <w:tcBorders>
              <w:top w:val="single" w:sz="8" w:space="0" w:color="auto"/>
              <w:left w:val="nil"/>
              <w:bottom w:val="nil"/>
              <w:right w:val="nil"/>
            </w:tcBorders>
            <w:shd w:val="clear" w:color="000000" w:fill="FFFFFF"/>
            <w:vAlign w:val="center"/>
            <w:hideMark/>
          </w:tcPr>
          <w:p w14:paraId="6E347BB6" w14:textId="77777777" w:rsidR="00EC7566" w:rsidRPr="00931FAA" w:rsidRDefault="00EC7566" w:rsidP="00EC7566">
            <w:pPr>
              <w:spacing w:after="0" w:line="240" w:lineRule="auto"/>
              <w:jc w:val="left"/>
              <w:rPr>
                <w:rFonts w:eastAsia="Times New Roman" w:cs="Times New Roman"/>
                <w:color w:val="000000"/>
                <w:sz w:val="18"/>
                <w:szCs w:val="18"/>
                <w:lang w:eastAsia="sk-SK"/>
              </w:rPr>
            </w:pPr>
            <w:r w:rsidRPr="00931FAA">
              <w:rPr>
                <w:rFonts w:eastAsia="Times New Roman" w:cs="Times New Roman"/>
                <w:color w:val="000000"/>
                <w:sz w:val="18"/>
                <w:szCs w:val="18"/>
                <w:lang w:eastAsia="sk-SK"/>
              </w:rPr>
              <w:t>Tradičné vlastné zdroje</w:t>
            </w:r>
          </w:p>
        </w:tc>
        <w:tc>
          <w:tcPr>
            <w:tcW w:w="635" w:type="pct"/>
            <w:tcBorders>
              <w:top w:val="single" w:sz="8" w:space="0" w:color="auto"/>
              <w:left w:val="nil"/>
              <w:bottom w:val="nil"/>
              <w:right w:val="nil"/>
            </w:tcBorders>
            <w:shd w:val="clear" w:color="000000" w:fill="FFFFFF"/>
            <w:noWrap/>
            <w:vAlign w:val="center"/>
            <w:hideMark/>
          </w:tcPr>
          <w:p w14:paraId="6E7AEF9F" w14:textId="77777777" w:rsidR="00EC7566" w:rsidRPr="00931FAA" w:rsidRDefault="00EC7566" w:rsidP="00F057AA">
            <w:pPr>
              <w:spacing w:after="0" w:line="240" w:lineRule="auto"/>
              <w:jc w:val="right"/>
              <w:rPr>
                <w:rFonts w:eastAsia="Times New Roman" w:cs="Times New Roman"/>
                <w:color w:val="000000"/>
                <w:sz w:val="18"/>
                <w:szCs w:val="18"/>
                <w:lang w:eastAsia="sk-SK"/>
              </w:rPr>
            </w:pPr>
            <w:r w:rsidRPr="00931FAA">
              <w:rPr>
                <w:rFonts w:eastAsia="Times New Roman" w:cs="Times New Roman"/>
                <w:color w:val="000000"/>
                <w:sz w:val="18"/>
                <w:szCs w:val="18"/>
                <w:lang w:eastAsia="sk-SK"/>
              </w:rPr>
              <w:t>94 602</w:t>
            </w:r>
          </w:p>
        </w:tc>
        <w:tc>
          <w:tcPr>
            <w:tcW w:w="539" w:type="pct"/>
            <w:tcBorders>
              <w:top w:val="single" w:sz="8" w:space="0" w:color="auto"/>
              <w:left w:val="nil"/>
              <w:bottom w:val="nil"/>
              <w:right w:val="nil"/>
            </w:tcBorders>
            <w:shd w:val="clear" w:color="000000" w:fill="FFFFFF"/>
            <w:noWrap/>
            <w:vAlign w:val="center"/>
            <w:hideMark/>
          </w:tcPr>
          <w:p w14:paraId="7D47A65C" w14:textId="77777777" w:rsidR="00EC7566" w:rsidRPr="00931FAA" w:rsidRDefault="00EC7566" w:rsidP="00F057AA">
            <w:pPr>
              <w:spacing w:after="0" w:line="240" w:lineRule="auto"/>
              <w:jc w:val="right"/>
              <w:rPr>
                <w:rFonts w:eastAsia="Times New Roman" w:cs="Times New Roman"/>
                <w:color w:val="000000"/>
                <w:sz w:val="18"/>
                <w:szCs w:val="18"/>
                <w:lang w:eastAsia="sk-SK"/>
              </w:rPr>
            </w:pPr>
            <w:r w:rsidRPr="00931FAA">
              <w:rPr>
                <w:rFonts w:eastAsia="Times New Roman" w:cs="Times New Roman"/>
                <w:color w:val="000000"/>
                <w:sz w:val="18"/>
                <w:szCs w:val="18"/>
                <w:lang w:eastAsia="sk-SK"/>
              </w:rPr>
              <w:t>91 270</w:t>
            </w:r>
          </w:p>
        </w:tc>
        <w:tc>
          <w:tcPr>
            <w:tcW w:w="596" w:type="pct"/>
            <w:tcBorders>
              <w:top w:val="single" w:sz="8" w:space="0" w:color="auto"/>
              <w:left w:val="nil"/>
              <w:bottom w:val="nil"/>
              <w:right w:val="nil"/>
            </w:tcBorders>
            <w:shd w:val="clear" w:color="000000" w:fill="FFFFFF"/>
            <w:noWrap/>
            <w:vAlign w:val="center"/>
            <w:hideMark/>
          </w:tcPr>
          <w:p w14:paraId="40C62483" w14:textId="77777777" w:rsidR="00EC7566" w:rsidRPr="00931FAA" w:rsidRDefault="00EC7566" w:rsidP="00F057AA">
            <w:pPr>
              <w:spacing w:after="0" w:line="240" w:lineRule="auto"/>
              <w:jc w:val="right"/>
              <w:rPr>
                <w:rFonts w:eastAsia="Times New Roman" w:cs="Times New Roman"/>
                <w:color w:val="000000"/>
                <w:sz w:val="18"/>
                <w:szCs w:val="18"/>
                <w:lang w:eastAsia="sk-SK"/>
              </w:rPr>
            </w:pPr>
            <w:r w:rsidRPr="00931FAA">
              <w:rPr>
                <w:rFonts w:eastAsia="Times New Roman" w:cs="Times New Roman"/>
                <w:color w:val="000000"/>
                <w:sz w:val="18"/>
                <w:szCs w:val="18"/>
                <w:lang w:eastAsia="sk-SK"/>
              </w:rPr>
              <w:t>105 300</w:t>
            </w:r>
          </w:p>
        </w:tc>
        <w:tc>
          <w:tcPr>
            <w:tcW w:w="610" w:type="pct"/>
            <w:tcBorders>
              <w:top w:val="single" w:sz="8" w:space="0" w:color="auto"/>
              <w:left w:val="nil"/>
              <w:right w:val="nil"/>
            </w:tcBorders>
            <w:shd w:val="clear" w:color="auto" w:fill="BFBFBF" w:themeFill="background1" w:themeFillShade="BF"/>
            <w:noWrap/>
            <w:vAlign w:val="center"/>
            <w:hideMark/>
          </w:tcPr>
          <w:p w14:paraId="0C7390A2" w14:textId="77777777" w:rsidR="00EC7566" w:rsidRPr="00931FAA" w:rsidRDefault="00EC7566" w:rsidP="00F057AA">
            <w:pPr>
              <w:spacing w:after="0" w:line="240" w:lineRule="auto"/>
              <w:jc w:val="right"/>
              <w:rPr>
                <w:rFonts w:eastAsia="Times New Roman" w:cs="Times New Roman"/>
                <w:color w:val="000000"/>
                <w:sz w:val="18"/>
                <w:szCs w:val="18"/>
                <w:lang w:eastAsia="sk-SK"/>
              </w:rPr>
            </w:pPr>
            <w:r w:rsidRPr="00931FAA">
              <w:rPr>
                <w:rFonts w:eastAsia="Times New Roman" w:cs="Times New Roman"/>
                <w:color w:val="000000"/>
                <w:sz w:val="18"/>
                <w:szCs w:val="18"/>
                <w:lang w:eastAsia="sk-SK"/>
              </w:rPr>
              <w:t>93 385</w:t>
            </w:r>
          </w:p>
        </w:tc>
        <w:tc>
          <w:tcPr>
            <w:tcW w:w="557" w:type="pct"/>
            <w:tcBorders>
              <w:top w:val="single" w:sz="8" w:space="0" w:color="auto"/>
              <w:left w:val="nil"/>
              <w:bottom w:val="nil"/>
              <w:right w:val="nil"/>
            </w:tcBorders>
            <w:shd w:val="clear" w:color="auto" w:fill="auto"/>
            <w:vAlign w:val="center"/>
            <w:hideMark/>
          </w:tcPr>
          <w:p w14:paraId="48803E90" w14:textId="77777777" w:rsidR="00EC7566" w:rsidRPr="00931FAA" w:rsidRDefault="00EC7566" w:rsidP="00F057AA">
            <w:pPr>
              <w:spacing w:after="0" w:line="240" w:lineRule="auto"/>
              <w:jc w:val="right"/>
              <w:rPr>
                <w:rFonts w:eastAsia="Times New Roman" w:cs="Times New Roman"/>
                <w:color w:val="000000"/>
                <w:sz w:val="18"/>
                <w:szCs w:val="18"/>
                <w:lang w:eastAsia="sk-SK"/>
              </w:rPr>
            </w:pPr>
            <w:r w:rsidRPr="00931FAA">
              <w:rPr>
                <w:rFonts w:eastAsia="Times New Roman" w:cs="Times New Roman"/>
                <w:color w:val="000000"/>
                <w:sz w:val="18"/>
                <w:szCs w:val="18"/>
                <w:lang w:eastAsia="sk-SK"/>
              </w:rPr>
              <w:t>-11 915</w:t>
            </w:r>
          </w:p>
        </w:tc>
        <w:tc>
          <w:tcPr>
            <w:tcW w:w="396" w:type="pct"/>
            <w:tcBorders>
              <w:top w:val="single" w:sz="8" w:space="0" w:color="auto"/>
              <w:left w:val="nil"/>
              <w:bottom w:val="nil"/>
              <w:right w:val="nil"/>
            </w:tcBorders>
            <w:shd w:val="clear" w:color="000000" w:fill="FFFFFF"/>
            <w:vAlign w:val="center"/>
            <w:hideMark/>
          </w:tcPr>
          <w:p w14:paraId="7AECFE7D" w14:textId="77777777" w:rsidR="00EC7566" w:rsidRPr="00931FAA" w:rsidRDefault="00EC7566" w:rsidP="00F057AA">
            <w:pPr>
              <w:spacing w:after="0" w:line="240" w:lineRule="auto"/>
              <w:jc w:val="right"/>
              <w:rPr>
                <w:rFonts w:eastAsia="Times New Roman" w:cs="Times New Roman"/>
                <w:color w:val="000000"/>
                <w:sz w:val="18"/>
                <w:szCs w:val="18"/>
                <w:lang w:eastAsia="sk-SK"/>
              </w:rPr>
            </w:pPr>
            <w:r w:rsidRPr="00931FAA">
              <w:rPr>
                <w:rFonts w:eastAsia="Times New Roman" w:cs="Times New Roman"/>
                <w:color w:val="000000"/>
                <w:sz w:val="18"/>
                <w:szCs w:val="18"/>
                <w:lang w:eastAsia="sk-SK"/>
              </w:rPr>
              <w:t>-11,3</w:t>
            </w:r>
          </w:p>
        </w:tc>
      </w:tr>
      <w:tr w:rsidR="00EC7566" w:rsidRPr="00931FAA" w14:paraId="7E498D59" w14:textId="77777777" w:rsidTr="00E50B32">
        <w:trPr>
          <w:trHeight w:val="510"/>
        </w:trPr>
        <w:tc>
          <w:tcPr>
            <w:tcW w:w="1667" w:type="pct"/>
            <w:tcBorders>
              <w:top w:val="nil"/>
              <w:left w:val="nil"/>
              <w:bottom w:val="nil"/>
              <w:right w:val="nil"/>
            </w:tcBorders>
            <w:shd w:val="clear" w:color="000000" w:fill="FFFFFF"/>
            <w:vAlign w:val="center"/>
            <w:hideMark/>
          </w:tcPr>
          <w:p w14:paraId="282F1F69" w14:textId="77777777" w:rsidR="00EC7566" w:rsidRPr="00931FAA" w:rsidRDefault="00EC7566" w:rsidP="00EC7566">
            <w:pPr>
              <w:spacing w:after="0" w:line="240" w:lineRule="auto"/>
              <w:jc w:val="left"/>
              <w:rPr>
                <w:rFonts w:eastAsia="Times New Roman" w:cs="Times New Roman"/>
                <w:color w:val="000000"/>
                <w:sz w:val="18"/>
                <w:szCs w:val="18"/>
                <w:lang w:eastAsia="sk-SK"/>
              </w:rPr>
            </w:pPr>
            <w:r w:rsidRPr="00931FAA">
              <w:rPr>
                <w:rFonts w:eastAsia="Times New Roman" w:cs="Times New Roman"/>
                <w:color w:val="000000"/>
                <w:sz w:val="18"/>
                <w:szCs w:val="18"/>
                <w:lang w:eastAsia="sk-SK"/>
              </w:rPr>
              <w:t>Odvody SR do rozpočtu EÚ bez tradičných vlastných zdrojov</w:t>
            </w:r>
          </w:p>
        </w:tc>
        <w:tc>
          <w:tcPr>
            <w:tcW w:w="635" w:type="pct"/>
            <w:tcBorders>
              <w:top w:val="nil"/>
              <w:left w:val="nil"/>
              <w:bottom w:val="nil"/>
              <w:right w:val="nil"/>
            </w:tcBorders>
            <w:shd w:val="clear" w:color="000000" w:fill="FFFFFF"/>
            <w:noWrap/>
            <w:vAlign w:val="center"/>
            <w:hideMark/>
          </w:tcPr>
          <w:p w14:paraId="32D4B46B" w14:textId="77777777" w:rsidR="00EC7566" w:rsidRPr="00931FAA" w:rsidRDefault="00EC7566" w:rsidP="00F057AA">
            <w:pPr>
              <w:spacing w:after="0" w:line="240" w:lineRule="auto"/>
              <w:jc w:val="right"/>
              <w:rPr>
                <w:rFonts w:eastAsia="Times New Roman" w:cs="Times New Roman"/>
                <w:color w:val="000000"/>
                <w:sz w:val="18"/>
                <w:szCs w:val="18"/>
                <w:lang w:eastAsia="sk-SK"/>
              </w:rPr>
            </w:pPr>
            <w:r w:rsidRPr="00931FAA">
              <w:rPr>
                <w:rFonts w:eastAsia="Times New Roman" w:cs="Times New Roman"/>
                <w:color w:val="000000"/>
                <w:sz w:val="18"/>
                <w:szCs w:val="18"/>
                <w:lang w:eastAsia="sk-SK"/>
              </w:rPr>
              <w:t>634 796</w:t>
            </w:r>
          </w:p>
        </w:tc>
        <w:tc>
          <w:tcPr>
            <w:tcW w:w="539" w:type="pct"/>
            <w:tcBorders>
              <w:top w:val="nil"/>
              <w:left w:val="nil"/>
              <w:bottom w:val="nil"/>
              <w:right w:val="nil"/>
            </w:tcBorders>
            <w:shd w:val="clear" w:color="000000" w:fill="FFFFFF"/>
            <w:noWrap/>
            <w:vAlign w:val="center"/>
            <w:hideMark/>
          </w:tcPr>
          <w:p w14:paraId="251A4C55" w14:textId="77777777" w:rsidR="00EC7566" w:rsidRPr="00931FAA" w:rsidRDefault="00EC7566" w:rsidP="00F057AA">
            <w:pPr>
              <w:spacing w:after="0" w:line="240" w:lineRule="auto"/>
              <w:jc w:val="right"/>
              <w:rPr>
                <w:rFonts w:eastAsia="Times New Roman" w:cs="Times New Roman"/>
                <w:color w:val="000000"/>
                <w:sz w:val="18"/>
                <w:szCs w:val="18"/>
                <w:lang w:eastAsia="sk-SK"/>
              </w:rPr>
            </w:pPr>
            <w:r w:rsidRPr="00931FAA">
              <w:rPr>
                <w:rFonts w:eastAsia="Times New Roman" w:cs="Times New Roman"/>
                <w:color w:val="000000"/>
                <w:sz w:val="18"/>
                <w:szCs w:val="18"/>
                <w:lang w:eastAsia="sk-SK"/>
              </w:rPr>
              <w:t>634 172</w:t>
            </w:r>
          </w:p>
        </w:tc>
        <w:tc>
          <w:tcPr>
            <w:tcW w:w="596" w:type="pct"/>
            <w:tcBorders>
              <w:top w:val="nil"/>
              <w:left w:val="nil"/>
              <w:bottom w:val="nil"/>
              <w:right w:val="nil"/>
            </w:tcBorders>
            <w:shd w:val="clear" w:color="000000" w:fill="FFFFFF"/>
            <w:noWrap/>
            <w:vAlign w:val="center"/>
            <w:hideMark/>
          </w:tcPr>
          <w:p w14:paraId="7CEF1C16" w14:textId="77777777" w:rsidR="00EC7566" w:rsidRPr="00931FAA" w:rsidRDefault="00EC7566" w:rsidP="00F057AA">
            <w:pPr>
              <w:spacing w:after="0" w:line="240" w:lineRule="auto"/>
              <w:jc w:val="right"/>
              <w:rPr>
                <w:rFonts w:eastAsia="Times New Roman" w:cs="Times New Roman"/>
                <w:color w:val="000000"/>
                <w:sz w:val="18"/>
                <w:szCs w:val="18"/>
                <w:lang w:eastAsia="sk-SK"/>
              </w:rPr>
            </w:pPr>
            <w:r w:rsidRPr="00931FAA">
              <w:rPr>
                <w:rFonts w:eastAsia="Times New Roman" w:cs="Times New Roman"/>
                <w:color w:val="000000"/>
                <w:sz w:val="18"/>
                <w:szCs w:val="18"/>
                <w:lang w:eastAsia="sk-SK"/>
              </w:rPr>
              <w:t>768 122</w:t>
            </w:r>
          </w:p>
        </w:tc>
        <w:tc>
          <w:tcPr>
            <w:tcW w:w="610" w:type="pct"/>
            <w:tcBorders>
              <w:top w:val="nil"/>
              <w:left w:val="nil"/>
              <w:bottom w:val="nil"/>
              <w:right w:val="nil"/>
            </w:tcBorders>
            <w:shd w:val="clear" w:color="auto" w:fill="BFBFBF" w:themeFill="background1" w:themeFillShade="BF"/>
            <w:noWrap/>
            <w:vAlign w:val="center"/>
            <w:hideMark/>
          </w:tcPr>
          <w:p w14:paraId="7C157592" w14:textId="77777777" w:rsidR="00EC7566" w:rsidRPr="00931FAA" w:rsidRDefault="00EC7566" w:rsidP="00F057AA">
            <w:pPr>
              <w:spacing w:after="0" w:line="240" w:lineRule="auto"/>
              <w:jc w:val="right"/>
              <w:rPr>
                <w:rFonts w:eastAsia="Times New Roman" w:cs="Times New Roman"/>
                <w:color w:val="000000"/>
                <w:sz w:val="18"/>
                <w:szCs w:val="18"/>
                <w:lang w:eastAsia="sk-SK"/>
              </w:rPr>
            </w:pPr>
            <w:r w:rsidRPr="00931FAA">
              <w:rPr>
                <w:rFonts w:eastAsia="Times New Roman" w:cs="Times New Roman"/>
                <w:color w:val="000000"/>
                <w:sz w:val="18"/>
                <w:szCs w:val="18"/>
                <w:lang w:eastAsia="sk-SK"/>
              </w:rPr>
              <w:t>731 424</w:t>
            </w:r>
          </w:p>
        </w:tc>
        <w:tc>
          <w:tcPr>
            <w:tcW w:w="557" w:type="pct"/>
            <w:tcBorders>
              <w:top w:val="nil"/>
              <w:left w:val="nil"/>
              <w:bottom w:val="nil"/>
              <w:right w:val="nil"/>
            </w:tcBorders>
            <w:shd w:val="clear" w:color="000000" w:fill="FFFFFF"/>
            <w:noWrap/>
            <w:vAlign w:val="center"/>
            <w:hideMark/>
          </w:tcPr>
          <w:p w14:paraId="5E4C4C5C" w14:textId="77777777" w:rsidR="00EC7566" w:rsidRPr="00931FAA" w:rsidRDefault="00EC7566" w:rsidP="00F057AA">
            <w:pPr>
              <w:spacing w:after="0" w:line="240" w:lineRule="auto"/>
              <w:jc w:val="right"/>
              <w:rPr>
                <w:rFonts w:eastAsia="Times New Roman" w:cs="Times New Roman"/>
                <w:color w:val="000000"/>
                <w:sz w:val="18"/>
                <w:szCs w:val="18"/>
                <w:lang w:eastAsia="sk-SK"/>
              </w:rPr>
            </w:pPr>
            <w:r w:rsidRPr="00931FAA">
              <w:rPr>
                <w:rFonts w:eastAsia="Times New Roman" w:cs="Times New Roman"/>
                <w:color w:val="000000"/>
                <w:sz w:val="18"/>
                <w:szCs w:val="18"/>
                <w:lang w:eastAsia="sk-SK"/>
              </w:rPr>
              <w:t>-36 698</w:t>
            </w:r>
          </w:p>
        </w:tc>
        <w:tc>
          <w:tcPr>
            <w:tcW w:w="396" w:type="pct"/>
            <w:tcBorders>
              <w:top w:val="nil"/>
              <w:left w:val="nil"/>
              <w:bottom w:val="nil"/>
              <w:right w:val="nil"/>
            </w:tcBorders>
            <w:shd w:val="clear" w:color="auto" w:fill="auto"/>
            <w:vAlign w:val="center"/>
            <w:hideMark/>
          </w:tcPr>
          <w:p w14:paraId="301A5C09" w14:textId="77777777" w:rsidR="00EC7566" w:rsidRPr="00931FAA" w:rsidRDefault="00EC7566" w:rsidP="00F057AA">
            <w:pPr>
              <w:spacing w:after="0" w:line="240" w:lineRule="auto"/>
              <w:jc w:val="right"/>
              <w:rPr>
                <w:rFonts w:eastAsia="Times New Roman" w:cs="Times New Roman"/>
                <w:color w:val="000000"/>
                <w:sz w:val="18"/>
                <w:szCs w:val="18"/>
                <w:lang w:eastAsia="sk-SK"/>
              </w:rPr>
            </w:pPr>
            <w:r w:rsidRPr="00931FAA">
              <w:rPr>
                <w:rFonts w:eastAsia="Times New Roman" w:cs="Times New Roman"/>
                <w:color w:val="000000"/>
                <w:sz w:val="18"/>
                <w:szCs w:val="18"/>
                <w:lang w:eastAsia="sk-SK"/>
              </w:rPr>
              <w:t>-4,8</w:t>
            </w:r>
          </w:p>
        </w:tc>
      </w:tr>
      <w:tr w:rsidR="00EC7566" w:rsidRPr="00931FAA" w14:paraId="0EEBA55B" w14:textId="77777777" w:rsidTr="00E50B32">
        <w:trPr>
          <w:trHeight w:val="330"/>
        </w:trPr>
        <w:tc>
          <w:tcPr>
            <w:tcW w:w="1667" w:type="pct"/>
            <w:tcBorders>
              <w:top w:val="nil"/>
              <w:left w:val="nil"/>
              <w:bottom w:val="nil"/>
              <w:right w:val="nil"/>
            </w:tcBorders>
            <w:shd w:val="clear" w:color="000000" w:fill="FFFFFF"/>
            <w:vAlign w:val="center"/>
            <w:hideMark/>
          </w:tcPr>
          <w:p w14:paraId="66C0857E" w14:textId="77777777" w:rsidR="00EC7566" w:rsidRPr="00931FAA" w:rsidRDefault="00EC7566" w:rsidP="00EC7566">
            <w:pPr>
              <w:spacing w:after="0" w:line="240" w:lineRule="auto"/>
              <w:jc w:val="left"/>
              <w:rPr>
                <w:rFonts w:eastAsia="Times New Roman" w:cs="Times New Roman"/>
                <w:b/>
                <w:color w:val="000000"/>
                <w:sz w:val="18"/>
                <w:szCs w:val="18"/>
                <w:lang w:eastAsia="sk-SK"/>
              </w:rPr>
            </w:pPr>
            <w:r w:rsidRPr="00931FAA">
              <w:rPr>
                <w:rFonts w:eastAsia="Times New Roman" w:cs="Times New Roman"/>
                <w:b/>
                <w:color w:val="000000"/>
                <w:sz w:val="18"/>
                <w:szCs w:val="18"/>
                <w:lang w:eastAsia="sk-SK"/>
              </w:rPr>
              <w:t>Odvody do rozpočtu EÚ spolu</w:t>
            </w:r>
          </w:p>
        </w:tc>
        <w:tc>
          <w:tcPr>
            <w:tcW w:w="635" w:type="pct"/>
            <w:tcBorders>
              <w:top w:val="nil"/>
              <w:left w:val="nil"/>
              <w:bottom w:val="nil"/>
              <w:right w:val="nil"/>
            </w:tcBorders>
            <w:shd w:val="clear" w:color="000000" w:fill="FFFFFF"/>
            <w:noWrap/>
            <w:vAlign w:val="center"/>
            <w:hideMark/>
          </w:tcPr>
          <w:p w14:paraId="02CE1DDA" w14:textId="77777777" w:rsidR="00EC7566" w:rsidRPr="00931FAA" w:rsidRDefault="00EC7566" w:rsidP="00F057AA">
            <w:pPr>
              <w:spacing w:after="0" w:line="240" w:lineRule="auto"/>
              <w:jc w:val="right"/>
              <w:rPr>
                <w:rFonts w:eastAsia="Times New Roman" w:cs="Times New Roman"/>
                <w:b/>
                <w:color w:val="000000"/>
                <w:sz w:val="18"/>
                <w:szCs w:val="18"/>
                <w:lang w:eastAsia="sk-SK"/>
              </w:rPr>
            </w:pPr>
            <w:r w:rsidRPr="00931FAA">
              <w:rPr>
                <w:rFonts w:eastAsia="Times New Roman" w:cs="Times New Roman"/>
                <w:b/>
                <w:color w:val="000000"/>
                <w:sz w:val="18"/>
                <w:szCs w:val="18"/>
                <w:lang w:eastAsia="sk-SK"/>
              </w:rPr>
              <w:t>729 398</w:t>
            </w:r>
          </w:p>
        </w:tc>
        <w:tc>
          <w:tcPr>
            <w:tcW w:w="539" w:type="pct"/>
            <w:tcBorders>
              <w:top w:val="nil"/>
              <w:left w:val="nil"/>
              <w:bottom w:val="nil"/>
              <w:right w:val="nil"/>
            </w:tcBorders>
            <w:shd w:val="clear" w:color="000000" w:fill="FFFFFF"/>
            <w:noWrap/>
            <w:vAlign w:val="center"/>
            <w:hideMark/>
          </w:tcPr>
          <w:p w14:paraId="385BD6F6" w14:textId="77777777" w:rsidR="00EC7566" w:rsidRPr="00931FAA" w:rsidRDefault="00EC7566" w:rsidP="00F057AA">
            <w:pPr>
              <w:spacing w:after="0" w:line="240" w:lineRule="auto"/>
              <w:jc w:val="right"/>
              <w:rPr>
                <w:rFonts w:eastAsia="Times New Roman" w:cs="Times New Roman"/>
                <w:b/>
                <w:color w:val="000000"/>
                <w:sz w:val="18"/>
                <w:szCs w:val="18"/>
                <w:lang w:eastAsia="sk-SK"/>
              </w:rPr>
            </w:pPr>
            <w:r w:rsidRPr="00931FAA">
              <w:rPr>
                <w:rFonts w:eastAsia="Times New Roman" w:cs="Times New Roman"/>
                <w:b/>
                <w:color w:val="000000"/>
                <w:sz w:val="18"/>
                <w:szCs w:val="18"/>
                <w:lang w:eastAsia="sk-SK"/>
              </w:rPr>
              <w:t>725 442</w:t>
            </w:r>
          </w:p>
        </w:tc>
        <w:tc>
          <w:tcPr>
            <w:tcW w:w="596" w:type="pct"/>
            <w:tcBorders>
              <w:top w:val="nil"/>
              <w:left w:val="nil"/>
              <w:bottom w:val="nil"/>
              <w:right w:val="nil"/>
            </w:tcBorders>
            <w:shd w:val="clear" w:color="000000" w:fill="FFFFFF"/>
            <w:noWrap/>
            <w:vAlign w:val="center"/>
            <w:hideMark/>
          </w:tcPr>
          <w:p w14:paraId="36528000" w14:textId="77777777" w:rsidR="00EC7566" w:rsidRPr="00931FAA" w:rsidRDefault="00EC7566" w:rsidP="00F057AA">
            <w:pPr>
              <w:spacing w:after="0" w:line="240" w:lineRule="auto"/>
              <w:jc w:val="right"/>
              <w:rPr>
                <w:rFonts w:eastAsia="Times New Roman" w:cs="Times New Roman"/>
                <w:b/>
                <w:color w:val="000000"/>
                <w:sz w:val="18"/>
                <w:szCs w:val="18"/>
                <w:lang w:eastAsia="sk-SK"/>
              </w:rPr>
            </w:pPr>
            <w:r w:rsidRPr="00931FAA">
              <w:rPr>
                <w:rFonts w:eastAsia="Times New Roman" w:cs="Times New Roman"/>
                <w:b/>
                <w:color w:val="000000"/>
                <w:sz w:val="18"/>
                <w:szCs w:val="18"/>
                <w:lang w:eastAsia="sk-SK"/>
              </w:rPr>
              <w:t>873 422</w:t>
            </w:r>
          </w:p>
        </w:tc>
        <w:tc>
          <w:tcPr>
            <w:tcW w:w="610" w:type="pct"/>
            <w:tcBorders>
              <w:top w:val="nil"/>
              <w:left w:val="nil"/>
              <w:bottom w:val="nil"/>
              <w:right w:val="nil"/>
            </w:tcBorders>
            <w:shd w:val="clear" w:color="auto" w:fill="BFBFBF" w:themeFill="background1" w:themeFillShade="BF"/>
            <w:noWrap/>
            <w:vAlign w:val="center"/>
            <w:hideMark/>
          </w:tcPr>
          <w:p w14:paraId="1605484F" w14:textId="77777777" w:rsidR="00EC7566" w:rsidRPr="00931FAA" w:rsidRDefault="00EC7566" w:rsidP="00F057AA">
            <w:pPr>
              <w:spacing w:after="0" w:line="240" w:lineRule="auto"/>
              <w:jc w:val="right"/>
              <w:rPr>
                <w:rFonts w:eastAsia="Times New Roman" w:cs="Times New Roman"/>
                <w:b/>
                <w:color w:val="000000"/>
                <w:sz w:val="18"/>
                <w:szCs w:val="18"/>
                <w:lang w:eastAsia="sk-SK"/>
              </w:rPr>
            </w:pPr>
            <w:r w:rsidRPr="00931FAA">
              <w:rPr>
                <w:rFonts w:eastAsia="Times New Roman" w:cs="Times New Roman"/>
                <w:b/>
                <w:color w:val="000000"/>
                <w:sz w:val="18"/>
                <w:szCs w:val="18"/>
                <w:lang w:eastAsia="sk-SK"/>
              </w:rPr>
              <w:t>824 809</w:t>
            </w:r>
          </w:p>
        </w:tc>
        <w:tc>
          <w:tcPr>
            <w:tcW w:w="557" w:type="pct"/>
            <w:tcBorders>
              <w:top w:val="nil"/>
              <w:left w:val="nil"/>
              <w:bottom w:val="nil"/>
              <w:right w:val="nil"/>
            </w:tcBorders>
            <w:shd w:val="clear" w:color="000000" w:fill="FFFFFF"/>
            <w:vAlign w:val="center"/>
            <w:hideMark/>
          </w:tcPr>
          <w:p w14:paraId="63B3BD0A" w14:textId="77777777" w:rsidR="00EC7566" w:rsidRPr="00931FAA" w:rsidRDefault="00EC7566" w:rsidP="00F057AA">
            <w:pPr>
              <w:spacing w:after="0" w:line="240" w:lineRule="auto"/>
              <w:jc w:val="right"/>
              <w:rPr>
                <w:rFonts w:eastAsia="Times New Roman" w:cs="Times New Roman"/>
                <w:b/>
                <w:color w:val="000000"/>
                <w:sz w:val="18"/>
                <w:szCs w:val="18"/>
                <w:lang w:eastAsia="sk-SK"/>
              </w:rPr>
            </w:pPr>
            <w:r w:rsidRPr="00931FAA">
              <w:rPr>
                <w:rFonts w:eastAsia="Times New Roman" w:cs="Times New Roman"/>
                <w:b/>
                <w:color w:val="000000"/>
                <w:sz w:val="18"/>
                <w:szCs w:val="18"/>
                <w:lang w:eastAsia="sk-SK"/>
              </w:rPr>
              <w:t>-48 613</w:t>
            </w:r>
          </w:p>
        </w:tc>
        <w:tc>
          <w:tcPr>
            <w:tcW w:w="396" w:type="pct"/>
            <w:tcBorders>
              <w:top w:val="nil"/>
              <w:left w:val="nil"/>
              <w:bottom w:val="nil"/>
              <w:right w:val="nil"/>
            </w:tcBorders>
            <w:shd w:val="clear" w:color="000000" w:fill="FFFFFF"/>
            <w:vAlign w:val="center"/>
            <w:hideMark/>
          </w:tcPr>
          <w:p w14:paraId="01680745" w14:textId="77777777" w:rsidR="00EC7566" w:rsidRPr="00931FAA" w:rsidRDefault="00EC7566" w:rsidP="00F057AA">
            <w:pPr>
              <w:spacing w:after="0" w:line="240" w:lineRule="auto"/>
              <w:jc w:val="right"/>
              <w:rPr>
                <w:rFonts w:eastAsia="Times New Roman" w:cs="Times New Roman"/>
                <w:b/>
                <w:color w:val="000000"/>
                <w:sz w:val="18"/>
                <w:szCs w:val="18"/>
                <w:lang w:eastAsia="sk-SK"/>
              </w:rPr>
            </w:pPr>
            <w:r w:rsidRPr="00931FAA">
              <w:rPr>
                <w:rFonts w:eastAsia="Times New Roman" w:cs="Times New Roman"/>
                <w:b/>
                <w:color w:val="000000"/>
                <w:sz w:val="18"/>
                <w:szCs w:val="18"/>
                <w:lang w:eastAsia="sk-SK"/>
              </w:rPr>
              <w:t>-5,6</w:t>
            </w:r>
          </w:p>
        </w:tc>
      </w:tr>
      <w:tr w:rsidR="00EC7566" w:rsidRPr="00931FAA" w14:paraId="43A7DB09" w14:textId="77777777" w:rsidTr="00E50B32">
        <w:trPr>
          <w:trHeight w:val="510"/>
        </w:trPr>
        <w:tc>
          <w:tcPr>
            <w:tcW w:w="1667" w:type="pct"/>
            <w:tcBorders>
              <w:top w:val="nil"/>
              <w:left w:val="nil"/>
              <w:bottom w:val="nil"/>
              <w:right w:val="nil"/>
            </w:tcBorders>
            <w:shd w:val="clear" w:color="000000" w:fill="FFFFFF"/>
            <w:vAlign w:val="center"/>
            <w:hideMark/>
          </w:tcPr>
          <w:p w14:paraId="01334BE3" w14:textId="77777777" w:rsidR="00EC7566" w:rsidRPr="00931FAA" w:rsidRDefault="00EC7566" w:rsidP="00EC7566">
            <w:pPr>
              <w:spacing w:after="0" w:line="240" w:lineRule="auto"/>
              <w:jc w:val="left"/>
              <w:rPr>
                <w:rFonts w:eastAsia="Times New Roman" w:cs="Times New Roman"/>
                <w:color w:val="000000"/>
                <w:sz w:val="18"/>
                <w:szCs w:val="18"/>
                <w:lang w:eastAsia="sk-SK"/>
              </w:rPr>
            </w:pPr>
            <w:r w:rsidRPr="00931FAA">
              <w:rPr>
                <w:rFonts w:eastAsia="Times New Roman" w:cs="Times New Roman"/>
                <w:color w:val="000000"/>
                <w:sz w:val="18"/>
                <w:szCs w:val="18"/>
                <w:lang w:eastAsia="sk-SK"/>
              </w:rPr>
              <w:t>Príspevky SR do Európskeho rozvojového fondu</w:t>
            </w:r>
          </w:p>
        </w:tc>
        <w:tc>
          <w:tcPr>
            <w:tcW w:w="635" w:type="pct"/>
            <w:tcBorders>
              <w:top w:val="nil"/>
              <w:left w:val="nil"/>
              <w:bottom w:val="nil"/>
              <w:right w:val="nil"/>
            </w:tcBorders>
            <w:shd w:val="clear" w:color="000000" w:fill="FFFFFF"/>
            <w:noWrap/>
            <w:vAlign w:val="center"/>
            <w:hideMark/>
          </w:tcPr>
          <w:p w14:paraId="27F2E872" w14:textId="77777777" w:rsidR="00EC7566" w:rsidRPr="00931FAA" w:rsidRDefault="00EC7566" w:rsidP="00F057AA">
            <w:pPr>
              <w:spacing w:after="0" w:line="240" w:lineRule="auto"/>
              <w:jc w:val="right"/>
              <w:rPr>
                <w:rFonts w:eastAsia="Times New Roman" w:cs="Times New Roman"/>
                <w:color w:val="000000"/>
                <w:sz w:val="18"/>
                <w:szCs w:val="18"/>
                <w:lang w:eastAsia="sk-SK"/>
              </w:rPr>
            </w:pPr>
            <w:r w:rsidRPr="00931FAA">
              <w:rPr>
                <w:rFonts w:eastAsia="Times New Roman" w:cs="Times New Roman"/>
                <w:color w:val="000000"/>
                <w:sz w:val="18"/>
                <w:szCs w:val="18"/>
                <w:lang w:eastAsia="sk-SK"/>
              </w:rPr>
              <w:t>10 505</w:t>
            </w:r>
          </w:p>
        </w:tc>
        <w:tc>
          <w:tcPr>
            <w:tcW w:w="539" w:type="pct"/>
            <w:tcBorders>
              <w:top w:val="nil"/>
              <w:left w:val="nil"/>
              <w:bottom w:val="nil"/>
              <w:right w:val="nil"/>
            </w:tcBorders>
            <w:shd w:val="clear" w:color="000000" w:fill="FFFFFF"/>
            <w:noWrap/>
            <w:vAlign w:val="center"/>
            <w:hideMark/>
          </w:tcPr>
          <w:p w14:paraId="2CCC1640" w14:textId="77777777" w:rsidR="00EC7566" w:rsidRPr="00931FAA" w:rsidRDefault="00EC7566" w:rsidP="00F057AA">
            <w:pPr>
              <w:spacing w:after="0" w:line="240" w:lineRule="auto"/>
              <w:jc w:val="right"/>
              <w:rPr>
                <w:rFonts w:eastAsia="Times New Roman" w:cs="Times New Roman"/>
                <w:color w:val="000000"/>
                <w:sz w:val="18"/>
                <w:szCs w:val="18"/>
                <w:lang w:eastAsia="sk-SK"/>
              </w:rPr>
            </w:pPr>
            <w:r w:rsidRPr="00931FAA">
              <w:rPr>
                <w:rFonts w:eastAsia="Times New Roman" w:cs="Times New Roman"/>
                <w:color w:val="000000"/>
                <w:sz w:val="18"/>
                <w:szCs w:val="18"/>
                <w:lang w:eastAsia="sk-SK"/>
              </w:rPr>
              <w:t>12 603</w:t>
            </w:r>
          </w:p>
        </w:tc>
        <w:tc>
          <w:tcPr>
            <w:tcW w:w="596" w:type="pct"/>
            <w:tcBorders>
              <w:top w:val="nil"/>
              <w:left w:val="nil"/>
              <w:bottom w:val="nil"/>
              <w:right w:val="nil"/>
            </w:tcBorders>
            <w:shd w:val="clear" w:color="000000" w:fill="FFFFFF"/>
            <w:noWrap/>
            <w:vAlign w:val="center"/>
            <w:hideMark/>
          </w:tcPr>
          <w:p w14:paraId="2C7E5EC2" w14:textId="77777777" w:rsidR="00EC7566" w:rsidRPr="00931FAA" w:rsidRDefault="00EC7566" w:rsidP="00F057AA">
            <w:pPr>
              <w:spacing w:after="0" w:line="240" w:lineRule="auto"/>
              <w:jc w:val="right"/>
              <w:rPr>
                <w:rFonts w:eastAsia="Times New Roman" w:cs="Times New Roman"/>
                <w:color w:val="000000"/>
                <w:sz w:val="18"/>
                <w:szCs w:val="18"/>
                <w:lang w:eastAsia="sk-SK"/>
              </w:rPr>
            </w:pPr>
            <w:r w:rsidRPr="00931FAA">
              <w:rPr>
                <w:rFonts w:eastAsia="Times New Roman" w:cs="Times New Roman"/>
                <w:color w:val="000000"/>
                <w:sz w:val="18"/>
                <w:szCs w:val="18"/>
                <w:lang w:eastAsia="sk-SK"/>
              </w:rPr>
              <w:t>17 641</w:t>
            </w:r>
          </w:p>
        </w:tc>
        <w:tc>
          <w:tcPr>
            <w:tcW w:w="610" w:type="pct"/>
            <w:tcBorders>
              <w:top w:val="nil"/>
              <w:left w:val="nil"/>
              <w:bottom w:val="nil"/>
              <w:right w:val="nil"/>
            </w:tcBorders>
            <w:shd w:val="clear" w:color="auto" w:fill="BFBFBF" w:themeFill="background1" w:themeFillShade="BF"/>
            <w:noWrap/>
            <w:vAlign w:val="center"/>
            <w:hideMark/>
          </w:tcPr>
          <w:p w14:paraId="0705F339" w14:textId="77777777" w:rsidR="00EC7566" w:rsidRPr="00931FAA" w:rsidRDefault="00EC7566" w:rsidP="00F057AA">
            <w:pPr>
              <w:spacing w:after="0" w:line="240" w:lineRule="auto"/>
              <w:jc w:val="right"/>
              <w:rPr>
                <w:rFonts w:eastAsia="Times New Roman" w:cs="Times New Roman"/>
                <w:color w:val="000000"/>
                <w:sz w:val="18"/>
                <w:szCs w:val="18"/>
                <w:lang w:eastAsia="sk-SK"/>
              </w:rPr>
            </w:pPr>
            <w:r w:rsidRPr="00931FAA">
              <w:rPr>
                <w:rFonts w:eastAsia="Times New Roman" w:cs="Times New Roman"/>
                <w:color w:val="000000"/>
                <w:sz w:val="18"/>
                <w:szCs w:val="18"/>
                <w:lang w:eastAsia="sk-SK"/>
              </w:rPr>
              <w:t>16 512</w:t>
            </w:r>
          </w:p>
        </w:tc>
        <w:tc>
          <w:tcPr>
            <w:tcW w:w="557" w:type="pct"/>
            <w:tcBorders>
              <w:top w:val="nil"/>
              <w:left w:val="nil"/>
              <w:bottom w:val="nil"/>
              <w:right w:val="nil"/>
            </w:tcBorders>
            <w:shd w:val="clear" w:color="000000" w:fill="FFFFFF"/>
            <w:vAlign w:val="center"/>
            <w:hideMark/>
          </w:tcPr>
          <w:p w14:paraId="0A5094C5" w14:textId="77777777" w:rsidR="00EC7566" w:rsidRPr="00931FAA" w:rsidRDefault="00EC7566" w:rsidP="00F057AA">
            <w:pPr>
              <w:spacing w:after="0" w:line="240" w:lineRule="auto"/>
              <w:jc w:val="right"/>
              <w:rPr>
                <w:rFonts w:eastAsia="Times New Roman" w:cs="Times New Roman"/>
                <w:color w:val="000000"/>
                <w:sz w:val="18"/>
                <w:szCs w:val="18"/>
                <w:lang w:eastAsia="sk-SK"/>
              </w:rPr>
            </w:pPr>
            <w:r w:rsidRPr="00931FAA">
              <w:rPr>
                <w:rFonts w:eastAsia="Times New Roman" w:cs="Times New Roman"/>
                <w:color w:val="000000"/>
                <w:sz w:val="18"/>
                <w:szCs w:val="18"/>
                <w:lang w:eastAsia="sk-SK"/>
              </w:rPr>
              <w:t>-1 129</w:t>
            </w:r>
          </w:p>
        </w:tc>
        <w:tc>
          <w:tcPr>
            <w:tcW w:w="396" w:type="pct"/>
            <w:tcBorders>
              <w:top w:val="nil"/>
              <w:left w:val="nil"/>
              <w:bottom w:val="nil"/>
              <w:right w:val="nil"/>
            </w:tcBorders>
            <w:shd w:val="clear" w:color="000000" w:fill="FFFFFF"/>
            <w:vAlign w:val="center"/>
            <w:hideMark/>
          </w:tcPr>
          <w:p w14:paraId="506812D8" w14:textId="77777777" w:rsidR="00EC7566" w:rsidRPr="00931FAA" w:rsidRDefault="00EC7566" w:rsidP="00F057AA">
            <w:pPr>
              <w:spacing w:after="0" w:line="240" w:lineRule="auto"/>
              <w:jc w:val="right"/>
              <w:rPr>
                <w:rFonts w:eastAsia="Times New Roman" w:cs="Times New Roman"/>
                <w:color w:val="000000"/>
                <w:sz w:val="18"/>
                <w:szCs w:val="18"/>
                <w:lang w:eastAsia="sk-SK"/>
              </w:rPr>
            </w:pPr>
            <w:r w:rsidRPr="00931FAA">
              <w:rPr>
                <w:rFonts w:eastAsia="Times New Roman" w:cs="Times New Roman"/>
                <w:color w:val="000000"/>
                <w:sz w:val="18"/>
                <w:szCs w:val="18"/>
                <w:lang w:eastAsia="sk-SK"/>
              </w:rPr>
              <w:t>-6,4</w:t>
            </w:r>
          </w:p>
        </w:tc>
      </w:tr>
      <w:tr w:rsidR="00EC7566" w:rsidRPr="00931FAA" w14:paraId="19F78822" w14:textId="77777777" w:rsidTr="00E50B32">
        <w:trPr>
          <w:trHeight w:val="330"/>
        </w:trPr>
        <w:tc>
          <w:tcPr>
            <w:tcW w:w="1667" w:type="pct"/>
            <w:tcBorders>
              <w:top w:val="nil"/>
              <w:left w:val="nil"/>
              <w:bottom w:val="nil"/>
              <w:right w:val="nil"/>
            </w:tcBorders>
            <w:shd w:val="clear" w:color="000000" w:fill="FFFFFF"/>
            <w:vAlign w:val="center"/>
            <w:hideMark/>
          </w:tcPr>
          <w:p w14:paraId="198AB7B2" w14:textId="77777777" w:rsidR="00EC7566" w:rsidRPr="00931FAA" w:rsidRDefault="00EC7566" w:rsidP="00EC7566">
            <w:pPr>
              <w:spacing w:after="0" w:line="240" w:lineRule="auto"/>
              <w:jc w:val="left"/>
              <w:rPr>
                <w:rFonts w:eastAsia="Times New Roman" w:cs="Times New Roman"/>
                <w:b/>
                <w:color w:val="000000"/>
                <w:sz w:val="18"/>
                <w:szCs w:val="18"/>
                <w:lang w:eastAsia="sk-SK"/>
              </w:rPr>
            </w:pPr>
            <w:r w:rsidRPr="00931FAA">
              <w:rPr>
                <w:rFonts w:eastAsia="Times New Roman" w:cs="Times New Roman"/>
                <w:b/>
                <w:color w:val="000000"/>
                <w:sz w:val="18"/>
                <w:szCs w:val="18"/>
                <w:lang w:eastAsia="sk-SK"/>
              </w:rPr>
              <w:t>Odvody a</w:t>
            </w:r>
            <w:r w:rsidR="00F057AA" w:rsidRPr="00931FAA">
              <w:rPr>
                <w:rFonts w:eastAsia="Times New Roman" w:cs="Times New Roman"/>
                <w:b/>
                <w:color w:val="000000"/>
                <w:sz w:val="18"/>
                <w:szCs w:val="18"/>
                <w:lang w:eastAsia="sk-SK"/>
              </w:rPr>
              <w:t> </w:t>
            </w:r>
            <w:r w:rsidRPr="00931FAA">
              <w:rPr>
                <w:rFonts w:eastAsia="Times New Roman" w:cs="Times New Roman"/>
                <w:b/>
                <w:color w:val="000000"/>
                <w:sz w:val="18"/>
                <w:szCs w:val="18"/>
                <w:lang w:eastAsia="sk-SK"/>
              </w:rPr>
              <w:t>príspevky SR spolu</w:t>
            </w:r>
          </w:p>
        </w:tc>
        <w:tc>
          <w:tcPr>
            <w:tcW w:w="635" w:type="pct"/>
            <w:tcBorders>
              <w:top w:val="nil"/>
              <w:left w:val="nil"/>
              <w:bottom w:val="nil"/>
              <w:right w:val="nil"/>
            </w:tcBorders>
            <w:shd w:val="clear" w:color="000000" w:fill="FFFFFF"/>
            <w:noWrap/>
            <w:vAlign w:val="center"/>
            <w:hideMark/>
          </w:tcPr>
          <w:p w14:paraId="79B5EFD1" w14:textId="77777777" w:rsidR="00EC7566" w:rsidRPr="00931FAA" w:rsidRDefault="00EC7566" w:rsidP="00F057AA">
            <w:pPr>
              <w:spacing w:after="0" w:line="240" w:lineRule="auto"/>
              <w:jc w:val="right"/>
              <w:rPr>
                <w:rFonts w:eastAsia="Times New Roman" w:cs="Times New Roman"/>
                <w:b/>
                <w:color w:val="000000"/>
                <w:sz w:val="18"/>
                <w:szCs w:val="18"/>
                <w:lang w:eastAsia="sk-SK"/>
              </w:rPr>
            </w:pPr>
            <w:r w:rsidRPr="00931FAA">
              <w:rPr>
                <w:rFonts w:eastAsia="Times New Roman" w:cs="Times New Roman"/>
                <w:b/>
                <w:color w:val="000000"/>
                <w:sz w:val="18"/>
                <w:szCs w:val="18"/>
                <w:lang w:eastAsia="sk-SK"/>
              </w:rPr>
              <w:t>739 903</w:t>
            </w:r>
          </w:p>
        </w:tc>
        <w:tc>
          <w:tcPr>
            <w:tcW w:w="539" w:type="pct"/>
            <w:tcBorders>
              <w:top w:val="nil"/>
              <w:left w:val="nil"/>
              <w:bottom w:val="nil"/>
              <w:right w:val="nil"/>
            </w:tcBorders>
            <w:shd w:val="clear" w:color="000000" w:fill="FFFFFF"/>
            <w:noWrap/>
            <w:vAlign w:val="center"/>
            <w:hideMark/>
          </w:tcPr>
          <w:p w14:paraId="53BE220E" w14:textId="77777777" w:rsidR="00EC7566" w:rsidRPr="00931FAA" w:rsidRDefault="00EC7566" w:rsidP="00F057AA">
            <w:pPr>
              <w:spacing w:after="0" w:line="240" w:lineRule="auto"/>
              <w:jc w:val="right"/>
              <w:rPr>
                <w:rFonts w:eastAsia="Times New Roman" w:cs="Times New Roman"/>
                <w:b/>
                <w:color w:val="000000"/>
                <w:sz w:val="18"/>
                <w:szCs w:val="18"/>
                <w:lang w:eastAsia="sk-SK"/>
              </w:rPr>
            </w:pPr>
            <w:r w:rsidRPr="00931FAA">
              <w:rPr>
                <w:rFonts w:eastAsia="Times New Roman" w:cs="Times New Roman"/>
                <w:b/>
                <w:color w:val="000000"/>
                <w:sz w:val="18"/>
                <w:szCs w:val="18"/>
                <w:lang w:eastAsia="sk-SK"/>
              </w:rPr>
              <w:t>738 045</w:t>
            </w:r>
          </w:p>
        </w:tc>
        <w:tc>
          <w:tcPr>
            <w:tcW w:w="596" w:type="pct"/>
            <w:tcBorders>
              <w:top w:val="nil"/>
              <w:left w:val="nil"/>
              <w:bottom w:val="nil"/>
              <w:right w:val="nil"/>
            </w:tcBorders>
            <w:shd w:val="clear" w:color="000000" w:fill="FFFFFF"/>
            <w:noWrap/>
            <w:vAlign w:val="center"/>
            <w:hideMark/>
          </w:tcPr>
          <w:p w14:paraId="402D5A1D" w14:textId="77777777" w:rsidR="00EC7566" w:rsidRPr="00931FAA" w:rsidRDefault="00EC7566" w:rsidP="00F057AA">
            <w:pPr>
              <w:spacing w:after="0" w:line="240" w:lineRule="auto"/>
              <w:jc w:val="right"/>
              <w:rPr>
                <w:rFonts w:eastAsia="Times New Roman" w:cs="Times New Roman"/>
                <w:b/>
                <w:color w:val="000000"/>
                <w:sz w:val="18"/>
                <w:szCs w:val="18"/>
                <w:lang w:eastAsia="sk-SK"/>
              </w:rPr>
            </w:pPr>
            <w:r w:rsidRPr="00931FAA">
              <w:rPr>
                <w:rFonts w:eastAsia="Times New Roman" w:cs="Times New Roman"/>
                <w:b/>
                <w:color w:val="000000"/>
                <w:sz w:val="18"/>
                <w:szCs w:val="18"/>
                <w:lang w:eastAsia="sk-SK"/>
              </w:rPr>
              <w:t>891 063</w:t>
            </w:r>
          </w:p>
        </w:tc>
        <w:tc>
          <w:tcPr>
            <w:tcW w:w="610" w:type="pct"/>
            <w:tcBorders>
              <w:top w:val="nil"/>
              <w:left w:val="nil"/>
              <w:bottom w:val="nil"/>
              <w:right w:val="nil"/>
            </w:tcBorders>
            <w:shd w:val="clear" w:color="auto" w:fill="BFBFBF" w:themeFill="background1" w:themeFillShade="BF"/>
            <w:noWrap/>
            <w:vAlign w:val="center"/>
            <w:hideMark/>
          </w:tcPr>
          <w:p w14:paraId="26E6DB03" w14:textId="77777777" w:rsidR="00EC7566" w:rsidRPr="00931FAA" w:rsidRDefault="00EC7566" w:rsidP="00F057AA">
            <w:pPr>
              <w:spacing w:after="0" w:line="240" w:lineRule="auto"/>
              <w:jc w:val="right"/>
              <w:rPr>
                <w:rFonts w:eastAsia="Times New Roman" w:cs="Times New Roman"/>
                <w:b/>
                <w:color w:val="000000"/>
                <w:sz w:val="18"/>
                <w:szCs w:val="18"/>
                <w:lang w:eastAsia="sk-SK"/>
              </w:rPr>
            </w:pPr>
            <w:r w:rsidRPr="00931FAA">
              <w:rPr>
                <w:rFonts w:eastAsia="Times New Roman" w:cs="Times New Roman"/>
                <w:b/>
                <w:color w:val="000000"/>
                <w:sz w:val="18"/>
                <w:szCs w:val="18"/>
                <w:lang w:eastAsia="sk-SK"/>
              </w:rPr>
              <w:t>841 321</w:t>
            </w:r>
          </w:p>
        </w:tc>
        <w:tc>
          <w:tcPr>
            <w:tcW w:w="557" w:type="pct"/>
            <w:tcBorders>
              <w:top w:val="nil"/>
              <w:left w:val="nil"/>
              <w:bottom w:val="nil"/>
              <w:right w:val="nil"/>
            </w:tcBorders>
            <w:shd w:val="clear" w:color="000000" w:fill="FFFFFF"/>
            <w:vAlign w:val="center"/>
            <w:hideMark/>
          </w:tcPr>
          <w:p w14:paraId="016CB8B7" w14:textId="77777777" w:rsidR="00EC7566" w:rsidRPr="00931FAA" w:rsidRDefault="00EC7566" w:rsidP="00F057AA">
            <w:pPr>
              <w:spacing w:after="0" w:line="240" w:lineRule="auto"/>
              <w:jc w:val="right"/>
              <w:rPr>
                <w:rFonts w:eastAsia="Times New Roman" w:cs="Times New Roman"/>
                <w:b/>
                <w:color w:val="000000"/>
                <w:sz w:val="18"/>
                <w:szCs w:val="18"/>
                <w:lang w:eastAsia="sk-SK"/>
              </w:rPr>
            </w:pPr>
            <w:r w:rsidRPr="00931FAA">
              <w:rPr>
                <w:rFonts w:eastAsia="Times New Roman" w:cs="Times New Roman"/>
                <w:b/>
                <w:color w:val="000000"/>
                <w:sz w:val="18"/>
                <w:szCs w:val="18"/>
                <w:lang w:eastAsia="sk-SK"/>
              </w:rPr>
              <w:t>-49 742</w:t>
            </w:r>
          </w:p>
        </w:tc>
        <w:tc>
          <w:tcPr>
            <w:tcW w:w="396" w:type="pct"/>
            <w:tcBorders>
              <w:top w:val="nil"/>
              <w:left w:val="nil"/>
              <w:bottom w:val="nil"/>
              <w:right w:val="nil"/>
            </w:tcBorders>
            <w:shd w:val="clear" w:color="000000" w:fill="FFFFFF"/>
            <w:vAlign w:val="center"/>
            <w:hideMark/>
          </w:tcPr>
          <w:p w14:paraId="42F707EB" w14:textId="77777777" w:rsidR="00EC7566" w:rsidRPr="00931FAA" w:rsidRDefault="00EC7566" w:rsidP="00F057AA">
            <w:pPr>
              <w:spacing w:after="0" w:line="240" w:lineRule="auto"/>
              <w:jc w:val="right"/>
              <w:rPr>
                <w:rFonts w:eastAsia="Times New Roman" w:cs="Times New Roman"/>
                <w:b/>
                <w:color w:val="000000"/>
                <w:sz w:val="18"/>
                <w:szCs w:val="18"/>
                <w:lang w:eastAsia="sk-SK"/>
              </w:rPr>
            </w:pPr>
            <w:r w:rsidRPr="00931FAA">
              <w:rPr>
                <w:rFonts w:eastAsia="Times New Roman" w:cs="Times New Roman"/>
                <w:b/>
                <w:color w:val="000000"/>
                <w:sz w:val="18"/>
                <w:szCs w:val="18"/>
                <w:lang w:eastAsia="sk-SK"/>
              </w:rPr>
              <w:t>-5,6</w:t>
            </w:r>
          </w:p>
        </w:tc>
      </w:tr>
      <w:tr w:rsidR="00EC7566" w:rsidRPr="00931FAA" w14:paraId="627559E0" w14:textId="77777777" w:rsidTr="00E50B32">
        <w:trPr>
          <w:trHeight w:val="330"/>
        </w:trPr>
        <w:tc>
          <w:tcPr>
            <w:tcW w:w="1667" w:type="pct"/>
            <w:tcBorders>
              <w:top w:val="nil"/>
              <w:left w:val="nil"/>
              <w:bottom w:val="nil"/>
              <w:right w:val="nil"/>
            </w:tcBorders>
            <w:shd w:val="clear" w:color="000000" w:fill="FFFFFF"/>
            <w:vAlign w:val="center"/>
            <w:hideMark/>
          </w:tcPr>
          <w:p w14:paraId="482E436A" w14:textId="77777777" w:rsidR="00EC7566" w:rsidRPr="00931FAA" w:rsidRDefault="00EC7566" w:rsidP="00EC7566">
            <w:pPr>
              <w:spacing w:after="0" w:line="240" w:lineRule="auto"/>
              <w:jc w:val="left"/>
              <w:rPr>
                <w:rFonts w:eastAsia="Times New Roman" w:cs="Times New Roman"/>
                <w:color w:val="000000"/>
                <w:sz w:val="18"/>
                <w:szCs w:val="18"/>
                <w:lang w:eastAsia="sk-SK"/>
              </w:rPr>
            </w:pPr>
            <w:r w:rsidRPr="00931FAA">
              <w:rPr>
                <w:rFonts w:eastAsia="Times New Roman" w:cs="Times New Roman"/>
                <w:color w:val="000000"/>
                <w:sz w:val="18"/>
                <w:szCs w:val="18"/>
                <w:lang w:eastAsia="sk-SK"/>
              </w:rPr>
              <w:t>Zahraničné transfery</w:t>
            </w:r>
          </w:p>
        </w:tc>
        <w:tc>
          <w:tcPr>
            <w:tcW w:w="635" w:type="pct"/>
            <w:tcBorders>
              <w:top w:val="nil"/>
              <w:left w:val="nil"/>
              <w:bottom w:val="nil"/>
              <w:right w:val="nil"/>
            </w:tcBorders>
            <w:shd w:val="clear" w:color="000000" w:fill="FFFFFF"/>
            <w:noWrap/>
            <w:vAlign w:val="center"/>
            <w:hideMark/>
          </w:tcPr>
          <w:p w14:paraId="31DD02CA" w14:textId="77777777" w:rsidR="00EC7566" w:rsidRPr="00931FAA" w:rsidRDefault="00EC7566" w:rsidP="00F057AA">
            <w:pPr>
              <w:spacing w:after="0" w:line="240" w:lineRule="auto"/>
              <w:jc w:val="right"/>
              <w:rPr>
                <w:rFonts w:eastAsia="Times New Roman" w:cs="Times New Roman"/>
                <w:color w:val="000000"/>
                <w:sz w:val="18"/>
                <w:szCs w:val="18"/>
                <w:lang w:eastAsia="sk-SK"/>
              </w:rPr>
            </w:pPr>
            <w:r w:rsidRPr="00931FAA">
              <w:rPr>
                <w:rFonts w:eastAsia="Times New Roman" w:cs="Times New Roman"/>
                <w:color w:val="000000"/>
                <w:sz w:val="18"/>
                <w:szCs w:val="18"/>
                <w:lang w:eastAsia="sk-SK"/>
              </w:rPr>
              <w:t>1 939 785</w:t>
            </w:r>
          </w:p>
        </w:tc>
        <w:tc>
          <w:tcPr>
            <w:tcW w:w="539" w:type="pct"/>
            <w:tcBorders>
              <w:top w:val="nil"/>
              <w:left w:val="nil"/>
              <w:bottom w:val="nil"/>
              <w:right w:val="nil"/>
            </w:tcBorders>
            <w:shd w:val="clear" w:color="000000" w:fill="FFFFFF"/>
            <w:noWrap/>
            <w:vAlign w:val="center"/>
            <w:hideMark/>
          </w:tcPr>
          <w:p w14:paraId="06C0CB97" w14:textId="77777777" w:rsidR="00EC7566" w:rsidRPr="00931FAA" w:rsidRDefault="00EC7566" w:rsidP="00F057AA">
            <w:pPr>
              <w:spacing w:after="0" w:line="240" w:lineRule="auto"/>
              <w:jc w:val="right"/>
              <w:rPr>
                <w:rFonts w:eastAsia="Times New Roman" w:cs="Times New Roman"/>
                <w:color w:val="000000"/>
                <w:sz w:val="18"/>
                <w:szCs w:val="18"/>
                <w:lang w:eastAsia="sk-SK"/>
              </w:rPr>
            </w:pPr>
            <w:r w:rsidRPr="00931FAA">
              <w:rPr>
                <w:rFonts w:eastAsia="Times New Roman" w:cs="Times New Roman"/>
                <w:color w:val="000000"/>
                <w:sz w:val="18"/>
                <w:szCs w:val="18"/>
                <w:lang w:eastAsia="sk-SK"/>
              </w:rPr>
              <w:t>1 422 488</w:t>
            </w:r>
          </w:p>
        </w:tc>
        <w:tc>
          <w:tcPr>
            <w:tcW w:w="596" w:type="pct"/>
            <w:tcBorders>
              <w:top w:val="nil"/>
              <w:left w:val="nil"/>
              <w:bottom w:val="nil"/>
              <w:right w:val="nil"/>
            </w:tcBorders>
            <w:shd w:val="clear" w:color="000000" w:fill="FFFFFF"/>
            <w:noWrap/>
            <w:vAlign w:val="center"/>
            <w:hideMark/>
          </w:tcPr>
          <w:p w14:paraId="2D4F08EB" w14:textId="77777777" w:rsidR="00EC7566" w:rsidRPr="00931FAA" w:rsidRDefault="00EC7566" w:rsidP="00F057AA">
            <w:pPr>
              <w:spacing w:after="0" w:line="240" w:lineRule="auto"/>
              <w:jc w:val="right"/>
              <w:rPr>
                <w:rFonts w:eastAsia="Times New Roman" w:cs="Times New Roman"/>
                <w:color w:val="000000"/>
                <w:sz w:val="18"/>
                <w:szCs w:val="18"/>
                <w:lang w:eastAsia="sk-SK"/>
              </w:rPr>
            </w:pPr>
            <w:r w:rsidRPr="00931FAA">
              <w:rPr>
                <w:rFonts w:eastAsia="Times New Roman" w:cs="Times New Roman"/>
                <w:color w:val="000000"/>
                <w:sz w:val="18"/>
                <w:szCs w:val="18"/>
                <w:lang w:eastAsia="sk-SK"/>
              </w:rPr>
              <w:t>1 378 419</w:t>
            </w:r>
          </w:p>
        </w:tc>
        <w:tc>
          <w:tcPr>
            <w:tcW w:w="610" w:type="pct"/>
            <w:tcBorders>
              <w:top w:val="nil"/>
              <w:left w:val="nil"/>
              <w:bottom w:val="nil"/>
              <w:right w:val="nil"/>
            </w:tcBorders>
            <w:shd w:val="clear" w:color="auto" w:fill="BFBFBF" w:themeFill="background1" w:themeFillShade="BF"/>
            <w:noWrap/>
            <w:vAlign w:val="center"/>
            <w:hideMark/>
          </w:tcPr>
          <w:p w14:paraId="4C15E787" w14:textId="77777777" w:rsidR="00EC7566" w:rsidRPr="00931FAA" w:rsidRDefault="00EC7566" w:rsidP="00F057AA">
            <w:pPr>
              <w:spacing w:after="0" w:line="240" w:lineRule="auto"/>
              <w:jc w:val="right"/>
              <w:rPr>
                <w:rFonts w:eastAsia="Times New Roman" w:cs="Times New Roman"/>
                <w:color w:val="000000"/>
                <w:sz w:val="18"/>
                <w:szCs w:val="18"/>
                <w:lang w:eastAsia="sk-SK"/>
              </w:rPr>
            </w:pPr>
            <w:r w:rsidRPr="00931FAA">
              <w:rPr>
                <w:rFonts w:eastAsia="Times New Roman" w:cs="Times New Roman"/>
                <w:color w:val="000000"/>
                <w:sz w:val="18"/>
                <w:szCs w:val="18"/>
                <w:lang w:eastAsia="sk-SK"/>
              </w:rPr>
              <w:t>2 169 725</w:t>
            </w:r>
          </w:p>
        </w:tc>
        <w:tc>
          <w:tcPr>
            <w:tcW w:w="557" w:type="pct"/>
            <w:tcBorders>
              <w:top w:val="nil"/>
              <w:left w:val="nil"/>
              <w:bottom w:val="nil"/>
              <w:right w:val="nil"/>
            </w:tcBorders>
            <w:shd w:val="clear" w:color="000000" w:fill="FFFFFF"/>
            <w:vAlign w:val="center"/>
            <w:hideMark/>
          </w:tcPr>
          <w:p w14:paraId="7F5FFCCE" w14:textId="77777777" w:rsidR="00EC7566" w:rsidRPr="00931FAA" w:rsidRDefault="00EC7566" w:rsidP="00F057AA">
            <w:pPr>
              <w:spacing w:after="0" w:line="240" w:lineRule="auto"/>
              <w:jc w:val="right"/>
              <w:rPr>
                <w:rFonts w:eastAsia="Times New Roman" w:cs="Times New Roman"/>
                <w:color w:val="000000"/>
                <w:sz w:val="18"/>
                <w:szCs w:val="18"/>
                <w:lang w:eastAsia="sk-SK"/>
              </w:rPr>
            </w:pPr>
            <w:r w:rsidRPr="00931FAA">
              <w:rPr>
                <w:rFonts w:eastAsia="Times New Roman" w:cs="Times New Roman"/>
                <w:color w:val="000000"/>
                <w:sz w:val="18"/>
                <w:szCs w:val="18"/>
                <w:lang w:eastAsia="sk-SK"/>
              </w:rPr>
              <w:t>791 306</w:t>
            </w:r>
          </w:p>
        </w:tc>
        <w:tc>
          <w:tcPr>
            <w:tcW w:w="396" w:type="pct"/>
            <w:tcBorders>
              <w:top w:val="nil"/>
              <w:left w:val="nil"/>
              <w:bottom w:val="nil"/>
              <w:right w:val="nil"/>
            </w:tcBorders>
            <w:shd w:val="clear" w:color="000000" w:fill="FFFFFF"/>
            <w:vAlign w:val="center"/>
            <w:hideMark/>
          </w:tcPr>
          <w:p w14:paraId="20727814" w14:textId="77777777" w:rsidR="00EC7566" w:rsidRPr="00931FAA" w:rsidRDefault="00EC7566" w:rsidP="00F057AA">
            <w:pPr>
              <w:spacing w:after="0" w:line="240" w:lineRule="auto"/>
              <w:jc w:val="right"/>
              <w:rPr>
                <w:rFonts w:eastAsia="Times New Roman" w:cs="Times New Roman"/>
                <w:color w:val="000000"/>
                <w:sz w:val="18"/>
                <w:szCs w:val="18"/>
                <w:lang w:eastAsia="sk-SK"/>
              </w:rPr>
            </w:pPr>
            <w:r w:rsidRPr="00931FAA">
              <w:rPr>
                <w:rFonts w:eastAsia="Times New Roman" w:cs="Times New Roman"/>
                <w:color w:val="000000"/>
                <w:sz w:val="18"/>
                <w:szCs w:val="18"/>
                <w:lang w:eastAsia="sk-SK"/>
              </w:rPr>
              <w:t>57,4</w:t>
            </w:r>
          </w:p>
        </w:tc>
      </w:tr>
      <w:tr w:rsidR="00EC7566" w:rsidRPr="00931FAA" w14:paraId="34F1CF8E" w14:textId="77777777" w:rsidTr="00E50B32">
        <w:trPr>
          <w:trHeight w:val="330"/>
        </w:trPr>
        <w:tc>
          <w:tcPr>
            <w:tcW w:w="1667" w:type="pct"/>
            <w:tcBorders>
              <w:top w:val="nil"/>
              <w:left w:val="nil"/>
              <w:bottom w:val="nil"/>
              <w:right w:val="nil"/>
            </w:tcBorders>
            <w:shd w:val="clear" w:color="000000" w:fill="FFFFFF"/>
            <w:vAlign w:val="center"/>
            <w:hideMark/>
          </w:tcPr>
          <w:p w14:paraId="4B05D292" w14:textId="77777777" w:rsidR="00EC7566" w:rsidRPr="00931FAA" w:rsidRDefault="00EC7566" w:rsidP="00EC7566">
            <w:pPr>
              <w:spacing w:after="0" w:line="240" w:lineRule="auto"/>
              <w:jc w:val="left"/>
              <w:rPr>
                <w:rFonts w:eastAsia="Times New Roman" w:cs="Times New Roman"/>
                <w:color w:val="000000"/>
                <w:sz w:val="18"/>
                <w:szCs w:val="18"/>
                <w:lang w:eastAsia="sk-SK"/>
              </w:rPr>
            </w:pPr>
            <w:r w:rsidRPr="00931FAA">
              <w:rPr>
                <w:rFonts w:eastAsia="Times New Roman" w:cs="Times New Roman"/>
                <w:color w:val="000000"/>
                <w:sz w:val="18"/>
                <w:szCs w:val="18"/>
                <w:lang w:eastAsia="sk-SK"/>
              </w:rPr>
              <w:t>Zahraničné granty z</w:t>
            </w:r>
            <w:r w:rsidR="00F057AA" w:rsidRPr="00931FAA">
              <w:rPr>
                <w:rFonts w:eastAsia="Times New Roman" w:cs="Times New Roman"/>
                <w:color w:val="000000"/>
                <w:sz w:val="18"/>
                <w:szCs w:val="18"/>
                <w:lang w:eastAsia="sk-SK"/>
              </w:rPr>
              <w:t> </w:t>
            </w:r>
            <w:r w:rsidRPr="00931FAA">
              <w:rPr>
                <w:rFonts w:eastAsia="Times New Roman" w:cs="Times New Roman"/>
                <w:color w:val="000000"/>
                <w:sz w:val="18"/>
                <w:szCs w:val="18"/>
                <w:lang w:eastAsia="sk-SK"/>
              </w:rPr>
              <w:t>rozpočtu EÚ</w:t>
            </w:r>
          </w:p>
        </w:tc>
        <w:tc>
          <w:tcPr>
            <w:tcW w:w="635" w:type="pct"/>
            <w:tcBorders>
              <w:top w:val="nil"/>
              <w:left w:val="nil"/>
              <w:bottom w:val="nil"/>
              <w:right w:val="nil"/>
            </w:tcBorders>
            <w:shd w:val="clear" w:color="000000" w:fill="FFFFFF"/>
            <w:noWrap/>
            <w:vAlign w:val="center"/>
            <w:hideMark/>
          </w:tcPr>
          <w:p w14:paraId="396C0FF8" w14:textId="77777777" w:rsidR="00EC7566" w:rsidRPr="00931FAA" w:rsidRDefault="00EC7566" w:rsidP="00F057AA">
            <w:pPr>
              <w:spacing w:after="0" w:line="240" w:lineRule="auto"/>
              <w:jc w:val="right"/>
              <w:rPr>
                <w:rFonts w:eastAsia="Times New Roman" w:cs="Times New Roman"/>
                <w:color w:val="000000"/>
                <w:sz w:val="18"/>
                <w:szCs w:val="18"/>
                <w:lang w:eastAsia="sk-SK"/>
              </w:rPr>
            </w:pPr>
            <w:r w:rsidRPr="00931FAA">
              <w:rPr>
                <w:rFonts w:eastAsia="Times New Roman" w:cs="Times New Roman"/>
                <w:color w:val="000000"/>
                <w:sz w:val="18"/>
                <w:szCs w:val="18"/>
                <w:lang w:eastAsia="sk-SK"/>
              </w:rPr>
              <w:t>7 696</w:t>
            </w:r>
          </w:p>
        </w:tc>
        <w:tc>
          <w:tcPr>
            <w:tcW w:w="539" w:type="pct"/>
            <w:tcBorders>
              <w:top w:val="nil"/>
              <w:left w:val="nil"/>
              <w:bottom w:val="nil"/>
              <w:right w:val="nil"/>
            </w:tcBorders>
            <w:shd w:val="clear" w:color="000000" w:fill="FFFFFF"/>
            <w:noWrap/>
            <w:vAlign w:val="center"/>
            <w:hideMark/>
          </w:tcPr>
          <w:p w14:paraId="01AD6A46" w14:textId="77777777" w:rsidR="00EC7566" w:rsidRPr="00931FAA" w:rsidRDefault="00EC7566" w:rsidP="00F057AA">
            <w:pPr>
              <w:spacing w:after="0" w:line="240" w:lineRule="auto"/>
              <w:jc w:val="right"/>
              <w:rPr>
                <w:rFonts w:eastAsia="Times New Roman" w:cs="Times New Roman"/>
                <w:color w:val="000000"/>
                <w:sz w:val="18"/>
                <w:szCs w:val="18"/>
                <w:lang w:eastAsia="sk-SK"/>
              </w:rPr>
            </w:pPr>
            <w:r w:rsidRPr="00931FAA">
              <w:rPr>
                <w:rFonts w:eastAsia="Times New Roman" w:cs="Times New Roman"/>
                <w:color w:val="000000"/>
                <w:sz w:val="18"/>
                <w:szCs w:val="18"/>
                <w:lang w:eastAsia="sk-SK"/>
              </w:rPr>
              <w:t>3 084</w:t>
            </w:r>
          </w:p>
        </w:tc>
        <w:tc>
          <w:tcPr>
            <w:tcW w:w="596" w:type="pct"/>
            <w:tcBorders>
              <w:top w:val="nil"/>
              <w:left w:val="nil"/>
              <w:bottom w:val="nil"/>
              <w:right w:val="nil"/>
            </w:tcBorders>
            <w:shd w:val="clear" w:color="000000" w:fill="FFFFFF"/>
            <w:noWrap/>
            <w:vAlign w:val="center"/>
            <w:hideMark/>
          </w:tcPr>
          <w:p w14:paraId="74D2B659" w14:textId="77777777" w:rsidR="00EC7566" w:rsidRPr="00931FAA" w:rsidRDefault="00EC7566" w:rsidP="00F057AA">
            <w:pPr>
              <w:spacing w:after="0" w:line="240" w:lineRule="auto"/>
              <w:jc w:val="right"/>
              <w:rPr>
                <w:rFonts w:eastAsia="Times New Roman" w:cs="Times New Roman"/>
                <w:color w:val="000000"/>
                <w:sz w:val="18"/>
                <w:szCs w:val="18"/>
                <w:lang w:eastAsia="sk-SK"/>
              </w:rPr>
            </w:pPr>
            <w:r w:rsidRPr="00931FAA">
              <w:rPr>
                <w:rFonts w:eastAsia="Times New Roman" w:cs="Times New Roman"/>
                <w:color w:val="000000"/>
                <w:sz w:val="18"/>
                <w:szCs w:val="18"/>
                <w:lang w:eastAsia="sk-SK"/>
              </w:rPr>
              <w:t>0</w:t>
            </w:r>
          </w:p>
        </w:tc>
        <w:tc>
          <w:tcPr>
            <w:tcW w:w="610" w:type="pct"/>
            <w:tcBorders>
              <w:top w:val="nil"/>
              <w:left w:val="nil"/>
              <w:bottom w:val="nil"/>
              <w:right w:val="nil"/>
            </w:tcBorders>
            <w:shd w:val="clear" w:color="auto" w:fill="BFBFBF" w:themeFill="background1" w:themeFillShade="BF"/>
            <w:noWrap/>
            <w:vAlign w:val="center"/>
            <w:hideMark/>
          </w:tcPr>
          <w:p w14:paraId="52AA7A01" w14:textId="77777777" w:rsidR="00EC7566" w:rsidRPr="00931FAA" w:rsidRDefault="00EC7566" w:rsidP="00F057AA">
            <w:pPr>
              <w:spacing w:after="0" w:line="240" w:lineRule="auto"/>
              <w:jc w:val="right"/>
              <w:rPr>
                <w:rFonts w:eastAsia="Times New Roman" w:cs="Times New Roman"/>
                <w:color w:val="000000"/>
                <w:sz w:val="18"/>
                <w:szCs w:val="18"/>
                <w:lang w:eastAsia="sk-SK"/>
              </w:rPr>
            </w:pPr>
            <w:r w:rsidRPr="00931FAA">
              <w:rPr>
                <w:rFonts w:eastAsia="Times New Roman" w:cs="Times New Roman"/>
                <w:color w:val="000000"/>
                <w:sz w:val="18"/>
                <w:szCs w:val="18"/>
                <w:lang w:eastAsia="sk-SK"/>
              </w:rPr>
              <w:t>7</w:t>
            </w:r>
          </w:p>
        </w:tc>
        <w:tc>
          <w:tcPr>
            <w:tcW w:w="557" w:type="pct"/>
            <w:tcBorders>
              <w:top w:val="nil"/>
              <w:left w:val="nil"/>
              <w:bottom w:val="nil"/>
              <w:right w:val="nil"/>
            </w:tcBorders>
            <w:shd w:val="clear" w:color="000000" w:fill="FFFFFF"/>
            <w:vAlign w:val="center"/>
            <w:hideMark/>
          </w:tcPr>
          <w:p w14:paraId="71176B13" w14:textId="77777777" w:rsidR="00EC7566" w:rsidRPr="00931FAA" w:rsidRDefault="00EC7566" w:rsidP="00F057AA">
            <w:pPr>
              <w:spacing w:after="0" w:line="240" w:lineRule="auto"/>
              <w:jc w:val="right"/>
              <w:rPr>
                <w:rFonts w:eastAsia="Times New Roman" w:cs="Times New Roman"/>
                <w:color w:val="000000"/>
                <w:sz w:val="18"/>
                <w:szCs w:val="18"/>
                <w:lang w:eastAsia="sk-SK"/>
              </w:rPr>
            </w:pPr>
            <w:r w:rsidRPr="00931FAA">
              <w:rPr>
                <w:rFonts w:eastAsia="Times New Roman" w:cs="Times New Roman"/>
                <w:color w:val="000000"/>
                <w:sz w:val="18"/>
                <w:szCs w:val="18"/>
                <w:lang w:eastAsia="sk-SK"/>
              </w:rPr>
              <w:t>7</w:t>
            </w:r>
          </w:p>
        </w:tc>
        <w:tc>
          <w:tcPr>
            <w:tcW w:w="396" w:type="pct"/>
            <w:tcBorders>
              <w:top w:val="nil"/>
              <w:left w:val="nil"/>
              <w:bottom w:val="nil"/>
              <w:right w:val="nil"/>
            </w:tcBorders>
            <w:shd w:val="clear" w:color="000000" w:fill="FFFFFF"/>
            <w:vAlign w:val="center"/>
            <w:hideMark/>
          </w:tcPr>
          <w:p w14:paraId="2A73BBA1" w14:textId="77777777" w:rsidR="00EC7566" w:rsidRPr="00931FAA" w:rsidRDefault="00EC7566" w:rsidP="00F057AA">
            <w:pPr>
              <w:spacing w:after="0" w:line="240" w:lineRule="auto"/>
              <w:jc w:val="right"/>
              <w:rPr>
                <w:rFonts w:eastAsia="Times New Roman" w:cs="Times New Roman"/>
                <w:color w:val="000000"/>
                <w:sz w:val="18"/>
                <w:szCs w:val="18"/>
                <w:lang w:eastAsia="sk-SK"/>
              </w:rPr>
            </w:pPr>
            <w:r w:rsidRPr="00931FAA">
              <w:rPr>
                <w:rFonts w:eastAsia="Times New Roman" w:cs="Times New Roman"/>
                <w:color w:val="000000"/>
                <w:sz w:val="18"/>
                <w:szCs w:val="18"/>
                <w:lang w:eastAsia="sk-SK"/>
              </w:rPr>
              <w:t>-</w:t>
            </w:r>
          </w:p>
        </w:tc>
      </w:tr>
      <w:tr w:rsidR="00EC7566" w:rsidRPr="00931FAA" w14:paraId="40F96B95" w14:textId="77777777" w:rsidTr="00DB720E">
        <w:trPr>
          <w:trHeight w:val="330"/>
        </w:trPr>
        <w:tc>
          <w:tcPr>
            <w:tcW w:w="1667" w:type="pct"/>
            <w:tcBorders>
              <w:top w:val="nil"/>
              <w:left w:val="nil"/>
              <w:bottom w:val="single" w:sz="4" w:space="0" w:color="auto"/>
              <w:right w:val="nil"/>
            </w:tcBorders>
            <w:shd w:val="clear" w:color="000000" w:fill="FFFFFF"/>
            <w:vAlign w:val="center"/>
            <w:hideMark/>
          </w:tcPr>
          <w:p w14:paraId="3BB439AD" w14:textId="77777777" w:rsidR="00EC7566" w:rsidRPr="00931FAA" w:rsidRDefault="00EC7566" w:rsidP="00EC7566">
            <w:pPr>
              <w:spacing w:after="0" w:line="240" w:lineRule="auto"/>
              <w:jc w:val="left"/>
              <w:rPr>
                <w:rFonts w:eastAsia="Times New Roman" w:cs="Times New Roman"/>
                <w:b/>
                <w:color w:val="000000"/>
                <w:sz w:val="18"/>
                <w:szCs w:val="18"/>
                <w:lang w:eastAsia="sk-SK"/>
              </w:rPr>
            </w:pPr>
            <w:r w:rsidRPr="00931FAA">
              <w:rPr>
                <w:rFonts w:eastAsia="Times New Roman" w:cs="Times New Roman"/>
                <w:b/>
                <w:color w:val="000000"/>
                <w:sz w:val="18"/>
                <w:szCs w:val="18"/>
                <w:lang w:eastAsia="sk-SK"/>
              </w:rPr>
              <w:t>Spolu príjmy z</w:t>
            </w:r>
            <w:r w:rsidR="00F057AA" w:rsidRPr="00931FAA">
              <w:rPr>
                <w:rFonts w:eastAsia="Times New Roman" w:cs="Times New Roman"/>
                <w:b/>
                <w:color w:val="000000"/>
                <w:sz w:val="18"/>
                <w:szCs w:val="18"/>
                <w:lang w:eastAsia="sk-SK"/>
              </w:rPr>
              <w:t> </w:t>
            </w:r>
            <w:r w:rsidRPr="00931FAA">
              <w:rPr>
                <w:rFonts w:eastAsia="Times New Roman" w:cs="Times New Roman"/>
                <w:b/>
                <w:color w:val="000000"/>
                <w:sz w:val="18"/>
                <w:szCs w:val="18"/>
                <w:lang w:eastAsia="sk-SK"/>
              </w:rPr>
              <w:t>rozpočtu EÚ</w:t>
            </w:r>
          </w:p>
        </w:tc>
        <w:tc>
          <w:tcPr>
            <w:tcW w:w="635" w:type="pct"/>
            <w:tcBorders>
              <w:top w:val="nil"/>
              <w:left w:val="nil"/>
              <w:bottom w:val="single" w:sz="4" w:space="0" w:color="auto"/>
              <w:right w:val="nil"/>
            </w:tcBorders>
            <w:shd w:val="clear" w:color="000000" w:fill="FFFFFF"/>
            <w:noWrap/>
            <w:vAlign w:val="center"/>
            <w:hideMark/>
          </w:tcPr>
          <w:p w14:paraId="0C157971" w14:textId="77777777" w:rsidR="00EC7566" w:rsidRPr="00931FAA" w:rsidRDefault="00EC7566" w:rsidP="00F057AA">
            <w:pPr>
              <w:spacing w:after="0" w:line="240" w:lineRule="auto"/>
              <w:jc w:val="right"/>
              <w:rPr>
                <w:rFonts w:eastAsia="Times New Roman" w:cs="Times New Roman"/>
                <w:b/>
                <w:color w:val="000000"/>
                <w:sz w:val="18"/>
                <w:szCs w:val="18"/>
                <w:lang w:eastAsia="sk-SK"/>
              </w:rPr>
            </w:pPr>
            <w:r w:rsidRPr="00931FAA">
              <w:rPr>
                <w:rFonts w:eastAsia="Times New Roman" w:cs="Times New Roman"/>
                <w:b/>
                <w:color w:val="000000"/>
                <w:sz w:val="18"/>
                <w:szCs w:val="18"/>
                <w:lang w:eastAsia="sk-SK"/>
              </w:rPr>
              <w:t>1 947 481</w:t>
            </w:r>
          </w:p>
        </w:tc>
        <w:tc>
          <w:tcPr>
            <w:tcW w:w="539" w:type="pct"/>
            <w:tcBorders>
              <w:top w:val="nil"/>
              <w:left w:val="nil"/>
              <w:bottom w:val="single" w:sz="4" w:space="0" w:color="auto"/>
              <w:right w:val="nil"/>
            </w:tcBorders>
            <w:shd w:val="clear" w:color="000000" w:fill="FFFFFF"/>
            <w:noWrap/>
            <w:vAlign w:val="center"/>
            <w:hideMark/>
          </w:tcPr>
          <w:p w14:paraId="2EE0A47E" w14:textId="77777777" w:rsidR="00EC7566" w:rsidRPr="00931FAA" w:rsidRDefault="00EC7566" w:rsidP="00F057AA">
            <w:pPr>
              <w:spacing w:after="0" w:line="240" w:lineRule="auto"/>
              <w:jc w:val="right"/>
              <w:rPr>
                <w:rFonts w:eastAsia="Times New Roman" w:cs="Times New Roman"/>
                <w:b/>
                <w:color w:val="000000"/>
                <w:sz w:val="18"/>
                <w:szCs w:val="18"/>
                <w:lang w:eastAsia="sk-SK"/>
              </w:rPr>
            </w:pPr>
            <w:r w:rsidRPr="00931FAA">
              <w:rPr>
                <w:rFonts w:eastAsia="Times New Roman" w:cs="Times New Roman"/>
                <w:b/>
                <w:color w:val="000000"/>
                <w:sz w:val="18"/>
                <w:szCs w:val="18"/>
                <w:lang w:eastAsia="sk-SK"/>
              </w:rPr>
              <w:t>1 425 572</w:t>
            </w:r>
          </w:p>
        </w:tc>
        <w:tc>
          <w:tcPr>
            <w:tcW w:w="596" w:type="pct"/>
            <w:tcBorders>
              <w:top w:val="nil"/>
              <w:left w:val="nil"/>
              <w:bottom w:val="single" w:sz="4" w:space="0" w:color="auto"/>
              <w:right w:val="nil"/>
            </w:tcBorders>
            <w:shd w:val="clear" w:color="000000" w:fill="FFFFFF"/>
            <w:noWrap/>
            <w:vAlign w:val="center"/>
            <w:hideMark/>
          </w:tcPr>
          <w:p w14:paraId="7B133157" w14:textId="77777777" w:rsidR="00EC7566" w:rsidRPr="00931FAA" w:rsidRDefault="00EC7566" w:rsidP="00F057AA">
            <w:pPr>
              <w:spacing w:after="0" w:line="240" w:lineRule="auto"/>
              <w:jc w:val="right"/>
              <w:rPr>
                <w:rFonts w:eastAsia="Times New Roman" w:cs="Times New Roman"/>
                <w:b/>
                <w:color w:val="000000"/>
                <w:sz w:val="18"/>
                <w:szCs w:val="18"/>
                <w:lang w:eastAsia="sk-SK"/>
              </w:rPr>
            </w:pPr>
            <w:r w:rsidRPr="00931FAA">
              <w:rPr>
                <w:rFonts w:eastAsia="Times New Roman" w:cs="Times New Roman"/>
                <w:b/>
                <w:color w:val="000000"/>
                <w:sz w:val="18"/>
                <w:szCs w:val="18"/>
                <w:lang w:eastAsia="sk-SK"/>
              </w:rPr>
              <w:t>1 378 419</w:t>
            </w:r>
          </w:p>
        </w:tc>
        <w:tc>
          <w:tcPr>
            <w:tcW w:w="610" w:type="pct"/>
            <w:tcBorders>
              <w:top w:val="nil"/>
              <w:left w:val="nil"/>
              <w:bottom w:val="single" w:sz="4" w:space="0" w:color="auto"/>
              <w:right w:val="nil"/>
            </w:tcBorders>
            <w:shd w:val="clear" w:color="auto" w:fill="BFBFBF" w:themeFill="background1" w:themeFillShade="BF"/>
            <w:noWrap/>
            <w:vAlign w:val="center"/>
            <w:hideMark/>
          </w:tcPr>
          <w:p w14:paraId="2A58BFF5" w14:textId="77777777" w:rsidR="00EC7566" w:rsidRPr="00931FAA" w:rsidRDefault="00EC7566" w:rsidP="00F057AA">
            <w:pPr>
              <w:spacing w:after="0" w:line="240" w:lineRule="auto"/>
              <w:jc w:val="right"/>
              <w:rPr>
                <w:rFonts w:eastAsia="Times New Roman" w:cs="Times New Roman"/>
                <w:b/>
                <w:color w:val="000000"/>
                <w:sz w:val="18"/>
                <w:szCs w:val="18"/>
                <w:lang w:eastAsia="sk-SK"/>
              </w:rPr>
            </w:pPr>
            <w:r w:rsidRPr="00931FAA">
              <w:rPr>
                <w:rFonts w:eastAsia="Times New Roman" w:cs="Times New Roman"/>
                <w:b/>
                <w:color w:val="000000"/>
                <w:sz w:val="18"/>
                <w:szCs w:val="18"/>
                <w:lang w:eastAsia="sk-SK"/>
              </w:rPr>
              <w:t>2 169 732</w:t>
            </w:r>
          </w:p>
        </w:tc>
        <w:tc>
          <w:tcPr>
            <w:tcW w:w="557" w:type="pct"/>
            <w:tcBorders>
              <w:top w:val="nil"/>
              <w:left w:val="nil"/>
              <w:bottom w:val="single" w:sz="4" w:space="0" w:color="auto"/>
              <w:right w:val="nil"/>
            </w:tcBorders>
            <w:shd w:val="clear" w:color="000000" w:fill="FFFFFF"/>
            <w:vAlign w:val="center"/>
            <w:hideMark/>
          </w:tcPr>
          <w:p w14:paraId="29C8DC78" w14:textId="77777777" w:rsidR="00EC7566" w:rsidRPr="00931FAA" w:rsidRDefault="00EC7566" w:rsidP="00F057AA">
            <w:pPr>
              <w:spacing w:after="0" w:line="240" w:lineRule="auto"/>
              <w:jc w:val="right"/>
              <w:rPr>
                <w:rFonts w:eastAsia="Times New Roman" w:cs="Times New Roman"/>
                <w:b/>
                <w:color w:val="000000"/>
                <w:sz w:val="18"/>
                <w:szCs w:val="18"/>
                <w:lang w:eastAsia="sk-SK"/>
              </w:rPr>
            </w:pPr>
            <w:r w:rsidRPr="00931FAA">
              <w:rPr>
                <w:rFonts w:eastAsia="Times New Roman" w:cs="Times New Roman"/>
                <w:b/>
                <w:color w:val="000000"/>
                <w:sz w:val="18"/>
                <w:szCs w:val="18"/>
                <w:lang w:eastAsia="sk-SK"/>
              </w:rPr>
              <w:t>791 313</w:t>
            </w:r>
          </w:p>
        </w:tc>
        <w:tc>
          <w:tcPr>
            <w:tcW w:w="396" w:type="pct"/>
            <w:tcBorders>
              <w:top w:val="nil"/>
              <w:left w:val="nil"/>
              <w:bottom w:val="single" w:sz="4" w:space="0" w:color="auto"/>
              <w:right w:val="nil"/>
            </w:tcBorders>
            <w:shd w:val="clear" w:color="000000" w:fill="FFFFFF"/>
            <w:vAlign w:val="center"/>
            <w:hideMark/>
          </w:tcPr>
          <w:p w14:paraId="19BE9F7E" w14:textId="77777777" w:rsidR="00EC7566" w:rsidRPr="00931FAA" w:rsidRDefault="00EC7566" w:rsidP="00F057AA">
            <w:pPr>
              <w:spacing w:after="0" w:line="240" w:lineRule="auto"/>
              <w:jc w:val="right"/>
              <w:rPr>
                <w:rFonts w:eastAsia="Times New Roman" w:cs="Times New Roman"/>
                <w:b/>
                <w:color w:val="000000"/>
                <w:sz w:val="18"/>
                <w:szCs w:val="18"/>
                <w:lang w:eastAsia="sk-SK"/>
              </w:rPr>
            </w:pPr>
            <w:r w:rsidRPr="00931FAA">
              <w:rPr>
                <w:rFonts w:eastAsia="Times New Roman" w:cs="Times New Roman"/>
                <w:b/>
                <w:color w:val="000000"/>
                <w:sz w:val="18"/>
                <w:szCs w:val="18"/>
                <w:lang w:eastAsia="sk-SK"/>
              </w:rPr>
              <w:t>57,4</w:t>
            </w:r>
          </w:p>
        </w:tc>
      </w:tr>
      <w:tr w:rsidR="00EC7566" w:rsidRPr="00931FAA" w14:paraId="2C7D2CB8" w14:textId="77777777" w:rsidTr="00DB720E">
        <w:trPr>
          <w:trHeight w:val="345"/>
        </w:trPr>
        <w:tc>
          <w:tcPr>
            <w:tcW w:w="1667" w:type="pct"/>
            <w:tcBorders>
              <w:top w:val="single" w:sz="4" w:space="0" w:color="auto"/>
              <w:left w:val="nil"/>
              <w:bottom w:val="single" w:sz="4" w:space="0" w:color="auto"/>
              <w:right w:val="nil"/>
            </w:tcBorders>
            <w:shd w:val="clear" w:color="000000" w:fill="FFFFFF"/>
            <w:vAlign w:val="center"/>
            <w:hideMark/>
          </w:tcPr>
          <w:p w14:paraId="3BA0FF8E" w14:textId="77777777" w:rsidR="00EC7566" w:rsidRPr="00931FAA" w:rsidRDefault="00EC7566" w:rsidP="00EC7566">
            <w:pPr>
              <w:spacing w:after="0" w:line="240" w:lineRule="auto"/>
              <w:jc w:val="left"/>
              <w:rPr>
                <w:rFonts w:eastAsia="Times New Roman" w:cs="Times New Roman"/>
                <w:b/>
                <w:color w:val="000000"/>
                <w:sz w:val="18"/>
                <w:szCs w:val="18"/>
                <w:lang w:eastAsia="sk-SK"/>
              </w:rPr>
            </w:pPr>
            <w:r w:rsidRPr="00931FAA">
              <w:rPr>
                <w:rFonts w:eastAsia="Times New Roman" w:cs="Times New Roman"/>
                <w:b/>
                <w:color w:val="000000"/>
                <w:sz w:val="18"/>
                <w:szCs w:val="18"/>
                <w:lang w:eastAsia="sk-SK"/>
              </w:rPr>
              <w:t>Čistá finančná pozícia</w:t>
            </w:r>
          </w:p>
        </w:tc>
        <w:tc>
          <w:tcPr>
            <w:tcW w:w="635" w:type="pct"/>
            <w:tcBorders>
              <w:top w:val="single" w:sz="4" w:space="0" w:color="auto"/>
              <w:left w:val="nil"/>
              <w:bottom w:val="single" w:sz="4" w:space="0" w:color="auto"/>
              <w:right w:val="nil"/>
            </w:tcBorders>
            <w:shd w:val="clear" w:color="000000" w:fill="FFFFFF"/>
            <w:noWrap/>
            <w:vAlign w:val="center"/>
            <w:hideMark/>
          </w:tcPr>
          <w:p w14:paraId="2A78CEEB" w14:textId="77777777" w:rsidR="00EC7566" w:rsidRPr="00931FAA" w:rsidRDefault="00EC7566" w:rsidP="00F057AA">
            <w:pPr>
              <w:spacing w:after="0" w:line="240" w:lineRule="auto"/>
              <w:jc w:val="right"/>
              <w:rPr>
                <w:rFonts w:eastAsia="Times New Roman" w:cs="Times New Roman"/>
                <w:b/>
                <w:color w:val="000000"/>
                <w:sz w:val="18"/>
                <w:szCs w:val="18"/>
                <w:lang w:eastAsia="sk-SK"/>
              </w:rPr>
            </w:pPr>
            <w:r w:rsidRPr="00931FAA">
              <w:rPr>
                <w:rFonts w:eastAsia="Times New Roman" w:cs="Times New Roman"/>
                <w:b/>
                <w:color w:val="000000"/>
                <w:sz w:val="18"/>
                <w:szCs w:val="18"/>
                <w:lang w:eastAsia="sk-SK"/>
              </w:rPr>
              <w:t>1 207 578</w:t>
            </w:r>
          </w:p>
        </w:tc>
        <w:tc>
          <w:tcPr>
            <w:tcW w:w="539" w:type="pct"/>
            <w:tcBorders>
              <w:top w:val="single" w:sz="4" w:space="0" w:color="auto"/>
              <w:left w:val="nil"/>
              <w:bottom w:val="single" w:sz="4" w:space="0" w:color="auto"/>
              <w:right w:val="nil"/>
            </w:tcBorders>
            <w:shd w:val="clear" w:color="000000" w:fill="FFFFFF"/>
            <w:noWrap/>
            <w:vAlign w:val="center"/>
            <w:hideMark/>
          </w:tcPr>
          <w:p w14:paraId="77A6C929" w14:textId="77777777" w:rsidR="00EC7566" w:rsidRPr="00931FAA" w:rsidRDefault="00EC7566" w:rsidP="00F057AA">
            <w:pPr>
              <w:spacing w:after="0" w:line="240" w:lineRule="auto"/>
              <w:jc w:val="right"/>
              <w:rPr>
                <w:rFonts w:eastAsia="Times New Roman" w:cs="Times New Roman"/>
                <w:b/>
                <w:color w:val="000000"/>
                <w:sz w:val="18"/>
                <w:szCs w:val="18"/>
                <w:lang w:eastAsia="sk-SK"/>
              </w:rPr>
            </w:pPr>
            <w:r w:rsidRPr="00931FAA">
              <w:rPr>
                <w:rFonts w:eastAsia="Times New Roman" w:cs="Times New Roman"/>
                <w:b/>
                <w:color w:val="000000"/>
                <w:sz w:val="18"/>
                <w:szCs w:val="18"/>
                <w:lang w:eastAsia="sk-SK"/>
              </w:rPr>
              <w:t>687 527</w:t>
            </w:r>
          </w:p>
        </w:tc>
        <w:tc>
          <w:tcPr>
            <w:tcW w:w="596" w:type="pct"/>
            <w:tcBorders>
              <w:top w:val="single" w:sz="4" w:space="0" w:color="auto"/>
              <w:left w:val="nil"/>
              <w:bottom w:val="single" w:sz="4" w:space="0" w:color="auto"/>
              <w:right w:val="nil"/>
            </w:tcBorders>
            <w:shd w:val="clear" w:color="000000" w:fill="FFFFFF"/>
            <w:noWrap/>
            <w:vAlign w:val="center"/>
            <w:hideMark/>
          </w:tcPr>
          <w:p w14:paraId="54802826" w14:textId="77777777" w:rsidR="00EC7566" w:rsidRPr="00931FAA" w:rsidRDefault="00EC7566" w:rsidP="00F057AA">
            <w:pPr>
              <w:spacing w:after="0" w:line="240" w:lineRule="auto"/>
              <w:jc w:val="right"/>
              <w:rPr>
                <w:rFonts w:eastAsia="Times New Roman" w:cs="Times New Roman"/>
                <w:b/>
                <w:color w:val="000000"/>
                <w:sz w:val="18"/>
                <w:szCs w:val="18"/>
                <w:lang w:eastAsia="sk-SK"/>
              </w:rPr>
            </w:pPr>
            <w:r w:rsidRPr="00931FAA">
              <w:rPr>
                <w:rFonts w:eastAsia="Times New Roman" w:cs="Times New Roman"/>
                <w:b/>
                <w:color w:val="000000"/>
                <w:sz w:val="18"/>
                <w:szCs w:val="18"/>
                <w:lang w:eastAsia="sk-SK"/>
              </w:rPr>
              <w:t>487 356</w:t>
            </w:r>
          </w:p>
        </w:tc>
        <w:tc>
          <w:tcPr>
            <w:tcW w:w="610" w:type="pct"/>
            <w:tcBorders>
              <w:top w:val="single" w:sz="4" w:space="0" w:color="auto"/>
              <w:left w:val="nil"/>
              <w:bottom w:val="single" w:sz="4" w:space="0" w:color="auto"/>
              <w:right w:val="nil"/>
            </w:tcBorders>
            <w:shd w:val="clear" w:color="auto" w:fill="BFBFBF" w:themeFill="background1" w:themeFillShade="BF"/>
            <w:noWrap/>
            <w:vAlign w:val="center"/>
            <w:hideMark/>
          </w:tcPr>
          <w:p w14:paraId="53911631" w14:textId="77777777" w:rsidR="00EC7566" w:rsidRPr="00931FAA" w:rsidRDefault="00EC7566" w:rsidP="00F057AA">
            <w:pPr>
              <w:spacing w:after="0" w:line="240" w:lineRule="auto"/>
              <w:jc w:val="right"/>
              <w:rPr>
                <w:rFonts w:eastAsia="Times New Roman" w:cs="Times New Roman"/>
                <w:b/>
                <w:color w:val="000000"/>
                <w:sz w:val="18"/>
                <w:szCs w:val="18"/>
                <w:lang w:eastAsia="sk-SK"/>
              </w:rPr>
            </w:pPr>
            <w:r w:rsidRPr="00931FAA">
              <w:rPr>
                <w:rFonts w:eastAsia="Times New Roman" w:cs="Times New Roman"/>
                <w:b/>
                <w:color w:val="000000"/>
                <w:sz w:val="18"/>
                <w:szCs w:val="18"/>
                <w:lang w:eastAsia="sk-SK"/>
              </w:rPr>
              <w:t>1 328 411</w:t>
            </w:r>
          </w:p>
        </w:tc>
        <w:tc>
          <w:tcPr>
            <w:tcW w:w="557" w:type="pct"/>
            <w:tcBorders>
              <w:top w:val="single" w:sz="4" w:space="0" w:color="auto"/>
              <w:left w:val="nil"/>
              <w:bottom w:val="single" w:sz="4" w:space="0" w:color="auto"/>
              <w:right w:val="nil"/>
            </w:tcBorders>
            <w:shd w:val="clear" w:color="000000" w:fill="FFFFFF"/>
            <w:noWrap/>
            <w:vAlign w:val="center"/>
            <w:hideMark/>
          </w:tcPr>
          <w:p w14:paraId="000D2E38" w14:textId="77777777" w:rsidR="00EC7566" w:rsidRPr="00931FAA" w:rsidRDefault="00EC7566" w:rsidP="00F057AA">
            <w:pPr>
              <w:spacing w:after="0" w:line="240" w:lineRule="auto"/>
              <w:jc w:val="right"/>
              <w:rPr>
                <w:rFonts w:eastAsia="Times New Roman" w:cs="Times New Roman"/>
                <w:b/>
                <w:color w:val="000000"/>
                <w:sz w:val="18"/>
                <w:szCs w:val="18"/>
                <w:lang w:eastAsia="sk-SK"/>
              </w:rPr>
            </w:pPr>
            <w:r w:rsidRPr="00931FAA">
              <w:rPr>
                <w:rFonts w:eastAsia="Times New Roman" w:cs="Times New Roman"/>
                <w:b/>
                <w:color w:val="000000"/>
                <w:sz w:val="18"/>
                <w:szCs w:val="18"/>
                <w:lang w:eastAsia="sk-SK"/>
              </w:rPr>
              <w:t>841 055</w:t>
            </w:r>
          </w:p>
        </w:tc>
        <w:tc>
          <w:tcPr>
            <w:tcW w:w="396" w:type="pct"/>
            <w:tcBorders>
              <w:top w:val="single" w:sz="4" w:space="0" w:color="auto"/>
              <w:left w:val="nil"/>
              <w:bottom w:val="single" w:sz="4" w:space="0" w:color="auto"/>
              <w:right w:val="nil"/>
            </w:tcBorders>
            <w:shd w:val="clear" w:color="000000" w:fill="FFFFFF"/>
            <w:noWrap/>
            <w:vAlign w:val="center"/>
            <w:hideMark/>
          </w:tcPr>
          <w:p w14:paraId="14B2DAB6" w14:textId="77777777" w:rsidR="00EC7566" w:rsidRPr="00931FAA" w:rsidRDefault="00EC7566" w:rsidP="00F057AA">
            <w:pPr>
              <w:spacing w:after="0" w:line="240" w:lineRule="auto"/>
              <w:jc w:val="right"/>
              <w:rPr>
                <w:rFonts w:eastAsia="Times New Roman" w:cs="Times New Roman"/>
                <w:b/>
                <w:color w:val="000000"/>
                <w:sz w:val="18"/>
                <w:szCs w:val="18"/>
                <w:lang w:eastAsia="sk-SK"/>
              </w:rPr>
            </w:pPr>
            <w:r w:rsidRPr="00931FAA">
              <w:rPr>
                <w:rFonts w:eastAsia="Times New Roman" w:cs="Times New Roman"/>
                <w:b/>
                <w:color w:val="000000"/>
                <w:sz w:val="18"/>
                <w:szCs w:val="18"/>
                <w:lang w:eastAsia="sk-SK"/>
              </w:rPr>
              <w:t>172,6</w:t>
            </w:r>
          </w:p>
        </w:tc>
      </w:tr>
    </w:tbl>
    <w:p w14:paraId="5929639B" w14:textId="77777777" w:rsidR="00EC7566" w:rsidRPr="00F057AA" w:rsidRDefault="00F057AA" w:rsidP="00F057AA">
      <w:pPr>
        <w:jc w:val="right"/>
        <w:rPr>
          <w:sz w:val="18"/>
          <w:szCs w:val="18"/>
        </w:rPr>
      </w:pPr>
      <w:r w:rsidRPr="00F057AA">
        <w:rPr>
          <w:sz w:val="18"/>
          <w:szCs w:val="18"/>
        </w:rPr>
        <w:t>Zdroj: MF SR</w:t>
      </w:r>
    </w:p>
    <w:p w14:paraId="23DF13FE" w14:textId="77777777" w:rsidR="00F057AA" w:rsidRPr="00844DDF" w:rsidRDefault="00F057AA" w:rsidP="00F057AA">
      <w:pPr>
        <w:rPr>
          <w:u w:val="single"/>
        </w:rPr>
      </w:pPr>
      <w:r w:rsidRPr="00844DDF">
        <w:rPr>
          <w:b/>
          <w:i/>
        </w:rPr>
        <w:t>Odvody za tradičné vlastné zdroje</w:t>
      </w:r>
      <w:r w:rsidRPr="00844DDF">
        <w:t xml:space="preserve"> (80 % z výberu cla a</w:t>
      </w:r>
      <w:r w:rsidR="00867CCC">
        <w:t xml:space="preserve"> </w:t>
      </w:r>
      <w:r w:rsidRPr="00844DDF">
        <w:t>odvodov a</w:t>
      </w:r>
      <w:r w:rsidR="00867CCC">
        <w:t xml:space="preserve"> </w:t>
      </w:r>
      <w:r w:rsidRPr="00844DDF">
        <w:t>poplatkov v sektore cukru) b</w:t>
      </w:r>
      <w:r>
        <w:t>oli rozpočtované v sume 105 300</w:t>
      </w:r>
      <w:r w:rsidRPr="00844DDF">
        <w:t xml:space="preserve"> tis. eur. V priebehu roka 2018 Slove</w:t>
      </w:r>
      <w:r>
        <w:t>nská republika odviedla 93 385 tis. eur.</w:t>
      </w:r>
    </w:p>
    <w:p w14:paraId="400EB337" w14:textId="77777777" w:rsidR="00F057AA" w:rsidRPr="00844DDF" w:rsidRDefault="00F057AA" w:rsidP="00F057AA">
      <w:r w:rsidRPr="00844DDF">
        <w:rPr>
          <w:b/>
          <w:i/>
        </w:rPr>
        <w:t>Ostatné odvody do rozpočtu EÚ</w:t>
      </w:r>
      <w:r w:rsidRPr="00844DDF">
        <w:rPr>
          <w:i/>
        </w:rPr>
        <w:t xml:space="preserve"> </w:t>
      </w:r>
      <w:r w:rsidRPr="00844DDF">
        <w:t>(zdroj založený na DPH, zdroj založený na HND, podiel SR na korekcii Veľkej Británie,</w:t>
      </w:r>
      <w:r w:rsidR="00867CCC">
        <w:t xml:space="preserve"> </w:t>
      </w:r>
      <w:r w:rsidRPr="00844DDF">
        <w:t xml:space="preserve">podiel SR na korekciách pre Dánsko, Holandsko a Švédsko) boli </w:t>
      </w:r>
      <w:r>
        <w:t>rozpočtované v sume 768 122</w:t>
      </w:r>
      <w:r w:rsidRPr="00844DDF">
        <w:t> tis. eur, v priebehu rok</w:t>
      </w:r>
      <w:r>
        <w:t>a boli znížené na sumu 731</w:t>
      </w:r>
      <w:r w:rsidR="00867CCC">
        <w:t> </w:t>
      </w:r>
      <w:r>
        <w:t>424</w:t>
      </w:r>
      <w:r w:rsidR="00867CCC">
        <w:t> </w:t>
      </w:r>
      <w:r w:rsidRPr="00844DDF">
        <w:t>tis. eur. Konečný odvod vlastných zdr</w:t>
      </w:r>
      <w:r>
        <w:t>ojov predstavoval sumu 731 424</w:t>
      </w:r>
      <w:r w:rsidRPr="00844DDF">
        <w:t> tis. eur.</w:t>
      </w:r>
    </w:p>
    <w:p w14:paraId="0EFE2AD0" w14:textId="77777777" w:rsidR="00F057AA" w:rsidRPr="00844DDF" w:rsidRDefault="00F057AA" w:rsidP="00F057AA">
      <w:r w:rsidRPr="00844DDF">
        <w:rPr>
          <w:b/>
          <w:i/>
        </w:rPr>
        <w:t>Príspevky Slovenskej republiky do Európskeho rozvojového fondu</w:t>
      </w:r>
      <w:r w:rsidRPr="00844DDF">
        <w:t xml:space="preserve"> boli rozpočtované v sume </w:t>
      </w:r>
      <w:r>
        <w:t>17 641</w:t>
      </w:r>
      <w:r w:rsidRPr="00844DDF">
        <w:t> tis. eur, pri</w:t>
      </w:r>
      <w:r>
        <w:t>čom realizácia dosiahla 16 511</w:t>
      </w:r>
      <w:r w:rsidRPr="00844DDF">
        <w:t> tis. eur. Skutočná výška príspevku SR závisí od absorpčnej kapacity rozvojovej pomoci EÚ v oprávnených štátoch Afriky, Karibiku a</w:t>
      </w:r>
      <w:r w:rsidR="00867CCC">
        <w:t xml:space="preserve"> </w:t>
      </w:r>
      <w:proofErr w:type="spellStart"/>
      <w:r w:rsidRPr="00844DDF">
        <w:t>Tichomoria</w:t>
      </w:r>
      <w:proofErr w:type="spellEnd"/>
      <w:r w:rsidRPr="00844DDF">
        <w:t>, zámorských štátov a</w:t>
      </w:r>
      <w:r w:rsidR="00867CCC">
        <w:t xml:space="preserve"> </w:t>
      </w:r>
      <w:r w:rsidRPr="00844DDF">
        <w:t xml:space="preserve">území. </w:t>
      </w:r>
    </w:p>
    <w:p w14:paraId="47BD1B45" w14:textId="77777777" w:rsidR="00F057AA" w:rsidRPr="00753E02" w:rsidRDefault="00F057AA" w:rsidP="00F057AA">
      <w:pPr>
        <w:rPr>
          <w:snapToGrid w:val="0"/>
        </w:rPr>
      </w:pPr>
      <w:r w:rsidRPr="00844DDF">
        <w:rPr>
          <w:snapToGrid w:val="0"/>
        </w:rPr>
        <w:t>Pre úplnosť je potrebné uviesť, že v roku 2018 odviedla Slovenská republika do všeobecného rozpočtu EÚ príspevok do nástroja pre ut</w:t>
      </w:r>
      <w:r>
        <w:rPr>
          <w:snapToGrid w:val="0"/>
        </w:rPr>
        <w:t>ečencov v Turecku v sume 2 322</w:t>
      </w:r>
      <w:r w:rsidRPr="00844DDF">
        <w:rPr>
          <w:snapToGrid w:val="0"/>
        </w:rPr>
        <w:t xml:space="preserve"> tis. eur </w:t>
      </w:r>
      <w:r w:rsidR="001311E9">
        <w:rPr>
          <w:snapToGrid w:val="0"/>
        </w:rPr>
        <w:t>(hradený z </w:t>
      </w:r>
      <w:r w:rsidRPr="00753E02">
        <w:rPr>
          <w:snapToGrid w:val="0"/>
        </w:rPr>
        <w:t>kapitoly Ministerstva zahraničných vecí a európskych záležitostí SR).</w:t>
      </w:r>
    </w:p>
    <w:p w14:paraId="78000624" w14:textId="6BCFFDA2" w:rsidR="00F057AA" w:rsidRPr="00753E02" w:rsidRDefault="00F057AA" w:rsidP="00605DD4">
      <w:r w:rsidRPr="00C04981">
        <w:t>Na základe realizovaných príjmov z rozpočtu EÚ v roku 2018 vo výške 2</w:t>
      </w:r>
      <w:r w:rsidR="00867CCC">
        <w:t> </w:t>
      </w:r>
      <w:r w:rsidRPr="00C04981">
        <w:t>169</w:t>
      </w:r>
      <w:r w:rsidR="00867CCC">
        <w:t> </w:t>
      </w:r>
      <w:r w:rsidRPr="00C04981">
        <w:t>732 tis. eur a odvodov a</w:t>
      </w:r>
      <w:r w:rsidR="00867CCC">
        <w:t xml:space="preserve"> </w:t>
      </w:r>
      <w:r w:rsidRPr="00C04981">
        <w:t>príspevkov do všeobecného rozpočtu EÚ vo výške 841</w:t>
      </w:r>
      <w:r w:rsidR="00867CCC">
        <w:t> </w:t>
      </w:r>
      <w:r w:rsidRPr="00C04981">
        <w:t>321</w:t>
      </w:r>
      <w:r w:rsidR="00867CCC">
        <w:t> </w:t>
      </w:r>
      <w:r w:rsidRPr="00C04981">
        <w:t>tis.</w:t>
      </w:r>
      <w:r w:rsidR="00867CCC">
        <w:t> </w:t>
      </w:r>
      <w:r w:rsidRPr="00C04981">
        <w:t xml:space="preserve">eur predstavuje </w:t>
      </w:r>
      <w:r w:rsidRPr="00C04981">
        <w:rPr>
          <w:b/>
        </w:rPr>
        <w:t>čistá finančná pozícia Slovenskej republiky voči rozpočtu EÚ za rok 2018 sumu 1 328 411 tis. eur</w:t>
      </w:r>
      <w:r w:rsidRPr="00C04981">
        <w:t xml:space="preserve">, čo predstavuje medziročný nárast o 640 884 tis. eur. </w:t>
      </w:r>
      <w:r w:rsidRPr="00753E02">
        <w:t xml:space="preserve">Prehľad o ročných príjmoch z rozpočtu EÚ a odvodoch a príspevkoch </w:t>
      </w:r>
      <w:r w:rsidR="00605DD4">
        <w:t>SR</w:t>
      </w:r>
      <w:r w:rsidRPr="00753E02">
        <w:t xml:space="preserve"> do všeobecného rozpočtu EÚ je uvedený v nasledovnej tabuľke:</w:t>
      </w:r>
    </w:p>
    <w:tbl>
      <w:tblPr>
        <w:tblW w:w="5001" w:type="pct"/>
        <w:tblCellMar>
          <w:left w:w="70" w:type="dxa"/>
          <w:right w:w="70" w:type="dxa"/>
        </w:tblCellMar>
        <w:tblLook w:val="04A0" w:firstRow="1" w:lastRow="0" w:firstColumn="1" w:lastColumn="0" w:noHBand="0" w:noVBand="1"/>
      </w:tblPr>
      <w:tblGrid>
        <w:gridCol w:w="3657"/>
        <w:gridCol w:w="1614"/>
        <w:gridCol w:w="1618"/>
        <w:gridCol w:w="1616"/>
      </w:tblGrid>
      <w:tr w:rsidR="001311E9" w:rsidRPr="001311E9" w14:paraId="63C3A356" w14:textId="77777777" w:rsidTr="00914618">
        <w:trPr>
          <w:trHeight w:val="417"/>
        </w:trPr>
        <w:tc>
          <w:tcPr>
            <w:tcW w:w="5000" w:type="pct"/>
            <w:gridSpan w:val="4"/>
            <w:tcBorders>
              <w:top w:val="nil"/>
              <w:left w:val="nil"/>
              <w:bottom w:val="nil"/>
              <w:right w:val="nil"/>
            </w:tcBorders>
            <w:shd w:val="clear" w:color="000000" w:fill="000000"/>
            <w:vAlign w:val="center"/>
            <w:hideMark/>
          </w:tcPr>
          <w:p w14:paraId="61E68686" w14:textId="72386894" w:rsidR="001311E9" w:rsidRPr="001311E9" w:rsidRDefault="001311E9" w:rsidP="0011636A">
            <w:pPr>
              <w:spacing w:after="0" w:line="240" w:lineRule="auto"/>
              <w:jc w:val="left"/>
              <w:rPr>
                <w:rFonts w:eastAsia="Times New Roman" w:cs="Times New Roman"/>
                <w:b/>
                <w:bCs/>
                <w:color w:val="FFFFFF"/>
                <w:sz w:val="18"/>
                <w:szCs w:val="18"/>
                <w:lang w:eastAsia="sk-SK"/>
              </w:rPr>
            </w:pPr>
            <w:r w:rsidRPr="001311E9">
              <w:rPr>
                <w:rFonts w:eastAsia="Times New Roman" w:cs="Times New Roman"/>
                <w:b/>
                <w:bCs/>
                <w:color w:val="FFFFFF"/>
                <w:sz w:val="18"/>
                <w:szCs w:val="18"/>
                <w:lang w:eastAsia="sk-SK"/>
              </w:rPr>
              <w:t>Prehľad o ročných príjmoch z rozpočtu EÚ a odvodoch a príspevkoch SR do všeob</w:t>
            </w:r>
            <w:r w:rsidR="0011636A">
              <w:rPr>
                <w:rFonts w:eastAsia="Times New Roman" w:cs="Times New Roman"/>
                <w:b/>
                <w:bCs/>
                <w:color w:val="FFFFFF"/>
                <w:sz w:val="18"/>
                <w:szCs w:val="18"/>
                <w:lang w:eastAsia="sk-SK"/>
              </w:rPr>
              <w:t>.</w:t>
            </w:r>
            <w:r w:rsidRPr="001311E9">
              <w:rPr>
                <w:rFonts w:eastAsia="Times New Roman" w:cs="Times New Roman"/>
                <w:b/>
                <w:bCs/>
                <w:color w:val="FFFFFF"/>
                <w:sz w:val="18"/>
                <w:szCs w:val="18"/>
                <w:lang w:eastAsia="sk-SK"/>
              </w:rPr>
              <w:t xml:space="preserve"> rozpočtu EÚ</w:t>
            </w:r>
            <w:r w:rsidR="0011636A">
              <w:rPr>
                <w:rFonts w:eastAsia="Times New Roman" w:cs="Times New Roman"/>
                <w:b/>
                <w:bCs/>
                <w:color w:val="FFFFFF"/>
                <w:sz w:val="18"/>
                <w:szCs w:val="18"/>
                <w:lang w:eastAsia="sk-SK"/>
              </w:rPr>
              <w:t xml:space="preserve"> </w:t>
            </w:r>
            <w:r w:rsidR="0011636A" w:rsidRPr="001311E9">
              <w:rPr>
                <w:rFonts w:eastAsia="Times New Roman" w:cs="Times New Roman"/>
                <w:b/>
                <w:bCs/>
                <w:color w:val="FFFFFF"/>
                <w:sz w:val="18"/>
                <w:szCs w:val="18"/>
                <w:lang w:eastAsia="sk-SK"/>
              </w:rPr>
              <w:t>v tis. eur</w:t>
            </w:r>
            <w:r>
              <w:rPr>
                <w:rFonts w:eastAsia="Times New Roman" w:cs="Times New Roman"/>
                <w:b/>
                <w:bCs/>
                <w:color w:val="FFFFFF"/>
                <w:sz w:val="18"/>
                <w:szCs w:val="18"/>
                <w:lang w:eastAsia="sk-SK"/>
              </w:rPr>
              <w:t xml:space="preserve">                                                                                 </w:t>
            </w:r>
          </w:p>
        </w:tc>
      </w:tr>
      <w:tr w:rsidR="001311E9" w:rsidRPr="001311E9" w14:paraId="4425509F" w14:textId="77777777" w:rsidTr="00914618">
        <w:trPr>
          <w:trHeight w:val="422"/>
        </w:trPr>
        <w:tc>
          <w:tcPr>
            <w:tcW w:w="2150" w:type="pct"/>
            <w:tcBorders>
              <w:top w:val="nil"/>
              <w:left w:val="nil"/>
              <w:bottom w:val="single" w:sz="8" w:space="0" w:color="auto"/>
              <w:right w:val="nil"/>
            </w:tcBorders>
            <w:shd w:val="clear" w:color="000000" w:fill="BFBFBF"/>
            <w:vAlign w:val="center"/>
            <w:hideMark/>
          </w:tcPr>
          <w:p w14:paraId="635E0038" w14:textId="77777777" w:rsidR="001311E9" w:rsidRPr="001311E9" w:rsidRDefault="001311E9" w:rsidP="00867CCC">
            <w:pPr>
              <w:rPr>
                <w:b/>
                <w:bCs/>
                <w:sz w:val="18"/>
                <w:szCs w:val="18"/>
              </w:rPr>
            </w:pPr>
            <w:r w:rsidRPr="001311E9">
              <w:rPr>
                <w:b/>
                <w:bCs/>
                <w:sz w:val="18"/>
                <w:szCs w:val="18"/>
              </w:rPr>
              <w:t>Rok</w:t>
            </w:r>
          </w:p>
        </w:tc>
        <w:tc>
          <w:tcPr>
            <w:tcW w:w="949" w:type="pct"/>
            <w:tcBorders>
              <w:top w:val="nil"/>
              <w:left w:val="nil"/>
              <w:bottom w:val="single" w:sz="8" w:space="0" w:color="auto"/>
              <w:right w:val="nil"/>
            </w:tcBorders>
            <w:shd w:val="clear" w:color="000000" w:fill="BFBFBF"/>
            <w:vAlign w:val="center"/>
            <w:hideMark/>
          </w:tcPr>
          <w:p w14:paraId="283B465A" w14:textId="77777777" w:rsidR="001311E9" w:rsidRPr="001311E9" w:rsidRDefault="001311E9" w:rsidP="00E50B32">
            <w:pPr>
              <w:jc w:val="center"/>
              <w:rPr>
                <w:b/>
                <w:bCs/>
                <w:sz w:val="18"/>
                <w:szCs w:val="18"/>
              </w:rPr>
            </w:pPr>
            <w:r w:rsidRPr="001311E9">
              <w:rPr>
                <w:b/>
                <w:bCs/>
                <w:sz w:val="18"/>
                <w:szCs w:val="18"/>
              </w:rPr>
              <w:t>Celkové príjmy</w:t>
            </w:r>
          </w:p>
        </w:tc>
        <w:tc>
          <w:tcPr>
            <w:tcW w:w="951" w:type="pct"/>
            <w:tcBorders>
              <w:top w:val="nil"/>
              <w:left w:val="nil"/>
              <w:bottom w:val="single" w:sz="8" w:space="0" w:color="auto"/>
              <w:right w:val="nil"/>
            </w:tcBorders>
            <w:shd w:val="clear" w:color="000000" w:fill="BFBFBF"/>
            <w:vAlign w:val="center"/>
            <w:hideMark/>
          </w:tcPr>
          <w:p w14:paraId="0506B4A7" w14:textId="77777777" w:rsidR="001311E9" w:rsidRPr="001311E9" w:rsidRDefault="001311E9" w:rsidP="00605DD4">
            <w:pPr>
              <w:spacing w:after="0"/>
              <w:jc w:val="center"/>
              <w:rPr>
                <w:b/>
                <w:bCs/>
                <w:sz w:val="18"/>
                <w:szCs w:val="18"/>
              </w:rPr>
            </w:pPr>
            <w:r w:rsidRPr="001311E9">
              <w:rPr>
                <w:b/>
                <w:bCs/>
                <w:sz w:val="18"/>
                <w:szCs w:val="18"/>
              </w:rPr>
              <w:t>Celkové odvody a príspevky</w:t>
            </w:r>
          </w:p>
        </w:tc>
        <w:tc>
          <w:tcPr>
            <w:tcW w:w="950" w:type="pct"/>
            <w:tcBorders>
              <w:top w:val="nil"/>
              <w:left w:val="nil"/>
              <w:bottom w:val="single" w:sz="8" w:space="0" w:color="auto"/>
              <w:right w:val="nil"/>
            </w:tcBorders>
            <w:shd w:val="clear" w:color="000000" w:fill="BFBFBF"/>
            <w:vAlign w:val="center"/>
            <w:hideMark/>
          </w:tcPr>
          <w:p w14:paraId="6D4D28DB" w14:textId="77777777" w:rsidR="001311E9" w:rsidRPr="001311E9" w:rsidRDefault="001311E9" w:rsidP="00605DD4">
            <w:pPr>
              <w:spacing w:after="0"/>
              <w:jc w:val="center"/>
              <w:rPr>
                <w:b/>
                <w:bCs/>
                <w:sz w:val="18"/>
                <w:szCs w:val="18"/>
              </w:rPr>
            </w:pPr>
            <w:r w:rsidRPr="001311E9">
              <w:rPr>
                <w:b/>
                <w:bCs/>
                <w:sz w:val="18"/>
                <w:szCs w:val="18"/>
              </w:rPr>
              <w:t>Čistá finančná pozícia</w:t>
            </w:r>
          </w:p>
        </w:tc>
      </w:tr>
      <w:tr w:rsidR="001311E9" w:rsidRPr="001311E9" w14:paraId="6D4A3750" w14:textId="77777777" w:rsidTr="00914618">
        <w:trPr>
          <w:trHeight w:val="330"/>
        </w:trPr>
        <w:tc>
          <w:tcPr>
            <w:tcW w:w="2150" w:type="pct"/>
            <w:tcBorders>
              <w:top w:val="nil"/>
              <w:left w:val="nil"/>
              <w:bottom w:val="nil"/>
              <w:right w:val="nil"/>
            </w:tcBorders>
            <w:shd w:val="clear" w:color="000000" w:fill="FFFFFF"/>
            <w:vAlign w:val="center"/>
            <w:hideMark/>
          </w:tcPr>
          <w:p w14:paraId="6692AF5D" w14:textId="77777777" w:rsidR="001311E9" w:rsidRPr="001311E9" w:rsidRDefault="001311E9" w:rsidP="001311E9">
            <w:pPr>
              <w:spacing w:after="0" w:line="240" w:lineRule="auto"/>
              <w:jc w:val="left"/>
              <w:rPr>
                <w:rFonts w:eastAsia="Times New Roman" w:cs="Times New Roman"/>
                <w:color w:val="000000"/>
                <w:sz w:val="20"/>
                <w:szCs w:val="20"/>
                <w:lang w:eastAsia="sk-SK"/>
              </w:rPr>
            </w:pPr>
            <w:r w:rsidRPr="001311E9">
              <w:rPr>
                <w:rFonts w:eastAsia="Times New Roman" w:cs="Times New Roman"/>
                <w:color w:val="000000"/>
                <w:sz w:val="20"/>
                <w:szCs w:val="20"/>
                <w:lang w:eastAsia="sk-SK"/>
              </w:rPr>
              <w:t>2004</w:t>
            </w:r>
          </w:p>
        </w:tc>
        <w:tc>
          <w:tcPr>
            <w:tcW w:w="949" w:type="pct"/>
            <w:tcBorders>
              <w:top w:val="nil"/>
              <w:left w:val="nil"/>
              <w:bottom w:val="nil"/>
              <w:right w:val="nil"/>
            </w:tcBorders>
            <w:shd w:val="clear" w:color="000000" w:fill="FFFFFF"/>
            <w:noWrap/>
            <w:vAlign w:val="center"/>
            <w:hideMark/>
          </w:tcPr>
          <w:p w14:paraId="245E6731"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303 990</w:t>
            </w:r>
          </w:p>
        </w:tc>
        <w:tc>
          <w:tcPr>
            <w:tcW w:w="951" w:type="pct"/>
            <w:tcBorders>
              <w:top w:val="nil"/>
              <w:left w:val="nil"/>
              <w:bottom w:val="nil"/>
              <w:right w:val="nil"/>
            </w:tcBorders>
            <w:shd w:val="clear" w:color="000000" w:fill="FFFFFF"/>
            <w:noWrap/>
            <w:vAlign w:val="center"/>
            <w:hideMark/>
          </w:tcPr>
          <w:p w14:paraId="54A98590"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290 689</w:t>
            </w:r>
          </w:p>
        </w:tc>
        <w:tc>
          <w:tcPr>
            <w:tcW w:w="950" w:type="pct"/>
            <w:tcBorders>
              <w:top w:val="nil"/>
              <w:left w:val="nil"/>
              <w:bottom w:val="nil"/>
              <w:right w:val="nil"/>
            </w:tcBorders>
            <w:shd w:val="clear" w:color="000000" w:fill="FFFFFF"/>
            <w:noWrap/>
            <w:vAlign w:val="center"/>
            <w:hideMark/>
          </w:tcPr>
          <w:p w14:paraId="0675B916"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13 301</w:t>
            </w:r>
          </w:p>
        </w:tc>
      </w:tr>
      <w:tr w:rsidR="001311E9" w:rsidRPr="001311E9" w14:paraId="6A54968A" w14:textId="77777777" w:rsidTr="00914618">
        <w:trPr>
          <w:trHeight w:val="330"/>
        </w:trPr>
        <w:tc>
          <w:tcPr>
            <w:tcW w:w="2150" w:type="pct"/>
            <w:tcBorders>
              <w:top w:val="nil"/>
              <w:left w:val="nil"/>
              <w:bottom w:val="nil"/>
              <w:right w:val="nil"/>
            </w:tcBorders>
            <w:shd w:val="clear" w:color="000000" w:fill="FFFFFF"/>
            <w:vAlign w:val="center"/>
            <w:hideMark/>
          </w:tcPr>
          <w:p w14:paraId="5338EC5A" w14:textId="77777777" w:rsidR="001311E9" w:rsidRPr="001311E9" w:rsidRDefault="001311E9" w:rsidP="001311E9">
            <w:pPr>
              <w:spacing w:after="0" w:line="240" w:lineRule="auto"/>
              <w:jc w:val="left"/>
              <w:rPr>
                <w:rFonts w:eastAsia="Times New Roman" w:cs="Times New Roman"/>
                <w:color w:val="000000"/>
                <w:sz w:val="20"/>
                <w:szCs w:val="20"/>
                <w:lang w:eastAsia="sk-SK"/>
              </w:rPr>
            </w:pPr>
            <w:r w:rsidRPr="001311E9">
              <w:rPr>
                <w:rFonts w:eastAsia="Times New Roman" w:cs="Times New Roman"/>
                <w:color w:val="000000"/>
                <w:sz w:val="20"/>
                <w:szCs w:val="20"/>
                <w:lang w:eastAsia="sk-SK"/>
              </w:rPr>
              <w:t>2005</w:t>
            </w:r>
          </w:p>
        </w:tc>
        <w:tc>
          <w:tcPr>
            <w:tcW w:w="949" w:type="pct"/>
            <w:tcBorders>
              <w:top w:val="nil"/>
              <w:left w:val="nil"/>
              <w:bottom w:val="nil"/>
              <w:right w:val="nil"/>
            </w:tcBorders>
            <w:shd w:val="clear" w:color="000000" w:fill="FFFFFF"/>
            <w:noWrap/>
            <w:vAlign w:val="center"/>
            <w:hideMark/>
          </w:tcPr>
          <w:p w14:paraId="49D00EF0"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704 993</w:t>
            </w:r>
          </w:p>
        </w:tc>
        <w:tc>
          <w:tcPr>
            <w:tcW w:w="951" w:type="pct"/>
            <w:tcBorders>
              <w:top w:val="nil"/>
              <w:left w:val="nil"/>
              <w:bottom w:val="nil"/>
              <w:right w:val="nil"/>
            </w:tcBorders>
            <w:shd w:val="clear" w:color="000000" w:fill="FFFFFF"/>
            <w:noWrap/>
            <w:vAlign w:val="center"/>
            <w:hideMark/>
          </w:tcPr>
          <w:p w14:paraId="4DD9E9A6"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485 614</w:t>
            </w:r>
          </w:p>
        </w:tc>
        <w:tc>
          <w:tcPr>
            <w:tcW w:w="950" w:type="pct"/>
            <w:tcBorders>
              <w:top w:val="nil"/>
              <w:left w:val="nil"/>
              <w:bottom w:val="nil"/>
              <w:right w:val="nil"/>
            </w:tcBorders>
            <w:shd w:val="clear" w:color="000000" w:fill="FFFFFF"/>
            <w:noWrap/>
            <w:vAlign w:val="center"/>
            <w:hideMark/>
          </w:tcPr>
          <w:p w14:paraId="3BE564B0"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219 379</w:t>
            </w:r>
          </w:p>
        </w:tc>
      </w:tr>
      <w:tr w:rsidR="001311E9" w:rsidRPr="001311E9" w14:paraId="60BFEE49" w14:textId="77777777" w:rsidTr="00914618">
        <w:trPr>
          <w:trHeight w:val="330"/>
        </w:trPr>
        <w:tc>
          <w:tcPr>
            <w:tcW w:w="2150" w:type="pct"/>
            <w:tcBorders>
              <w:top w:val="nil"/>
              <w:left w:val="nil"/>
              <w:bottom w:val="nil"/>
              <w:right w:val="nil"/>
            </w:tcBorders>
            <w:shd w:val="clear" w:color="000000" w:fill="FFFFFF"/>
            <w:vAlign w:val="center"/>
            <w:hideMark/>
          </w:tcPr>
          <w:p w14:paraId="4A202DD5" w14:textId="77777777" w:rsidR="001311E9" w:rsidRPr="001311E9" w:rsidRDefault="001311E9" w:rsidP="001311E9">
            <w:pPr>
              <w:spacing w:after="0" w:line="240" w:lineRule="auto"/>
              <w:jc w:val="left"/>
              <w:rPr>
                <w:rFonts w:eastAsia="Times New Roman" w:cs="Times New Roman"/>
                <w:color w:val="000000"/>
                <w:sz w:val="20"/>
                <w:szCs w:val="20"/>
                <w:lang w:eastAsia="sk-SK"/>
              </w:rPr>
            </w:pPr>
            <w:r w:rsidRPr="001311E9">
              <w:rPr>
                <w:rFonts w:eastAsia="Times New Roman" w:cs="Times New Roman"/>
                <w:color w:val="000000"/>
                <w:sz w:val="20"/>
                <w:szCs w:val="20"/>
                <w:lang w:eastAsia="sk-SK"/>
              </w:rPr>
              <w:t>2006</w:t>
            </w:r>
          </w:p>
        </w:tc>
        <w:tc>
          <w:tcPr>
            <w:tcW w:w="949" w:type="pct"/>
            <w:tcBorders>
              <w:top w:val="nil"/>
              <w:left w:val="nil"/>
              <w:bottom w:val="nil"/>
              <w:right w:val="nil"/>
            </w:tcBorders>
            <w:shd w:val="clear" w:color="000000" w:fill="FFFFFF"/>
            <w:noWrap/>
            <w:vAlign w:val="center"/>
            <w:hideMark/>
          </w:tcPr>
          <w:p w14:paraId="4F8B2E54"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893 623</w:t>
            </w:r>
          </w:p>
        </w:tc>
        <w:tc>
          <w:tcPr>
            <w:tcW w:w="951" w:type="pct"/>
            <w:tcBorders>
              <w:top w:val="nil"/>
              <w:left w:val="nil"/>
              <w:bottom w:val="nil"/>
              <w:right w:val="nil"/>
            </w:tcBorders>
            <w:shd w:val="clear" w:color="000000" w:fill="FFFFFF"/>
            <w:noWrap/>
            <w:vAlign w:val="center"/>
            <w:hideMark/>
          </w:tcPr>
          <w:p w14:paraId="297D2036"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526 326</w:t>
            </w:r>
          </w:p>
        </w:tc>
        <w:tc>
          <w:tcPr>
            <w:tcW w:w="950" w:type="pct"/>
            <w:tcBorders>
              <w:top w:val="nil"/>
              <w:left w:val="nil"/>
              <w:bottom w:val="nil"/>
              <w:right w:val="nil"/>
            </w:tcBorders>
            <w:shd w:val="clear" w:color="000000" w:fill="FFFFFF"/>
            <w:noWrap/>
            <w:vAlign w:val="center"/>
            <w:hideMark/>
          </w:tcPr>
          <w:p w14:paraId="40498D56"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367 297</w:t>
            </w:r>
          </w:p>
        </w:tc>
      </w:tr>
      <w:tr w:rsidR="001311E9" w:rsidRPr="001311E9" w14:paraId="1585042E" w14:textId="77777777" w:rsidTr="00914618">
        <w:trPr>
          <w:trHeight w:val="330"/>
        </w:trPr>
        <w:tc>
          <w:tcPr>
            <w:tcW w:w="2150" w:type="pct"/>
            <w:tcBorders>
              <w:top w:val="nil"/>
              <w:left w:val="nil"/>
              <w:bottom w:val="nil"/>
              <w:right w:val="nil"/>
            </w:tcBorders>
            <w:shd w:val="clear" w:color="000000" w:fill="FFFFFF"/>
            <w:vAlign w:val="center"/>
            <w:hideMark/>
          </w:tcPr>
          <w:p w14:paraId="3E2562C0" w14:textId="77777777" w:rsidR="001311E9" w:rsidRPr="001311E9" w:rsidRDefault="001311E9" w:rsidP="001311E9">
            <w:pPr>
              <w:spacing w:after="0" w:line="240" w:lineRule="auto"/>
              <w:jc w:val="left"/>
              <w:rPr>
                <w:rFonts w:eastAsia="Times New Roman" w:cs="Times New Roman"/>
                <w:color w:val="000000"/>
                <w:sz w:val="20"/>
                <w:szCs w:val="20"/>
                <w:lang w:eastAsia="sk-SK"/>
              </w:rPr>
            </w:pPr>
            <w:r w:rsidRPr="001311E9">
              <w:rPr>
                <w:rFonts w:eastAsia="Times New Roman" w:cs="Times New Roman"/>
                <w:color w:val="000000"/>
                <w:sz w:val="20"/>
                <w:szCs w:val="20"/>
                <w:lang w:eastAsia="sk-SK"/>
              </w:rPr>
              <w:t>2007</w:t>
            </w:r>
          </w:p>
        </w:tc>
        <w:tc>
          <w:tcPr>
            <w:tcW w:w="949" w:type="pct"/>
            <w:tcBorders>
              <w:top w:val="nil"/>
              <w:left w:val="nil"/>
              <w:bottom w:val="nil"/>
              <w:right w:val="nil"/>
            </w:tcBorders>
            <w:shd w:val="clear" w:color="000000" w:fill="FFFFFF"/>
            <w:noWrap/>
            <w:vAlign w:val="center"/>
            <w:hideMark/>
          </w:tcPr>
          <w:p w14:paraId="3B4A3FBC"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910 838</w:t>
            </w:r>
          </w:p>
        </w:tc>
        <w:tc>
          <w:tcPr>
            <w:tcW w:w="951" w:type="pct"/>
            <w:tcBorders>
              <w:top w:val="nil"/>
              <w:left w:val="nil"/>
              <w:bottom w:val="nil"/>
              <w:right w:val="nil"/>
            </w:tcBorders>
            <w:shd w:val="clear" w:color="000000" w:fill="FFFFFF"/>
            <w:noWrap/>
            <w:vAlign w:val="center"/>
            <w:hideMark/>
          </w:tcPr>
          <w:p w14:paraId="2A7BDCED"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589 800</w:t>
            </w:r>
          </w:p>
        </w:tc>
        <w:tc>
          <w:tcPr>
            <w:tcW w:w="950" w:type="pct"/>
            <w:tcBorders>
              <w:top w:val="nil"/>
              <w:left w:val="nil"/>
              <w:bottom w:val="nil"/>
              <w:right w:val="nil"/>
            </w:tcBorders>
            <w:shd w:val="clear" w:color="000000" w:fill="FFFFFF"/>
            <w:noWrap/>
            <w:vAlign w:val="center"/>
            <w:hideMark/>
          </w:tcPr>
          <w:p w14:paraId="6CD72A77"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321 038</w:t>
            </w:r>
          </w:p>
        </w:tc>
      </w:tr>
      <w:tr w:rsidR="001311E9" w:rsidRPr="001311E9" w14:paraId="01D58E6D" w14:textId="77777777" w:rsidTr="00914618">
        <w:trPr>
          <w:trHeight w:val="330"/>
        </w:trPr>
        <w:tc>
          <w:tcPr>
            <w:tcW w:w="2150" w:type="pct"/>
            <w:tcBorders>
              <w:top w:val="nil"/>
              <w:left w:val="nil"/>
              <w:bottom w:val="nil"/>
              <w:right w:val="nil"/>
            </w:tcBorders>
            <w:shd w:val="clear" w:color="000000" w:fill="FFFFFF"/>
            <w:vAlign w:val="center"/>
            <w:hideMark/>
          </w:tcPr>
          <w:p w14:paraId="2AFE1062" w14:textId="77777777" w:rsidR="001311E9" w:rsidRPr="001311E9" w:rsidRDefault="001311E9" w:rsidP="001311E9">
            <w:pPr>
              <w:spacing w:after="0" w:line="240" w:lineRule="auto"/>
              <w:jc w:val="left"/>
              <w:rPr>
                <w:rFonts w:eastAsia="Times New Roman" w:cs="Times New Roman"/>
                <w:color w:val="000000"/>
                <w:sz w:val="20"/>
                <w:szCs w:val="20"/>
                <w:lang w:eastAsia="sk-SK"/>
              </w:rPr>
            </w:pPr>
            <w:r w:rsidRPr="001311E9">
              <w:rPr>
                <w:rFonts w:eastAsia="Times New Roman" w:cs="Times New Roman"/>
                <w:color w:val="000000"/>
                <w:sz w:val="20"/>
                <w:szCs w:val="20"/>
                <w:lang w:eastAsia="sk-SK"/>
              </w:rPr>
              <w:t>2008</w:t>
            </w:r>
          </w:p>
        </w:tc>
        <w:tc>
          <w:tcPr>
            <w:tcW w:w="949" w:type="pct"/>
            <w:tcBorders>
              <w:top w:val="nil"/>
              <w:left w:val="nil"/>
              <w:bottom w:val="nil"/>
              <w:right w:val="nil"/>
            </w:tcBorders>
            <w:shd w:val="clear" w:color="000000" w:fill="FFFFFF"/>
            <w:noWrap/>
            <w:vAlign w:val="center"/>
            <w:hideMark/>
          </w:tcPr>
          <w:p w14:paraId="6FC757DD"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893 497</w:t>
            </w:r>
          </w:p>
        </w:tc>
        <w:tc>
          <w:tcPr>
            <w:tcW w:w="951" w:type="pct"/>
            <w:tcBorders>
              <w:top w:val="nil"/>
              <w:left w:val="nil"/>
              <w:bottom w:val="nil"/>
              <w:right w:val="nil"/>
            </w:tcBorders>
            <w:shd w:val="clear" w:color="000000" w:fill="FFFFFF"/>
            <w:noWrap/>
            <w:vAlign w:val="center"/>
            <w:hideMark/>
          </w:tcPr>
          <w:p w14:paraId="4D82B870"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643 374</w:t>
            </w:r>
          </w:p>
        </w:tc>
        <w:tc>
          <w:tcPr>
            <w:tcW w:w="950" w:type="pct"/>
            <w:tcBorders>
              <w:top w:val="nil"/>
              <w:left w:val="nil"/>
              <w:bottom w:val="nil"/>
              <w:right w:val="nil"/>
            </w:tcBorders>
            <w:shd w:val="clear" w:color="000000" w:fill="FFFFFF"/>
            <w:noWrap/>
            <w:vAlign w:val="center"/>
            <w:hideMark/>
          </w:tcPr>
          <w:p w14:paraId="2AEA83F8"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250 123</w:t>
            </w:r>
          </w:p>
        </w:tc>
      </w:tr>
      <w:tr w:rsidR="001311E9" w:rsidRPr="001311E9" w14:paraId="5D57A937" w14:textId="77777777" w:rsidTr="00914618">
        <w:trPr>
          <w:trHeight w:val="330"/>
        </w:trPr>
        <w:tc>
          <w:tcPr>
            <w:tcW w:w="2150" w:type="pct"/>
            <w:tcBorders>
              <w:top w:val="nil"/>
              <w:left w:val="nil"/>
              <w:bottom w:val="nil"/>
              <w:right w:val="nil"/>
            </w:tcBorders>
            <w:shd w:val="clear" w:color="000000" w:fill="FFFFFF"/>
            <w:vAlign w:val="center"/>
            <w:hideMark/>
          </w:tcPr>
          <w:p w14:paraId="78C58A17" w14:textId="77777777" w:rsidR="001311E9" w:rsidRPr="001311E9" w:rsidRDefault="001311E9" w:rsidP="001311E9">
            <w:pPr>
              <w:spacing w:after="0" w:line="240" w:lineRule="auto"/>
              <w:jc w:val="left"/>
              <w:rPr>
                <w:rFonts w:eastAsia="Times New Roman" w:cs="Times New Roman"/>
                <w:color w:val="000000"/>
                <w:sz w:val="20"/>
                <w:szCs w:val="20"/>
                <w:lang w:eastAsia="sk-SK"/>
              </w:rPr>
            </w:pPr>
            <w:r w:rsidRPr="001311E9">
              <w:rPr>
                <w:rFonts w:eastAsia="Times New Roman" w:cs="Times New Roman"/>
                <w:color w:val="000000"/>
                <w:sz w:val="20"/>
                <w:szCs w:val="20"/>
                <w:lang w:eastAsia="sk-SK"/>
              </w:rPr>
              <w:t>2009</w:t>
            </w:r>
          </w:p>
        </w:tc>
        <w:tc>
          <w:tcPr>
            <w:tcW w:w="949" w:type="pct"/>
            <w:tcBorders>
              <w:top w:val="nil"/>
              <w:left w:val="nil"/>
              <w:bottom w:val="nil"/>
              <w:right w:val="nil"/>
            </w:tcBorders>
            <w:shd w:val="clear" w:color="000000" w:fill="FFFFFF"/>
            <w:noWrap/>
            <w:vAlign w:val="center"/>
            <w:hideMark/>
          </w:tcPr>
          <w:p w14:paraId="4D4F91CA"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1 119 659</w:t>
            </w:r>
          </w:p>
        </w:tc>
        <w:tc>
          <w:tcPr>
            <w:tcW w:w="951" w:type="pct"/>
            <w:tcBorders>
              <w:top w:val="nil"/>
              <w:left w:val="nil"/>
              <w:bottom w:val="nil"/>
              <w:right w:val="nil"/>
            </w:tcBorders>
            <w:shd w:val="clear" w:color="000000" w:fill="FFFFFF"/>
            <w:noWrap/>
            <w:vAlign w:val="center"/>
            <w:hideMark/>
          </w:tcPr>
          <w:p w14:paraId="0098BF7D"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695 726</w:t>
            </w:r>
          </w:p>
        </w:tc>
        <w:tc>
          <w:tcPr>
            <w:tcW w:w="950" w:type="pct"/>
            <w:tcBorders>
              <w:top w:val="nil"/>
              <w:left w:val="nil"/>
              <w:bottom w:val="nil"/>
              <w:right w:val="nil"/>
            </w:tcBorders>
            <w:shd w:val="clear" w:color="000000" w:fill="FFFFFF"/>
            <w:noWrap/>
            <w:vAlign w:val="center"/>
            <w:hideMark/>
          </w:tcPr>
          <w:p w14:paraId="7EF6CE5C"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423 933</w:t>
            </w:r>
          </w:p>
        </w:tc>
      </w:tr>
      <w:tr w:rsidR="001311E9" w:rsidRPr="001311E9" w14:paraId="75F81658" w14:textId="77777777" w:rsidTr="00914618">
        <w:trPr>
          <w:trHeight w:val="330"/>
        </w:trPr>
        <w:tc>
          <w:tcPr>
            <w:tcW w:w="2150" w:type="pct"/>
            <w:tcBorders>
              <w:top w:val="nil"/>
              <w:left w:val="nil"/>
              <w:bottom w:val="nil"/>
              <w:right w:val="nil"/>
            </w:tcBorders>
            <w:shd w:val="clear" w:color="000000" w:fill="FFFFFF"/>
            <w:vAlign w:val="center"/>
            <w:hideMark/>
          </w:tcPr>
          <w:p w14:paraId="070389DC" w14:textId="77777777" w:rsidR="001311E9" w:rsidRPr="001311E9" w:rsidRDefault="001311E9" w:rsidP="001311E9">
            <w:pPr>
              <w:spacing w:after="0" w:line="240" w:lineRule="auto"/>
              <w:jc w:val="left"/>
              <w:rPr>
                <w:rFonts w:eastAsia="Times New Roman" w:cs="Times New Roman"/>
                <w:color w:val="000000"/>
                <w:sz w:val="20"/>
                <w:szCs w:val="20"/>
                <w:lang w:eastAsia="sk-SK"/>
              </w:rPr>
            </w:pPr>
            <w:r w:rsidRPr="001311E9">
              <w:rPr>
                <w:rFonts w:eastAsia="Times New Roman" w:cs="Times New Roman"/>
                <w:color w:val="000000"/>
                <w:sz w:val="20"/>
                <w:szCs w:val="20"/>
                <w:lang w:eastAsia="sk-SK"/>
              </w:rPr>
              <w:t>2010</w:t>
            </w:r>
          </w:p>
        </w:tc>
        <w:tc>
          <w:tcPr>
            <w:tcW w:w="949" w:type="pct"/>
            <w:tcBorders>
              <w:top w:val="nil"/>
              <w:left w:val="nil"/>
              <w:bottom w:val="nil"/>
              <w:right w:val="nil"/>
            </w:tcBorders>
            <w:shd w:val="clear" w:color="000000" w:fill="FFFFFF"/>
            <w:noWrap/>
            <w:vAlign w:val="center"/>
            <w:hideMark/>
          </w:tcPr>
          <w:p w14:paraId="2DCC7F76"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1 672 483</w:t>
            </w:r>
          </w:p>
        </w:tc>
        <w:tc>
          <w:tcPr>
            <w:tcW w:w="951" w:type="pct"/>
            <w:tcBorders>
              <w:top w:val="nil"/>
              <w:left w:val="nil"/>
              <w:bottom w:val="nil"/>
              <w:right w:val="nil"/>
            </w:tcBorders>
            <w:shd w:val="clear" w:color="000000" w:fill="FFFFFF"/>
            <w:noWrap/>
            <w:vAlign w:val="center"/>
            <w:hideMark/>
          </w:tcPr>
          <w:p w14:paraId="194290BC"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627 529</w:t>
            </w:r>
          </w:p>
        </w:tc>
        <w:tc>
          <w:tcPr>
            <w:tcW w:w="950" w:type="pct"/>
            <w:tcBorders>
              <w:top w:val="nil"/>
              <w:left w:val="nil"/>
              <w:bottom w:val="nil"/>
              <w:right w:val="nil"/>
            </w:tcBorders>
            <w:shd w:val="clear" w:color="000000" w:fill="FFFFFF"/>
            <w:noWrap/>
            <w:vAlign w:val="center"/>
            <w:hideMark/>
          </w:tcPr>
          <w:p w14:paraId="29B73EFC"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1 044 954</w:t>
            </w:r>
          </w:p>
        </w:tc>
      </w:tr>
      <w:tr w:rsidR="001311E9" w:rsidRPr="001311E9" w14:paraId="48D9F1F0" w14:textId="77777777" w:rsidTr="00914618">
        <w:trPr>
          <w:trHeight w:val="330"/>
        </w:trPr>
        <w:tc>
          <w:tcPr>
            <w:tcW w:w="2150" w:type="pct"/>
            <w:tcBorders>
              <w:top w:val="nil"/>
              <w:left w:val="nil"/>
              <w:bottom w:val="nil"/>
              <w:right w:val="nil"/>
            </w:tcBorders>
            <w:shd w:val="clear" w:color="000000" w:fill="FFFFFF"/>
            <w:vAlign w:val="center"/>
            <w:hideMark/>
          </w:tcPr>
          <w:p w14:paraId="497E3524" w14:textId="77777777" w:rsidR="001311E9" w:rsidRPr="001311E9" w:rsidRDefault="001311E9" w:rsidP="001311E9">
            <w:pPr>
              <w:spacing w:after="0" w:line="240" w:lineRule="auto"/>
              <w:jc w:val="left"/>
              <w:rPr>
                <w:rFonts w:eastAsia="Times New Roman" w:cs="Times New Roman"/>
                <w:color w:val="000000"/>
                <w:sz w:val="20"/>
                <w:szCs w:val="20"/>
                <w:lang w:eastAsia="sk-SK"/>
              </w:rPr>
            </w:pPr>
            <w:r w:rsidRPr="001311E9">
              <w:rPr>
                <w:rFonts w:eastAsia="Times New Roman" w:cs="Times New Roman"/>
                <w:color w:val="000000"/>
                <w:sz w:val="20"/>
                <w:szCs w:val="20"/>
                <w:lang w:eastAsia="sk-SK"/>
              </w:rPr>
              <w:t>2011</w:t>
            </w:r>
          </w:p>
        </w:tc>
        <w:tc>
          <w:tcPr>
            <w:tcW w:w="949" w:type="pct"/>
            <w:tcBorders>
              <w:top w:val="nil"/>
              <w:left w:val="nil"/>
              <w:bottom w:val="nil"/>
              <w:right w:val="nil"/>
            </w:tcBorders>
            <w:shd w:val="clear" w:color="000000" w:fill="FFFFFF"/>
            <w:noWrap/>
            <w:vAlign w:val="center"/>
            <w:hideMark/>
          </w:tcPr>
          <w:p w14:paraId="09C973A2"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2 041 093</w:t>
            </w:r>
          </w:p>
        </w:tc>
        <w:tc>
          <w:tcPr>
            <w:tcW w:w="951" w:type="pct"/>
            <w:tcBorders>
              <w:top w:val="nil"/>
              <w:left w:val="nil"/>
              <w:bottom w:val="nil"/>
              <w:right w:val="nil"/>
            </w:tcBorders>
            <w:shd w:val="clear" w:color="000000" w:fill="FFFFFF"/>
            <w:noWrap/>
            <w:vAlign w:val="center"/>
            <w:hideMark/>
          </w:tcPr>
          <w:p w14:paraId="1065C141"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704 656</w:t>
            </w:r>
          </w:p>
        </w:tc>
        <w:tc>
          <w:tcPr>
            <w:tcW w:w="950" w:type="pct"/>
            <w:tcBorders>
              <w:top w:val="nil"/>
              <w:left w:val="nil"/>
              <w:bottom w:val="nil"/>
              <w:right w:val="nil"/>
            </w:tcBorders>
            <w:shd w:val="clear" w:color="000000" w:fill="FFFFFF"/>
            <w:noWrap/>
            <w:vAlign w:val="center"/>
            <w:hideMark/>
          </w:tcPr>
          <w:p w14:paraId="2AB3A552"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1 336 437</w:t>
            </w:r>
          </w:p>
        </w:tc>
      </w:tr>
      <w:tr w:rsidR="001311E9" w:rsidRPr="001311E9" w14:paraId="486F1C28" w14:textId="77777777" w:rsidTr="00914618">
        <w:trPr>
          <w:trHeight w:val="330"/>
        </w:trPr>
        <w:tc>
          <w:tcPr>
            <w:tcW w:w="2150" w:type="pct"/>
            <w:tcBorders>
              <w:top w:val="nil"/>
              <w:left w:val="nil"/>
              <w:bottom w:val="nil"/>
              <w:right w:val="nil"/>
            </w:tcBorders>
            <w:shd w:val="clear" w:color="000000" w:fill="FFFFFF"/>
            <w:vAlign w:val="center"/>
            <w:hideMark/>
          </w:tcPr>
          <w:p w14:paraId="6C235209" w14:textId="77777777" w:rsidR="001311E9" w:rsidRPr="001311E9" w:rsidRDefault="001311E9" w:rsidP="001311E9">
            <w:pPr>
              <w:spacing w:after="0" w:line="240" w:lineRule="auto"/>
              <w:jc w:val="left"/>
              <w:rPr>
                <w:rFonts w:eastAsia="Times New Roman" w:cs="Times New Roman"/>
                <w:color w:val="000000"/>
                <w:sz w:val="20"/>
                <w:szCs w:val="20"/>
                <w:lang w:eastAsia="sk-SK"/>
              </w:rPr>
            </w:pPr>
            <w:r w:rsidRPr="001311E9">
              <w:rPr>
                <w:rFonts w:eastAsia="Times New Roman" w:cs="Times New Roman"/>
                <w:color w:val="000000"/>
                <w:sz w:val="20"/>
                <w:szCs w:val="20"/>
                <w:lang w:eastAsia="sk-SK"/>
              </w:rPr>
              <w:t>2012</w:t>
            </w:r>
          </w:p>
        </w:tc>
        <w:tc>
          <w:tcPr>
            <w:tcW w:w="949" w:type="pct"/>
            <w:tcBorders>
              <w:top w:val="nil"/>
              <w:left w:val="nil"/>
              <w:bottom w:val="nil"/>
              <w:right w:val="nil"/>
            </w:tcBorders>
            <w:shd w:val="clear" w:color="000000" w:fill="FFFFFF"/>
            <w:noWrap/>
            <w:vAlign w:val="center"/>
            <w:hideMark/>
          </w:tcPr>
          <w:p w14:paraId="220F18E9"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2 137 849</w:t>
            </w:r>
          </w:p>
        </w:tc>
        <w:tc>
          <w:tcPr>
            <w:tcW w:w="951" w:type="pct"/>
            <w:tcBorders>
              <w:top w:val="nil"/>
              <w:left w:val="nil"/>
              <w:bottom w:val="nil"/>
              <w:right w:val="nil"/>
            </w:tcBorders>
            <w:shd w:val="clear" w:color="000000" w:fill="FFFFFF"/>
            <w:noWrap/>
            <w:vAlign w:val="center"/>
            <w:hideMark/>
          </w:tcPr>
          <w:p w14:paraId="383B5D04"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722 831</w:t>
            </w:r>
          </w:p>
        </w:tc>
        <w:tc>
          <w:tcPr>
            <w:tcW w:w="950" w:type="pct"/>
            <w:tcBorders>
              <w:top w:val="nil"/>
              <w:left w:val="nil"/>
              <w:bottom w:val="nil"/>
              <w:right w:val="nil"/>
            </w:tcBorders>
            <w:shd w:val="clear" w:color="000000" w:fill="FFFFFF"/>
            <w:noWrap/>
            <w:vAlign w:val="center"/>
            <w:hideMark/>
          </w:tcPr>
          <w:p w14:paraId="586C2909"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1 415 018</w:t>
            </w:r>
          </w:p>
        </w:tc>
      </w:tr>
      <w:tr w:rsidR="001311E9" w:rsidRPr="001311E9" w14:paraId="4683F3F3" w14:textId="77777777" w:rsidTr="00914618">
        <w:trPr>
          <w:trHeight w:val="330"/>
        </w:trPr>
        <w:tc>
          <w:tcPr>
            <w:tcW w:w="2150" w:type="pct"/>
            <w:tcBorders>
              <w:top w:val="nil"/>
              <w:left w:val="nil"/>
              <w:bottom w:val="nil"/>
              <w:right w:val="nil"/>
            </w:tcBorders>
            <w:shd w:val="clear" w:color="000000" w:fill="FFFFFF"/>
            <w:vAlign w:val="center"/>
            <w:hideMark/>
          </w:tcPr>
          <w:p w14:paraId="6997F4DC" w14:textId="77777777" w:rsidR="001311E9" w:rsidRPr="001311E9" w:rsidRDefault="001311E9" w:rsidP="001311E9">
            <w:pPr>
              <w:spacing w:after="0" w:line="240" w:lineRule="auto"/>
              <w:jc w:val="left"/>
              <w:rPr>
                <w:rFonts w:eastAsia="Times New Roman" w:cs="Times New Roman"/>
                <w:color w:val="000000"/>
                <w:sz w:val="20"/>
                <w:szCs w:val="20"/>
                <w:lang w:eastAsia="sk-SK"/>
              </w:rPr>
            </w:pPr>
            <w:r w:rsidRPr="001311E9">
              <w:rPr>
                <w:rFonts w:eastAsia="Times New Roman" w:cs="Times New Roman"/>
                <w:color w:val="000000"/>
                <w:sz w:val="20"/>
                <w:szCs w:val="20"/>
                <w:lang w:eastAsia="sk-SK"/>
              </w:rPr>
              <w:t>2013</w:t>
            </w:r>
          </w:p>
        </w:tc>
        <w:tc>
          <w:tcPr>
            <w:tcW w:w="949" w:type="pct"/>
            <w:tcBorders>
              <w:top w:val="nil"/>
              <w:left w:val="nil"/>
              <w:bottom w:val="nil"/>
              <w:right w:val="nil"/>
            </w:tcBorders>
            <w:shd w:val="clear" w:color="000000" w:fill="FFFFFF"/>
            <w:noWrap/>
            <w:vAlign w:val="center"/>
            <w:hideMark/>
          </w:tcPr>
          <w:p w14:paraId="05997CF5"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2 185 358</w:t>
            </w:r>
          </w:p>
        </w:tc>
        <w:tc>
          <w:tcPr>
            <w:tcW w:w="951" w:type="pct"/>
            <w:tcBorders>
              <w:top w:val="nil"/>
              <w:left w:val="nil"/>
              <w:bottom w:val="nil"/>
              <w:right w:val="nil"/>
            </w:tcBorders>
            <w:shd w:val="clear" w:color="000000" w:fill="FFFFFF"/>
            <w:noWrap/>
            <w:vAlign w:val="center"/>
            <w:hideMark/>
          </w:tcPr>
          <w:p w14:paraId="6C5B7F18"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825 098</w:t>
            </w:r>
          </w:p>
        </w:tc>
        <w:tc>
          <w:tcPr>
            <w:tcW w:w="950" w:type="pct"/>
            <w:tcBorders>
              <w:top w:val="nil"/>
              <w:left w:val="nil"/>
              <w:bottom w:val="nil"/>
              <w:right w:val="nil"/>
            </w:tcBorders>
            <w:shd w:val="clear" w:color="000000" w:fill="FFFFFF"/>
            <w:noWrap/>
            <w:vAlign w:val="center"/>
            <w:hideMark/>
          </w:tcPr>
          <w:p w14:paraId="0D27AF7D"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1 360 260</w:t>
            </w:r>
          </w:p>
        </w:tc>
      </w:tr>
      <w:tr w:rsidR="001311E9" w:rsidRPr="001311E9" w14:paraId="67F1CB8F" w14:textId="77777777" w:rsidTr="00914618">
        <w:trPr>
          <w:trHeight w:val="330"/>
        </w:trPr>
        <w:tc>
          <w:tcPr>
            <w:tcW w:w="2150" w:type="pct"/>
            <w:tcBorders>
              <w:top w:val="nil"/>
              <w:left w:val="nil"/>
              <w:bottom w:val="nil"/>
              <w:right w:val="nil"/>
            </w:tcBorders>
            <w:shd w:val="clear" w:color="000000" w:fill="FFFFFF"/>
            <w:vAlign w:val="center"/>
            <w:hideMark/>
          </w:tcPr>
          <w:p w14:paraId="4F328B31" w14:textId="77777777" w:rsidR="001311E9" w:rsidRPr="001311E9" w:rsidRDefault="001311E9" w:rsidP="001311E9">
            <w:pPr>
              <w:spacing w:after="0" w:line="240" w:lineRule="auto"/>
              <w:jc w:val="left"/>
              <w:rPr>
                <w:rFonts w:eastAsia="Times New Roman" w:cs="Times New Roman"/>
                <w:color w:val="000000"/>
                <w:sz w:val="20"/>
                <w:szCs w:val="20"/>
                <w:lang w:eastAsia="sk-SK"/>
              </w:rPr>
            </w:pPr>
            <w:r w:rsidRPr="001311E9">
              <w:rPr>
                <w:rFonts w:eastAsia="Times New Roman" w:cs="Times New Roman"/>
                <w:color w:val="000000"/>
                <w:sz w:val="20"/>
                <w:szCs w:val="20"/>
                <w:lang w:eastAsia="sk-SK"/>
              </w:rPr>
              <w:t>2014</w:t>
            </w:r>
          </w:p>
        </w:tc>
        <w:tc>
          <w:tcPr>
            <w:tcW w:w="949" w:type="pct"/>
            <w:tcBorders>
              <w:top w:val="nil"/>
              <w:left w:val="nil"/>
              <w:bottom w:val="nil"/>
              <w:right w:val="nil"/>
            </w:tcBorders>
            <w:shd w:val="clear" w:color="000000" w:fill="FFFFFF"/>
            <w:noWrap/>
            <w:vAlign w:val="center"/>
            <w:hideMark/>
          </w:tcPr>
          <w:p w14:paraId="6112AF70"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1 265 091</w:t>
            </w:r>
          </w:p>
        </w:tc>
        <w:tc>
          <w:tcPr>
            <w:tcW w:w="951" w:type="pct"/>
            <w:tcBorders>
              <w:top w:val="nil"/>
              <w:left w:val="nil"/>
              <w:bottom w:val="nil"/>
              <w:right w:val="nil"/>
            </w:tcBorders>
            <w:shd w:val="clear" w:color="000000" w:fill="FFFFFF"/>
            <w:noWrap/>
            <w:vAlign w:val="center"/>
            <w:hideMark/>
          </w:tcPr>
          <w:p w14:paraId="24E15752"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785 366</w:t>
            </w:r>
          </w:p>
        </w:tc>
        <w:tc>
          <w:tcPr>
            <w:tcW w:w="950" w:type="pct"/>
            <w:tcBorders>
              <w:top w:val="nil"/>
              <w:left w:val="nil"/>
              <w:bottom w:val="nil"/>
              <w:right w:val="nil"/>
            </w:tcBorders>
            <w:shd w:val="clear" w:color="000000" w:fill="FFFFFF"/>
            <w:noWrap/>
            <w:vAlign w:val="center"/>
            <w:hideMark/>
          </w:tcPr>
          <w:p w14:paraId="73DFB363"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479 725</w:t>
            </w:r>
          </w:p>
        </w:tc>
      </w:tr>
      <w:tr w:rsidR="001311E9" w:rsidRPr="001311E9" w14:paraId="7F0BDECC" w14:textId="77777777" w:rsidTr="00914618">
        <w:trPr>
          <w:trHeight w:val="330"/>
        </w:trPr>
        <w:tc>
          <w:tcPr>
            <w:tcW w:w="2150" w:type="pct"/>
            <w:tcBorders>
              <w:top w:val="nil"/>
              <w:left w:val="nil"/>
              <w:bottom w:val="nil"/>
              <w:right w:val="nil"/>
            </w:tcBorders>
            <w:shd w:val="clear" w:color="000000" w:fill="FFFFFF"/>
            <w:vAlign w:val="center"/>
            <w:hideMark/>
          </w:tcPr>
          <w:p w14:paraId="421B0AAF" w14:textId="77777777" w:rsidR="001311E9" w:rsidRPr="001311E9" w:rsidRDefault="001311E9" w:rsidP="001311E9">
            <w:pPr>
              <w:spacing w:after="0" w:line="240" w:lineRule="auto"/>
              <w:jc w:val="left"/>
              <w:rPr>
                <w:rFonts w:eastAsia="Times New Roman" w:cs="Times New Roman"/>
                <w:color w:val="000000"/>
                <w:sz w:val="20"/>
                <w:szCs w:val="20"/>
                <w:lang w:eastAsia="sk-SK"/>
              </w:rPr>
            </w:pPr>
            <w:r w:rsidRPr="001311E9">
              <w:rPr>
                <w:rFonts w:eastAsia="Times New Roman" w:cs="Times New Roman"/>
                <w:color w:val="000000"/>
                <w:sz w:val="20"/>
                <w:szCs w:val="20"/>
                <w:lang w:eastAsia="sk-SK"/>
              </w:rPr>
              <w:t>2015</w:t>
            </w:r>
          </w:p>
        </w:tc>
        <w:tc>
          <w:tcPr>
            <w:tcW w:w="949" w:type="pct"/>
            <w:tcBorders>
              <w:top w:val="nil"/>
              <w:left w:val="nil"/>
              <w:bottom w:val="nil"/>
              <w:right w:val="nil"/>
            </w:tcBorders>
            <w:shd w:val="clear" w:color="auto" w:fill="auto"/>
            <w:noWrap/>
            <w:vAlign w:val="center"/>
            <w:hideMark/>
          </w:tcPr>
          <w:p w14:paraId="2275BE55"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4 288 873</w:t>
            </w:r>
          </w:p>
        </w:tc>
        <w:tc>
          <w:tcPr>
            <w:tcW w:w="951" w:type="pct"/>
            <w:tcBorders>
              <w:top w:val="nil"/>
              <w:left w:val="nil"/>
              <w:bottom w:val="nil"/>
              <w:right w:val="nil"/>
            </w:tcBorders>
            <w:shd w:val="clear" w:color="000000" w:fill="FFFFFF"/>
            <w:noWrap/>
            <w:vAlign w:val="center"/>
            <w:hideMark/>
          </w:tcPr>
          <w:p w14:paraId="1A1385CB"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695 508</w:t>
            </w:r>
          </w:p>
        </w:tc>
        <w:tc>
          <w:tcPr>
            <w:tcW w:w="950" w:type="pct"/>
            <w:tcBorders>
              <w:top w:val="nil"/>
              <w:left w:val="nil"/>
              <w:bottom w:val="nil"/>
              <w:right w:val="nil"/>
            </w:tcBorders>
            <w:shd w:val="clear" w:color="auto" w:fill="auto"/>
            <w:noWrap/>
            <w:vAlign w:val="center"/>
            <w:hideMark/>
          </w:tcPr>
          <w:p w14:paraId="7A007816"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3 593 365</w:t>
            </w:r>
          </w:p>
        </w:tc>
      </w:tr>
      <w:tr w:rsidR="001311E9" w:rsidRPr="001311E9" w14:paraId="3019459A" w14:textId="77777777" w:rsidTr="00914618">
        <w:trPr>
          <w:trHeight w:val="330"/>
        </w:trPr>
        <w:tc>
          <w:tcPr>
            <w:tcW w:w="2150" w:type="pct"/>
            <w:tcBorders>
              <w:top w:val="nil"/>
              <w:left w:val="nil"/>
              <w:bottom w:val="nil"/>
              <w:right w:val="nil"/>
            </w:tcBorders>
            <w:shd w:val="clear" w:color="000000" w:fill="FFFFFF"/>
            <w:vAlign w:val="center"/>
            <w:hideMark/>
          </w:tcPr>
          <w:p w14:paraId="056F2D3A" w14:textId="77777777" w:rsidR="001311E9" w:rsidRPr="001311E9" w:rsidRDefault="001311E9" w:rsidP="001311E9">
            <w:pPr>
              <w:spacing w:after="0" w:line="240" w:lineRule="auto"/>
              <w:jc w:val="left"/>
              <w:rPr>
                <w:rFonts w:eastAsia="Times New Roman" w:cs="Times New Roman"/>
                <w:color w:val="000000"/>
                <w:sz w:val="20"/>
                <w:szCs w:val="20"/>
                <w:lang w:eastAsia="sk-SK"/>
              </w:rPr>
            </w:pPr>
            <w:r w:rsidRPr="001311E9">
              <w:rPr>
                <w:rFonts w:eastAsia="Times New Roman" w:cs="Times New Roman"/>
                <w:color w:val="000000"/>
                <w:sz w:val="20"/>
                <w:szCs w:val="20"/>
                <w:lang w:eastAsia="sk-SK"/>
              </w:rPr>
              <w:t>2016</w:t>
            </w:r>
          </w:p>
        </w:tc>
        <w:tc>
          <w:tcPr>
            <w:tcW w:w="949" w:type="pct"/>
            <w:tcBorders>
              <w:top w:val="nil"/>
              <w:left w:val="nil"/>
              <w:bottom w:val="nil"/>
              <w:right w:val="nil"/>
            </w:tcBorders>
            <w:shd w:val="clear" w:color="000000" w:fill="FFFFFF"/>
            <w:noWrap/>
            <w:vAlign w:val="center"/>
            <w:hideMark/>
          </w:tcPr>
          <w:p w14:paraId="1526B9F4"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1 947 481</w:t>
            </w:r>
          </w:p>
        </w:tc>
        <w:tc>
          <w:tcPr>
            <w:tcW w:w="951" w:type="pct"/>
            <w:tcBorders>
              <w:top w:val="nil"/>
              <w:left w:val="nil"/>
              <w:bottom w:val="nil"/>
              <w:right w:val="nil"/>
            </w:tcBorders>
            <w:shd w:val="clear" w:color="auto" w:fill="auto"/>
            <w:noWrap/>
            <w:vAlign w:val="center"/>
            <w:hideMark/>
          </w:tcPr>
          <w:p w14:paraId="09B87BBE"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739 903</w:t>
            </w:r>
          </w:p>
        </w:tc>
        <w:tc>
          <w:tcPr>
            <w:tcW w:w="950" w:type="pct"/>
            <w:tcBorders>
              <w:top w:val="nil"/>
              <w:left w:val="nil"/>
              <w:bottom w:val="nil"/>
              <w:right w:val="nil"/>
            </w:tcBorders>
            <w:shd w:val="clear" w:color="000000" w:fill="FFFFFF"/>
            <w:noWrap/>
            <w:vAlign w:val="center"/>
            <w:hideMark/>
          </w:tcPr>
          <w:p w14:paraId="056FE10C"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1 207 578</w:t>
            </w:r>
          </w:p>
        </w:tc>
      </w:tr>
      <w:tr w:rsidR="001311E9" w:rsidRPr="001311E9" w14:paraId="3397032D" w14:textId="77777777" w:rsidTr="00914618">
        <w:trPr>
          <w:trHeight w:val="330"/>
        </w:trPr>
        <w:tc>
          <w:tcPr>
            <w:tcW w:w="2150" w:type="pct"/>
            <w:tcBorders>
              <w:top w:val="nil"/>
              <w:left w:val="nil"/>
              <w:bottom w:val="nil"/>
              <w:right w:val="nil"/>
            </w:tcBorders>
            <w:shd w:val="clear" w:color="000000" w:fill="FFFFFF"/>
            <w:vAlign w:val="center"/>
            <w:hideMark/>
          </w:tcPr>
          <w:p w14:paraId="54900048" w14:textId="77777777" w:rsidR="001311E9" w:rsidRPr="001311E9" w:rsidRDefault="001311E9" w:rsidP="001311E9">
            <w:pPr>
              <w:spacing w:after="0" w:line="240" w:lineRule="auto"/>
              <w:jc w:val="left"/>
              <w:rPr>
                <w:rFonts w:eastAsia="Times New Roman" w:cs="Times New Roman"/>
                <w:color w:val="000000"/>
                <w:sz w:val="20"/>
                <w:szCs w:val="20"/>
                <w:lang w:eastAsia="sk-SK"/>
              </w:rPr>
            </w:pPr>
            <w:r w:rsidRPr="001311E9">
              <w:rPr>
                <w:rFonts w:eastAsia="Times New Roman" w:cs="Times New Roman"/>
                <w:color w:val="000000"/>
                <w:sz w:val="20"/>
                <w:szCs w:val="20"/>
                <w:lang w:eastAsia="sk-SK"/>
              </w:rPr>
              <w:t>2017</w:t>
            </w:r>
          </w:p>
        </w:tc>
        <w:tc>
          <w:tcPr>
            <w:tcW w:w="949" w:type="pct"/>
            <w:tcBorders>
              <w:top w:val="nil"/>
              <w:left w:val="nil"/>
              <w:bottom w:val="nil"/>
              <w:right w:val="nil"/>
            </w:tcBorders>
            <w:shd w:val="clear" w:color="000000" w:fill="FFFFFF"/>
            <w:noWrap/>
            <w:vAlign w:val="center"/>
            <w:hideMark/>
          </w:tcPr>
          <w:p w14:paraId="3367B41B"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1 425 572</w:t>
            </w:r>
          </w:p>
        </w:tc>
        <w:tc>
          <w:tcPr>
            <w:tcW w:w="951" w:type="pct"/>
            <w:tcBorders>
              <w:top w:val="nil"/>
              <w:left w:val="nil"/>
              <w:bottom w:val="nil"/>
              <w:right w:val="nil"/>
            </w:tcBorders>
            <w:shd w:val="clear" w:color="000000" w:fill="FFFFFF"/>
            <w:noWrap/>
            <w:vAlign w:val="center"/>
            <w:hideMark/>
          </w:tcPr>
          <w:p w14:paraId="2C754381"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738 045</w:t>
            </w:r>
          </w:p>
        </w:tc>
        <w:tc>
          <w:tcPr>
            <w:tcW w:w="950" w:type="pct"/>
            <w:tcBorders>
              <w:top w:val="nil"/>
              <w:left w:val="nil"/>
              <w:bottom w:val="nil"/>
              <w:right w:val="nil"/>
            </w:tcBorders>
            <w:shd w:val="clear" w:color="000000" w:fill="FFFFFF"/>
            <w:noWrap/>
            <w:vAlign w:val="center"/>
            <w:hideMark/>
          </w:tcPr>
          <w:p w14:paraId="29AB8195"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687 527</w:t>
            </w:r>
          </w:p>
        </w:tc>
      </w:tr>
      <w:tr w:rsidR="001311E9" w:rsidRPr="001311E9" w14:paraId="0F440E55" w14:textId="77777777" w:rsidTr="00914618">
        <w:trPr>
          <w:trHeight w:val="330"/>
        </w:trPr>
        <w:tc>
          <w:tcPr>
            <w:tcW w:w="2150" w:type="pct"/>
            <w:tcBorders>
              <w:top w:val="nil"/>
              <w:left w:val="nil"/>
              <w:bottom w:val="nil"/>
              <w:right w:val="nil"/>
            </w:tcBorders>
            <w:shd w:val="clear" w:color="000000" w:fill="FFFFFF"/>
            <w:vAlign w:val="center"/>
            <w:hideMark/>
          </w:tcPr>
          <w:p w14:paraId="4361AB37" w14:textId="77777777" w:rsidR="001311E9" w:rsidRPr="001311E9" w:rsidRDefault="001311E9" w:rsidP="001311E9">
            <w:pPr>
              <w:spacing w:after="0" w:line="240" w:lineRule="auto"/>
              <w:jc w:val="left"/>
              <w:rPr>
                <w:rFonts w:eastAsia="Times New Roman" w:cs="Times New Roman"/>
                <w:color w:val="000000"/>
                <w:sz w:val="20"/>
                <w:szCs w:val="20"/>
                <w:lang w:eastAsia="sk-SK"/>
              </w:rPr>
            </w:pPr>
            <w:r w:rsidRPr="001311E9">
              <w:rPr>
                <w:rFonts w:eastAsia="Times New Roman" w:cs="Times New Roman"/>
                <w:color w:val="000000"/>
                <w:sz w:val="20"/>
                <w:szCs w:val="20"/>
                <w:lang w:eastAsia="sk-SK"/>
              </w:rPr>
              <w:t>2018</w:t>
            </w:r>
          </w:p>
        </w:tc>
        <w:tc>
          <w:tcPr>
            <w:tcW w:w="949" w:type="pct"/>
            <w:tcBorders>
              <w:top w:val="nil"/>
              <w:left w:val="nil"/>
              <w:bottom w:val="nil"/>
              <w:right w:val="nil"/>
            </w:tcBorders>
            <w:shd w:val="clear" w:color="000000" w:fill="FFFFFF"/>
            <w:noWrap/>
            <w:vAlign w:val="center"/>
            <w:hideMark/>
          </w:tcPr>
          <w:p w14:paraId="14F23CF7"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2 169 732</w:t>
            </w:r>
          </w:p>
        </w:tc>
        <w:tc>
          <w:tcPr>
            <w:tcW w:w="951" w:type="pct"/>
            <w:tcBorders>
              <w:top w:val="nil"/>
              <w:left w:val="nil"/>
              <w:bottom w:val="nil"/>
              <w:right w:val="nil"/>
            </w:tcBorders>
            <w:shd w:val="clear" w:color="auto" w:fill="auto"/>
            <w:noWrap/>
            <w:vAlign w:val="center"/>
            <w:hideMark/>
          </w:tcPr>
          <w:p w14:paraId="2C199D5C"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841 321</w:t>
            </w:r>
          </w:p>
        </w:tc>
        <w:tc>
          <w:tcPr>
            <w:tcW w:w="950" w:type="pct"/>
            <w:tcBorders>
              <w:top w:val="nil"/>
              <w:left w:val="nil"/>
              <w:bottom w:val="nil"/>
              <w:right w:val="nil"/>
            </w:tcBorders>
            <w:shd w:val="clear" w:color="000000" w:fill="FFFFFF"/>
            <w:noWrap/>
            <w:vAlign w:val="center"/>
            <w:hideMark/>
          </w:tcPr>
          <w:p w14:paraId="6DB68CCA" w14:textId="77777777" w:rsidR="001311E9" w:rsidRPr="001311E9" w:rsidRDefault="001311E9" w:rsidP="001311E9">
            <w:pPr>
              <w:spacing w:after="0" w:line="240" w:lineRule="auto"/>
              <w:jc w:val="right"/>
              <w:rPr>
                <w:rFonts w:eastAsia="Times New Roman" w:cs="Times New Roman"/>
                <w:color w:val="000000"/>
                <w:sz w:val="20"/>
                <w:szCs w:val="20"/>
                <w:lang w:eastAsia="sk-SK"/>
              </w:rPr>
            </w:pPr>
            <w:r w:rsidRPr="001311E9">
              <w:rPr>
                <w:rFonts w:eastAsia="Times New Roman" w:cs="Times New Roman"/>
                <w:color w:val="000000"/>
                <w:sz w:val="20"/>
                <w:szCs w:val="20"/>
                <w:lang w:eastAsia="sk-SK"/>
              </w:rPr>
              <w:t>1 328 411</w:t>
            </w:r>
          </w:p>
        </w:tc>
      </w:tr>
      <w:tr w:rsidR="001311E9" w:rsidRPr="001311E9" w14:paraId="50A5B8A7" w14:textId="77777777" w:rsidTr="00914618">
        <w:trPr>
          <w:trHeight w:val="345"/>
        </w:trPr>
        <w:tc>
          <w:tcPr>
            <w:tcW w:w="2150" w:type="pct"/>
            <w:tcBorders>
              <w:top w:val="single" w:sz="4" w:space="0" w:color="auto"/>
              <w:left w:val="nil"/>
              <w:bottom w:val="single" w:sz="8" w:space="0" w:color="auto"/>
              <w:right w:val="nil"/>
            </w:tcBorders>
            <w:shd w:val="clear" w:color="000000" w:fill="FFFFFF"/>
            <w:vAlign w:val="center"/>
            <w:hideMark/>
          </w:tcPr>
          <w:p w14:paraId="40E68A8D" w14:textId="77777777" w:rsidR="001311E9" w:rsidRPr="001311E9" w:rsidRDefault="001311E9" w:rsidP="001311E9">
            <w:pPr>
              <w:spacing w:after="0" w:line="240" w:lineRule="auto"/>
              <w:jc w:val="left"/>
              <w:rPr>
                <w:rFonts w:eastAsia="Times New Roman" w:cs="Times New Roman"/>
                <w:b/>
                <w:bCs/>
                <w:color w:val="000000"/>
                <w:sz w:val="20"/>
                <w:szCs w:val="20"/>
                <w:lang w:eastAsia="sk-SK"/>
              </w:rPr>
            </w:pPr>
            <w:r w:rsidRPr="001311E9">
              <w:rPr>
                <w:rFonts w:eastAsia="Times New Roman" w:cs="Times New Roman"/>
                <w:b/>
                <w:bCs/>
                <w:color w:val="000000"/>
                <w:sz w:val="20"/>
                <w:szCs w:val="20"/>
                <w:lang w:eastAsia="sk-SK"/>
              </w:rPr>
              <w:t>Spolu</w:t>
            </w:r>
          </w:p>
        </w:tc>
        <w:tc>
          <w:tcPr>
            <w:tcW w:w="949" w:type="pct"/>
            <w:tcBorders>
              <w:top w:val="single" w:sz="4" w:space="0" w:color="auto"/>
              <w:left w:val="nil"/>
              <w:bottom w:val="single" w:sz="8" w:space="0" w:color="auto"/>
              <w:right w:val="nil"/>
            </w:tcBorders>
            <w:shd w:val="clear" w:color="000000" w:fill="FFFFFF"/>
            <w:noWrap/>
            <w:vAlign w:val="center"/>
            <w:hideMark/>
          </w:tcPr>
          <w:p w14:paraId="675E1B7C" w14:textId="77777777" w:rsidR="001311E9" w:rsidRPr="001311E9" w:rsidRDefault="001311E9" w:rsidP="001311E9">
            <w:pPr>
              <w:spacing w:after="0" w:line="240" w:lineRule="auto"/>
              <w:jc w:val="right"/>
              <w:rPr>
                <w:rFonts w:eastAsia="Times New Roman" w:cs="Times New Roman"/>
                <w:b/>
                <w:bCs/>
                <w:color w:val="000000"/>
                <w:sz w:val="20"/>
                <w:szCs w:val="20"/>
                <w:lang w:eastAsia="sk-SK"/>
              </w:rPr>
            </w:pPr>
            <w:r w:rsidRPr="001311E9">
              <w:rPr>
                <w:rFonts w:eastAsia="Times New Roman" w:cs="Times New Roman"/>
                <w:b/>
                <w:bCs/>
                <w:color w:val="000000"/>
                <w:sz w:val="20"/>
                <w:szCs w:val="20"/>
                <w:lang w:eastAsia="sk-SK"/>
              </w:rPr>
              <w:t>23 960 132</w:t>
            </w:r>
          </w:p>
        </w:tc>
        <w:tc>
          <w:tcPr>
            <w:tcW w:w="951" w:type="pct"/>
            <w:tcBorders>
              <w:top w:val="single" w:sz="4" w:space="0" w:color="auto"/>
              <w:left w:val="nil"/>
              <w:bottom w:val="single" w:sz="8" w:space="0" w:color="auto"/>
              <w:right w:val="nil"/>
            </w:tcBorders>
            <w:shd w:val="clear" w:color="000000" w:fill="FFFFFF"/>
            <w:noWrap/>
            <w:vAlign w:val="center"/>
            <w:hideMark/>
          </w:tcPr>
          <w:p w14:paraId="20516334" w14:textId="77777777" w:rsidR="001311E9" w:rsidRPr="001311E9" w:rsidRDefault="001311E9" w:rsidP="001311E9">
            <w:pPr>
              <w:spacing w:after="0" w:line="240" w:lineRule="auto"/>
              <w:jc w:val="right"/>
              <w:rPr>
                <w:rFonts w:eastAsia="Times New Roman" w:cs="Times New Roman"/>
                <w:b/>
                <w:bCs/>
                <w:color w:val="000000"/>
                <w:sz w:val="20"/>
                <w:szCs w:val="20"/>
                <w:lang w:eastAsia="sk-SK"/>
              </w:rPr>
            </w:pPr>
            <w:r w:rsidRPr="001311E9">
              <w:rPr>
                <w:rFonts w:eastAsia="Times New Roman" w:cs="Times New Roman"/>
                <w:b/>
                <w:bCs/>
                <w:color w:val="000000"/>
                <w:sz w:val="20"/>
                <w:szCs w:val="20"/>
                <w:lang w:eastAsia="sk-SK"/>
              </w:rPr>
              <w:t>9 911 786</w:t>
            </w:r>
          </w:p>
        </w:tc>
        <w:tc>
          <w:tcPr>
            <w:tcW w:w="950" w:type="pct"/>
            <w:tcBorders>
              <w:top w:val="single" w:sz="4" w:space="0" w:color="auto"/>
              <w:left w:val="nil"/>
              <w:bottom w:val="single" w:sz="8" w:space="0" w:color="auto"/>
              <w:right w:val="nil"/>
            </w:tcBorders>
            <w:shd w:val="clear" w:color="000000" w:fill="FFFFFF"/>
            <w:noWrap/>
            <w:vAlign w:val="center"/>
            <w:hideMark/>
          </w:tcPr>
          <w:p w14:paraId="6D577EBB" w14:textId="77777777" w:rsidR="001311E9" w:rsidRPr="001311E9" w:rsidRDefault="001311E9" w:rsidP="001311E9">
            <w:pPr>
              <w:spacing w:after="0" w:line="240" w:lineRule="auto"/>
              <w:jc w:val="right"/>
              <w:rPr>
                <w:rFonts w:eastAsia="Times New Roman" w:cs="Times New Roman"/>
                <w:b/>
                <w:bCs/>
                <w:color w:val="000000"/>
                <w:sz w:val="20"/>
                <w:szCs w:val="20"/>
                <w:lang w:eastAsia="sk-SK"/>
              </w:rPr>
            </w:pPr>
            <w:r w:rsidRPr="001311E9">
              <w:rPr>
                <w:rFonts w:eastAsia="Times New Roman" w:cs="Times New Roman"/>
                <w:b/>
                <w:bCs/>
                <w:color w:val="000000"/>
                <w:sz w:val="20"/>
                <w:szCs w:val="20"/>
                <w:lang w:eastAsia="sk-SK"/>
              </w:rPr>
              <w:t>14 048 346</w:t>
            </w:r>
          </w:p>
        </w:tc>
      </w:tr>
    </w:tbl>
    <w:p w14:paraId="00A9CE17" w14:textId="77777777" w:rsidR="00867CCC" w:rsidRDefault="00867CCC" w:rsidP="00867CCC">
      <w:pPr>
        <w:jc w:val="right"/>
        <w:rPr>
          <w:sz w:val="18"/>
          <w:szCs w:val="18"/>
        </w:rPr>
      </w:pPr>
      <w:r w:rsidRPr="00867CCC">
        <w:rPr>
          <w:sz w:val="18"/>
          <w:szCs w:val="18"/>
        </w:rPr>
        <w:t>Zdroj: MF SR</w:t>
      </w:r>
    </w:p>
    <w:p w14:paraId="0D53FFA8" w14:textId="77777777" w:rsidR="00867CCC" w:rsidRPr="00753E02" w:rsidRDefault="00867CCC" w:rsidP="00867CCC">
      <w:r w:rsidRPr="00753E02">
        <w:t>Za obdobie od</w:t>
      </w:r>
      <w:r w:rsidRPr="00753E02">
        <w:rPr>
          <w:b/>
        </w:rPr>
        <w:t xml:space="preserve"> </w:t>
      </w:r>
      <w:r w:rsidRPr="00753E02">
        <w:t>vstupu Slovenskej republiky do EÚ</w:t>
      </w:r>
      <w:r w:rsidRPr="00753E02">
        <w:rPr>
          <w:b/>
        </w:rPr>
        <w:t xml:space="preserve"> </w:t>
      </w:r>
      <w:r w:rsidRPr="00753E02">
        <w:t>boli celkovo</w:t>
      </w:r>
      <w:r w:rsidRPr="00753E02">
        <w:rPr>
          <w:b/>
        </w:rPr>
        <w:t xml:space="preserve"> </w:t>
      </w:r>
      <w:r w:rsidRPr="00753E02">
        <w:t>do rozpočtu Slovenskej republiky prijaté príjmy z EÚ vo výške 23 960 132 tis. eur a Slovenská republika odviedla do všeobecného rozpočtu EÚ sumu vo výške 9</w:t>
      </w:r>
      <w:r>
        <w:t> </w:t>
      </w:r>
      <w:r w:rsidRPr="00867CCC">
        <w:t>911</w:t>
      </w:r>
      <w:r>
        <w:t> </w:t>
      </w:r>
      <w:r w:rsidRPr="00867CCC">
        <w:t>786</w:t>
      </w:r>
      <w:r w:rsidRPr="00753E02">
        <w:t xml:space="preserve"> tis. eur, na základe čoho </w:t>
      </w:r>
      <w:r w:rsidRPr="00753E02">
        <w:rPr>
          <w:b/>
        </w:rPr>
        <w:t>čistá finančná pozícia voči EÚ dosiahla 14</w:t>
      </w:r>
      <w:r>
        <w:rPr>
          <w:b/>
        </w:rPr>
        <w:t> </w:t>
      </w:r>
      <w:r w:rsidRPr="00753E02">
        <w:rPr>
          <w:b/>
        </w:rPr>
        <w:t>048</w:t>
      </w:r>
      <w:r>
        <w:rPr>
          <w:b/>
        </w:rPr>
        <w:t> </w:t>
      </w:r>
      <w:r w:rsidRPr="00753E02">
        <w:rPr>
          <w:b/>
        </w:rPr>
        <w:t>346</w:t>
      </w:r>
      <w:r>
        <w:rPr>
          <w:b/>
        </w:rPr>
        <w:t> </w:t>
      </w:r>
      <w:r w:rsidRPr="00753E02">
        <w:rPr>
          <w:b/>
        </w:rPr>
        <w:t>tis.</w:t>
      </w:r>
      <w:r>
        <w:rPr>
          <w:b/>
        </w:rPr>
        <w:t> </w:t>
      </w:r>
      <w:r w:rsidRPr="00753E02">
        <w:rPr>
          <w:b/>
        </w:rPr>
        <w:t>eur</w:t>
      </w:r>
      <w:r w:rsidRPr="00753E02">
        <w:t>.</w:t>
      </w:r>
      <w:r w:rsidRPr="00753E02">
        <w:rPr>
          <w:b/>
        </w:rPr>
        <w:t xml:space="preserve"> </w:t>
      </w:r>
      <w:r w:rsidRPr="00753E02">
        <w:t xml:space="preserve">Od roku 2004 Slovenská republika prijala z rozpočtu EÚ </w:t>
      </w:r>
      <w:r>
        <w:t>2,4 </w:t>
      </w:r>
      <w:r w:rsidRPr="00753E02">
        <w:t>násobok prostriedkov, ktoré do rozpočtu odviedla.</w:t>
      </w:r>
    </w:p>
    <w:p w14:paraId="66AE1D60" w14:textId="77777777" w:rsidR="008F0C64" w:rsidRDefault="008F0C64">
      <w:pPr>
        <w:spacing w:after="160" w:line="259" w:lineRule="auto"/>
        <w:jc w:val="left"/>
        <w:rPr>
          <w:rFonts w:eastAsiaTheme="majorEastAsia" w:cstheme="majorBidi"/>
          <w:b/>
          <w:szCs w:val="24"/>
        </w:rPr>
      </w:pPr>
      <w:bookmarkStart w:id="67" w:name="_Toc6415653"/>
      <w:r>
        <w:br w:type="page"/>
      </w:r>
    </w:p>
    <w:p w14:paraId="6A838574" w14:textId="13EC2E04" w:rsidR="008254BE" w:rsidRDefault="008254BE" w:rsidP="00C34E95">
      <w:pPr>
        <w:pStyle w:val="Nadpis3"/>
      </w:pPr>
      <w:bookmarkStart w:id="68" w:name="_Toc7502845"/>
      <w:r>
        <w:t>Príjmy z rozpočtu Európskej únie</w:t>
      </w:r>
      <w:bookmarkEnd w:id="67"/>
      <w:bookmarkEnd w:id="68"/>
    </w:p>
    <w:p w14:paraId="52A3AC09" w14:textId="2178C631" w:rsidR="00867CCC" w:rsidRPr="00753E02" w:rsidRDefault="00867CCC" w:rsidP="00867CCC">
      <w:r w:rsidRPr="00753E02">
        <w:t>Príjmy z rozpočtu EÚ sa rozpočtujú pod ekonomickou klasifikáciou zahraničné transfery – 341 Prostriedky z rozpočtu Európskej únie pre programy, ktoré sa v Slovenskej republike poskytujú prostredníctvom certifikačného orgánu (Ministerstva financií SR a Ministerstva práce, sociálnych vecí a rodiny SR) alebo Ministerstva pôdohospodárstva a rozvoja vidieka Slovenskej republiky</w:t>
      </w:r>
      <w:r w:rsidR="00B50B4C">
        <w:t>.</w:t>
      </w:r>
      <w:r w:rsidRPr="00753E02">
        <w:t xml:space="preserve"> </w:t>
      </w:r>
    </w:p>
    <w:p w14:paraId="6C0BC536" w14:textId="77777777" w:rsidR="00867CCC" w:rsidRPr="00753E02" w:rsidRDefault="00867CCC" w:rsidP="00867CCC">
      <w:r w:rsidRPr="00753E02">
        <w:rPr>
          <w:b/>
        </w:rPr>
        <w:t>Príjmy zo zahraničných transferov</w:t>
      </w:r>
      <w:r w:rsidRPr="00753E02">
        <w:t xml:space="preserve"> sa rozpočtujú v rámci jednotlivých kapitol na úrovni platobných jednotiek, Pôdohospodárskej platobnej agentúry a Ministerstva práce sociálnych vecí a rodiny SR.</w:t>
      </w:r>
    </w:p>
    <w:p w14:paraId="1A9990B2" w14:textId="77777777" w:rsidR="00867CCC" w:rsidRPr="00753E02" w:rsidRDefault="00867CCC" w:rsidP="00867CCC">
      <w:pPr>
        <w:rPr>
          <w:b/>
        </w:rPr>
      </w:pPr>
      <w:r w:rsidRPr="00753E02">
        <w:rPr>
          <w:b/>
        </w:rPr>
        <w:t xml:space="preserve">Prostriedky za štrukturálne operácie </w:t>
      </w:r>
      <w:r w:rsidRPr="00753E02">
        <w:t xml:space="preserve">boli v roku 2018 rozpočtované za programy 3. programového obdobia 2014-2020, a to za fondy - Európsky fond regionálneho rozvoja (vrátane programov európskej územnej spolupráce pre ktoré je Ministerstvo financií SR certifikačným orgánom - </w:t>
      </w:r>
      <w:proofErr w:type="spellStart"/>
      <w:r w:rsidRPr="00753E02">
        <w:t>Interreg</w:t>
      </w:r>
      <w:proofErr w:type="spellEnd"/>
      <w:r w:rsidRPr="00753E02">
        <w:t xml:space="preserve"> V-A SK-AT 2014-2020, </w:t>
      </w:r>
      <w:proofErr w:type="spellStart"/>
      <w:r w:rsidRPr="00753E02">
        <w:t>Interreg</w:t>
      </w:r>
      <w:proofErr w:type="spellEnd"/>
      <w:r w:rsidRPr="00753E02">
        <w:t xml:space="preserve"> V-A SK-CZ 2014-2020), Európsky sociálny fond, Iniciatíva na podporu zamestnanosti mladých ľudí, Kohézny fond, Európsky námorný a rybársky fond a Fond európskej pomoci pre najodkázanejšie osoby.</w:t>
      </w:r>
    </w:p>
    <w:p w14:paraId="1050BBAF" w14:textId="77777777" w:rsidR="00867CCC" w:rsidRPr="00753E02" w:rsidRDefault="00867CCC" w:rsidP="00867CCC">
      <w:r w:rsidRPr="00753E02">
        <w:rPr>
          <w:b/>
        </w:rPr>
        <w:t>Prostriedky za poľnohospodárske fondy</w:t>
      </w:r>
      <w:r w:rsidRPr="00753E02">
        <w:t xml:space="preserve"> boli v roku 2018 rozpočtované za Európsky poľnohospodársky záručný fond (Priame platby a</w:t>
      </w:r>
      <w:r>
        <w:t xml:space="preserve"> </w:t>
      </w:r>
      <w:r w:rsidRPr="00753E02">
        <w:t>Trhovo orientované výdavky)</w:t>
      </w:r>
      <w:r>
        <w:t xml:space="preserve"> a </w:t>
      </w:r>
      <w:r w:rsidRPr="00753E02">
        <w:t>za Európsky poľnohospodársky fond pre rozvoj vidieka (Program rozvoja vidieka).</w:t>
      </w:r>
    </w:p>
    <w:p w14:paraId="2C71204E" w14:textId="75FDE486" w:rsidR="00867CCC" w:rsidRPr="00753E02" w:rsidRDefault="00867CCC" w:rsidP="00867CCC">
      <w:r w:rsidRPr="00753E02">
        <w:t xml:space="preserve">Schválený rozpočet príjmov zo zahraničných transferov na rok 2018 bol vo výške </w:t>
      </w:r>
      <w:r>
        <w:t>1 378 </w:t>
      </w:r>
      <w:r w:rsidRPr="00753E02">
        <w:t>419 tis. eur.</w:t>
      </w:r>
      <w:r w:rsidR="00B50B4C">
        <w:t xml:space="preserve"> </w:t>
      </w:r>
      <w:r w:rsidRPr="00753E02">
        <w:t>Rozpočet príjmov za prostriedky EÚ bol v roku 2018 upravený na úroveň 2</w:t>
      </w:r>
      <w:r w:rsidR="002B427F">
        <w:t> </w:t>
      </w:r>
      <w:r w:rsidRPr="00753E02">
        <w:t>169</w:t>
      </w:r>
      <w:r w:rsidR="002B427F">
        <w:t> </w:t>
      </w:r>
      <w:r w:rsidRPr="00753E02">
        <w:t>725</w:t>
      </w:r>
      <w:r w:rsidR="002B427F">
        <w:t> </w:t>
      </w:r>
      <w:r w:rsidRPr="00753E02">
        <w:t>tis.</w:t>
      </w:r>
      <w:r w:rsidR="002B427F">
        <w:t> </w:t>
      </w:r>
      <w:r w:rsidRPr="00753E02">
        <w:t>eur. K úpravám došlo v nadväznosti na vysporiadanie finančných prostriedkov za finančné opravy v</w:t>
      </w:r>
      <w:r>
        <w:t> </w:t>
      </w:r>
      <w:r w:rsidRPr="00753E02">
        <w:t>zmysle § 15 zákona o rozpočtových pravidlách, v nadväznosti na prijaté oznámenia o výške prostriedkov, ktoré budú použité v nasledujúcich rokoch v zmysle § 8 zákona o rozpočtových pravidlách verejnej správy a v nadväznosti na ostatné viazania pro</w:t>
      </w:r>
      <w:r w:rsidR="002D0CEA">
        <w:t xml:space="preserve">striedkov v zmysle § 18 zákona </w:t>
      </w:r>
      <w:r w:rsidRPr="00753E02">
        <w:t>o rozpočtových pravidlách.</w:t>
      </w:r>
    </w:p>
    <w:p w14:paraId="0AF10B88" w14:textId="016D2537" w:rsidR="00867CCC" w:rsidRPr="00BE1037" w:rsidRDefault="00867CCC" w:rsidP="00867CCC">
      <w:r w:rsidRPr="00BE1037">
        <w:t>Skutočné plnenie príjmov zo zahraničných transferov</w:t>
      </w:r>
      <w:r w:rsidRPr="00BE1037">
        <w:rPr>
          <w:b/>
          <w:i/>
        </w:rPr>
        <w:t xml:space="preserve"> </w:t>
      </w:r>
      <w:r w:rsidRPr="00BE1037">
        <w:t>vo výške 2</w:t>
      </w:r>
      <w:r>
        <w:t> </w:t>
      </w:r>
      <w:r w:rsidRPr="00BE1037">
        <w:t>169</w:t>
      </w:r>
      <w:r>
        <w:t> </w:t>
      </w:r>
      <w:r w:rsidRPr="00BE1037">
        <w:t>725</w:t>
      </w:r>
      <w:r>
        <w:t> </w:t>
      </w:r>
      <w:r w:rsidRPr="00BE1037">
        <w:t>tis.</w:t>
      </w:r>
      <w:r>
        <w:t> </w:t>
      </w:r>
      <w:r w:rsidRPr="00BE1037">
        <w:t>eur predstavuje plnenie na úrovni 100 % z upraveného rozpočtu. Príjmy za štrukturálne operácie, pri ktorých plní úlohu certifikačného orgánu Ministerstvo financií SR sú vo výške 1 509 852 tis. eur (z toho štrukturálne fondy 2. programového obdobia v sume 93 018 tis. eur, štrukturálne fondy 3. programového obdobia v sume 704</w:t>
      </w:r>
      <w:r w:rsidR="002B427F">
        <w:t> </w:t>
      </w:r>
      <w:r w:rsidRPr="00BE1037">
        <w:t>401</w:t>
      </w:r>
      <w:r w:rsidR="002B427F">
        <w:t> tis. </w:t>
      </w:r>
      <w:r>
        <w:t>eur a</w:t>
      </w:r>
      <w:r w:rsidRPr="00BE1037">
        <w:t xml:space="preserve"> Kohézny fond 3. programového obdobia v sume 712</w:t>
      </w:r>
      <w:r w:rsidR="002B427F">
        <w:t> </w:t>
      </w:r>
      <w:r w:rsidRPr="00BE1037">
        <w:t>433</w:t>
      </w:r>
      <w:r w:rsidR="002B427F">
        <w:t> </w:t>
      </w:r>
      <w:r w:rsidRPr="00BE1037">
        <w:t>tis.</w:t>
      </w:r>
      <w:r w:rsidR="002B427F">
        <w:t> </w:t>
      </w:r>
      <w:r w:rsidRPr="00BE1037">
        <w:t xml:space="preserve">eur). Príjmy za štrukturálne operácie, pri ktorých plní úlohu certifikačného orgánu Ministerstvo práce, sociálnych vecí a rodiny SR sú v sume 8 942 tis. eur. Príjmy za poľnohospodárske fondy boli vo výške 650 931 tis. eur (z toho za Európsky poľnohospodársky </w:t>
      </w:r>
      <w:r w:rsidR="002B427F">
        <w:t>fond rozvoja vidieka v sume 201 </w:t>
      </w:r>
      <w:r w:rsidRPr="00BE1037">
        <w:t xml:space="preserve">421 tis. eur a za Európsky poľnohospodársky záručný fond v sume 449 510 tis. eur). </w:t>
      </w:r>
    </w:p>
    <w:p w14:paraId="5C5426EA" w14:textId="77777777" w:rsidR="00867CCC" w:rsidRDefault="00867CCC" w:rsidP="00867CCC">
      <w:r w:rsidRPr="00753E02">
        <w:t xml:space="preserve">Do skutočnosti príjmov z rozpočtu EÚ vstupujú aj </w:t>
      </w:r>
      <w:r w:rsidRPr="008759CD">
        <w:rPr>
          <w:b/>
        </w:rPr>
        <w:t>príjmy zo zahraničných grantov</w:t>
      </w:r>
      <w:r>
        <w:rPr>
          <w:b/>
        </w:rPr>
        <w:t xml:space="preserve"> poskytnutých z rozpočtu EÚ, </w:t>
      </w:r>
      <w:r w:rsidRPr="008759CD">
        <w:t>ktoré boli zapojené cez príjmy ŠR</w:t>
      </w:r>
      <w:r>
        <w:t xml:space="preserve"> v roku 2018</w:t>
      </w:r>
      <w:r w:rsidRPr="008759CD">
        <w:t xml:space="preserve"> </w:t>
      </w:r>
      <w:r w:rsidRPr="00BE1037">
        <w:t>vo výške 7 tis. eur</w:t>
      </w:r>
      <w:r>
        <w:t xml:space="preserve">. </w:t>
      </w:r>
      <w:r w:rsidRPr="00BE1037">
        <w:t xml:space="preserve">V rámci zahraničných grantov sú uvedené výlučne zahraničné granty poskytnuté z rozpočtu EÚ, ktorých poskytovanie riadi EÚ centralizovaným spôsobom. </w:t>
      </w:r>
    </w:p>
    <w:p w14:paraId="2365B5ED" w14:textId="77777777" w:rsidR="00867CCC" w:rsidRDefault="00867CCC" w:rsidP="00867CCC">
      <w:r w:rsidRPr="00753E02">
        <w:t xml:space="preserve">Skutočné plnenie príjmov SR z rozpočtu EÚ je vo výške 2 169 732 tis. eur, z toho príjmy </w:t>
      </w:r>
      <w:r>
        <w:t>zo </w:t>
      </w:r>
      <w:r w:rsidRPr="00753E02">
        <w:t>zahraničných transferov sú vo výške 2 169 725 tis. eur a príjmy zo zahraničných grantov sú vo výške 7 tis. eur.</w:t>
      </w:r>
    </w:p>
    <w:p w14:paraId="1001138D" w14:textId="77777777" w:rsidR="00867CCC" w:rsidRPr="004C5C6E" w:rsidRDefault="00867CCC" w:rsidP="00605DD4">
      <w:pPr>
        <w:spacing w:after="0"/>
      </w:pPr>
      <w:r w:rsidRPr="004C5C6E">
        <w:t>Prehľad je uvedený v nasledovnej tabuľke:</w:t>
      </w:r>
    </w:p>
    <w:tbl>
      <w:tblPr>
        <w:tblW w:w="5000" w:type="pct"/>
        <w:tblCellMar>
          <w:left w:w="70" w:type="dxa"/>
          <w:right w:w="70" w:type="dxa"/>
        </w:tblCellMar>
        <w:tblLook w:val="04A0" w:firstRow="1" w:lastRow="0" w:firstColumn="1" w:lastColumn="0" w:noHBand="0" w:noVBand="1"/>
      </w:tblPr>
      <w:tblGrid>
        <w:gridCol w:w="2965"/>
        <w:gridCol w:w="940"/>
        <w:gridCol w:w="940"/>
        <w:gridCol w:w="940"/>
        <w:gridCol w:w="1122"/>
        <w:gridCol w:w="791"/>
        <w:gridCol w:w="805"/>
      </w:tblGrid>
      <w:tr w:rsidR="00867CCC" w:rsidRPr="00B50B4C" w14:paraId="4B2427F6" w14:textId="77777777" w:rsidTr="006F6DE5">
        <w:trPr>
          <w:trHeight w:val="330"/>
        </w:trPr>
        <w:tc>
          <w:tcPr>
            <w:tcW w:w="1744" w:type="pct"/>
            <w:tcBorders>
              <w:top w:val="nil"/>
              <w:left w:val="nil"/>
              <w:bottom w:val="nil"/>
              <w:right w:val="nil"/>
            </w:tcBorders>
            <w:shd w:val="clear" w:color="000000" w:fill="000000"/>
            <w:noWrap/>
            <w:vAlign w:val="bottom"/>
            <w:hideMark/>
          </w:tcPr>
          <w:p w14:paraId="1457C285" w14:textId="77777777" w:rsidR="00867CCC" w:rsidRPr="00B50B4C" w:rsidRDefault="00867CCC" w:rsidP="00867CCC">
            <w:pPr>
              <w:spacing w:after="0" w:line="240" w:lineRule="auto"/>
              <w:jc w:val="left"/>
              <w:rPr>
                <w:rFonts w:eastAsia="Times New Roman" w:cs="Times New Roman"/>
                <w:b/>
                <w:bCs/>
                <w:color w:val="FFFFFF"/>
                <w:sz w:val="18"/>
                <w:szCs w:val="18"/>
                <w:lang w:eastAsia="sk-SK"/>
              </w:rPr>
            </w:pPr>
            <w:r w:rsidRPr="00B50B4C">
              <w:rPr>
                <w:rFonts w:eastAsia="Times New Roman" w:cs="Times New Roman"/>
                <w:b/>
                <w:bCs/>
                <w:color w:val="FFFFFF"/>
                <w:sz w:val="18"/>
                <w:szCs w:val="18"/>
                <w:lang w:eastAsia="sk-SK"/>
              </w:rPr>
              <w:t xml:space="preserve">Plnenie príjmov z rozpočtu EÚ </w:t>
            </w:r>
          </w:p>
        </w:tc>
        <w:tc>
          <w:tcPr>
            <w:tcW w:w="553" w:type="pct"/>
            <w:tcBorders>
              <w:top w:val="nil"/>
              <w:left w:val="nil"/>
              <w:bottom w:val="nil"/>
              <w:right w:val="nil"/>
            </w:tcBorders>
            <w:shd w:val="clear" w:color="000000" w:fill="000000"/>
            <w:noWrap/>
            <w:vAlign w:val="bottom"/>
            <w:hideMark/>
          </w:tcPr>
          <w:p w14:paraId="05CE27EF" w14:textId="77777777" w:rsidR="00867CCC" w:rsidRPr="00B50B4C" w:rsidRDefault="00867CCC" w:rsidP="00867CCC">
            <w:pPr>
              <w:spacing w:after="0" w:line="240" w:lineRule="auto"/>
              <w:jc w:val="left"/>
              <w:rPr>
                <w:rFonts w:eastAsia="Times New Roman" w:cs="Times New Roman"/>
                <w:b/>
                <w:bCs/>
                <w:color w:val="FFFFFF"/>
                <w:sz w:val="18"/>
                <w:szCs w:val="18"/>
                <w:lang w:eastAsia="sk-SK"/>
              </w:rPr>
            </w:pPr>
            <w:r w:rsidRPr="00B50B4C">
              <w:rPr>
                <w:rFonts w:eastAsia="Times New Roman" w:cs="Times New Roman"/>
                <w:b/>
                <w:bCs/>
                <w:color w:val="FFFFFF"/>
                <w:sz w:val="18"/>
                <w:szCs w:val="18"/>
                <w:lang w:eastAsia="sk-SK"/>
              </w:rPr>
              <w:t> </w:t>
            </w:r>
          </w:p>
        </w:tc>
        <w:tc>
          <w:tcPr>
            <w:tcW w:w="553" w:type="pct"/>
            <w:tcBorders>
              <w:top w:val="nil"/>
              <w:left w:val="nil"/>
              <w:bottom w:val="nil"/>
              <w:right w:val="nil"/>
            </w:tcBorders>
            <w:shd w:val="clear" w:color="000000" w:fill="000000"/>
            <w:noWrap/>
            <w:vAlign w:val="bottom"/>
            <w:hideMark/>
          </w:tcPr>
          <w:p w14:paraId="50DEB777" w14:textId="77777777" w:rsidR="00867CCC" w:rsidRPr="00B50B4C" w:rsidRDefault="00867CCC" w:rsidP="00867CCC">
            <w:pPr>
              <w:spacing w:after="0" w:line="240" w:lineRule="auto"/>
              <w:jc w:val="left"/>
              <w:rPr>
                <w:rFonts w:eastAsia="Times New Roman" w:cs="Times New Roman"/>
                <w:b/>
                <w:bCs/>
                <w:color w:val="FFFFFF"/>
                <w:sz w:val="18"/>
                <w:szCs w:val="18"/>
                <w:lang w:eastAsia="sk-SK"/>
              </w:rPr>
            </w:pPr>
            <w:r w:rsidRPr="00B50B4C">
              <w:rPr>
                <w:rFonts w:eastAsia="Times New Roman" w:cs="Times New Roman"/>
                <w:b/>
                <w:bCs/>
                <w:color w:val="FFFFFF"/>
                <w:sz w:val="18"/>
                <w:szCs w:val="18"/>
                <w:lang w:eastAsia="sk-SK"/>
              </w:rPr>
              <w:t> </w:t>
            </w:r>
          </w:p>
        </w:tc>
        <w:tc>
          <w:tcPr>
            <w:tcW w:w="553" w:type="pct"/>
            <w:tcBorders>
              <w:top w:val="nil"/>
              <w:left w:val="nil"/>
              <w:bottom w:val="nil"/>
              <w:right w:val="nil"/>
            </w:tcBorders>
            <w:shd w:val="clear" w:color="000000" w:fill="000000"/>
            <w:noWrap/>
            <w:vAlign w:val="bottom"/>
            <w:hideMark/>
          </w:tcPr>
          <w:p w14:paraId="0B31408D" w14:textId="77777777" w:rsidR="00867CCC" w:rsidRPr="00B50B4C" w:rsidRDefault="00867CCC" w:rsidP="00867CCC">
            <w:pPr>
              <w:spacing w:after="0" w:line="240" w:lineRule="auto"/>
              <w:jc w:val="left"/>
              <w:rPr>
                <w:rFonts w:eastAsia="Times New Roman" w:cs="Times New Roman"/>
                <w:b/>
                <w:bCs/>
                <w:color w:val="FFFFFF"/>
                <w:sz w:val="18"/>
                <w:szCs w:val="18"/>
                <w:lang w:eastAsia="sk-SK"/>
              </w:rPr>
            </w:pPr>
            <w:r w:rsidRPr="00B50B4C">
              <w:rPr>
                <w:rFonts w:eastAsia="Times New Roman" w:cs="Times New Roman"/>
                <w:b/>
                <w:bCs/>
                <w:color w:val="FFFFFF"/>
                <w:sz w:val="18"/>
                <w:szCs w:val="18"/>
                <w:lang w:eastAsia="sk-SK"/>
              </w:rPr>
              <w:t> </w:t>
            </w:r>
          </w:p>
        </w:tc>
        <w:tc>
          <w:tcPr>
            <w:tcW w:w="660" w:type="pct"/>
            <w:tcBorders>
              <w:top w:val="nil"/>
              <w:left w:val="nil"/>
              <w:bottom w:val="nil"/>
              <w:right w:val="nil"/>
            </w:tcBorders>
            <w:shd w:val="clear" w:color="000000" w:fill="000000"/>
            <w:noWrap/>
            <w:vAlign w:val="bottom"/>
            <w:hideMark/>
          </w:tcPr>
          <w:p w14:paraId="7B861F69" w14:textId="77777777" w:rsidR="00867CCC" w:rsidRPr="00B50B4C" w:rsidRDefault="00867CCC" w:rsidP="00867CCC">
            <w:pPr>
              <w:spacing w:after="0" w:line="240" w:lineRule="auto"/>
              <w:jc w:val="left"/>
              <w:rPr>
                <w:rFonts w:eastAsia="Times New Roman" w:cs="Times New Roman"/>
                <w:b/>
                <w:bCs/>
                <w:color w:val="FFFFFF"/>
                <w:sz w:val="18"/>
                <w:szCs w:val="18"/>
                <w:lang w:eastAsia="sk-SK"/>
              </w:rPr>
            </w:pPr>
            <w:r w:rsidRPr="00B50B4C">
              <w:rPr>
                <w:rFonts w:eastAsia="Times New Roman" w:cs="Times New Roman"/>
                <w:b/>
                <w:bCs/>
                <w:color w:val="FFFFFF"/>
                <w:sz w:val="18"/>
                <w:szCs w:val="18"/>
                <w:lang w:eastAsia="sk-SK"/>
              </w:rPr>
              <w:t> </w:t>
            </w:r>
          </w:p>
        </w:tc>
        <w:tc>
          <w:tcPr>
            <w:tcW w:w="465" w:type="pct"/>
            <w:tcBorders>
              <w:top w:val="nil"/>
              <w:left w:val="nil"/>
              <w:bottom w:val="nil"/>
              <w:right w:val="nil"/>
            </w:tcBorders>
            <w:shd w:val="clear" w:color="000000" w:fill="000000"/>
            <w:noWrap/>
            <w:vAlign w:val="bottom"/>
            <w:hideMark/>
          </w:tcPr>
          <w:p w14:paraId="636FF634" w14:textId="77777777" w:rsidR="00867CCC" w:rsidRPr="00B50B4C" w:rsidRDefault="00867CCC" w:rsidP="00867CCC">
            <w:pPr>
              <w:spacing w:after="0" w:line="240" w:lineRule="auto"/>
              <w:jc w:val="left"/>
              <w:rPr>
                <w:rFonts w:eastAsia="Times New Roman" w:cs="Times New Roman"/>
                <w:b/>
                <w:bCs/>
                <w:color w:val="FFFFFF"/>
                <w:sz w:val="18"/>
                <w:szCs w:val="18"/>
                <w:lang w:eastAsia="sk-SK"/>
              </w:rPr>
            </w:pPr>
            <w:r w:rsidRPr="00B50B4C">
              <w:rPr>
                <w:rFonts w:eastAsia="Times New Roman" w:cs="Times New Roman"/>
                <w:b/>
                <w:bCs/>
                <w:color w:val="FFFFFF"/>
                <w:sz w:val="18"/>
                <w:szCs w:val="18"/>
                <w:lang w:eastAsia="sk-SK"/>
              </w:rPr>
              <w:t> </w:t>
            </w:r>
          </w:p>
        </w:tc>
        <w:tc>
          <w:tcPr>
            <w:tcW w:w="473" w:type="pct"/>
            <w:tcBorders>
              <w:top w:val="nil"/>
              <w:left w:val="nil"/>
              <w:bottom w:val="nil"/>
              <w:right w:val="nil"/>
            </w:tcBorders>
            <w:shd w:val="clear" w:color="000000" w:fill="000000"/>
            <w:noWrap/>
            <w:vAlign w:val="bottom"/>
            <w:hideMark/>
          </w:tcPr>
          <w:p w14:paraId="59451ADB" w14:textId="77777777" w:rsidR="00867CCC" w:rsidRPr="00B50B4C" w:rsidRDefault="00867CCC" w:rsidP="00867CCC">
            <w:pPr>
              <w:spacing w:after="0" w:line="240" w:lineRule="auto"/>
              <w:jc w:val="left"/>
              <w:rPr>
                <w:rFonts w:eastAsia="Times New Roman" w:cs="Times New Roman"/>
                <w:b/>
                <w:bCs/>
                <w:color w:val="FFFFFF"/>
                <w:sz w:val="18"/>
                <w:szCs w:val="18"/>
                <w:lang w:eastAsia="sk-SK"/>
              </w:rPr>
            </w:pPr>
            <w:r w:rsidRPr="00B50B4C">
              <w:rPr>
                <w:rFonts w:eastAsia="Times New Roman" w:cs="Times New Roman"/>
                <w:b/>
                <w:bCs/>
                <w:color w:val="FFFFFF"/>
                <w:sz w:val="18"/>
                <w:szCs w:val="18"/>
                <w:lang w:eastAsia="sk-SK"/>
              </w:rPr>
              <w:t>v tis. eur</w:t>
            </w:r>
          </w:p>
        </w:tc>
      </w:tr>
      <w:tr w:rsidR="00867CCC" w:rsidRPr="00B50B4C" w14:paraId="32A89CFC" w14:textId="77777777" w:rsidTr="006F6DE5">
        <w:trPr>
          <w:trHeight w:val="330"/>
        </w:trPr>
        <w:tc>
          <w:tcPr>
            <w:tcW w:w="1744" w:type="pct"/>
            <w:tcBorders>
              <w:top w:val="nil"/>
              <w:left w:val="nil"/>
              <w:bottom w:val="nil"/>
              <w:right w:val="nil"/>
            </w:tcBorders>
            <w:shd w:val="clear" w:color="000000" w:fill="BFBFBF"/>
            <w:vAlign w:val="center"/>
            <w:hideMark/>
          </w:tcPr>
          <w:p w14:paraId="451DF17E" w14:textId="77777777" w:rsidR="00867CCC" w:rsidRPr="00B50B4C" w:rsidRDefault="00867CCC" w:rsidP="00867CCC">
            <w:pPr>
              <w:spacing w:after="0" w:line="240" w:lineRule="auto"/>
              <w:jc w:val="left"/>
              <w:rPr>
                <w:rFonts w:eastAsia="Times New Roman" w:cs="Times New Roman"/>
                <w:b/>
                <w:bCs/>
                <w:sz w:val="18"/>
                <w:szCs w:val="18"/>
                <w:lang w:eastAsia="sk-SK"/>
              </w:rPr>
            </w:pPr>
            <w:r w:rsidRPr="00B50B4C">
              <w:rPr>
                <w:rFonts w:eastAsia="Times New Roman" w:cs="Times New Roman"/>
                <w:b/>
                <w:bCs/>
                <w:sz w:val="18"/>
                <w:szCs w:val="18"/>
                <w:lang w:eastAsia="sk-SK"/>
              </w:rPr>
              <w:t> </w:t>
            </w:r>
          </w:p>
        </w:tc>
        <w:tc>
          <w:tcPr>
            <w:tcW w:w="1105" w:type="pct"/>
            <w:gridSpan w:val="2"/>
            <w:tcBorders>
              <w:top w:val="nil"/>
              <w:left w:val="nil"/>
              <w:bottom w:val="nil"/>
              <w:right w:val="nil"/>
            </w:tcBorders>
            <w:shd w:val="clear" w:color="000000" w:fill="BFBFBF"/>
            <w:vAlign w:val="center"/>
            <w:hideMark/>
          </w:tcPr>
          <w:p w14:paraId="28C6428C" w14:textId="77777777" w:rsidR="00867CCC" w:rsidRPr="00B50B4C" w:rsidRDefault="00867CCC" w:rsidP="00867CCC">
            <w:pPr>
              <w:spacing w:after="0" w:line="240" w:lineRule="auto"/>
              <w:jc w:val="center"/>
              <w:rPr>
                <w:rFonts w:eastAsia="Times New Roman" w:cs="Times New Roman"/>
                <w:b/>
                <w:bCs/>
                <w:sz w:val="18"/>
                <w:szCs w:val="18"/>
                <w:lang w:eastAsia="sk-SK"/>
              </w:rPr>
            </w:pPr>
            <w:r w:rsidRPr="00B50B4C">
              <w:rPr>
                <w:rFonts w:eastAsia="Times New Roman" w:cs="Times New Roman"/>
                <w:b/>
                <w:bCs/>
                <w:sz w:val="18"/>
                <w:szCs w:val="18"/>
                <w:lang w:eastAsia="sk-SK"/>
              </w:rPr>
              <w:t>Skutočnosť</w:t>
            </w:r>
          </w:p>
        </w:tc>
        <w:tc>
          <w:tcPr>
            <w:tcW w:w="553" w:type="pct"/>
            <w:tcBorders>
              <w:top w:val="nil"/>
              <w:left w:val="nil"/>
              <w:bottom w:val="nil"/>
              <w:right w:val="nil"/>
            </w:tcBorders>
            <w:shd w:val="clear" w:color="000000" w:fill="BFBFBF"/>
            <w:vAlign w:val="center"/>
            <w:hideMark/>
          </w:tcPr>
          <w:p w14:paraId="58F3AB2E" w14:textId="77777777" w:rsidR="00867CCC" w:rsidRPr="00B50B4C" w:rsidRDefault="00867CCC" w:rsidP="00867CCC">
            <w:pPr>
              <w:spacing w:after="0" w:line="240" w:lineRule="auto"/>
              <w:jc w:val="left"/>
              <w:rPr>
                <w:rFonts w:eastAsia="Times New Roman" w:cs="Times New Roman"/>
                <w:b/>
                <w:bCs/>
                <w:sz w:val="18"/>
                <w:szCs w:val="18"/>
                <w:lang w:eastAsia="sk-SK"/>
              </w:rPr>
            </w:pPr>
            <w:r w:rsidRPr="00B50B4C">
              <w:rPr>
                <w:rFonts w:eastAsia="Times New Roman" w:cs="Times New Roman"/>
                <w:b/>
                <w:bCs/>
                <w:sz w:val="18"/>
                <w:szCs w:val="18"/>
                <w:lang w:eastAsia="sk-SK"/>
              </w:rPr>
              <w:t>Rozpočet</w:t>
            </w:r>
          </w:p>
        </w:tc>
        <w:tc>
          <w:tcPr>
            <w:tcW w:w="660" w:type="pct"/>
            <w:tcBorders>
              <w:top w:val="nil"/>
              <w:left w:val="nil"/>
              <w:bottom w:val="nil"/>
              <w:right w:val="nil"/>
            </w:tcBorders>
            <w:shd w:val="clear" w:color="000000" w:fill="BFBFBF"/>
            <w:vAlign w:val="center"/>
            <w:hideMark/>
          </w:tcPr>
          <w:p w14:paraId="16FAF801" w14:textId="77777777" w:rsidR="00867CCC" w:rsidRPr="00B50B4C" w:rsidRDefault="00867CCC" w:rsidP="00867CCC">
            <w:pPr>
              <w:spacing w:after="0" w:line="240" w:lineRule="auto"/>
              <w:jc w:val="left"/>
              <w:rPr>
                <w:rFonts w:eastAsia="Times New Roman" w:cs="Times New Roman"/>
                <w:b/>
                <w:bCs/>
                <w:sz w:val="18"/>
                <w:szCs w:val="18"/>
                <w:lang w:eastAsia="sk-SK"/>
              </w:rPr>
            </w:pPr>
            <w:r w:rsidRPr="00B50B4C">
              <w:rPr>
                <w:rFonts w:eastAsia="Times New Roman" w:cs="Times New Roman"/>
                <w:b/>
                <w:bCs/>
                <w:sz w:val="18"/>
                <w:szCs w:val="18"/>
                <w:lang w:eastAsia="sk-SK"/>
              </w:rPr>
              <w:t>Skutočnosť</w:t>
            </w:r>
          </w:p>
        </w:tc>
        <w:tc>
          <w:tcPr>
            <w:tcW w:w="938" w:type="pct"/>
            <w:gridSpan w:val="2"/>
            <w:tcBorders>
              <w:top w:val="nil"/>
              <w:left w:val="nil"/>
              <w:bottom w:val="nil"/>
              <w:right w:val="nil"/>
            </w:tcBorders>
            <w:shd w:val="clear" w:color="000000" w:fill="BFBFBF"/>
            <w:vAlign w:val="center"/>
            <w:hideMark/>
          </w:tcPr>
          <w:p w14:paraId="3508EE3E" w14:textId="77777777" w:rsidR="00867CCC" w:rsidRPr="00B50B4C" w:rsidRDefault="00867CCC" w:rsidP="00867CCC">
            <w:pPr>
              <w:spacing w:after="0" w:line="240" w:lineRule="auto"/>
              <w:jc w:val="center"/>
              <w:rPr>
                <w:rFonts w:eastAsia="Times New Roman" w:cs="Times New Roman"/>
                <w:b/>
                <w:bCs/>
                <w:sz w:val="18"/>
                <w:szCs w:val="18"/>
                <w:lang w:eastAsia="sk-SK"/>
              </w:rPr>
            </w:pPr>
            <w:r w:rsidRPr="00B50B4C">
              <w:rPr>
                <w:rFonts w:eastAsia="Times New Roman" w:cs="Times New Roman"/>
                <w:b/>
                <w:bCs/>
                <w:sz w:val="18"/>
                <w:szCs w:val="18"/>
                <w:lang w:eastAsia="sk-SK"/>
              </w:rPr>
              <w:t>Rozdiel</w:t>
            </w:r>
          </w:p>
        </w:tc>
      </w:tr>
      <w:tr w:rsidR="00867CCC" w:rsidRPr="00B50B4C" w14:paraId="3CA13CBB" w14:textId="77777777" w:rsidTr="006F6DE5">
        <w:trPr>
          <w:trHeight w:val="330"/>
        </w:trPr>
        <w:tc>
          <w:tcPr>
            <w:tcW w:w="1744" w:type="pct"/>
            <w:tcBorders>
              <w:top w:val="nil"/>
              <w:left w:val="nil"/>
              <w:bottom w:val="nil"/>
              <w:right w:val="nil"/>
            </w:tcBorders>
            <w:shd w:val="clear" w:color="000000" w:fill="BFBFBF"/>
            <w:vAlign w:val="center"/>
            <w:hideMark/>
          </w:tcPr>
          <w:p w14:paraId="099B4EEF" w14:textId="77777777" w:rsidR="00867CCC" w:rsidRPr="00B50B4C" w:rsidRDefault="00867CCC" w:rsidP="00867CCC">
            <w:pPr>
              <w:spacing w:after="0" w:line="240" w:lineRule="auto"/>
              <w:jc w:val="left"/>
              <w:rPr>
                <w:rFonts w:eastAsia="Times New Roman" w:cs="Times New Roman"/>
                <w:b/>
                <w:bCs/>
                <w:sz w:val="18"/>
                <w:szCs w:val="18"/>
                <w:lang w:eastAsia="sk-SK"/>
              </w:rPr>
            </w:pPr>
            <w:r w:rsidRPr="00B50B4C">
              <w:rPr>
                <w:rFonts w:eastAsia="Times New Roman" w:cs="Times New Roman"/>
                <w:b/>
                <w:bCs/>
                <w:sz w:val="18"/>
                <w:szCs w:val="18"/>
                <w:lang w:eastAsia="sk-SK"/>
              </w:rPr>
              <w:t> </w:t>
            </w:r>
          </w:p>
        </w:tc>
        <w:tc>
          <w:tcPr>
            <w:tcW w:w="553" w:type="pct"/>
            <w:tcBorders>
              <w:top w:val="nil"/>
              <w:left w:val="nil"/>
              <w:bottom w:val="nil"/>
              <w:right w:val="nil"/>
            </w:tcBorders>
            <w:shd w:val="clear" w:color="000000" w:fill="BFBFBF"/>
            <w:vAlign w:val="center"/>
            <w:hideMark/>
          </w:tcPr>
          <w:p w14:paraId="262FE312" w14:textId="77777777" w:rsidR="00867CCC" w:rsidRPr="00B50B4C" w:rsidRDefault="00867CCC" w:rsidP="00867CCC">
            <w:pPr>
              <w:spacing w:after="0" w:line="240" w:lineRule="auto"/>
              <w:jc w:val="left"/>
              <w:rPr>
                <w:rFonts w:eastAsia="Times New Roman" w:cs="Times New Roman"/>
                <w:b/>
                <w:bCs/>
                <w:sz w:val="18"/>
                <w:szCs w:val="18"/>
                <w:lang w:eastAsia="sk-SK"/>
              </w:rPr>
            </w:pPr>
            <w:r w:rsidRPr="00B50B4C">
              <w:rPr>
                <w:rFonts w:eastAsia="Times New Roman" w:cs="Times New Roman"/>
                <w:b/>
                <w:bCs/>
                <w:sz w:val="18"/>
                <w:szCs w:val="18"/>
                <w:lang w:eastAsia="sk-SK"/>
              </w:rPr>
              <w:t>2016</w:t>
            </w:r>
          </w:p>
        </w:tc>
        <w:tc>
          <w:tcPr>
            <w:tcW w:w="553" w:type="pct"/>
            <w:tcBorders>
              <w:top w:val="nil"/>
              <w:left w:val="nil"/>
              <w:bottom w:val="nil"/>
              <w:right w:val="nil"/>
            </w:tcBorders>
            <w:shd w:val="clear" w:color="000000" w:fill="BFBFBF"/>
            <w:vAlign w:val="center"/>
            <w:hideMark/>
          </w:tcPr>
          <w:p w14:paraId="1626DE84" w14:textId="77777777" w:rsidR="00867CCC" w:rsidRPr="00B50B4C" w:rsidRDefault="00867CCC" w:rsidP="00867CCC">
            <w:pPr>
              <w:spacing w:after="0" w:line="240" w:lineRule="auto"/>
              <w:jc w:val="left"/>
              <w:rPr>
                <w:rFonts w:eastAsia="Times New Roman" w:cs="Times New Roman"/>
                <w:b/>
                <w:bCs/>
                <w:sz w:val="18"/>
                <w:szCs w:val="18"/>
                <w:lang w:eastAsia="sk-SK"/>
              </w:rPr>
            </w:pPr>
            <w:r w:rsidRPr="00B50B4C">
              <w:rPr>
                <w:rFonts w:eastAsia="Times New Roman" w:cs="Times New Roman"/>
                <w:b/>
                <w:bCs/>
                <w:sz w:val="18"/>
                <w:szCs w:val="18"/>
                <w:lang w:eastAsia="sk-SK"/>
              </w:rPr>
              <w:t>2017</w:t>
            </w:r>
          </w:p>
        </w:tc>
        <w:tc>
          <w:tcPr>
            <w:tcW w:w="553" w:type="pct"/>
            <w:tcBorders>
              <w:top w:val="nil"/>
              <w:left w:val="nil"/>
              <w:bottom w:val="nil"/>
              <w:right w:val="nil"/>
            </w:tcBorders>
            <w:shd w:val="clear" w:color="000000" w:fill="BFBFBF"/>
            <w:vAlign w:val="center"/>
            <w:hideMark/>
          </w:tcPr>
          <w:p w14:paraId="6C333189" w14:textId="77777777" w:rsidR="00867CCC" w:rsidRPr="00B50B4C" w:rsidRDefault="00867CCC" w:rsidP="00867CCC">
            <w:pPr>
              <w:spacing w:after="0" w:line="240" w:lineRule="auto"/>
              <w:jc w:val="left"/>
              <w:rPr>
                <w:rFonts w:eastAsia="Times New Roman" w:cs="Times New Roman"/>
                <w:b/>
                <w:bCs/>
                <w:sz w:val="18"/>
                <w:szCs w:val="18"/>
                <w:lang w:eastAsia="sk-SK"/>
              </w:rPr>
            </w:pPr>
            <w:r w:rsidRPr="00B50B4C">
              <w:rPr>
                <w:rFonts w:eastAsia="Times New Roman" w:cs="Times New Roman"/>
                <w:b/>
                <w:bCs/>
                <w:sz w:val="18"/>
                <w:szCs w:val="18"/>
                <w:lang w:eastAsia="sk-SK"/>
              </w:rPr>
              <w:t>2018</w:t>
            </w:r>
          </w:p>
        </w:tc>
        <w:tc>
          <w:tcPr>
            <w:tcW w:w="660" w:type="pct"/>
            <w:tcBorders>
              <w:top w:val="nil"/>
              <w:left w:val="nil"/>
              <w:bottom w:val="nil"/>
              <w:right w:val="nil"/>
            </w:tcBorders>
            <w:shd w:val="clear" w:color="000000" w:fill="BFBFBF"/>
            <w:vAlign w:val="center"/>
            <w:hideMark/>
          </w:tcPr>
          <w:p w14:paraId="03004ED5" w14:textId="77777777" w:rsidR="00867CCC" w:rsidRPr="00B50B4C" w:rsidRDefault="00867CCC" w:rsidP="00867CCC">
            <w:pPr>
              <w:spacing w:after="0" w:line="240" w:lineRule="auto"/>
              <w:jc w:val="left"/>
              <w:rPr>
                <w:rFonts w:eastAsia="Times New Roman" w:cs="Times New Roman"/>
                <w:b/>
                <w:bCs/>
                <w:sz w:val="18"/>
                <w:szCs w:val="18"/>
                <w:lang w:eastAsia="sk-SK"/>
              </w:rPr>
            </w:pPr>
            <w:r w:rsidRPr="00B50B4C">
              <w:rPr>
                <w:rFonts w:eastAsia="Times New Roman" w:cs="Times New Roman"/>
                <w:b/>
                <w:bCs/>
                <w:sz w:val="18"/>
                <w:szCs w:val="18"/>
                <w:lang w:eastAsia="sk-SK"/>
              </w:rPr>
              <w:t>2018</w:t>
            </w:r>
          </w:p>
        </w:tc>
        <w:tc>
          <w:tcPr>
            <w:tcW w:w="465" w:type="pct"/>
            <w:tcBorders>
              <w:top w:val="nil"/>
              <w:left w:val="nil"/>
              <w:bottom w:val="nil"/>
              <w:right w:val="nil"/>
            </w:tcBorders>
            <w:shd w:val="clear" w:color="000000" w:fill="BFBFBF"/>
            <w:vAlign w:val="center"/>
            <w:hideMark/>
          </w:tcPr>
          <w:p w14:paraId="3DDCF0CF" w14:textId="77777777" w:rsidR="00867CCC" w:rsidRPr="00B50B4C" w:rsidRDefault="00867CCC" w:rsidP="00867CCC">
            <w:pPr>
              <w:spacing w:after="0" w:line="240" w:lineRule="auto"/>
              <w:jc w:val="center"/>
              <w:rPr>
                <w:rFonts w:eastAsia="Times New Roman" w:cs="Times New Roman"/>
                <w:b/>
                <w:bCs/>
                <w:sz w:val="18"/>
                <w:szCs w:val="18"/>
                <w:lang w:eastAsia="sk-SK"/>
              </w:rPr>
            </w:pPr>
            <w:r w:rsidRPr="00B50B4C">
              <w:rPr>
                <w:rFonts w:eastAsia="Times New Roman" w:cs="Times New Roman"/>
                <w:b/>
                <w:bCs/>
                <w:sz w:val="18"/>
                <w:szCs w:val="18"/>
                <w:lang w:eastAsia="sk-SK"/>
              </w:rPr>
              <w:t>v tis. eur</w:t>
            </w:r>
          </w:p>
        </w:tc>
        <w:tc>
          <w:tcPr>
            <w:tcW w:w="473" w:type="pct"/>
            <w:tcBorders>
              <w:top w:val="nil"/>
              <w:left w:val="nil"/>
              <w:bottom w:val="nil"/>
              <w:right w:val="nil"/>
            </w:tcBorders>
            <w:shd w:val="clear" w:color="000000" w:fill="BFBFBF"/>
            <w:vAlign w:val="center"/>
            <w:hideMark/>
          </w:tcPr>
          <w:p w14:paraId="600F0E37" w14:textId="77777777" w:rsidR="00867CCC" w:rsidRPr="00B50B4C" w:rsidRDefault="00867CCC" w:rsidP="00867CCC">
            <w:pPr>
              <w:spacing w:after="0" w:line="240" w:lineRule="auto"/>
              <w:jc w:val="center"/>
              <w:rPr>
                <w:rFonts w:eastAsia="Times New Roman" w:cs="Times New Roman"/>
                <w:b/>
                <w:bCs/>
                <w:sz w:val="18"/>
                <w:szCs w:val="18"/>
                <w:lang w:eastAsia="sk-SK"/>
              </w:rPr>
            </w:pPr>
            <w:r w:rsidRPr="00B50B4C">
              <w:rPr>
                <w:rFonts w:eastAsia="Times New Roman" w:cs="Times New Roman"/>
                <w:b/>
                <w:bCs/>
                <w:sz w:val="18"/>
                <w:szCs w:val="18"/>
                <w:lang w:eastAsia="sk-SK"/>
              </w:rPr>
              <w:t>v %</w:t>
            </w:r>
          </w:p>
        </w:tc>
      </w:tr>
      <w:tr w:rsidR="00867CCC" w:rsidRPr="00B50B4C" w14:paraId="3D78126A" w14:textId="77777777" w:rsidTr="007D7833">
        <w:trPr>
          <w:trHeight w:val="345"/>
        </w:trPr>
        <w:tc>
          <w:tcPr>
            <w:tcW w:w="1744" w:type="pct"/>
            <w:tcBorders>
              <w:top w:val="nil"/>
              <w:left w:val="nil"/>
              <w:bottom w:val="single" w:sz="8" w:space="0" w:color="auto"/>
              <w:right w:val="nil"/>
            </w:tcBorders>
            <w:shd w:val="clear" w:color="000000" w:fill="BFBFBF"/>
            <w:vAlign w:val="center"/>
            <w:hideMark/>
          </w:tcPr>
          <w:p w14:paraId="10A3A93A" w14:textId="77777777" w:rsidR="00867CCC" w:rsidRPr="00B50B4C" w:rsidRDefault="00867CCC" w:rsidP="00867CCC">
            <w:pPr>
              <w:spacing w:after="0" w:line="240" w:lineRule="auto"/>
              <w:jc w:val="left"/>
              <w:rPr>
                <w:rFonts w:eastAsia="Times New Roman" w:cs="Times New Roman"/>
                <w:b/>
                <w:bCs/>
                <w:sz w:val="18"/>
                <w:szCs w:val="18"/>
                <w:lang w:eastAsia="sk-SK"/>
              </w:rPr>
            </w:pPr>
            <w:r w:rsidRPr="00B50B4C">
              <w:rPr>
                <w:rFonts w:eastAsia="Times New Roman" w:cs="Times New Roman"/>
                <w:b/>
                <w:bCs/>
                <w:sz w:val="18"/>
                <w:szCs w:val="18"/>
                <w:lang w:eastAsia="sk-SK"/>
              </w:rPr>
              <w:t> </w:t>
            </w:r>
          </w:p>
        </w:tc>
        <w:tc>
          <w:tcPr>
            <w:tcW w:w="553" w:type="pct"/>
            <w:tcBorders>
              <w:top w:val="nil"/>
              <w:left w:val="nil"/>
              <w:bottom w:val="single" w:sz="8" w:space="0" w:color="auto"/>
              <w:right w:val="nil"/>
            </w:tcBorders>
            <w:shd w:val="clear" w:color="000000" w:fill="BFBFBF"/>
            <w:vAlign w:val="center"/>
            <w:hideMark/>
          </w:tcPr>
          <w:p w14:paraId="719FE0FF" w14:textId="77777777" w:rsidR="00867CCC" w:rsidRPr="00B50B4C" w:rsidRDefault="00867CCC" w:rsidP="00867CCC">
            <w:pPr>
              <w:spacing w:after="0" w:line="240" w:lineRule="auto"/>
              <w:jc w:val="center"/>
              <w:rPr>
                <w:rFonts w:eastAsia="Times New Roman" w:cs="Times New Roman"/>
                <w:b/>
                <w:bCs/>
                <w:sz w:val="18"/>
                <w:szCs w:val="18"/>
                <w:lang w:eastAsia="sk-SK"/>
              </w:rPr>
            </w:pPr>
            <w:r w:rsidRPr="00B50B4C">
              <w:rPr>
                <w:rFonts w:eastAsia="Times New Roman" w:cs="Times New Roman"/>
                <w:b/>
                <w:bCs/>
                <w:sz w:val="18"/>
                <w:szCs w:val="18"/>
                <w:lang w:eastAsia="sk-SK"/>
              </w:rPr>
              <w:t>1</w:t>
            </w:r>
          </w:p>
        </w:tc>
        <w:tc>
          <w:tcPr>
            <w:tcW w:w="553" w:type="pct"/>
            <w:tcBorders>
              <w:top w:val="nil"/>
              <w:left w:val="nil"/>
              <w:bottom w:val="single" w:sz="8" w:space="0" w:color="auto"/>
              <w:right w:val="nil"/>
            </w:tcBorders>
            <w:shd w:val="clear" w:color="000000" w:fill="BFBFBF"/>
            <w:vAlign w:val="center"/>
            <w:hideMark/>
          </w:tcPr>
          <w:p w14:paraId="1D87890E" w14:textId="77777777" w:rsidR="00867CCC" w:rsidRPr="00B50B4C" w:rsidRDefault="00867CCC" w:rsidP="00867CCC">
            <w:pPr>
              <w:spacing w:after="0" w:line="240" w:lineRule="auto"/>
              <w:jc w:val="center"/>
              <w:rPr>
                <w:rFonts w:eastAsia="Times New Roman" w:cs="Times New Roman"/>
                <w:b/>
                <w:bCs/>
                <w:sz w:val="18"/>
                <w:szCs w:val="18"/>
                <w:lang w:eastAsia="sk-SK"/>
              </w:rPr>
            </w:pPr>
            <w:r w:rsidRPr="00B50B4C">
              <w:rPr>
                <w:rFonts w:eastAsia="Times New Roman" w:cs="Times New Roman"/>
                <w:b/>
                <w:bCs/>
                <w:sz w:val="18"/>
                <w:szCs w:val="18"/>
                <w:lang w:eastAsia="sk-SK"/>
              </w:rPr>
              <w:t>2</w:t>
            </w:r>
          </w:p>
        </w:tc>
        <w:tc>
          <w:tcPr>
            <w:tcW w:w="553" w:type="pct"/>
            <w:tcBorders>
              <w:top w:val="nil"/>
              <w:left w:val="nil"/>
              <w:bottom w:val="single" w:sz="8" w:space="0" w:color="auto"/>
              <w:right w:val="nil"/>
            </w:tcBorders>
            <w:shd w:val="clear" w:color="000000" w:fill="BFBFBF"/>
            <w:vAlign w:val="center"/>
            <w:hideMark/>
          </w:tcPr>
          <w:p w14:paraId="73A19FA5" w14:textId="77777777" w:rsidR="00867CCC" w:rsidRPr="00B50B4C" w:rsidRDefault="00867CCC" w:rsidP="00867CCC">
            <w:pPr>
              <w:spacing w:after="0" w:line="240" w:lineRule="auto"/>
              <w:jc w:val="center"/>
              <w:rPr>
                <w:rFonts w:eastAsia="Times New Roman" w:cs="Times New Roman"/>
                <w:b/>
                <w:bCs/>
                <w:sz w:val="18"/>
                <w:szCs w:val="18"/>
                <w:lang w:eastAsia="sk-SK"/>
              </w:rPr>
            </w:pPr>
            <w:r w:rsidRPr="00B50B4C">
              <w:rPr>
                <w:rFonts w:eastAsia="Times New Roman" w:cs="Times New Roman"/>
                <w:b/>
                <w:bCs/>
                <w:sz w:val="18"/>
                <w:szCs w:val="18"/>
                <w:lang w:eastAsia="sk-SK"/>
              </w:rPr>
              <w:t>3</w:t>
            </w:r>
          </w:p>
        </w:tc>
        <w:tc>
          <w:tcPr>
            <w:tcW w:w="660" w:type="pct"/>
            <w:tcBorders>
              <w:top w:val="nil"/>
              <w:left w:val="nil"/>
              <w:bottom w:val="single" w:sz="8" w:space="0" w:color="auto"/>
              <w:right w:val="nil"/>
            </w:tcBorders>
            <w:shd w:val="clear" w:color="000000" w:fill="BFBFBF"/>
            <w:vAlign w:val="center"/>
            <w:hideMark/>
          </w:tcPr>
          <w:p w14:paraId="1A767AAC" w14:textId="77777777" w:rsidR="00867CCC" w:rsidRPr="00B50B4C" w:rsidRDefault="00867CCC" w:rsidP="00867CCC">
            <w:pPr>
              <w:spacing w:after="0" w:line="240" w:lineRule="auto"/>
              <w:jc w:val="center"/>
              <w:rPr>
                <w:rFonts w:eastAsia="Times New Roman" w:cs="Times New Roman"/>
                <w:b/>
                <w:bCs/>
                <w:sz w:val="18"/>
                <w:szCs w:val="18"/>
                <w:lang w:eastAsia="sk-SK"/>
              </w:rPr>
            </w:pPr>
            <w:r w:rsidRPr="00B50B4C">
              <w:rPr>
                <w:rFonts w:eastAsia="Times New Roman" w:cs="Times New Roman"/>
                <w:b/>
                <w:bCs/>
                <w:sz w:val="18"/>
                <w:szCs w:val="18"/>
                <w:lang w:eastAsia="sk-SK"/>
              </w:rPr>
              <w:t>4</w:t>
            </w:r>
          </w:p>
        </w:tc>
        <w:tc>
          <w:tcPr>
            <w:tcW w:w="465" w:type="pct"/>
            <w:tcBorders>
              <w:top w:val="nil"/>
              <w:left w:val="nil"/>
              <w:bottom w:val="single" w:sz="8" w:space="0" w:color="auto"/>
              <w:right w:val="nil"/>
            </w:tcBorders>
            <w:shd w:val="clear" w:color="000000" w:fill="BFBFBF"/>
            <w:vAlign w:val="center"/>
            <w:hideMark/>
          </w:tcPr>
          <w:p w14:paraId="4E4CEA88" w14:textId="77777777" w:rsidR="00867CCC" w:rsidRPr="00B50B4C" w:rsidRDefault="00867CCC" w:rsidP="00867CCC">
            <w:pPr>
              <w:spacing w:after="0" w:line="240" w:lineRule="auto"/>
              <w:jc w:val="center"/>
              <w:rPr>
                <w:rFonts w:eastAsia="Times New Roman" w:cs="Times New Roman"/>
                <w:b/>
                <w:bCs/>
                <w:sz w:val="18"/>
                <w:szCs w:val="18"/>
                <w:lang w:eastAsia="sk-SK"/>
              </w:rPr>
            </w:pPr>
            <w:r w:rsidRPr="00B50B4C">
              <w:rPr>
                <w:rFonts w:eastAsia="Times New Roman" w:cs="Times New Roman"/>
                <w:b/>
                <w:bCs/>
                <w:sz w:val="18"/>
                <w:szCs w:val="18"/>
                <w:lang w:eastAsia="sk-SK"/>
              </w:rPr>
              <w:t>5=4-3</w:t>
            </w:r>
          </w:p>
        </w:tc>
        <w:tc>
          <w:tcPr>
            <w:tcW w:w="473" w:type="pct"/>
            <w:tcBorders>
              <w:top w:val="nil"/>
              <w:left w:val="nil"/>
              <w:bottom w:val="single" w:sz="8" w:space="0" w:color="auto"/>
              <w:right w:val="nil"/>
            </w:tcBorders>
            <w:shd w:val="clear" w:color="000000" w:fill="BFBFBF"/>
            <w:vAlign w:val="center"/>
            <w:hideMark/>
          </w:tcPr>
          <w:p w14:paraId="77CE3945" w14:textId="77777777" w:rsidR="00867CCC" w:rsidRPr="00B50B4C" w:rsidRDefault="00867CCC" w:rsidP="00867CCC">
            <w:pPr>
              <w:spacing w:after="0" w:line="240" w:lineRule="auto"/>
              <w:jc w:val="center"/>
              <w:rPr>
                <w:rFonts w:eastAsia="Times New Roman" w:cs="Times New Roman"/>
                <w:b/>
                <w:bCs/>
                <w:sz w:val="18"/>
                <w:szCs w:val="18"/>
                <w:lang w:eastAsia="sk-SK"/>
              </w:rPr>
            </w:pPr>
            <w:r w:rsidRPr="00B50B4C">
              <w:rPr>
                <w:rFonts w:eastAsia="Times New Roman" w:cs="Times New Roman"/>
                <w:b/>
                <w:bCs/>
                <w:sz w:val="18"/>
                <w:szCs w:val="18"/>
                <w:lang w:eastAsia="sk-SK"/>
              </w:rPr>
              <w:t>6=4-3</w:t>
            </w:r>
          </w:p>
        </w:tc>
      </w:tr>
      <w:tr w:rsidR="00867CCC" w:rsidRPr="00B50B4C" w14:paraId="18B3132B" w14:textId="77777777" w:rsidTr="007D7833">
        <w:trPr>
          <w:trHeight w:val="330"/>
        </w:trPr>
        <w:tc>
          <w:tcPr>
            <w:tcW w:w="1744" w:type="pct"/>
            <w:tcBorders>
              <w:top w:val="nil"/>
              <w:left w:val="nil"/>
              <w:bottom w:val="nil"/>
              <w:right w:val="nil"/>
            </w:tcBorders>
            <w:shd w:val="clear" w:color="000000" w:fill="FFFFFF"/>
            <w:vAlign w:val="center"/>
            <w:hideMark/>
          </w:tcPr>
          <w:p w14:paraId="42673A35" w14:textId="77777777" w:rsidR="00867CCC" w:rsidRPr="00B50B4C" w:rsidRDefault="00867CCC" w:rsidP="006F6DE5">
            <w:pPr>
              <w:spacing w:after="0" w:line="240" w:lineRule="auto"/>
              <w:jc w:val="left"/>
              <w:rPr>
                <w:rFonts w:eastAsia="Times New Roman" w:cs="Times New Roman"/>
                <w:color w:val="000000"/>
                <w:sz w:val="18"/>
                <w:szCs w:val="18"/>
                <w:lang w:eastAsia="sk-SK"/>
              </w:rPr>
            </w:pPr>
            <w:r w:rsidRPr="00B50B4C">
              <w:rPr>
                <w:rFonts w:eastAsia="Times New Roman" w:cs="Times New Roman"/>
                <w:color w:val="000000"/>
                <w:sz w:val="18"/>
                <w:szCs w:val="18"/>
                <w:lang w:eastAsia="sk-SK"/>
              </w:rPr>
              <w:t>Poľnohospodárske fondy 3. programové obdobie</w:t>
            </w:r>
          </w:p>
        </w:tc>
        <w:tc>
          <w:tcPr>
            <w:tcW w:w="553" w:type="pct"/>
            <w:tcBorders>
              <w:top w:val="nil"/>
              <w:left w:val="nil"/>
              <w:bottom w:val="nil"/>
              <w:right w:val="nil"/>
            </w:tcBorders>
            <w:shd w:val="clear" w:color="000000" w:fill="FFFFFF"/>
            <w:noWrap/>
            <w:vAlign w:val="center"/>
            <w:hideMark/>
          </w:tcPr>
          <w:p w14:paraId="0D30EAF5" w14:textId="77777777" w:rsidR="00867CCC" w:rsidRPr="00B50B4C" w:rsidRDefault="00867CCC" w:rsidP="006F6DE5">
            <w:pPr>
              <w:spacing w:after="0" w:line="240" w:lineRule="auto"/>
              <w:jc w:val="right"/>
              <w:rPr>
                <w:rFonts w:eastAsia="Times New Roman" w:cs="Times New Roman"/>
                <w:color w:val="000000"/>
                <w:sz w:val="18"/>
                <w:szCs w:val="18"/>
                <w:lang w:eastAsia="sk-SK"/>
              </w:rPr>
            </w:pPr>
            <w:r w:rsidRPr="00B50B4C">
              <w:rPr>
                <w:rFonts w:eastAsia="Times New Roman" w:cs="Times New Roman"/>
                <w:color w:val="000000"/>
                <w:sz w:val="18"/>
                <w:szCs w:val="18"/>
                <w:lang w:eastAsia="sk-SK"/>
              </w:rPr>
              <w:t>528 585</w:t>
            </w:r>
          </w:p>
        </w:tc>
        <w:tc>
          <w:tcPr>
            <w:tcW w:w="553" w:type="pct"/>
            <w:tcBorders>
              <w:top w:val="nil"/>
              <w:left w:val="nil"/>
              <w:bottom w:val="nil"/>
              <w:right w:val="nil"/>
            </w:tcBorders>
            <w:shd w:val="clear" w:color="000000" w:fill="FFFFFF"/>
            <w:noWrap/>
            <w:vAlign w:val="center"/>
            <w:hideMark/>
          </w:tcPr>
          <w:p w14:paraId="28B27B78" w14:textId="77777777" w:rsidR="00867CCC" w:rsidRPr="00B50B4C" w:rsidRDefault="00867CCC" w:rsidP="006F6DE5">
            <w:pPr>
              <w:spacing w:after="0" w:line="240" w:lineRule="auto"/>
              <w:jc w:val="right"/>
              <w:rPr>
                <w:rFonts w:eastAsia="Times New Roman" w:cs="Times New Roman"/>
                <w:color w:val="000000"/>
                <w:sz w:val="18"/>
                <w:szCs w:val="18"/>
                <w:lang w:eastAsia="sk-SK"/>
              </w:rPr>
            </w:pPr>
            <w:r w:rsidRPr="00B50B4C">
              <w:rPr>
                <w:rFonts w:eastAsia="Times New Roman" w:cs="Times New Roman"/>
                <w:color w:val="000000"/>
                <w:sz w:val="18"/>
                <w:szCs w:val="18"/>
                <w:lang w:eastAsia="sk-SK"/>
              </w:rPr>
              <w:t>586 678</w:t>
            </w:r>
          </w:p>
        </w:tc>
        <w:tc>
          <w:tcPr>
            <w:tcW w:w="553" w:type="pct"/>
            <w:tcBorders>
              <w:top w:val="nil"/>
              <w:left w:val="nil"/>
              <w:bottom w:val="nil"/>
              <w:right w:val="nil"/>
            </w:tcBorders>
            <w:shd w:val="clear" w:color="000000" w:fill="FFFFFF"/>
            <w:noWrap/>
            <w:vAlign w:val="center"/>
            <w:hideMark/>
          </w:tcPr>
          <w:p w14:paraId="6237627D" w14:textId="77777777" w:rsidR="00867CCC" w:rsidRPr="00B50B4C" w:rsidRDefault="00867CCC" w:rsidP="006F6DE5">
            <w:pPr>
              <w:spacing w:after="0" w:line="240" w:lineRule="auto"/>
              <w:jc w:val="right"/>
              <w:rPr>
                <w:rFonts w:eastAsia="Times New Roman" w:cs="Times New Roman"/>
                <w:color w:val="000000"/>
                <w:sz w:val="18"/>
                <w:szCs w:val="18"/>
                <w:lang w:eastAsia="sk-SK"/>
              </w:rPr>
            </w:pPr>
            <w:r w:rsidRPr="00B50B4C">
              <w:rPr>
                <w:rFonts w:eastAsia="Times New Roman" w:cs="Times New Roman"/>
                <w:color w:val="000000"/>
                <w:sz w:val="18"/>
                <w:szCs w:val="18"/>
                <w:lang w:eastAsia="sk-SK"/>
              </w:rPr>
              <w:t>686 253</w:t>
            </w:r>
          </w:p>
        </w:tc>
        <w:tc>
          <w:tcPr>
            <w:tcW w:w="660" w:type="pct"/>
            <w:tcBorders>
              <w:top w:val="single" w:sz="8" w:space="0" w:color="auto"/>
              <w:left w:val="nil"/>
              <w:bottom w:val="nil"/>
              <w:right w:val="nil"/>
            </w:tcBorders>
            <w:shd w:val="clear" w:color="auto" w:fill="BFBFBF" w:themeFill="background1" w:themeFillShade="BF"/>
            <w:noWrap/>
            <w:vAlign w:val="center"/>
            <w:hideMark/>
          </w:tcPr>
          <w:p w14:paraId="01CA4296" w14:textId="77777777" w:rsidR="00867CCC" w:rsidRPr="00B50B4C" w:rsidRDefault="00867CCC" w:rsidP="006F6DE5">
            <w:pPr>
              <w:spacing w:after="0" w:line="240" w:lineRule="auto"/>
              <w:jc w:val="right"/>
              <w:rPr>
                <w:rFonts w:eastAsia="Times New Roman" w:cs="Times New Roman"/>
                <w:color w:val="000000"/>
                <w:sz w:val="18"/>
                <w:szCs w:val="18"/>
                <w:lang w:eastAsia="sk-SK"/>
              </w:rPr>
            </w:pPr>
            <w:r w:rsidRPr="00B50B4C">
              <w:rPr>
                <w:rFonts w:eastAsia="Times New Roman" w:cs="Times New Roman"/>
                <w:color w:val="000000"/>
                <w:sz w:val="18"/>
                <w:szCs w:val="18"/>
                <w:lang w:eastAsia="sk-SK"/>
              </w:rPr>
              <w:t>650 931</w:t>
            </w:r>
          </w:p>
        </w:tc>
        <w:tc>
          <w:tcPr>
            <w:tcW w:w="465" w:type="pct"/>
            <w:tcBorders>
              <w:top w:val="nil"/>
              <w:left w:val="nil"/>
              <w:bottom w:val="nil"/>
              <w:right w:val="nil"/>
            </w:tcBorders>
            <w:shd w:val="clear" w:color="000000" w:fill="FFFFFF"/>
            <w:noWrap/>
            <w:vAlign w:val="center"/>
            <w:hideMark/>
          </w:tcPr>
          <w:p w14:paraId="47691A8E" w14:textId="77777777" w:rsidR="00867CCC" w:rsidRPr="00B50B4C" w:rsidRDefault="00867CCC" w:rsidP="006F6DE5">
            <w:pPr>
              <w:spacing w:after="0" w:line="240" w:lineRule="auto"/>
              <w:jc w:val="right"/>
              <w:rPr>
                <w:rFonts w:eastAsia="Times New Roman" w:cs="Times New Roman"/>
                <w:color w:val="000000"/>
                <w:sz w:val="18"/>
                <w:szCs w:val="18"/>
                <w:lang w:eastAsia="sk-SK"/>
              </w:rPr>
            </w:pPr>
            <w:r w:rsidRPr="00B50B4C">
              <w:rPr>
                <w:rFonts w:eastAsia="Times New Roman" w:cs="Times New Roman"/>
                <w:color w:val="000000"/>
                <w:sz w:val="18"/>
                <w:szCs w:val="18"/>
                <w:lang w:eastAsia="sk-SK"/>
              </w:rPr>
              <w:t>-35 322</w:t>
            </w:r>
          </w:p>
        </w:tc>
        <w:tc>
          <w:tcPr>
            <w:tcW w:w="473" w:type="pct"/>
            <w:tcBorders>
              <w:top w:val="nil"/>
              <w:left w:val="nil"/>
              <w:bottom w:val="nil"/>
              <w:right w:val="nil"/>
            </w:tcBorders>
            <w:shd w:val="clear" w:color="000000" w:fill="FFFFFF"/>
            <w:noWrap/>
            <w:vAlign w:val="center"/>
            <w:hideMark/>
          </w:tcPr>
          <w:p w14:paraId="262C9DEB" w14:textId="77777777" w:rsidR="00867CCC" w:rsidRPr="00B50B4C" w:rsidRDefault="00867CCC" w:rsidP="006F6DE5">
            <w:pPr>
              <w:spacing w:after="0" w:line="240" w:lineRule="auto"/>
              <w:jc w:val="right"/>
              <w:rPr>
                <w:rFonts w:eastAsia="Times New Roman" w:cs="Times New Roman"/>
                <w:color w:val="000000"/>
                <w:sz w:val="18"/>
                <w:szCs w:val="18"/>
                <w:lang w:eastAsia="sk-SK"/>
              </w:rPr>
            </w:pPr>
            <w:r w:rsidRPr="00B50B4C">
              <w:rPr>
                <w:rFonts w:eastAsia="Times New Roman" w:cs="Times New Roman"/>
                <w:color w:val="000000"/>
                <w:sz w:val="18"/>
                <w:szCs w:val="18"/>
                <w:lang w:eastAsia="sk-SK"/>
              </w:rPr>
              <w:t>-5,1</w:t>
            </w:r>
          </w:p>
        </w:tc>
      </w:tr>
      <w:tr w:rsidR="00867CCC" w:rsidRPr="00B50B4C" w14:paraId="49756F64" w14:textId="77777777" w:rsidTr="007D7833">
        <w:trPr>
          <w:trHeight w:val="330"/>
        </w:trPr>
        <w:tc>
          <w:tcPr>
            <w:tcW w:w="1744" w:type="pct"/>
            <w:tcBorders>
              <w:top w:val="nil"/>
              <w:left w:val="nil"/>
              <w:bottom w:val="nil"/>
              <w:right w:val="nil"/>
            </w:tcBorders>
            <w:shd w:val="clear" w:color="000000" w:fill="FFFFFF"/>
            <w:vAlign w:val="center"/>
            <w:hideMark/>
          </w:tcPr>
          <w:p w14:paraId="28F32773" w14:textId="77777777" w:rsidR="00867CCC" w:rsidRPr="00B50B4C" w:rsidRDefault="00867CCC" w:rsidP="006F6DE5">
            <w:pPr>
              <w:spacing w:after="0" w:line="240" w:lineRule="auto"/>
              <w:jc w:val="left"/>
              <w:rPr>
                <w:rFonts w:eastAsia="Times New Roman" w:cs="Times New Roman"/>
                <w:b/>
                <w:bCs/>
                <w:color w:val="000000"/>
                <w:sz w:val="18"/>
                <w:szCs w:val="18"/>
                <w:lang w:eastAsia="sk-SK"/>
              </w:rPr>
            </w:pPr>
            <w:r w:rsidRPr="00B50B4C">
              <w:rPr>
                <w:rFonts w:eastAsia="Times New Roman" w:cs="Times New Roman"/>
                <w:b/>
                <w:bCs/>
                <w:color w:val="000000"/>
                <w:sz w:val="18"/>
                <w:szCs w:val="18"/>
                <w:lang w:eastAsia="sk-SK"/>
              </w:rPr>
              <w:t>Poľnohospodárske fondy spolu - MPRV SR</w:t>
            </w:r>
          </w:p>
        </w:tc>
        <w:tc>
          <w:tcPr>
            <w:tcW w:w="553" w:type="pct"/>
            <w:tcBorders>
              <w:top w:val="nil"/>
              <w:left w:val="nil"/>
              <w:bottom w:val="nil"/>
              <w:right w:val="nil"/>
            </w:tcBorders>
            <w:shd w:val="clear" w:color="000000" w:fill="FFFFFF"/>
            <w:noWrap/>
            <w:vAlign w:val="center"/>
            <w:hideMark/>
          </w:tcPr>
          <w:p w14:paraId="133D1D8E" w14:textId="77777777" w:rsidR="00867CCC" w:rsidRPr="00B50B4C" w:rsidRDefault="00867CCC" w:rsidP="006F6DE5">
            <w:pPr>
              <w:spacing w:after="0" w:line="240" w:lineRule="auto"/>
              <w:jc w:val="right"/>
              <w:rPr>
                <w:rFonts w:eastAsia="Times New Roman" w:cs="Times New Roman"/>
                <w:b/>
                <w:bCs/>
                <w:color w:val="000000"/>
                <w:sz w:val="18"/>
                <w:szCs w:val="18"/>
                <w:lang w:eastAsia="sk-SK"/>
              </w:rPr>
            </w:pPr>
            <w:r w:rsidRPr="00B50B4C">
              <w:rPr>
                <w:rFonts w:eastAsia="Times New Roman" w:cs="Times New Roman"/>
                <w:b/>
                <w:bCs/>
                <w:color w:val="000000"/>
                <w:sz w:val="18"/>
                <w:szCs w:val="18"/>
                <w:lang w:eastAsia="sk-SK"/>
              </w:rPr>
              <w:t>528 585</w:t>
            </w:r>
          </w:p>
        </w:tc>
        <w:tc>
          <w:tcPr>
            <w:tcW w:w="553" w:type="pct"/>
            <w:tcBorders>
              <w:top w:val="nil"/>
              <w:left w:val="nil"/>
              <w:bottom w:val="nil"/>
              <w:right w:val="nil"/>
            </w:tcBorders>
            <w:shd w:val="clear" w:color="000000" w:fill="FFFFFF"/>
            <w:noWrap/>
            <w:vAlign w:val="center"/>
            <w:hideMark/>
          </w:tcPr>
          <w:p w14:paraId="2AA37B99" w14:textId="77777777" w:rsidR="00867CCC" w:rsidRPr="00B50B4C" w:rsidRDefault="00867CCC" w:rsidP="006F6DE5">
            <w:pPr>
              <w:spacing w:after="0" w:line="240" w:lineRule="auto"/>
              <w:jc w:val="right"/>
              <w:rPr>
                <w:rFonts w:eastAsia="Times New Roman" w:cs="Times New Roman"/>
                <w:b/>
                <w:bCs/>
                <w:color w:val="000000"/>
                <w:sz w:val="18"/>
                <w:szCs w:val="18"/>
                <w:lang w:eastAsia="sk-SK"/>
              </w:rPr>
            </w:pPr>
            <w:r w:rsidRPr="00B50B4C">
              <w:rPr>
                <w:rFonts w:eastAsia="Times New Roman" w:cs="Times New Roman"/>
                <w:b/>
                <w:bCs/>
                <w:color w:val="000000"/>
                <w:sz w:val="18"/>
                <w:szCs w:val="18"/>
                <w:lang w:eastAsia="sk-SK"/>
              </w:rPr>
              <w:t>586 678</w:t>
            </w:r>
          </w:p>
        </w:tc>
        <w:tc>
          <w:tcPr>
            <w:tcW w:w="553" w:type="pct"/>
            <w:tcBorders>
              <w:top w:val="nil"/>
              <w:left w:val="nil"/>
              <w:bottom w:val="nil"/>
              <w:right w:val="nil"/>
            </w:tcBorders>
            <w:shd w:val="clear" w:color="000000" w:fill="FFFFFF"/>
            <w:noWrap/>
            <w:vAlign w:val="center"/>
            <w:hideMark/>
          </w:tcPr>
          <w:p w14:paraId="5CC95A19" w14:textId="77777777" w:rsidR="00867CCC" w:rsidRPr="00B50B4C" w:rsidRDefault="00867CCC" w:rsidP="006F6DE5">
            <w:pPr>
              <w:spacing w:after="0" w:line="240" w:lineRule="auto"/>
              <w:jc w:val="right"/>
              <w:rPr>
                <w:rFonts w:eastAsia="Times New Roman" w:cs="Times New Roman"/>
                <w:b/>
                <w:bCs/>
                <w:color w:val="000000"/>
                <w:sz w:val="18"/>
                <w:szCs w:val="18"/>
                <w:lang w:eastAsia="sk-SK"/>
              </w:rPr>
            </w:pPr>
            <w:r w:rsidRPr="00B50B4C">
              <w:rPr>
                <w:rFonts w:eastAsia="Times New Roman" w:cs="Times New Roman"/>
                <w:b/>
                <w:bCs/>
                <w:color w:val="000000"/>
                <w:sz w:val="18"/>
                <w:szCs w:val="18"/>
                <w:lang w:eastAsia="sk-SK"/>
              </w:rPr>
              <w:t>686 253</w:t>
            </w:r>
          </w:p>
        </w:tc>
        <w:tc>
          <w:tcPr>
            <w:tcW w:w="660" w:type="pct"/>
            <w:tcBorders>
              <w:top w:val="nil"/>
              <w:left w:val="nil"/>
              <w:bottom w:val="nil"/>
              <w:right w:val="nil"/>
            </w:tcBorders>
            <w:shd w:val="clear" w:color="auto" w:fill="BFBFBF" w:themeFill="background1" w:themeFillShade="BF"/>
            <w:noWrap/>
            <w:vAlign w:val="center"/>
            <w:hideMark/>
          </w:tcPr>
          <w:p w14:paraId="33924FCB" w14:textId="77777777" w:rsidR="00867CCC" w:rsidRPr="00B50B4C" w:rsidRDefault="00867CCC" w:rsidP="006F6DE5">
            <w:pPr>
              <w:spacing w:after="0" w:line="240" w:lineRule="auto"/>
              <w:jc w:val="right"/>
              <w:rPr>
                <w:rFonts w:eastAsia="Times New Roman" w:cs="Times New Roman"/>
                <w:b/>
                <w:bCs/>
                <w:color w:val="000000"/>
                <w:sz w:val="18"/>
                <w:szCs w:val="18"/>
                <w:lang w:eastAsia="sk-SK"/>
              </w:rPr>
            </w:pPr>
            <w:r w:rsidRPr="00B50B4C">
              <w:rPr>
                <w:rFonts w:eastAsia="Times New Roman" w:cs="Times New Roman"/>
                <w:b/>
                <w:bCs/>
                <w:color w:val="000000"/>
                <w:sz w:val="18"/>
                <w:szCs w:val="18"/>
                <w:lang w:eastAsia="sk-SK"/>
              </w:rPr>
              <w:t>650 931</w:t>
            </w:r>
          </w:p>
        </w:tc>
        <w:tc>
          <w:tcPr>
            <w:tcW w:w="465" w:type="pct"/>
            <w:tcBorders>
              <w:top w:val="nil"/>
              <w:left w:val="nil"/>
              <w:bottom w:val="nil"/>
              <w:right w:val="nil"/>
            </w:tcBorders>
            <w:shd w:val="clear" w:color="000000" w:fill="FFFFFF"/>
            <w:noWrap/>
            <w:vAlign w:val="center"/>
            <w:hideMark/>
          </w:tcPr>
          <w:p w14:paraId="0F0BE901" w14:textId="77777777" w:rsidR="00867CCC" w:rsidRPr="00B50B4C" w:rsidRDefault="00867CCC" w:rsidP="006F6DE5">
            <w:pPr>
              <w:spacing w:after="0" w:line="240" w:lineRule="auto"/>
              <w:jc w:val="right"/>
              <w:rPr>
                <w:rFonts w:eastAsia="Times New Roman" w:cs="Times New Roman"/>
                <w:b/>
                <w:bCs/>
                <w:color w:val="000000"/>
                <w:sz w:val="18"/>
                <w:szCs w:val="18"/>
                <w:lang w:eastAsia="sk-SK"/>
              </w:rPr>
            </w:pPr>
            <w:r w:rsidRPr="00B50B4C">
              <w:rPr>
                <w:rFonts w:eastAsia="Times New Roman" w:cs="Times New Roman"/>
                <w:b/>
                <w:bCs/>
                <w:color w:val="000000"/>
                <w:sz w:val="18"/>
                <w:szCs w:val="18"/>
                <w:lang w:eastAsia="sk-SK"/>
              </w:rPr>
              <w:t>-35 322</w:t>
            </w:r>
          </w:p>
        </w:tc>
        <w:tc>
          <w:tcPr>
            <w:tcW w:w="473" w:type="pct"/>
            <w:tcBorders>
              <w:top w:val="nil"/>
              <w:left w:val="nil"/>
              <w:bottom w:val="nil"/>
              <w:right w:val="nil"/>
            </w:tcBorders>
            <w:shd w:val="clear" w:color="000000" w:fill="FFFFFF"/>
            <w:noWrap/>
            <w:vAlign w:val="center"/>
            <w:hideMark/>
          </w:tcPr>
          <w:p w14:paraId="56F67F10" w14:textId="77777777" w:rsidR="00867CCC" w:rsidRPr="00B50B4C" w:rsidRDefault="00867CCC" w:rsidP="006F6DE5">
            <w:pPr>
              <w:spacing w:after="0" w:line="240" w:lineRule="auto"/>
              <w:jc w:val="right"/>
              <w:rPr>
                <w:rFonts w:eastAsia="Times New Roman" w:cs="Times New Roman"/>
                <w:b/>
                <w:bCs/>
                <w:color w:val="000000"/>
                <w:sz w:val="18"/>
                <w:szCs w:val="18"/>
                <w:lang w:eastAsia="sk-SK"/>
              </w:rPr>
            </w:pPr>
            <w:r w:rsidRPr="00B50B4C">
              <w:rPr>
                <w:rFonts w:eastAsia="Times New Roman" w:cs="Times New Roman"/>
                <w:b/>
                <w:bCs/>
                <w:color w:val="000000"/>
                <w:sz w:val="18"/>
                <w:szCs w:val="18"/>
                <w:lang w:eastAsia="sk-SK"/>
              </w:rPr>
              <w:t>-5,1</w:t>
            </w:r>
          </w:p>
        </w:tc>
      </w:tr>
      <w:tr w:rsidR="00867CCC" w:rsidRPr="00B50B4C" w14:paraId="5EDA5115" w14:textId="77777777" w:rsidTr="007D7833">
        <w:trPr>
          <w:trHeight w:val="510"/>
        </w:trPr>
        <w:tc>
          <w:tcPr>
            <w:tcW w:w="1744" w:type="pct"/>
            <w:tcBorders>
              <w:top w:val="nil"/>
              <w:left w:val="nil"/>
              <w:bottom w:val="nil"/>
              <w:right w:val="nil"/>
            </w:tcBorders>
            <w:shd w:val="clear" w:color="000000" w:fill="FFFFFF"/>
            <w:vAlign w:val="center"/>
            <w:hideMark/>
          </w:tcPr>
          <w:p w14:paraId="393F1C5B" w14:textId="77777777" w:rsidR="00867CCC" w:rsidRPr="00B50B4C" w:rsidRDefault="00867CCC" w:rsidP="006F6DE5">
            <w:pPr>
              <w:spacing w:after="0" w:line="240" w:lineRule="auto"/>
              <w:jc w:val="left"/>
              <w:rPr>
                <w:rFonts w:eastAsia="Times New Roman" w:cs="Times New Roman"/>
                <w:color w:val="000000"/>
                <w:sz w:val="18"/>
                <w:szCs w:val="18"/>
                <w:lang w:eastAsia="sk-SK"/>
              </w:rPr>
            </w:pPr>
            <w:r w:rsidRPr="00B50B4C">
              <w:rPr>
                <w:rFonts w:eastAsia="Times New Roman" w:cs="Times New Roman"/>
                <w:color w:val="000000"/>
                <w:sz w:val="18"/>
                <w:szCs w:val="18"/>
                <w:lang w:eastAsia="sk-SK"/>
              </w:rPr>
              <w:t xml:space="preserve">Štrukturálne fondy, Kohézny fond, Európsky fond pre rybné hospodárstvo 2. programové obdobie </w:t>
            </w:r>
          </w:p>
        </w:tc>
        <w:tc>
          <w:tcPr>
            <w:tcW w:w="553" w:type="pct"/>
            <w:tcBorders>
              <w:top w:val="nil"/>
              <w:left w:val="nil"/>
              <w:bottom w:val="nil"/>
              <w:right w:val="nil"/>
            </w:tcBorders>
            <w:shd w:val="clear" w:color="000000" w:fill="FFFFFF"/>
            <w:noWrap/>
            <w:vAlign w:val="center"/>
            <w:hideMark/>
          </w:tcPr>
          <w:p w14:paraId="452F9E68" w14:textId="77777777" w:rsidR="00867CCC" w:rsidRPr="00B50B4C" w:rsidRDefault="00867CCC" w:rsidP="006F6DE5">
            <w:pPr>
              <w:spacing w:after="0" w:line="240" w:lineRule="auto"/>
              <w:jc w:val="right"/>
              <w:rPr>
                <w:rFonts w:eastAsia="Times New Roman" w:cs="Times New Roman"/>
                <w:color w:val="000000"/>
                <w:sz w:val="18"/>
                <w:szCs w:val="18"/>
                <w:lang w:eastAsia="sk-SK"/>
              </w:rPr>
            </w:pPr>
            <w:r w:rsidRPr="00B50B4C">
              <w:rPr>
                <w:rFonts w:eastAsia="Times New Roman" w:cs="Times New Roman"/>
                <w:color w:val="000000"/>
                <w:sz w:val="18"/>
                <w:szCs w:val="18"/>
                <w:lang w:eastAsia="sk-SK"/>
              </w:rPr>
              <w:t>853 742</w:t>
            </w:r>
          </w:p>
        </w:tc>
        <w:tc>
          <w:tcPr>
            <w:tcW w:w="553" w:type="pct"/>
            <w:tcBorders>
              <w:top w:val="nil"/>
              <w:left w:val="nil"/>
              <w:bottom w:val="nil"/>
              <w:right w:val="nil"/>
            </w:tcBorders>
            <w:shd w:val="clear" w:color="auto" w:fill="auto"/>
            <w:noWrap/>
            <w:vAlign w:val="center"/>
            <w:hideMark/>
          </w:tcPr>
          <w:p w14:paraId="4EDCE355" w14:textId="77777777" w:rsidR="00867CCC" w:rsidRPr="00B50B4C" w:rsidRDefault="00867CCC" w:rsidP="006F6DE5">
            <w:pPr>
              <w:spacing w:after="0" w:line="240" w:lineRule="auto"/>
              <w:jc w:val="right"/>
              <w:rPr>
                <w:rFonts w:eastAsia="Times New Roman" w:cs="Times New Roman"/>
                <w:color w:val="000000"/>
                <w:sz w:val="18"/>
                <w:szCs w:val="18"/>
                <w:lang w:eastAsia="sk-SK"/>
              </w:rPr>
            </w:pPr>
            <w:r w:rsidRPr="00B50B4C">
              <w:rPr>
                <w:rFonts w:eastAsia="Times New Roman" w:cs="Times New Roman"/>
                <w:color w:val="000000"/>
                <w:sz w:val="18"/>
                <w:szCs w:val="18"/>
                <w:lang w:eastAsia="sk-SK"/>
              </w:rPr>
              <w:t>25 255</w:t>
            </w:r>
          </w:p>
        </w:tc>
        <w:tc>
          <w:tcPr>
            <w:tcW w:w="553" w:type="pct"/>
            <w:tcBorders>
              <w:top w:val="nil"/>
              <w:left w:val="nil"/>
              <w:bottom w:val="nil"/>
              <w:right w:val="nil"/>
            </w:tcBorders>
            <w:shd w:val="clear" w:color="000000" w:fill="FFFFFF"/>
            <w:noWrap/>
            <w:vAlign w:val="center"/>
            <w:hideMark/>
          </w:tcPr>
          <w:p w14:paraId="0B0A0EC5" w14:textId="77777777" w:rsidR="00867CCC" w:rsidRPr="00B50B4C" w:rsidRDefault="00867CCC" w:rsidP="006F6DE5">
            <w:pPr>
              <w:spacing w:after="0" w:line="240" w:lineRule="auto"/>
              <w:jc w:val="right"/>
              <w:rPr>
                <w:rFonts w:eastAsia="Times New Roman" w:cs="Times New Roman"/>
                <w:color w:val="000000"/>
                <w:sz w:val="18"/>
                <w:szCs w:val="18"/>
                <w:lang w:eastAsia="sk-SK"/>
              </w:rPr>
            </w:pPr>
            <w:r w:rsidRPr="00B50B4C">
              <w:rPr>
                <w:rFonts w:eastAsia="Times New Roman" w:cs="Times New Roman"/>
                <w:color w:val="000000"/>
                <w:sz w:val="18"/>
                <w:szCs w:val="18"/>
                <w:lang w:eastAsia="sk-SK"/>
              </w:rPr>
              <w:t>0</w:t>
            </w:r>
          </w:p>
        </w:tc>
        <w:tc>
          <w:tcPr>
            <w:tcW w:w="660" w:type="pct"/>
            <w:tcBorders>
              <w:top w:val="nil"/>
              <w:left w:val="nil"/>
              <w:bottom w:val="nil"/>
              <w:right w:val="nil"/>
            </w:tcBorders>
            <w:shd w:val="clear" w:color="auto" w:fill="BFBFBF" w:themeFill="background1" w:themeFillShade="BF"/>
            <w:noWrap/>
            <w:vAlign w:val="center"/>
            <w:hideMark/>
          </w:tcPr>
          <w:p w14:paraId="1BE55BB5" w14:textId="77777777" w:rsidR="00867CCC" w:rsidRPr="00B50B4C" w:rsidRDefault="00867CCC" w:rsidP="006F6DE5">
            <w:pPr>
              <w:spacing w:after="0" w:line="240" w:lineRule="auto"/>
              <w:jc w:val="right"/>
              <w:rPr>
                <w:rFonts w:eastAsia="Times New Roman" w:cs="Times New Roman"/>
                <w:color w:val="000000"/>
                <w:sz w:val="18"/>
                <w:szCs w:val="18"/>
                <w:lang w:eastAsia="sk-SK"/>
              </w:rPr>
            </w:pPr>
            <w:r w:rsidRPr="00B50B4C">
              <w:rPr>
                <w:rFonts w:eastAsia="Times New Roman" w:cs="Times New Roman"/>
                <w:color w:val="000000"/>
                <w:sz w:val="18"/>
                <w:szCs w:val="18"/>
                <w:lang w:eastAsia="sk-SK"/>
              </w:rPr>
              <w:t>93 018</w:t>
            </w:r>
          </w:p>
        </w:tc>
        <w:tc>
          <w:tcPr>
            <w:tcW w:w="465" w:type="pct"/>
            <w:tcBorders>
              <w:top w:val="nil"/>
              <w:left w:val="nil"/>
              <w:bottom w:val="nil"/>
              <w:right w:val="nil"/>
            </w:tcBorders>
            <w:shd w:val="clear" w:color="000000" w:fill="FFFFFF"/>
            <w:noWrap/>
            <w:vAlign w:val="center"/>
            <w:hideMark/>
          </w:tcPr>
          <w:p w14:paraId="48FBF4D0" w14:textId="77777777" w:rsidR="00867CCC" w:rsidRPr="00B50B4C" w:rsidRDefault="00867CCC" w:rsidP="006F6DE5">
            <w:pPr>
              <w:spacing w:after="0" w:line="240" w:lineRule="auto"/>
              <w:jc w:val="right"/>
              <w:rPr>
                <w:rFonts w:eastAsia="Times New Roman" w:cs="Times New Roman"/>
                <w:color w:val="000000"/>
                <w:sz w:val="18"/>
                <w:szCs w:val="18"/>
                <w:lang w:eastAsia="sk-SK"/>
              </w:rPr>
            </w:pPr>
            <w:r w:rsidRPr="00B50B4C">
              <w:rPr>
                <w:rFonts w:eastAsia="Times New Roman" w:cs="Times New Roman"/>
                <w:color w:val="000000"/>
                <w:sz w:val="18"/>
                <w:szCs w:val="18"/>
                <w:lang w:eastAsia="sk-SK"/>
              </w:rPr>
              <w:t>93 018</w:t>
            </w:r>
          </w:p>
        </w:tc>
        <w:tc>
          <w:tcPr>
            <w:tcW w:w="473" w:type="pct"/>
            <w:tcBorders>
              <w:top w:val="nil"/>
              <w:left w:val="nil"/>
              <w:bottom w:val="nil"/>
              <w:right w:val="nil"/>
            </w:tcBorders>
            <w:shd w:val="clear" w:color="000000" w:fill="FFFFFF"/>
            <w:noWrap/>
            <w:vAlign w:val="center"/>
            <w:hideMark/>
          </w:tcPr>
          <w:p w14:paraId="04EBA309" w14:textId="77777777" w:rsidR="00867CCC" w:rsidRPr="00B50B4C" w:rsidRDefault="00867CCC" w:rsidP="006F6DE5">
            <w:pPr>
              <w:spacing w:after="0" w:line="240" w:lineRule="auto"/>
              <w:jc w:val="right"/>
              <w:rPr>
                <w:rFonts w:eastAsia="Times New Roman" w:cs="Times New Roman"/>
                <w:color w:val="000000"/>
                <w:sz w:val="18"/>
                <w:szCs w:val="18"/>
                <w:lang w:eastAsia="sk-SK"/>
              </w:rPr>
            </w:pPr>
            <w:r w:rsidRPr="00B50B4C">
              <w:rPr>
                <w:rFonts w:eastAsia="Times New Roman" w:cs="Times New Roman"/>
                <w:color w:val="000000"/>
                <w:sz w:val="18"/>
                <w:szCs w:val="18"/>
                <w:lang w:eastAsia="sk-SK"/>
              </w:rPr>
              <w:t>-</w:t>
            </w:r>
          </w:p>
        </w:tc>
      </w:tr>
      <w:tr w:rsidR="00867CCC" w:rsidRPr="00B50B4C" w14:paraId="25DD9278" w14:textId="77777777" w:rsidTr="007D7833">
        <w:trPr>
          <w:trHeight w:val="510"/>
        </w:trPr>
        <w:tc>
          <w:tcPr>
            <w:tcW w:w="1744" w:type="pct"/>
            <w:tcBorders>
              <w:top w:val="nil"/>
              <w:left w:val="nil"/>
              <w:bottom w:val="nil"/>
              <w:right w:val="nil"/>
            </w:tcBorders>
            <w:shd w:val="clear" w:color="000000" w:fill="FFFFFF"/>
            <w:vAlign w:val="center"/>
            <w:hideMark/>
          </w:tcPr>
          <w:p w14:paraId="78657109" w14:textId="77777777" w:rsidR="00867CCC" w:rsidRPr="00B50B4C" w:rsidRDefault="00867CCC" w:rsidP="006F6DE5">
            <w:pPr>
              <w:spacing w:after="0" w:line="240" w:lineRule="auto"/>
              <w:jc w:val="left"/>
              <w:rPr>
                <w:rFonts w:eastAsia="Times New Roman" w:cs="Times New Roman"/>
                <w:color w:val="000000"/>
                <w:sz w:val="18"/>
                <w:szCs w:val="18"/>
                <w:lang w:eastAsia="sk-SK"/>
              </w:rPr>
            </w:pPr>
            <w:r w:rsidRPr="00B50B4C">
              <w:rPr>
                <w:rFonts w:eastAsia="Times New Roman" w:cs="Times New Roman"/>
                <w:color w:val="000000"/>
                <w:sz w:val="18"/>
                <w:szCs w:val="18"/>
                <w:lang w:eastAsia="sk-SK"/>
              </w:rPr>
              <w:t xml:space="preserve">Štrukturálne fondy, Kohézny fond, Európsky námorný a rybársky fond 3. programové obdobie </w:t>
            </w:r>
          </w:p>
        </w:tc>
        <w:tc>
          <w:tcPr>
            <w:tcW w:w="553" w:type="pct"/>
            <w:tcBorders>
              <w:top w:val="nil"/>
              <w:left w:val="nil"/>
              <w:bottom w:val="nil"/>
              <w:right w:val="nil"/>
            </w:tcBorders>
            <w:shd w:val="clear" w:color="000000" w:fill="FFFFFF"/>
            <w:noWrap/>
            <w:vAlign w:val="center"/>
            <w:hideMark/>
          </w:tcPr>
          <w:p w14:paraId="66AE6160" w14:textId="77777777" w:rsidR="00867CCC" w:rsidRPr="00B50B4C" w:rsidRDefault="00867CCC" w:rsidP="006F6DE5">
            <w:pPr>
              <w:spacing w:after="0" w:line="240" w:lineRule="auto"/>
              <w:jc w:val="right"/>
              <w:rPr>
                <w:rFonts w:eastAsia="Times New Roman" w:cs="Times New Roman"/>
                <w:color w:val="000000"/>
                <w:sz w:val="18"/>
                <w:szCs w:val="18"/>
                <w:lang w:eastAsia="sk-SK"/>
              </w:rPr>
            </w:pPr>
            <w:r w:rsidRPr="00B50B4C">
              <w:rPr>
                <w:rFonts w:eastAsia="Times New Roman" w:cs="Times New Roman"/>
                <w:color w:val="000000"/>
                <w:sz w:val="18"/>
                <w:szCs w:val="18"/>
                <w:lang w:eastAsia="sk-SK"/>
              </w:rPr>
              <w:t>557 231</w:t>
            </w:r>
          </w:p>
        </w:tc>
        <w:tc>
          <w:tcPr>
            <w:tcW w:w="553" w:type="pct"/>
            <w:tcBorders>
              <w:top w:val="nil"/>
              <w:left w:val="nil"/>
              <w:bottom w:val="nil"/>
              <w:right w:val="nil"/>
            </w:tcBorders>
            <w:shd w:val="clear" w:color="000000" w:fill="FFFFFF"/>
            <w:noWrap/>
            <w:vAlign w:val="center"/>
            <w:hideMark/>
          </w:tcPr>
          <w:p w14:paraId="4ADA8A7F" w14:textId="77777777" w:rsidR="00867CCC" w:rsidRPr="00B50B4C" w:rsidRDefault="00867CCC" w:rsidP="006F6DE5">
            <w:pPr>
              <w:spacing w:after="0" w:line="240" w:lineRule="auto"/>
              <w:jc w:val="right"/>
              <w:rPr>
                <w:rFonts w:eastAsia="Times New Roman" w:cs="Times New Roman"/>
                <w:color w:val="000000"/>
                <w:sz w:val="18"/>
                <w:szCs w:val="18"/>
                <w:lang w:eastAsia="sk-SK"/>
              </w:rPr>
            </w:pPr>
            <w:r w:rsidRPr="00B50B4C">
              <w:rPr>
                <w:rFonts w:eastAsia="Times New Roman" w:cs="Times New Roman"/>
                <w:color w:val="000000"/>
                <w:sz w:val="18"/>
                <w:szCs w:val="18"/>
                <w:lang w:eastAsia="sk-SK"/>
              </w:rPr>
              <w:t>801 432</w:t>
            </w:r>
          </w:p>
        </w:tc>
        <w:tc>
          <w:tcPr>
            <w:tcW w:w="553" w:type="pct"/>
            <w:tcBorders>
              <w:top w:val="nil"/>
              <w:left w:val="nil"/>
              <w:bottom w:val="nil"/>
              <w:right w:val="nil"/>
            </w:tcBorders>
            <w:shd w:val="clear" w:color="000000" w:fill="FFFFFF"/>
            <w:noWrap/>
            <w:vAlign w:val="center"/>
            <w:hideMark/>
          </w:tcPr>
          <w:p w14:paraId="3D00162F" w14:textId="77777777" w:rsidR="00867CCC" w:rsidRPr="00B50B4C" w:rsidRDefault="00867CCC" w:rsidP="006F6DE5">
            <w:pPr>
              <w:spacing w:after="0" w:line="240" w:lineRule="auto"/>
              <w:jc w:val="right"/>
              <w:rPr>
                <w:rFonts w:eastAsia="Times New Roman" w:cs="Times New Roman"/>
                <w:color w:val="000000"/>
                <w:sz w:val="18"/>
                <w:szCs w:val="18"/>
                <w:lang w:eastAsia="sk-SK"/>
              </w:rPr>
            </w:pPr>
            <w:r w:rsidRPr="00B50B4C">
              <w:rPr>
                <w:rFonts w:eastAsia="Times New Roman" w:cs="Times New Roman"/>
                <w:color w:val="000000"/>
                <w:sz w:val="18"/>
                <w:szCs w:val="18"/>
                <w:lang w:eastAsia="sk-SK"/>
              </w:rPr>
              <w:t>673 595</w:t>
            </w:r>
          </w:p>
        </w:tc>
        <w:tc>
          <w:tcPr>
            <w:tcW w:w="660" w:type="pct"/>
            <w:tcBorders>
              <w:top w:val="nil"/>
              <w:left w:val="nil"/>
              <w:bottom w:val="nil"/>
              <w:right w:val="nil"/>
            </w:tcBorders>
            <w:shd w:val="clear" w:color="auto" w:fill="BFBFBF" w:themeFill="background1" w:themeFillShade="BF"/>
            <w:noWrap/>
            <w:vAlign w:val="center"/>
            <w:hideMark/>
          </w:tcPr>
          <w:p w14:paraId="475FE011" w14:textId="77777777" w:rsidR="00867CCC" w:rsidRPr="00B50B4C" w:rsidRDefault="00867CCC" w:rsidP="006F6DE5">
            <w:pPr>
              <w:spacing w:after="0" w:line="240" w:lineRule="auto"/>
              <w:jc w:val="right"/>
              <w:rPr>
                <w:rFonts w:eastAsia="Times New Roman" w:cs="Times New Roman"/>
                <w:color w:val="000000"/>
                <w:sz w:val="18"/>
                <w:szCs w:val="18"/>
                <w:lang w:eastAsia="sk-SK"/>
              </w:rPr>
            </w:pPr>
            <w:r w:rsidRPr="00B50B4C">
              <w:rPr>
                <w:rFonts w:eastAsia="Times New Roman" w:cs="Times New Roman"/>
                <w:color w:val="000000"/>
                <w:sz w:val="18"/>
                <w:szCs w:val="18"/>
                <w:lang w:eastAsia="sk-SK"/>
              </w:rPr>
              <w:t>1 412 676</w:t>
            </w:r>
          </w:p>
        </w:tc>
        <w:tc>
          <w:tcPr>
            <w:tcW w:w="465" w:type="pct"/>
            <w:tcBorders>
              <w:top w:val="nil"/>
              <w:left w:val="nil"/>
              <w:bottom w:val="nil"/>
              <w:right w:val="nil"/>
            </w:tcBorders>
            <w:shd w:val="clear" w:color="000000" w:fill="FFFFFF"/>
            <w:noWrap/>
            <w:vAlign w:val="center"/>
            <w:hideMark/>
          </w:tcPr>
          <w:p w14:paraId="4423C198" w14:textId="77777777" w:rsidR="00867CCC" w:rsidRPr="00B50B4C" w:rsidRDefault="00867CCC" w:rsidP="006F6DE5">
            <w:pPr>
              <w:spacing w:after="0" w:line="240" w:lineRule="auto"/>
              <w:jc w:val="right"/>
              <w:rPr>
                <w:rFonts w:eastAsia="Times New Roman" w:cs="Times New Roman"/>
                <w:color w:val="000000"/>
                <w:sz w:val="18"/>
                <w:szCs w:val="18"/>
                <w:lang w:eastAsia="sk-SK"/>
              </w:rPr>
            </w:pPr>
            <w:r w:rsidRPr="00B50B4C">
              <w:rPr>
                <w:rFonts w:eastAsia="Times New Roman" w:cs="Times New Roman"/>
                <w:color w:val="000000"/>
                <w:sz w:val="18"/>
                <w:szCs w:val="18"/>
                <w:lang w:eastAsia="sk-SK"/>
              </w:rPr>
              <w:t>739 081</w:t>
            </w:r>
          </w:p>
        </w:tc>
        <w:tc>
          <w:tcPr>
            <w:tcW w:w="473" w:type="pct"/>
            <w:tcBorders>
              <w:top w:val="nil"/>
              <w:left w:val="nil"/>
              <w:bottom w:val="nil"/>
              <w:right w:val="nil"/>
            </w:tcBorders>
            <w:shd w:val="clear" w:color="000000" w:fill="FFFFFF"/>
            <w:noWrap/>
            <w:vAlign w:val="center"/>
            <w:hideMark/>
          </w:tcPr>
          <w:p w14:paraId="2AC6C0C2" w14:textId="77777777" w:rsidR="00867CCC" w:rsidRPr="00B50B4C" w:rsidRDefault="00867CCC" w:rsidP="006F6DE5">
            <w:pPr>
              <w:spacing w:after="0" w:line="240" w:lineRule="auto"/>
              <w:jc w:val="right"/>
              <w:rPr>
                <w:rFonts w:eastAsia="Times New Roman" w:cs="Times New Roman"/>
                <w:color w:val="000000"/>
                <w:sz w:val="18"/>
                <w:szCs w:val="18"/>
                <w:lang w:eastAsia="sk-SK"/>
              </w:rPr>
            </w:pPr>
            <w:r w:rsidRPr="00B50B4C">
              <w:rPr>
                <w:rFonts w:eastAsia="Times New Roman" w:cs="Times New Roman"/>
                <w:color w:val="000000"/>
                <w:sz w:val="18"/>
                <w:szCs w:val="18"/>
                <w:lang w:eastAsia="sk-SK"/>
              </w:rPr>
              <w:t>109,7</w:t>
            </w:r>
          </w:p>
        </w:tc>
      </w:tr>
      <w:tr w:rsidR="00867CCC" w:rsidRPr="00B50B4C" w14:paraId="29CFCB1E" w14:textId="77777777" w:rsidTr="007D7833">
        <w:trPr>
          <w:trHeight w:val="330"/>
        </w:trPr>
        <w:tc>
          <w:tcPr>
            <w:tcW w:w="1744" w:type="pct"/>
            <w:tcBorders>
              <w:top w:val="nil"/>
              <w:left w:val="nil"/>
              <w:bottom w:val="nil"/>
              <w:right w:val="nil"/>
            </w:tcBorders>
            <w:shd w:val="clear" w:color="000000" w:fill="FFFFFF"/>
            <w:vAlign w:val="center"/>
            <w:hideMark/>
          </w:tcPr>
          <w:p w14:paraId="4048BDB7" w14:textId="77777777" w:rsidR="00867CCC" w:rsidRPr="00B50B4C" w:rsidRDefault="00867CCC" w:rsidP="006F6DE5">
            <w:pPr>
              <w:spacing w:after="0" w:line="240" w:lineRule="auto"/>
              <w:jc w:val="left"/>
              <w:rPr>
                <w:rFonts w:eastAsia="Times New Roman" w:cs="Times New Roman"/>
                <w:color w:val="000000"/>
                <w:sz w:val="18"/>
                <w:szCs w:val="18"/>
                <w:lang w:eastAsia="sk-SK"/>
              </w:rPr>
            </w:pPr>
            <w:r w:rsidRPr="00B50B4C">
              <w:rPr>
                <w:rFonts w:eastAsia="Times New Roman" w:cs="Times New Roman"/>
                <w:color w:val="000000"/>
                <w:sz w:val="18"/>
                <w:szCs w:val="18"/>
                <w:lang w:eastAsia="sk-SK"/>
              </w:rPr>
              <w:t>Programy EÚS 3. programové obdobie (CO MF SR)</w:t>
            </w:r>
          </w:p>
        </w:tc>
        <w:tc>
          <w:tcPr>
            <w:tcW w:w="553" w:type="pct"/>
            <w:tcBorders>
              <w:top w:val="nil"/>
              <w:left w:val="nil"/>
              <w:bottom w:val="nil"/>
              <w:right w:val="nil"/>
            </w:tcBorders>
            <w:shd w:val="clear" w:color="000000" w:fill="FFFFFF"/>
            <w:noWrap/>
            <w:vAlign w:val="center"/>
            <w:hideMark/>
          </w:tcPr>
          <w:p w14:paraId="41A2F131" w14:textId="77777777" w:rsidR="00867CCC" w:rsidRPr="00B50B4C" w:rsidRDefault="00867CCC" w:rsidP="006F6DE5">
            <w:pPr>
              <w:spacing w:after="0" w:line="240" w:lineRule="auto"/>
              <w:jc w:val="right"/>
              <w:rPr>
                <w:rFonts w:eastAsia="Times New Roman" w:cs="Times New Roman"/>
                <w:color w:val="000000"/>
                <w:sz w:val="18"/>
                <w:szCs w:val="18"/>
                <w:lang w:eastAsia="sk-SK"/>
              </w:rPr>
            </w:pPr>
            <w:r w:rsidRPr="00B50B4C">
              <w:rPr>
                <w:rFonts w:eastAsia="Times New Roman" w:cs="Times New Roman"/>
                <w:color w:val="000000"/>
                <w:sz w:val="18"/>
                <w:szCs w:val="18"/>
                <w:lang w:eastAsia="sk-SK"/>
              </w:rPr>
              <w:t>0</w:t>
            </w:r>
          </w:p>
        </w:tc>
        <w:tc>
          <w:tcPr>
            <w:tcW w:w="553" w:type="pct"/>
            <w:tcBorders>
              <w:top w:val="nil"/>
              <w:left w:val="nil"/>
              <w:bottom w:val="nil"/>
              <w:right w:val="nil"/>
            </w:tcBorders>
            <w:shd w:val="clear" w:color="000000" w:fill="FFFFFF"/>
            <w:noWrap/>
            <w:vAlign w:val="center"/>
            <w:hideMark/>
          </w:tcPr>
          <w:p w14:paraId="230BCB3B" w14:textId="77777777" w:rsidR="00867CCC" w:rsidRPr="00B50B4C" w:rsidRDefault="00867CCC" w:rsidP="006F6DE5">
            <w:pPr>
              <w:spacing w:after="0" w:line="240" w:lineRule="auto"/>
              <w:jc w:val="right"/>
              <w:rPr>
                <w:rFonts w:eastAsia="Times New Roman" w:cs="Times New Roman"/>
                <w:color w:val="000000"/>
                <w:sz w:val="18"/>
                <w:szCs w:val="18"/>
                <w:lang w:eastAsia="sk-SK"/>
              </w:rPr>
            </w:pPr>
            <w:r w:rsidRPr="00B50B4C">
              <w:rPr>
                <w:rFonts w:eastAsia="Times New Roman" w:cs="Times New Roman"/>
                <w:color w:val="000000"/>
                <w:sz w:val="18"/>
                <w:szCs w:val="18"/>
                <w:lang w:eastAsia="sk-SK"/>
              </w:rPr>
              <w:t>0</w:t>
            </w:r>
          </w:p>
        </w:tc>
        <w:tc>
          <w:tcPr>
            <w:tcW w:w="553" w:type="pct"/>
            <w:tcBorders>
              <w:top w:val="nil"/>
              <w:left w:val="nil"/>
              <w:bottom w:val="nil"/>
              <w:right w:val="nil"/>
            </w:tcBorders>
            <w:shd w:val="clear" w:color="000000" w:fill="FFFFFF"/>
            <w:noWrap/>
            <w:vAlign w:val="center"/>
            <w:hideMark/>
          </w:tcPr>
          <w:p w14:paraId="16805587" w14:textId="77777777" w:rsidR="00867CCC" w:rsidRPr="00B50B4C" w:rsidRDefault="00867CCC" w:rsidP="006F6DE5">
            <w:pPr>
              <w:spacing w:after="0" w:line="240" w:lineRule="auto"/>
              <w:jc w:val="right"/>
              <w:rPr>
                <w:rFonts w:eastAsia="Times New Roman" w:cs="Times New Roman"/>
                <w:color w:val="000000"/>
                <w:sz w:val="18"/>
                <w:szCs w:val="18"/>
                <w:lang w:eastAsia="sk-SK"/>
              </w:rPr>
            </w:pPr>
            <w:r w:rsidRPr="00B50B4C">
              <w:rPr>
                <w:rFonts w:eastAsia="Times New Roman" w:cs="Times New Roman"/>
                <w:color w:val="000000"/>
                <w:sz w:val="18"/>
                <w:szCs w:val="18"/>
                <w:lang w:eastAsia="sk-SK"/>
              </w:rPr>
              <w:t>10 050</w:t>
            </w:r>
          </w:p>
        </w:tc>
        <w:tc>
          <w:tcPr>
            <w:tcW w:w="660" w:type="pct"/>
            <w:tcBorders>
              <w:top w:val="nil"/>
              <w:left w:val="nil"/>
              <w:bottom w:val="nil"/>
              <w:right w:val="nil"/>
            </w:tcBorders>
            <w:shd w:val="clear" w:color="auto" w:fill="BFBFBF" w:themeFill="background1" w:themeFillShade="BF"/>
            <w:noWrap/>
            <w:vAlign w:val="center"/>
            <w:hideMark/>
          </w:tcPr>
          <w:p w14:paraId="545DCD45" w14:textId="77777777" w:rsidR="00867CCC" w:rsidRPr="00B50B4C" w:rsidRDefault="00867CCC" w:rsidP="006F6DE5">
            <w:pPr>
              <w:jc w:val="right"/>
              <w:rPr>
                <w:color w:val="000000"/>
                <w:sz w:val="18"/>
                <w:szCs w:val="18"/>
              </w:rPr>
            </w:pPr>
            <w:r w:rsidRPr="00B50B4C">
              <w:rPr>
                <w:color w:val="000000"/>
                <w:sz w:val="18"/>
                <w:szCs w:val="18"/>
              </w:rPr>
              <w:t>4 158</w:t>
            </w:r>
          </w:p>
        </w:tc>
        <w:tc>
          <w:tcPr>
            <w:tcW w:w="465" w:type="pct"/>
            <w:tcBorders>
              <w:top w:val="nil"/>
              <w:left w:val="nil"/>
              <w:bottom w:val="nil"/>
              <w:right w:val="nil"/>
            </w:tcBorders>
            <w:shd w:val="clear" w:color="000000" w:fill="FFFFFF"/>
            <w:noWrap/>
            <w:vAlign w:val="center"/>
            <w:hideMark/>
          </w:tcPr>
          <w:p w14:paraId="2D98B6DF" w14:textId="77777777" w:rsidR="00867CCC" w:rsidRPr="00B50B4C" w:rsidRDefault="00867CCC" w:rsidP="006F6DE5">
            <w:pPr>
              <w:jc w:val="right"/>
              <w:rPr>
                <w:color w:val="000000"/>
                <w:sz w:val="18"/>
                <w:szCs w:val="18"/>
              </w:rPr>
            </w:pPr>
            <w:r w:rsidRPr="00B50B4C">
              <w:rPr>
                <w:color w:val="000000"/>
                <w:sz w:val="18"/>
                <w:szCs w:val="18"/>
              </w:rPr>
              <w:t>-5 892</w:t>
            </w:r>
          </w:p>
        </w:tc>
        <w:tc>
          <w:tcPr>
            <w:tcW w:w="473" w:type="pct"/>
            <w:tcBorders>
              <w:top w:val="nil"/>
              <w:left w:val="nil"/>
              <w:bottom w:val="nil"/>
              <w:right w:val="nil"/>
            </w:tcBorders>
            <w:shd w:val="clear" w:color="000000" w:fill="FFFFFF"/>
            <w:noWrap/>
            <w:vAlign w:val="center"/>
            <w:hideMark/>
          </w:tcPr>
          <w:p w14:paraId="56AC4494" w14:textId="77777777" w:rsidR="00867CCC" w:rsidRPr="00B50B4C" w:rsidRDefault="00867CCC" w:rsidP="006F6DE5">
            <w:pPr>
              <w:jc w:val="right"/>
              <w:rPr>
                <w:color w:val="000000"/>
                <w:sz w:val="18"/>
                <w:szCs w:val="18"/>
              </w:rPr>
            </w:pPr>
            <w:r w:rsidRPr="00B50B4C">
              <w:rPr>
                <w:color w:val="000000"/>
                <w:sz w:val="18"/>
                <w:szCs w:val="18"/>
              </w:rPr>
              <w:t>-58,6</w:t>
            </w:r>
          </w:p>
        </w:tc>
      </w:tr>
      <w:tr w:rsidR="00867CCC" w:rsidRPr="00B50B4C" w14:paraId="759D761B" w14:textId="77777777" w:rsidTr="007D7833">
        <w:trPr>
          <w:trHeight w:val="330"/>
        </w:trPr>
        <w:tc>
          <w:tcPr>
            <w:tcW w:w="1744" w:type="pct"/>
            <w:tcBorders>
              <w:top w:val="nil"/>
              <w:left w:val="nil"/>
              <w:bottom w:val="nil"/>
              <w:right w:val="nil"/>
            </w:tcBorders>
            <w:shd w:val="clear" w:color="000000" w:fill="FFFFFF"/>
            <w:vAlign w:val="center"/>
            <w:hideMark/>
          </w:tcPr>
          <w:p w14:paraId="23B00036" w14:textId="77777777" w:rsidR="00867CCC" w:rsidRPr="00B50B4C" w:rsidRDefault="00867CCC" w:rsidP="006F6DE5">
            <w:pPr>
              <w:spacing w:after="0" w:line="240" w:lineRule="auto"/>
              <w:jc w:val="left"/>
              <w:rPr>
                <w:rFonts w:eastAsia="Times New Roman" w:cs="Times New Roman"/>
                <w:b/>
                <w:bCs/>
                <w:color w:val="000000"/>
                <w:sz w:val="18"/>
                <w:szCs w:val="18"/>
                <w:lang w:eastAsia="sk-SK"/>
              </w:rPr>
            </w:pPr>
            <w:r w:rsidRPr="00B50B4C">
              <w:rPr>
                <w:rFonts w:eastAsia="Times New Roman" w:cs="Times New Roman"/>
                <w:b/>
                <w:bCs/>
                <w:color w:val="000000"/>
                <w:sz w:val="18"/>
                <w:szCs w:val="18"/>
                <w:lang w:eastAsia="sk-SK"/>
              </w:rPr>
              <w:t>Štrukturálne operácie - MF SR</w:t>
            </w:r>
          </w:p>
        </w:tc>
        <w:tc>
          <w:tcPr>
            <w:tcW w:w="553" w:type="pct"/>
            <w:tcBorders>
              <w:top w:val="nil"/>
              <w:left w:val="nil"/>
              <w:bottom w:val="nil"/>
              <w:right w:val="nil"/>
            </w:tcBorders>
            <w:shd w:val="clear" w:color="000000" w:fill="FFFFFF"/>
            <w:noWrap/>
            <w:vAlign w:val="center"/>
            <w:hideMark/>
          </w:tcPr>
          <w:p w14:paraId="3204E7F1" w14:textId="77777777" w:rsidR="00867CCC" w:rsidRPr="00B50B4C" w:rsidRDefault="00867CCC" w:rsidP="006F6DE5">
            <w:pPr>
              <w:spacing w:after="0" w:line="240" w:lineRule="auto"/>
              <w:jc w:val="right"/>
              <w:rPr>
                <w:rFonts w:eastAsia="Times New Roman" w:cs="Times New Roman"/>
                <w:b/>
                <w:bCs/>
                <w:color w:val="000000"/>
                <w:sz w:val="18"/>
                <w:szCs w:val="18"/>
                <w:lang w:eastAsia="sk-SK"/>
              </w:rPr>
            </w:pPr>
            <w:r w:rsidRPr="00B50B4C">
              <w:rPr>
                <w:rFonts w:eastAsia="Times New Roman" w:cs="Times New Roman"/>
                <w:b/>
                <w:bCs/>
                <w:color w:val="000000"/>
                <w:sz w:val="18"/>
                <w:szCs w:val="18"/>
                <w:lang w:eastAsia="sk-SK"/>
              </w:rPr>
              <w:t>1 410 973</w:t>
            </w:r>
          </w:p>
        </w:tc>
        <w:tc>
          <w:tcPr>
            <w:tcW w:w="553" w:type="pct"/>
            <w:tcBorders>
              <w:top w:val="nil"/>
              <w:left w:val="nil"/>
              <w:bottom w:val="nil"/>
              <w:right w:val="nil"/>
            </w:tcBorders>
            <w:shd w:val="clear" w:color="000000" w:fill="FFFFFF"/>
            <w:noWrap/>
            <w:vAlign w:val="center"/>
            <w:hideMark/>
          </w:tcPr>
          <w:p w14:paraId="0142D79B" w14:textId="77777777" w:rsidR="00867CCC" w:rsidRPr="00B50B4C" w:rsidRDefault="00867CCC" w:rsidP="006F6DE5">
            <w:pPr>
              <w:spacing w:after="0" w:line="240" w:lineRule="auto"/>
              <w:jc w:val="right"/>
              <w:rPr>
                <w:rFonts w:eastAsia="Times New Roman" w:cs="Times New Roman"/>
                <w:b/>
                <w:bCs/>
                <w:color w:val="000000"/>
                <w:sz w:val="18"/>
                <w:szCs w:val="18"/>
                <w:lang w:eastAsia="sk-SK"/>
              </w:rPr>
            </w:pPr>
            <w:r w:rsidRPr="00B50B4C">
              <w:rPr>
                <w:rFonts w:eastAsia="Times New Roman" w:cs="Times New Roman"/>
                <w:b/>
                <w:bCs/>
                <w:color w:val="000000"/>
                <w:sz w:val="18"/>
                <w:szCs w:val="18"/>
                <w:lang w:eastAsia="sk-SK"/>
              </w:rPr>
              <w:t>826 687</w:t>
            </w:r>
          </w:p>
        </w:tc>
        <w:tc>
          <w:tcPr>
            <w:tcW w:w="553" w:type="pct"/>
            <w:tcBorders>
              <w:top w:val="nil"/>
              <w:left w:val="nil"/>
              <w:bottom w:val="nil"/>
              <w:right w:val="nil"/>
            </w:tcBorders>
            <w:shd w:val="clear" w:color="000000" w:fill="FFFFFF"/>
            <w:noWrap/>
            <w:vAlign w:val="center"/>
            <w:hideMark/>
          </w:tcPr>
          <w:p w14:paraId="7C55FA9F" w14:textId="77777777" w:rsidR="00867CCC" w:rsidRPr="00B50B4C" w:rsidRDefault="00867CCC" w:rsidP="006F6DE5">
            <w:pPr>
              <w:spacing w:after="0" w:line="240" w:lineRule="auto"/>
              <w:jc w:val="right"/>
              <w:rPr>
                <w:rFonts w:eastAsia="Times New Roman" w:cs="Times New Roman"/>
                <w:b/>
                <w:bCs/>
                <w:color w:val="000000"/>
                <w:sz w:val="18"/>
                <w:szCs w:val="18"/>
                <w:lang w:eastAsia="sk-SK"/>
              </w:rPr>
            </w:pPr>
            <w:r w:rsidRPr="00B50B4C">
              <w:rPr>
                <w:rFonts w:eastAsia="Times New Roman" w:cs="Times New Roman"/>
                <w:b/>
                <w:bCs/>
                <w:color w:val="000000"/>
                <w:sz w:val="18"/>
                <w:szCs w:val="18"/>
                <w:lang w:eastAsia="sk-SK"/>
              </w:rPr>
              <w:t>683 645</w:t>
            </w:r>
          </w:p>
        </w:tc>
        <w:tc>
          <w:tcPr>
            <w:tcW w:w="660" w:type="pct"/>
            <w:tcBorders>
              <w:top w:val="nil"/>
              <w:left w:val="nil"/>
              <w:bottom w:val="nil"/>
              <w:right w:val="nil"/>
            </w:tcBorders>
            <w:shd w:val="clear" w:color="auto" w:fill="BFBFBF" w:themeFill="background1" w:themeFillShade="BF"/>
            <w:noWrap/>
            <w:vAlign w:val="center"/>
            <w:hideMark/>
          </w:tcPr>
          <w:p w14:paraId="097C9124" w14:textId="77777777" w:rsidR="00867CCC" w:rsidRPr="00B50B4C" w:rsidRDefault="00867CCC" w:rsidP="006F6DE5">
            <w:pPr>
              <w:spacing w:after="0" w:line="240" w:lineRule="auto"/>
              <w:jc w:val="right"/>
              <w:rPr>
                <w:rFonts w:eastAsia="Times New Roman" w:cs="Times New Roman"/>
                <w:b/>
                <w:bCs/>
                <w:color w:val="000000"/>
                <w:sz w:val="18"/>
                <w:szCs w:val="18"/>
                <w:lang w:eastAsia="sk-SK"/>
              </w:rPr>
            </w:pPr>
            <w:r w:rsidRPr="00B50B4C">
              <w:rPr>
                <w:rFonts w:eastAsia="Times New Roman" w:cs="Times New Roman"/>
                <w:b/>
                <w:bCs/>
                <w:color w:val="000000"/>
                <w:sz w:val="18"/>
                <w:szCs w:val="18"/>
                <w:lang w:eastAsia="sk-SK"/>
              </w:rPr>
              <w:t>1 509 852</w:t>
            </w:r>
          </w:p>
        </w:tc>
        <w:tc>
          <w:tcPr>
            <w:tcW w:w="465" w:type="pct"/>
            <w:tcBorders>
              <w:top w:val="nil"/>
              <w:left w:val="nil"/>
              <w:bottom w:val="nil"/>
              <w:right w:val="nil"/>
            </w:tcBorders>
            <w:shd w:val="clear" w:color="000000" w:fill="FFFFFF"/>
            <w:noWrap/>
            <w:vAlign w:val="center"/>
            <w:hideMark/>
          </w:tcPr>
          <w:p w14:paraId="0AD8B5F9" w14:textId="77777777" w:rsidR="00867CCC" w:rsidRPr="00B50B4C" w:rsidRDefault="00867CCC" w:rsidP="006F6DE5">
            <w:pPr>
              <w:spacing w:after="0" w:line="240" w:lineRule="auto"/>
              <w:jc w:val="right"/>
              <w:rPr>
                <w:rFonts w:eastAsia="Times New Roman" w:cs="Times New Roman"/>
                <w:b/>
                <w:bCs/>
                <w:color w:val="000000"/>
                <w:sz w:val="18"/>
                <w:szCs w:val="18"/>
                <w:lang w:eastAsia="sk-SK"/>
              </w:rPr>
            </w:pPr>
            <w:r w:rsidRPr="00B50B4C">
              <w:rPr>
                <w:rFonts w:eastAsia="Times New Roman" w:cs="Times New Roman"/>
                <w:b/>
                <w:bCs/>
                <w:color w:val="000000"/>
                <w:sz w:val="18"/>
                <w:szCs w:val="18"/>
                <w:lang w:eastAsia="sk-SK"/>
              </w:rPr>
              <w:t>826 207</w:t>
            </w:r>
          </w:p>
        </w:tc>
        <w:tc>
          <w:tcPr>
            <w:tcW w:w="473" w:type="pct"/>
            <w:tcBorders>
              <w:top w:val="nil"/>
              <w:left w:val="nil"/>
              <w:bottom w:val="nil"/>
              <w:right w:val="nil"/>
            </w:tcBorders>
            <w:shd w:val="clear" w:color="000000" w:fill="FFFFFF"/>
            <w:noWrap/>
            <w:vAlign w:val="center"/>
            <w:hideMark/>
          </w:tcPr>
          <w:p w14:paraId="36C9C529" w14:textId="77777777" w:rsidR="00867CCC" w:rsidRPr="00B50B4C" w:rsidRDefault="00867CCC" w:rsidP="006F6DE5">
            <w:pPr>
              <w:spacing w:after="0" w:line="240" w:lineRule="auto"/>
              <w:jc w:val="right"/>
              <w:rPr>
                <w:rFonts w:eastAsia="Times New Roman" w:cs="Times New Roman"/>
                <w:b/>
                <w:bCs/>
                <w:color w:val="000000"/>
                <w:sz w:val="18"/>
                <w:szCs w:val="18"/>
                <w:lang w:eastAsia="sk-SK"/>
              </w:rPr>
            </w:pPr>
            <w:r w:rsidRPr="00B50B4C">
              <w:rPr>
                <w:rFonts w:eastAsia="Times New Roman" w:cs="Times New Roman"/>
                <w:b/>
                <w:bCs/>
                <w:color w:val="000000"/>
                <w:sz w:val="18"/>
                <w:szCs w:val="18"/>
                <w:lang w:eastAsia="sk-SK"/>
              </w:rPr>
              <w:t>120,9</w:t>
            </w:r>
          </w:p>
        </w:tc>
      </w:tr>
      <w:tr w:rsidR="00867CCC" w:rsidRPr="00B50B4C" w14:paraId="07A9CACE" w14:textId="77777777" w:rsidTr="007D7833">
        <w:trPr>
          <w:trHeight w:val="480"/>
        </w:trPr>
        <w:tc>
          <w:tcPr>
            <w:tcW w:w="1744" w:type="pct"/>
            <w:tcBorders>
              <w:top w:val="nil"/>
              <w:left w:val="nil"/>
              <w:bottom w:val="nil"/>
              <w:right w:val="nil"/>
            </w:tcBorders>
            <w:shd w:val="clear" w:color="000000" w:fill="FFFFFF"/>
            <w:vAlign w:val="center"/>
            <w:hideMark/>
          </w:tcPr>
          <w:p w14:paraId="34C8DD33" w14:textId="77777777" w:rsidR="00867CCC" w:rsidRPr="00B50B4C" w:rsidRDefault="00867CCC" w:rsidP="006F6DE5">
            <w:pPr>
              <w:spacing w:after="0" w:line="240" w:lineRule="auto"/>
              <w:jc w:val="left"/>
              <w:rPr>
                <w:rFonts w:eastAsia="Times New Roman" w:cs="Times New Roman"/>
                <w:color w:val="000000"/>
                <w:sz w:val="18"/>
                <w:szCs w:val="18"/>
                <w:lang w:eastAsia="sk-SK"/>
              </w:rPr>
            </w:pPr>
            <w:r w:rsidRPr="00B50B4C">
              <w:rPr>
                <w:rFonts w:eastAsia="Times New Roman" w:cs="Times New Roman"/>
                <w:color w:val="000000"/>
                <w:sz w:val="18"/>
                <w:szCs w:val="18"/>
                <w:lang w:eastAsia="sk-SK"/>
              </w:rPr>
              <w:t>OP Sociálneho začlenenia najodkázanejších osôb</w:t>
            </w:r>
          </w:p>
        </w:tc>
        <w:tc>
          <w:tcPr>
            <w:tcW w:w="553" w:type="pct"/>
            <w:tcBorders>
              <w:top w:val="nil"/>
              <w:left w:val="nil"/>
              <w:bottom w:val="nil"/>
              <w:right w:val="nil"/>
            </w:tcBorders>
            <w:shd w:val="clear" w:color="000000" w:fill="FFFFFF"/>
            <w:noWrap/>
            <w:vAlign w:val="center"/>
            <w:hideMark/>
          </w:tcPr>
          <w:p w14:paraId="18DABCE1" w14:textId="77777777" w:rsidR="00867CCC" w:rsidRPr="00B50B4C" w:rsidRDefault="00867CCC" w:rsidP="006F6DE5">
            <w:pPr>
              <w:spacing w:after="0" w:line="240" w:lineRule="auto"/>
              <w:jc w:val="right"/>
              <w:rPr>
                <w:rFonts w:eastAsia="Times New Roman" w:cs="Times New Roman"/>
                <w:color w:val="000000"/>
                <w:sz w:val="18"/>
                <w:szCs w:val="18"/>
                <w:lang w:eastAsia="sk-SK"/>
              </w:rPr>
            </w:pPr>
            <w:r w:rsidRPr="00B50B4C">
              <w:rPr>
                <w:rFonts w:eastAsia="Times New Roman" w:cs="Times New Roman"/>
                <w:color w:val="000000"/>
                <w:sz w:val="18"/>
                <w:szCs w:val="18"/>
                <w:lang w:eastAsia="sk-SK"/>
              </w:rPr>
              <w:t>227</w:t>
            </w:r>
          </w:p>
        </w:tc>
        <w:tc>
          <w:tcPr>
            <w:tcW w:w="553" w:type="pct"/>
            <w:tcBorders>
              <w:top w:val="nil"/>
              <w:left w:val="nil"/>
              <w:bottom w:val="nil"/>
              <w:right w:val="nil"/>
            </w:tcBorders>
            <w:shd w:val="clear" w:color="000000" w:fill="FFFFFF"/>
            <w:noWrap/>
            <w:vAlign w:val="center"/>
            <w:hideMark/>
          </w:tcPr>
          <w:p w14:paraId="1A8CC4EE" w14:textId="77777777" w:rsidR="00867CCC" w:rsidRPr="00B50B4C" w:rsidRDefault="00867CCC" w:rsidP="006F6DE5">
            <w:pPr>
              <w:spacing w:after="0" w:line="240" w:lineRule="auto"/>
              <w:jc w:val="right"/>
              <w:rPr>
                <w:rFonts w:eastAsia="Times New Roman" w:cs="Times New Roman"/>
                <w:color w:val="000000"/>
                <w:sz w:val="18"/>
                <w:szCs w:val="18"/>
                <w:lang w:eastAsia="sk-SK"/>
              </w:rPr>
            </w:pPr>
            <w:r w:rsidRPr="00B50B4C">
              <w:rPr>
                <w:rFonts w:eastAsia="Times New Roman" w:cs="Times New Roman"/>
                <w:color w:val="000000"/>
                <w:sz w:val="18"/>
                <w:szCs w:val="18"/>
                <w:lang w:eastAsia="sk-SK"/>
              </w:rPr>
              <w:t>9 123</w:t>
            </w:r>
          </w:p>
        </w:tc>
        <w:tc>
          <w:tcPr>
            <w:tcW w:w="553" w:type="pct"/>
            <w:tcBorders>
              <w:top w:val="nil"/>
              <w:left w:val="nil"/>
              <w:bottom w:val="nil"/>
              <w:right w:val="nil"/>
            </w:tcBorders>
            <w:shd w:val="clear" w:color="000000" w:fill="FFFFFF"/>
            <w:noWrap/>
            <w:vAlign w:val="center"/>
            <w:hideMark/>
          </w:tcPr>
          <w:p w14:paraId="256B92FD" w14:textId="77777777" w:rsidR="00867CCC" w:rsidRPr="00B50B4C" w:rsidRDefault="00867CCC" w:rsidP="006F6DE5">
            <w:pPr>
              <w:spacing w:after="0" w:line="240" w:lineRule="auto"/>
              <w:jc w:val="right"/>
              <w:rPr>
                <w:rFonts w:eastAsia="Times New Roman" w:cs="Times New Roman"/>
                <w:color w:val="000000"/>
                <w:sz w:val="18"/>
                <w:szCs w:val="18"/>
                <w:lang w:eastAsia="sk-SK"/>
              </w:rPr>
            </w:pPr>
            <w:r w:rsidRPr="00B50B4C">
              <w:rPr>
                <w:rFonts w:eastAsia="Times New Roman" w:cs="Times New Roman"/>
                <w:color w:val="000000"/>
                <w:sz w:val="18"/>
                <w:szCs w:val="18"/>
                <w:lang w:eastAsia="sk-SK"/>
              </w:rPr>
              <w:t>8 521</w:t>
            </w:r>
          </w:p>
        </w:tc>
        <w:tc>
          <w:tcPr>
            <w:tcW w:w="660" w:type="pct"/>
            <w:tcBorders>
              <w:top w:val="nil"/>
              <w:left w:val="nil"/>
              <w:bottom w:val="nil"/>
              <w:right w:val="nil"/>
            </w:tcBorders>
            <w:shd w:val="clear" w:color="auto" w:fill="BFBFBF" w:themeFill="background1" w:themeFillShade="BF"/>
            <w:noWrap/>
            <w:vAlign w:val="center"/>
            <w:hideMark/>
          </w:tcPr>
          <w:p w14:paraId="2AF2B40D" w14:textId="77777777" w:rsidR="00867CCC" w:rsidRPr="00B50B4C" w:rsidRDefault="00867CCC" w:rsidP="006F6DE5">
            <w:pPr>
              <w:spacing w:after="0" w:line="240" w:lineRule="auto"/>
              <w:jc w:val="right"/>
              <w:rPr>
                <w:rFonts w:eastAsia="Times New Roman" w:cs="Times New Roman"/>
                <w:color w:val="000000"/>
                <w:sz w:val="18"/>
                <w:szCs w:val="18"/>
                <w:lang w:eastAsia="sk-SK"/>
              </w:rPr>
            </w:pPr>
            <w:r w:rsidRPr="00B50B4C">
              <w:rPr>
                <w:rFonts w:eastAsia="Times New Roman" w:cs="Times New Roman"/>
                <w:color w:val="000000"/>
                <w:sz w:val="18"/>
                <w:szCs w:val="18"/>
                <w:lang w:eastAsia="sk-SK"/>
              </w:rPr>
              <w:t>8 942</w:t>
            </w:r>
          </w:p>
        </w:tc>
        <w:tc>
          <w:tcPr>
            <w:tcW w:w="465" w:type="pct"/>
            <w:tcBorders>
              <w:top w:val="nil"/>
              <w:left w:val="nil"/>
              <w:bottom w:val="nil"/>
              <w:right w:val="nil"/>
            </w:tcBorders>
            <w:shd w:val="clear" w:color="000000" w:fill="FFFFFF"/>
            <w:noWrap/>
            <w:vAlign w:val="center"/>
            <w:hideMark/>
          </w:tcPr>
          <w:p w14:paraId="3BF21CC8" w14:textId="77777777" w:rsidR="00867CCC" w:rsidRPr="00B50B4C" w:rsidRDefault="00867CCC" w:rsidP="006F6DE5">
            <w:pPr>
              <w:spacing w:after="0" w:line="240" w:lineRule="auto"/>
              <w:jc w:val="right"/>
              <w:rPr>
                <w:rFonts w:eastAsia="Times New Roman" w:cs="Times New Roman"/>
                <w:color w:val="000000"/>
                <w:sz w:val="18"/>
                <w:szCs w:val="18"/>
                <w:lang w:eastAsia="sk-SK"/>
              </w:rPr>
            </w:pPr>
            <w:r w:rsidRPr="00B50B4C">
              <w:rPr>
                <w:rFonts w:eastAsia="Times New Roman" w:cs="Times New Roman"/>
                <w:color w:val="000000"/>
                <w:sz w:val="18"/>
                <w:szCs w:val="18"/>
                <w:lang w:eastAsia="sk-SK"/>
              </w:rPr>
              <w:t>421</w:t>
            </w:r>
          </w:p>
        </w:tc>
        <w:tc>
          <w:tcPr>
            <w:tcW w:w="473" w:type="pct"/>
            <w:tcBorders>
              <w:top w:val="nil"/>
              <w:left w:val="nil"/>
              <w:bottom w:val="nil"/>
              <w:right w:val="nil"/>
            </w:tcBorders>
            <w:shd w:val="clear" w:color="000000" w:fill="FFFFFF"/>
            <w:noWrap/>
            <w:vAlign w:val="center"/>
            <w:hideMark/>
          </w:tcPr>
          <w:p w14:paraId="5246F820" w14:textId="77777777" w:rsidR="00867CCC" w:rsidRPr="00B50B4C" w:rsidRDefault="00867CCC" w:rsidP="006F6DE5">
            <w:pPr>
              <w:spacing w:after="0" w:line="240" w:lineRule="auto"/>
              <w:jc w:val="right"/>
              <w:rPr>
                <w:rFonts w:eastAsia="Times New Roman" w:cs="Times New Roman"/>
                <w:color w:val="000000"/>
                <w:sz w:val="18"/>
                <w:szCs w:val="18"/>
                <w:lang w:eastAsia="sk-SK"/>
              </w:rPr>
            </w:pPr>
            <w:r w:rsidRPr="00B50B4C">
              <w:rPr>
                <w:rFonts w:eastAsia="Times New Roman" w:cs="Times New Roman"/>
                <w:color w:val="000000"/>
                <w:sz w:val="18"/>
                <w:szCs w:val="18"/>
                <w:lang w:eastAsia="sk-SK"/>
              </w:rPr>
              <w:t>4,9</w:t>
            </w:r>
          </w:p>
        </w:tc>
      </w:tr>
      <w:tr w:rsidR="00867CCC" w:rsidRPr="00B50B4C" w14:paraId="2FA0FC26" w14:textId="77777777" w:rsidTr="007D7833">
        <w:trPr>
          <w:trHeight w:val="330"/>
        </w:trPr>
        <w:tc>
          <w:tcPr>
            <w:tcW w:w="1744" w:type="pct"/>
            <w:tcBorders>
              <w:top w:val="nil"/>
              <w:left w:val="nil"/>
              <w:bottom w:val="nil"/>
              <w:right w:val="nil"/>
            </w:tcBorders>
            <w:shd w:val="clear" w:color="000000" w:fill="FFFFFF"/>
            <w:vAlign w:val="center"/>
            <w:hideMark/>
          </w:tcPr>
          <w:p w14:paraId="17D5F8E3" w14:textId="77777777" w:rsidR="00867CCC" w:rsidRPr="00B50B4C" w:rsidRDefault="00867CCC" w:rsidP="006F6DE5">
            <w:pPr>
              <w:spacing w:after="0" w:line="240" w:lineRule="auto"/>
              <w:jc w:val="left"/>
              <w:rPr>
                <w:rFonts w:eastAsia="Times New Roman" w:cs="Times New Roman"/>
                <w:b/>
                <w:bCs/>
                <w:color w:val="000000"/>
                <w:sz w:val="18"/>
                <w:szCs w:val="18"/>
                <w:lang w:eastAsia="sk-SK"/>
              </w:rPr>
            </w:pPr>
            <w:r w:rsidRPr="00B50B4C">
              <w:rPr>
                <w:rFonts w:eastAsia="Times New Roman" w:cs="Times New Roman"/>
                <w:b/>
                <w:bCs/>
                <w:color w:val="000000"/>
                <w:sz w:val="18"/>
                <w:szCs w:val="18"/>
                <w:lang w:eastAsia="sk-SK"/>
              </w:rPr>
              <w:t>Štrukturálne operácie - MPSVR SR</w:t>
            </w:r>
          </w:p>
        </w:tc>
        <w:tc>
          <w:tcPr>
            <w:tcW w:w="553" w:type="pct"/>
            <w:tcBorders>
              <w:top w:val="nil"/>
              <w:left w:val="nil"/>
              <w:bottom w:val="nil"/>
              <w:right w:val="nil"/>
            </w:tcBorders>
            <w:shd w:val="clear" w:color="000000" w:fill="FFFFFF"/>
            <w:noWrap/>
            <w:vAlign w:val="center"/>
            <w:hideMark/>
          </w:tcPr>
          <w:p w14:paraId="06B9CAD9" w14:textId="77777777" w:rsidR="00867CCC" w:rsidRPr="00B50B4C" w:rsidRDefault="00867CCC" w:rsidP="006F6DE5">
            <w:pPr>
              <w:spacing w:after="0" w:line="240" w:lineRule="auto"/>
              <w:jc w:val="right"/>
              <w:rPr>
                <w:rFonts w:eastAsia="Times New Roman" w:cs="Times New Roman"/>
                <w:b/>
                <w:bCs/>
                <w:color w:val="000000"/>
                <w:sz w:val="18"/>
                <w:szCs w:val="18"/>
                <w:lang w:eastAsia="sk-SK"/>
              </w:rPr>
            </w:pPr>
            <w:r w:rsidRPr="00B50B4C">
              <w:rPr>
                <w:rFonts w:eastAsia="Times New Roman" w:cs="Times New Roman"/>
                <w:b/>
                <w:bCs/>
                <w:color w:val="000000"/>
                <w:sz w:val="18"/>
                <w:szCs w:val="18"/>
                <w:lang w:eastAsia="sk-SK"/>
              </w:rPr>
              <w:t>227</w:t>
            </w:r>
          </w:p>
        </w:tc>
        <w:tc>
          <w:tcPr>
            <w:tcW w:w="553" w:type="pct"/>
            <w:tcBorders>
              <w:top w:val="nil"/>
              <w:left w:val="nil"/>
              <w:bottom w:val="nil"/>
              <w:right w:val="nil"/>
            </w:tcBorders>
            <w:shd w:val="clear" w:color="000000" w:fill="FFFFFF"/>
            <w:noWrap/>
            <w:vAlign w:val="center"/>
            <w:hideMark/>
          </w:tcPr>
          <w:p w14:paraId="20A7AB05" w14:textId="77777777" w:rsidR="00867CCC" w:rsidRPr="00B50B4C" w:rsidRDefault="00867CCC" w:rsidP="006F6DE5">
            <w:pPr>
              <w:spacing w:after="0" w:line="240" w:lineRule="auto"/>
              <w:jc w:val="right"/>
              <w:rPr>
                <w:rFonts w:eastAsia="Times New Roman" w:cs="Times New Roman"/>
                <w:b/>
                <w:bCs/>
                <w:color w:val="000000"/>
                <w:sz w:val="18"/>
                <w:szCs w:val="18"/>
                <w:lang w:eastAsia="sk-SK"/>
              </w:rPr>
            </w:pPr>
            <w:r w:rsidRPr="00B50B4C">
              <w:rPr>
                <w:rFonts w:eastAsia="Times New Roman" w:cs="Times New Roman"/>
                <w:b/>
                <w:bCs/>
                <w:color w:val="000000"/>
                <w:sz w:val="18"/>
                <w:szCs w:val="18"/>
                <w:lang w:eastAsia="sk-SK"/>
              </w:rPr>
              <w:t>9 123</w:t>
            </w:r>
          </w:p>
        </w:tc>
        <w:tc>
          <w:tcPr>
            <w:tcW w:w="553" w:type="pct"/>
            <w:tcBorders>
              <w:top w:val="nil"/>
              <w:left w:val="nil"/>
              <w:bottom w:val="nil"/>
              <w:right w:val="nil"/>
            </w:tcBorders>
            <w:shd w:val="clear" w:color="000000" w:fill="FFFFFF"/>
            <w:noWrap/>
            <w:vAlign w:val="center"/>
            <w:hideMark/>
          </w:tcPr>
          <w:p w14:paraId="5B589D88" w14:textId="77777777" w:rsidR="00867CCC" w:rsidRPr="00B50B4C" w:rsidRDefault="00867CCC" w:rsidP="006F6DE5">
            <w:pPr>
              <w:spacing w:after="0" w:line="240" w:lineRule="auto"/>
              <w:jc w:val="right"/>
              <w:rPr>
                <w:rFonts w:eastAsia="Times New Roman" w:cs="Times New Roman"/>
                <w:b/>
                <w:bCs/>
                <w:color w:val="000000"/>
                <w:sz w:val="18"/>
                <w:szCs w:val="18"/>
                <w:lang w:eastAsia="sk-SK"/>
              </w:rPr>
            </w:pPr>
            <w:r w:rsidRPr="00B50B4C">
              <w:rPr>
                <w:rFonts w:eastAsia="Times New Roman" w:cs="Times New Roman"/>
                <w:b/>
                <w:bCs/>
                <w:color w:val="000000"/>
                <w:sz w:val="18"/>
                <w:szCs w:val="18"/>
                <w:lang w:eastAsia="sk-SK"/>
              </w:rPr>
              <w:t>8 521</w:t>
            </w:r>
          </w:p>
        </w:tc>
        <w:tc>
          <w:tcPr>
            <w:tcW w:w="660" w:type="pct"/>
            <w:tcBorders>
              <w:top w:val="nil"/>
              <w:left w:val="nil"/>
              <w:bottom w:val="nil"/>
              <w:right w:val="nil"/>
            </w:tcBorders>
            <w:shd w:val="clear" w:color="auto" w:fill="BFBFBF" w:themeFill="background1" w:themeFillShade="BF"/>
            <w:noWrap/>
            <w:vAlign w:val="center"/>
            <w:hideMark/>
          </w:tcPr>
          <w:p w14:paraId="71A04584" w14:textId="77777777" w:rsidR="00867CCC" w:rsidRPr="00B50B4C" w:rsidRDefault="00867CCC" w:rsidP="006F6DE5">
            <w:pPr>
              <w:spacing w:after="0" w:line="240" w:lineRule="auto"/>
              <w:jc w:val="right"/>
              <w:rPr>
                <w:rFonts w:eastAsia="Times New Roman" w:cs="Times New Roman"/>
                <w:b/>
                <w:bCs/>
                <w:color w:val="000000"/>
                <w:sz w:val="18"/>
                <w:szCs w:val="18"/>
                <w:lang w:eastAsia="sk-SK"/>
              </w:rPr>
            </w:pPr>
            <w:r w:rsidRPr="00B50B4C">
              <w:rPr>
                <w:rFonts w:eastAsia="Times New Roman" w:cs="Times New Roman"/>
                <w:b/>
                <w:bCs/>
                <w:color w:val="000000"/>
                <w:sz w:val="18"/>
                <w:szCs w:val="18"/>
                <w:lang w:eastAsia="sk-SK"/>
              </w:rPr>
              <w:t>8 942</w:t>
            </w:r>
          </w:p>
        </w:tc>
        <w:tc>
          <w:tcPr>
            <w:tcW w:w="465" w:type="pct"/>
            <w:tcBorders>
              <w:top w:val="nil"/>
              <w:left w:val="nil"/>
              <w:bottom w:val="nil"/>
              <w:right w:val="nil"/>
            </w:tcBorders>
            <w:shd w:val="clear" w:color="000000" w:fill="FFFFFF"/>
            <w:noWrap/>
            <w:vAlign w:val="center"/>
            <w:hideMark/>
          </w:tcPr>
          <w:p w14:paraId="2C97D45D" w14:textId="77777777" w:rsidR="00867CCC" w:rsidRPr="00B50B4C" w:rsidRDefault="00867CCC" w:rsidP="006F6DE5">
            <w:pPr>
              <w:spacing w:after="0" w:line="240" w:lineRule="auto"/>
              <w:jc w:val="right"/>
              <w:rPr>
                <w:rFonts w:eastAsia="Times New Roman" w:cs="Times New Roman"/>
                <w:b/>
                <w:bCs/>
                <w:color w:val="000000"/>
                <w:sz w:val="18"/>
                <w:szCs w:val="18"/>
                <w:lang w:eastAsia="sk-SK"/>
              </w:rPr>
            </w:pPr>
            <w:r w:rsidRPr="00B50B4C">
              <w:rPr>
                <w:rFonts w:eastAsia="Times New Roman" w:cs="Times New Roman"/>
                <w:b/>
                <w:bCs/>
                <w:color w:val="000000"/>
                <w:sz w:val="18"/>
                <w:szCs w:val="18"/>
                <w:lang w:eastAsia="sk-SK"/>
              </w:rPr>
              <w:t>421</w:t>
            </w:r>
          </w:p>
        </w:tc>
        <w:tc>
          <w:tcPr>
            <w:tcW w:w="473" w:type="pct"/>
            <w:tcBorders>
              <w:top w:val="nil"/>
              <w:left w:val="nil"/>
              <w:bottom w:val="nil"/>
              <w:right w:val="nil"/>
            </w:tcBorders>
            <w:shd w:val="clear" w:color="000000" w:fill="FFFFFF"/>
            <w:noWrap/>
            <w:vAlign w:val="center"/>
            <w:hideMark/>
          </w:tcPr>
          <w:p w14:paraId="57BAAD8E" w14:textId="77777777" w:rsidR="00867CCC" w:rsidRPr="00B50B4C" w:rsidRDefault="00867CCC" w:rsidP="006F6DE5">
            <w:pPr>
              <w:spacing w:after="0" w:line="240" w:lineRule="auto"/>
              <w:jc w:val="right"/>
              <w:rPr>
                <w:rFonts w:eastAsia="Times New Roman" w:cs="Times New Roman"/>
                <w:b/>
                <w:bCs/>
                <w:color w:val="000000"/>
                <w:sz w:val="18"/>
                <w:szCs w:val="18"/>
                <w:lang w:eastAsia="sk-SK"/>
              </w:rPr>
            </w:pPr>
            <w:r w:rsidRPr="00B50B4C">
              <w:rPr>
                <w:rFonts w:eastAsia="Times New Roman" w:cs="Times New Roman"/>
                <w:b/>
                <w:bCs/>
                <w:color w:val="000000"/>
                <w:sz w:val="18"/>
                <w:szCs w:val="18"/>
                <w:lang w:eastAsia="sk-SK"/>
              </w:rPr>
              <w:t>4,9</w:t>
            </w:r>
          </w:p>
        </w:tc>
      </w:tr>
      <w:tr w:rsidR="00867CCC" w:rsidRPr="00B50B4C" w14:paraId="2F72B7B2" w14:textId="77777777" w:rsidTr="007D7833">
        <w:trPr>
          <w:trHeight w:val="330"/>
        </w:trPr>
        <w:tc>
          <w:tcPr>
            <w:tcW w:w="1744" w:type="pct"/>
            <w:tcBorders>
              <w:top w:val="nil"/>
              <w:left w:val="nil"/>
              <w:bottom w:val="nil"/>
              <w:right w:val="nil"/>
            </w:tcBorders>
            <w:shd w:val="clear" w:color="000000" w:fill="FFFFFF"/>
            <w:vAlign w:val="center"/>
            <w:hideMark/>
          </w:tcPr>
          <w:p w14:paraId="4DF6164B" w14:textId="77777777" w:rsidR="00867CCC" w:rsidRPr="00B50B4C" w:rsidRDefault="00867CCC" w:rsidP="006F6DE5">
            <w:pPr>
              <w:spacing w:after="0" w:line="240" w:lineRule="auto"/>
              <w:jc w:val="left"/>
              <w:rPr>
                <w:rFonts w:eastAsia="Times New Roman" w:cs="Times New Roman"/>
                <w:color w:val="000000"/>
                <w:sz w:val="18"/>
                <w:szCs w:val="18"/>
                <w:lang w:eastAsia="sk-SK"/>
              </w:rPr>
            </w:pPr>
            <w:r w:rsidRPr="00B50B4C">
              <w:rPr>
                <w:rFonts w:eastAsia="Times New Roman" w:cs="Times New Roman"/>
                <w:color w:val="000000"/>
                <w:sz w:val="18"/>
                <w:szCs w:val="18"/>
                <w:lang w:eastAsia="sk-SK"/>
              </w:rPr>
              <w:t>Spolu zahraničné transfery</w:t>
            </w:r>
          </w:p>
        </w:tc>
        <w:tc>
          <w:tcPr>
            <w:tcW w:w="553" w:type="pct"/>
            <w:tcBorders>
              <w:top w:val="nil"/>
              <w:left w:val="nil"/>
              <w:bottom w:val="nil"/>
              <w:right w:val="nil"/>
            </w:tcBorders>
            <w:shd w:val="clear" w:color="000000" w:fill="FFFFFF"/>
            <w:noWrap/>
            <w:vAlign w:val="center"/>
            <w:hideMark/>
          </w:tcPr>
          <w:p w14:paraId="74C228F0" w14:textId="77777777" w:rsidR="00867CCC" w:rsidRPr="00B50B4C" w:rsidRDefault="00867CCC" w:rsidP="006F6DE5">
            <w:pPr>
              <w:spacing w:after="0" w:line="240" w:lineRule="auto"/>
              <w:jc w:val="right"/>
              <w:rPr>
                <w:rFonts w:eastAsia="Times New Roman" w:cs="Times New Roman"/>
                <w:color w:val="000000"/>
                <w:sz w:val="18"/>
                <w:szCs w:val="18"/>
                <w:lang w:eastAsia="sk-SK"/>
              </w:rPr>
            </w:pPr>
            <w:r w:rsidRPr="00B50B4C">
              <w:rPr>
                <w:rFonts w:eastAsia="Times New Roman" w:cs="Times New Roman"/>
                <w:color w:val="000000"/>
                <w:sz w:val="18"/>
                <w:szCs w:val="18"/>
                <w:lang w:eastAsia="sk-SK"/>
              </w:rPr>
              <w:t>1 939 785</w:t>
            </w:r>
          </w:p>
        </w:tc>
        <w:tc>
          <w:tcPr>
            <w:tcW w:w="553" w:type="pct"/>
            <w:tcBorders>
              <w:top w:val="nil"/>
              <w:left w:val="nil"/>
              <w:bottom w:val="nil"/>
              <w:right w:val="nil"/>
            </w:tcBorders>
            <w:shd w:val="clear" w:color="000000" w:fill="FFFFFF"/>
            <w:noWrap/>
            <w:vAlign w:val="center"/>
            <w:hideMark/>
          </w:tcPr>
          <w:p w14:paraId="57A97C64" w14:textId="77777777" w:rsidR="00867CCC" w:rsidRPr="00B50B4C" w:rsidRDefault="00867CCC" w:rsidP="006F6DE5">
            <w:pPr>
              <w:spacing w:after="0" w:line="240" w:lineRule="auto"/>
              <w:jc w:val="right"/>
              <w:rPr>
                <w:rFonts w:eastAsia="Times New Roman" w:cs="Times New Roman"/>
                <w:color w:val="000000"/>
                <w:sz w:val="18"/>
                <w:szCs w:val="18"/>
                <w:lang w:eastAsia="sk-SK"/>
              </w:rPr>
            </w:pPr>
            <w:r w:rsidRPr="00B50B4C">
              <w:rPr>
                <w:rFonts w:eastAsia="Times New Roman" w:cs="Times New Roman"/>
                <w:color w:val="000000"/>
                <w:sz w:val="18"/>
                <w:szCs w:val="18"/>
                <w:lang w:eastAsia="sk-SK"/>
              </w:rPr>
              <w:t>1 422 488</w:t>
            </w:r>
          </w:p>
        </w:tc>
        <w:tc>
          <w:tcPr>
            <w:tcW w:w="553" w:type="pct"/>
            <w:tcBorders>
              <w:top w:val="nil"/>
              <w:left w:val="nil"/>
              <w:bottom w:val="nil"/>
              <w:right w:val="nil"/>
            </w:tcBorders>
            <w:shd w:val="clear" w:color="000000" w:fill="FFFFFF"/>
            <w:noWrap/>
            <w:vAlign w:val="center"/>
            <w:hideMark/>
          </w:tcPr>
          <w:p w14:paraId="1C15F640" w14:textId="77777777" w:rsidR="00867CCC" w:rsidRPr="00B50B4C" w:rsidRDefault="00867CCC" w:rsidP="006F6DE5">
            <w:pPr>
              <w:spacing w:after="0" w:line="240" w:lineRule="auto"/>
              <w:jc w:val="right"/>
              <w:rPr>
                <w:rFonts w:eastAsia="Times New Roman" w:cs="Times New Roman"/>
                <w:color w:val="000000"/>
                <w:sz w:val="18"/>
                <w:szCs w:val="18"/>
                <w:lang w:eastAsia="sk-SK"/>
              </w:rPr>
            </w:pPr>
            <w:r w:rsidRPr="00B50B4C">
              <w:rPr>
                <w:rFonts w:eastAsia="Times New Roman" w:cs="Times New Roman"/>
                <w:color w:val="000000"/>
                <w:sz w:val="18"/>
                <w:szCs w:val="18"/>
                <w:lang w:eastAsia="sk-SK"/>
              </w:rPr>
              <w:t>1 378 419</w:t>
            </w:r>
          </w:p>
        </w:tc>
        <w:tc>
          <w:tcPr>
            <w:tcW w:w="660" w:type="pct"/>
            <w:tcBorders>
              <w:top w:val="nil"/>
              <w:left w:val="nil"/>
              <w:bottom w:val="nil"/>
              <w:right w:val="nil"/>
            </w:tcBorders>
            <w:shd w:val="clear" w:color="auto" w:fill="BFBFBF" w:themeFill="background1" w:themeFillShade="BF"/>
            <w:noWrap/>
            <w:vAlign w:val="center"/>
            <w:hideMark/>
          </w:tcPr>
          <w:p w14:paraId="1194BAA3" w14:textId="77777777" w:rsidR="00867CCC" w:rsidRPr="00B50B4C" w:rsidRDefault="00867CCC" w:rsidP="006F6DE5">
            <w:pPr>
              <w:spacing w:after="0" w:line="240" w:lineRule="auto"/>
              <w:jc w:val="right"/>
              <w:rPr>
                <w:rFonts w:eastAsia="Times New Roman" w:cs="Times New Roman"/>
                <w:color w:val="000000"/>
                <w:sz w:val="18"/>
                <w:szCs w:val="18"/>
                <w:lang w:eastAsia="sk-SK"/>
              </w:rPr>
            </w:pPr>
            <w:r w:rsidRPr="00B50B4C">
              <w:rPr>
                <w:rFonts w:eastAsia="Times New Roman" w:cs="Times New Roman"/>
                <w:color w:val="000000"/>
                <w:sz w:val="18"/>
                <w:szCs w:val="18"/>
                <w:lang w:eastAsia="sk-SK"/>
              </w:rPr>
              <w:t>2 169 725</w:t>
            </w:r>
          </w:p>
        </w:tc>
        <w:tc>
          <w:tcPr>
            <w:tcW w:w="465" w:type="pct"/>
            <w:tcBorders>
              <w:top w:val="nil"/>
              <w:left w:val="nil"/>
              <w:bottom w:val="nil"/>
              <w:right w:val="nil"/>
            </w:tcBorders>
            <w:shd w:val="clear" w:color="000000" w:fill="FFFFFF"/>
            <w:noWrap/>
            <w:vAlign w:val="center"/>
            <w:hideMark/>
          </w:tcPr>
          <w:p w14:paraId="11C8BA56" w14:textId="77777777" w:rsidR="00867CCC" w:rsidRPr="00B50B4C" w:rsidRDefault="00867CCC" w:rsidP="006F6DE5">
            <w:pPr>
              <w:spacing w:after="0" w:line="240" w:lineRule="auto"/>
              <w:jc w:val="right"/>
              <w:rPr>
                <w:rFonts w:eastAsia="Times New Roman" w:cs="Times New Roman"/>
                <w:color w:val="000000"/>
                <w:sz w:val="18"/>
                <w:szCs w:val="18"/>
                <w:lang w:eastAsia="sk-SK"/>
              </w:rPr>
            </w:pPr>
            <w:r w:rsidRPr="00B50B4C">
              <w:rPr>
                <w:rFonts w:eastAsia="Times New Roman" w:cs="Times New Roman"/>
                <w:color w:val="000000"/>
                <w:sz w:val="18"/>
                <w:szCs w:val="18"/>
                <w:lang w:eastAsia="sk-SK"/>
              </w:rPr>
              <w:t>791 306</w:t>
            </w:r>
          </w:p>
        </w:tc>
        <w:tc>
          <w:tcPr>
            <w:tcW w:w="473" w:type="pct"/>
            <w:tcBorders>
              <w:top w:val="nil"/>
              <w:left w:val="nil"/>
              <w:bottom w:val="nil"/>
              <w:right w:val="nil"/>
            </w:tcBorders>
            <w:shd w:val="clear" w:color="000000" w:fill="FFFFFF"/>
            <w:noWrap/>
            <w:vAlign w:val="center"/>
            <w:hideMark/>
          </w:tcPr>
          <w:p w14:paraId="5CA134C8" w14:textId="77777777" w:rsidR="00867CCC" w:rsidRPr="00B50B4C" w:rsidRDefault="00867CCC" w:rsidP="006F6DE5">
            <w:pPr>
              <w:spacing w:after="0" w:line="240" w:lineRule="auto"/>
              <w:jc w:val="right"/>
              <w:rPr>
                <w:rFonts w:eastAsia="Times New Roman" w:cs="Times New Roman"/>
                <w:color w:val="000000"/>
                <w:sz w:val="18"/>
                <w:szCs w:val="18"/>
                <w:lang w:eastAsia="sk-SK"/>
              </w:rPr>
            </w:pPr>
            <w:r w:rsidRPr="00B50B4C">
              <w:rPr>
                <w:rFonts w:eastAsia="Times New Roman" w:cs="Times New Roman"/>
                <w:color w:val="000000"/>
                <w:sz w:val="18"/>
                <w:szCs w:val="18"/>
                <w:lang w:eastAsia="sk-SK"/>
              </w:rPr>
              <w:t>57,4</w:t>
            </w:r>
          </w:p>
        </w:tc>
      </w:tr>
      <w:tr w:rsidR="00867CCC" w:rsidRPr="00B50B4C" w14:paraId="6B6C5F43" w14:textId="77777777" w:rsidTr="007D7833">
        <w:trPr>
          <w:trHeight w:val="330"/>
        </w:trPr>
        <w:tc>
          <w:tcPr>
            <w:tcW w:w="1744" w:type="pct"/>
            <w:tcBorders>
              <w:top w:val="nil"/>
              <w:left w:val="nil"/>
              <w:bottom w:val="nil"/>
              <w:right w:val="nil"/>
            </w:tcBorders>
            <w:shd w:val="clear" w:color="000000" w:fill="FFFFFF"/>
            <w:vAlign w:val="center"/>
            <w:hideMark/>
          </w:tcPr>
          <w:p w14:paraId="5EFDF5BD" w14:textId="77777777" w:rsidR="00867CCC" w:rsidRPr="00B50B4C" w:rsidRDefault="00867CCC" w:rsidP="006F6DE5">
            <w:pPr>
              <w:spacing w:after="0" w:line="240" w:lineRule="auto"/>
              <w:jc w:val="left"/>
              <w:rPr>
                <w:rFonts w:eastAsia="Times New Roman" w:cs="Times New Roman"/>
                <w:color w:val="000000"/>
                <w:sz w:val="18"/>
                <w:szCs w:val="18"/>
                <w:lang w:eastAsia="sk-SK"/>
              </w:rPr>
            </w:pPr>
            <w:r w:rsidRPr="00B50B4C">
              <w:rPr>
                <w:rFonts w:eastAsia="Times New Roman" w:cs="Times New Roman"/>
                <w:color w:val="000000"/>
                <w:sz w:val="18"/>
                <w:szCs w:val="18"/>
                <w:lang w:eastAsia="sk-SK"/>
              </w:rPr>
              <w:t>Zahraničné granty z rozpočtu EÚ</w:t>
            </w:r>
          </w:p>
        </w:tc>
        <w:tc>
          <w:tcPr>
            <w:tcW w:w="553" w:type="pct"/>
            <w:tcBorders>
              <w:top w:val="nil"/>
              <w:left w:val="nil"/>
              <w:bottom w:val="nil"/>
              <w:right w:val="nil"/>
            </w:tcBorders>
            <w:shd w:val="clear" w:color="000000" w:fill="FFFFFF"/>
            <w:noWrap/>
            <w:vAlign w:val="center"/>
            <w:hideMark/>
          </w:tcPr>
          <w:p w14:paraId="4FC937D7" w14:textId="77777777" w:rsidR="00867CCC" w:rsidRPr="00B50B4C" w:rsidRDefault="00867CCC" w:rsidP="006F6DE5">
            <w:pPr>
              <w:spacing w:after="0" w:line="240" w:lineRule="auto"/>
              <w:jc w:val="right"/>
              <w:rPr>
                <w:rFonts w:eastAsia="Times New Roman" w:cs="Times New Roman"/>
                <w:color w:val="000000"/>
                <w:sz w:val="18"/>
                <w:szCs w:val="18"/>
                <w:lang w:eastAsia="sk-SK"/>
              </w:rPr>
            </w:pPr>
            <w:r w:rsidRPr="00B50B4C">
              <w:rPr>
                <w:rFonts w:eastAsia="Times New Roman" w:cs="Times New Roman"/>
                <w:color w:val="000000"/>
                <w:sz w:val="18"/>
                <w:szCs w:val="18"/>
                <w:lang w:eastAsia="sk-SK"/>
              </w:rPr>
              <w:t>7 696</w:t>
            </w:r>
          </w:p>
        </w:tc>
        <w:tc>
          <w:tcPr>
            <w:tcW w:w="553" w:type="pct"/>
            <w:tcBorders>
              <w:top w:val="nil"/>
              <w:left w:val="nil"/>
              <w:bottom w:val="nil"/>
              <w:right w:val="nil"/>
            </w:tcBorders>
            <w:shd w:val="clear" w:color="000000" w:fill="FFFFFF"/>
            <w:noWrap/>
            <w:vAlign w:val="center"/>
            <w:hideMark/>
          </w:tcPr>
          <w:p w14:paraId="75700752" w14:textId="77777777" w:rsidR="00867CCC" w:rsidRPr="00B50B4C" w:rsidRDefault="00867CCC" w:rsidP="006F6DE5">
            <w:pPr>
              <w:spacing w:after="0" w:line="240" w:lineRule="auto"/>
              <w:jc w:val="right"/>
              <w:rPr>
                <w:rFonts w:eastAsia="Times New Roman" w:cs="Times New Roman"/>
                <w:color w:val="000000"/>
                <w:sz w:val="18"/>
                <w:szCs w:val="18"/>
                <w:lang w:eastAsia="sk-SK"/>
              </w:rPr>
            </w:pPr>
            <w:r w:rsidRPr="00B50B4C">
              <w:rPr>
                <w:rFonts w:eastAsia="Times New Roman" w:cs="Times New Roman"/>
                <w:color w:val="000000"/>
                <w:sz w:val="18"/>
                <w:szCs w:val="18"/>
                <w:lang w:eastAsia="sk-SK"/>
              </w:rPr>
              <w:t>3 084</w:t>
            </w:r>
          </w:p>
        </w:tc>
        <w:tc>
          <w:tcPr>
            <w:tcW w:w="553" w:type="pct"/>
            <w:tcBorders>
              <w:top w:val="nil"/>
              <w:left w:val="nil"/>
              <w:bottom w:val="nil"/>
              <w:right w:val="nil"/>
            </w:tcBorders>
            <w:shd w:val="clear" w:color="000000" w:fill="FFFFFF"/>
            <w:noWrap/>
            <w:vAlign w:val="center"/>
            <w:hideMark/>
          </w:tcPr>
          <w:p w14:paraId="65D5DB49" w14:textId="77777777" w:rsidR="00867CCC" w:rsidRPr="00B50B4C" w:rsidRDefault="00867CCC" w:rsidP="006F6DE5">
            <w:pPr>
              <w:spacing w:after="0" w:line="240" w:lineRule="auto"/>
              <w:jc w:val="right"/>
              <w:rPr>
                <w:rFonts w:eastAsia="Times New Roman" w:cs="Times New Roman"/>
                <w:color w:val="000000"/>
                <w:sz w:val="18"/>
                <w:szCs w:val="18"/>
                <w:lang w:eastAsia="sk-SK"/>
              </w:rPr>
            </w:pPr>
            <w:r w:rsidRPr="00B50B4C">
              <w:rPr>
                <w:rFonts w:eastAsia="Times New Roman" w:cs="Times New Roman"/>
                <w:color w:val="000000"/>
                <w:sz w:val="18"/>
                <w:szCs w:val="18"/>
                <w:lang w:eastAsia="sk-SK"/>
              </w:rPr>
              <w:t>0</w:t>
            </w:r>
          </w:p>
        </w:tc>
        <w:tc>
          <w:tcPr>
            <w:tcW w:w="660" w:type="pct"/>
            <w:tcBorders>
              <w:top w:val="nil"/>
              <w:left w:val="nil"/>
              <w:bottom w:val="nil"/>
              <w:right w:val="nil"/>
            </w:tcBorders>
            <w:shd w:val="clear" w:color="auto" w:fill="BFBFBF" w:themeFill="background1" w:themeFillShade="BF"/>
            <w:noWrap/>
            <w:vAlign w:val="center"/>
            <w:hideMark/>
          </w:tcPr>
          <w:p w14:paraId="584A5B28" w14:textId="77777777" w:rsidR="00867CCC" w:rsidRPr="00B50B4C" w:rsidRDefault="00867CCC" w:rsidP="006F6DE5">
            <w:pPr>
              <w:spacing w:after="0" w:line="240" w:lineRule="auto"/>
              <w:jc w:val="right"/>
              <w:rPr>
                <w:rFonts w:eastAsia="Times New Roman" w:cs="Times New Roman"/>
                <w:color w:val="000000"/>
                <w:sz w:val="18"/>
                <w:szCs w:val="18"/>
                <w:lang w:eastAsia="sk-SK"/>
              </w:rPr>
            </w:pPr>
            <w:r w:rsidRPr="00B50B4C">
              <w:rPr>
                <w:rFonts w:eastAsia="Times New Roman" w:cs="Times New Roman"/>
                <w:color w:val="000000"/>
                <w:sz w:val="18"/>
                <w:szCs w:val="18"/>
                <w:lang w:eastAsia="sk-SK"/>
              </w:rPr>
              <w:t>7</w:t>
            </w:r>
          </w:p>
        </w:tc>
        <w:tc>
          <w:tcPr>
            <w:tcW w:w="465" w:type="pct"/>
            <w:tcBorders>
              <w:top w:val="nil"/>
              <w:left w:val="nil"/>
              <w:bottom w:val="nil"/>
              <w:right w:val="nil"/>
            </w:tcBorders>
            <w:shd w:val="clear" w:color="000000" w:fill="FFFFFF"/>
            <w:noWrap/>
            <w:vAlign w:val="center"/>
            <w:hideMark/>
          </w:tcPr>
          <w:p w14:paraId="3797ECFE" w14:textId="77777777" w:rsidR="00867CCC" w:rsidRPr="00B50B4C" w:rsidRDefault="00867CCC" w:rsidP="006F6DE5">
            <w:pPr>
              <w:spacing w:after="0" w:line="240" w:lineRule="auto"/>
              <w:jc w:val="right"/>
              <w:rPr>
                <w:rFonts w:eastAsia="Times New Roman" w:cs="Times New Roman"/>
                <w:color w:val="000000"/>
                <w:sz w:val="18"/>
                <w:szCs w:val="18"/>
                <w:lang w:eastAsia="sk-SK"/>
              </w:rPr>
            </w:pPr>
            <w:r w:rsidRPr="00B50B4C">
              <w:rPr>
                <w:rFonts w:eastAsia="Times New Roman" w:cs="Times New Roman"/>
                <w:color w:val="000000"/>
                <w:sz w:val="18"/>
                <w:szCs w:val="18"/>
                <w:lang w:eastAsia="sk-SK"/>
              </w:rPr>
              <w:t>7</w:t>
            </w:r>
          </w:p>
        </w:tc>
        <w:tc>
          <w:tcPr>
            <w:tcW w:w="473" w:type="pct"/>
            <w:tcBorders>
              <w:top w:val="nil"/>
              <w:left w:val="nil"/>
              <w:bottom w:val="nil"/>
              <w:right w:val="nil"/>
            </w:tcBorders>
            <w:shd w:val="clear" w:color="000000" w:fill="FFFFFF"/>
            <w:noWrap/>
            <w:vAlign w:val="center"/>
            <w:hideMark/>
          </w:tcPr>
          <w:p w14:paraId="5A6B8F7C" w14:textId="77777777" w:rsidR="00867CCC" w:rsidRPr="00B50B4C" w:rsidRDefault="00867CCC" w:rsidP="006F6DE5">
            <w:pPr>
              <w:spacing w:after="0" w:line="240" w:lineRule="auto"/>
              <w:jc w:val="right"/>
              <w:rPr>
                <w:rFonts w:eastAsia="Times New Roman" w:cs="Times New Roman"/>
                <w:color w:val="000000"/>
                <w:sz w:val="18"/>
                <w:szCs w:val="18"/>
                <w:lang w:eastAsia="sk-SK"/>
              </w:rPr>
            </w:pPr>
            <w:r w:rsidRPr="00B50B4C">
              <w:rPr>
                <w:rFonts w:eastAsia="Times New Roman" w:cs="Times New Roman"/>
                <w:color w:val="000000"/>
                <w:sz w:val="18"/>
                <w:szCs w:val="18"/>
                <w:lang w:eastAsia="sk-SK"/>
              </w:rPr>
              <w:t>-</w:t>
            </w:r>
          </w:p>
        </w:tc>
      </w:tr>
      <w:tr w:rsidR="00867CCC" w:rsidRPr="00B50B4C" w14:paraId="0CAAEB83" w14:textId="77777777" w:rsidTr="007D7833">
        <w:trPr>
          <w:trHeight w:val="345"/>
        </w:trPr>
        <w:tc>
          <w:tcPr>
            <w:tcW w:w="1744" w:type="pct"/>
            <w:tcBorders>
              <w:top w:val="single" w:sz="4" w:space="0" w:color="auto"/>
              <w:left w:val="nil"/>
              <w:bottom w:val="single" w:sz="8" w:space="0" w:color="auto"/>
              <w:right w:val="nil"/>
            </w:tcBorders>
            <w:shd w:val="clear" w:color="000000" w:fill="FFFFFF"/>
            <w:vAlign w:val="center"/>
            <w:hideMark/>
          </w:tcPr>
          <w:p w14:paraId="378F77AA" w14:textId="77777777" w:rsidR="00867CCC" w:rsidRPr="00B50B4C" w:rsidRDefault="00867CCC" w:rsidP="00E50B32">
            <w:pPr>
              <w:spacing w:after="0" w:line="240" w:lineRule="auto"/>
              <w:jc w:val="left"/>
              <w:rPr>
                <w:rFonts w:eastAsia="Times New Roman" w:cs="Times New Roman"/>
                <w:b/>
                <w:bCs/>
                <w:color w:val="000000"/>
                <w:sz w:val="18"/>
                <w:szCs w:val="18"/>
                <w:lang w:eastAsia="sk-SK"/>
              </w:rPr>
            </w:pPr>
            <w:r w:rsidRPr="00B50B4C">
              <w:rPr>
                <w:rFonts w:eastAsia="Times New Roman" w:cs="Times New Roman"/>
                <w:b/>
                <w:bCs/>
                <w:color w:val="000000"/>
                <w:sz w:val="18"/>
                <w:szCs w:val="18"/>
                <w:lang w:eastAsia="sk-SK"/>
              </w:rPr>
              <w:t>Spolu príjmy z rozpočtu EÚ</w:t>
            </w:r>
          </w:p>
        </w:tc>
        <w:tc>
          <w:tcPr>
            <w:tcW w:w="553" w:type="pct"/>
            <w:tcBorders>
              <w:top w:val="single" w:sz="4" w:space="0" w:color="auto"/>
              <w:left w:val="nil"/>
              <w:bottom w:val="single" w:sz="8" w:space="0" w:color="auto"/>
              <w:right w:val="nil"/>
            </w:tcBorders>
            <w:shd w:val="clear" w:color="000000" w:fill="FFFFFF"/>
            <w:noWrap/>
            <w:vAlign w:val="center"/>
            <w:hideMark/>
          </w:tcPr>
          <w:p w14:paraId="15EE8502" w14:textId="77777777" w:rsidR="00867CCC" w:rsidRPr="00B50B4C" w:rsidRDefault="00867CCC" w:rsidP="00E50B32">
            <w:pPr>
              <w:spacing w:after="0" w:line="240" w:lineRule="auto"/>
              <w:jc w:val="right"/>
              <w:rPr>
                <w:rFonts w:eastAsia="Times New Roman" w:cs="Times New Roman"/>
                <w:b/>
                <w:bCs/>
                <w:color w:val="000000"/>
                <w:sz w:val="18"/>
                <w:szCs w:val="18"/>
                <w:lang w:eastAsia="sk-SK"/>
              </w:rPr>
            </w:pPr>
            <w:r w:rsidRPr="00B50B4C">
              <w:rPr>
                <w:rFonts w:eastAsia="Times New Roman" w:cs="Times New Roman"/>
                <w:b/>
                <w:bCs/>
                <w:color w:val="000000"/>
                <w:sz w:val="18"/>
                <w:szCs w:val="18"/>
                <w:lang w:eastAsia="sk-SK"/>
              </w:rPr>
              <w:t>1 947 481</w:t>
            </w:r>
          </w:p>
        </w:tc>
        <w:tc>
          <w:tcPr>
            <w:tcW w:w="553" w:type="pct"/>
            <w:tcBorders>
              <w:top w:val="single" w:sz="4" w:space="0" w:color="auto"/>
              <w:left w:val="nil"/>
              <w:bottom w:val="single" w:sz="8" w:space="0" w:color="auto"/>
              <w:right w:val="nil"/>
            </w:tcBorders>
            <w:shd w:val="clear" w:color="000000" w:fill="FFFFFF"/>
            <w:noWrap/>
            <w:vAlign w:val="center"/>
            <w:hideMark/>
          </w:tcPr>
          <w:p w14:paraId="7A7165CE" w14:textId="77777777" w:rsidR="00867CCC" w:rsidRPr="00B50B4C" w:rsidRDefault="00867CCC" w:rsidP="00E50B32">
            <w:pPr>
              <w:spacing w:after="0" w:line="240" w:lineRule="auto"/>
              <w:jc w:val="right"/>
              <w:rPr>
                <w:rFonts w:eastAsia="Times New Roman" w:cs="Times New Roman"/>
                <w:b/>
                <w:bCs/>
                <w:color w:val="000000"/>
                <w:sz w:val="18"/>
                <w:szCs w:val="18"/>
                <w:lang w:eastAsia="sk-SK"/>
              </w:rPr>
            </w:pPr>
            <w:r w:rsidRPr="00B50B4C">
              <w:rPr>
                <w:rFonts w:eastAsia="Times New Roman" w:cs="Times New Roman"/>
                <w:b/>
                <w:bCs/>
                <w:color w:val="000000"/>
                <w:sz w:val="18"/>
                <w:szCs w:val="18"/>
                <w:lang w:eastAsia="sk-SK"/>
              </w:rPr>
              <w:t>1 425 572</w:t>
            </w:r>
          </w:p>
        </w:tc>
        <w:tc>
          <w:tcPr>
            <w:tcW w:w="553" w:type="pct"/>
            <w:tcBorders>
              <w:top w:val="single" w:sz="4" w:space="0" w:color="auto"/>
              <w:left w:val="nil"/>
              <w:bottom w:val="single" w:sz="8" w:space="0" w:color="auto"/>
              <w:right w:val="nil"/>
            </w:tcBorders>
            <w:shd w:val="clear" w:color="000000" w:fill="FFFFFF"/>
            <w:noWrap/>
            <w:vAlign w:val="center"/>
            <w:hideMark/>
          </w:tcPr>
          <w:p w14:paraId="6B5B85FF" w14:textId="77777777" w:rsidR="00867CCC" w:rsidRPr="00B50B4C" w:rsidRDefault="00867CCC" w:rsidP="00E50B32">
            <w:pPr>
              <w:spacing w:after="0" w:line="240" w:lineRule="auto"/>
              <w:jc w:val="right"/>
              <w:rPr>
                <w:rFonts w:eastAsia="Times New Roman" w:cs="Times New Roman"/>
                <w:b/>
                <w:bCs/>
                <w:color w:val="000000"/>
                <w:sz w:val="18"/>
                <w:szCs w:val="18"/>
                <w:lang w:eastAsia="sk-SK"/>
              </w:rPr>
            </w:pPr>
            <w:r w:rsidRPr="00B50B4C">
              <w:rPr>
                <w:rFonts w:eastAsia="Times New Roman" w:cs="Times New Roman"/>
                <w:b/>
                <w:bCs/>
                <w:color w:val="000000"/>
                <w:sz w:val="18"/>
                <w:szCs w:val="18"/>
                <w:lang w:eastAsia="sk-SK"/>
              </w:rPr>
              <w:t>1 378 419</w:t>
            </w:r>
          </w:p>
        </w:tc>
        <w:tc>
          <w:tcPr>
            <w:tcW w:w="660" w:type="pct"/>
            <w:tcBorders>
              <w:top w:val="single" w:sz="4" w:space="0" w:color="auto"/>
              <w:left w:val="nil"/>
              <w:bottom w:val="single" w:sz="8" w:space="0" w:color="auto"/>
              <w:right w:val="nil"/>
            </w:tcBorders>
            <w:shd w:val="clear" w:color="auto" w:fill="BFBFBF" w:themeFill="background1" w:themeFillShade="BF"/>
            <w:noWrap/>
            <w:vAlign w:val="center"/>
            <w:hideMark/>
          </w:tcPr>
          <w:p w14:paraId="313072B6" w14:textId="77777777" w:rsidR="00867CCC" w:rsidRPr="00B50B4C" w:rsidRDefault="00867CCC" w:rsidP="00E50B32">
            <w:pPr>
              <w:spacing w:after="0" w:line="240" w:lineRule="auto"/>
              <w:jc w:val="right"/>
              <w:rPr>
                <w:rFonts w:eastAsia="Times New Roman" w:cs="Times New Roman"/>
                <w:b/>
                <w:bCs/>
                <w:color w:val="000000"/>
                <w:sz w:val="18"/>
                <w:szCs w:val="18"/>
                <w:lang w:eastAsia="sk-SK"/>
              </w:rPr>
            </w:pPr>
            <w:r w:rsidRPr="00B50B4C">
              <w:rPr>
                <w:rFonts w:eastAsia="Times New Roman" w:cs="Times New Roman"/>
                <w:b/>
                <w:bCs/>
                <w:color w:val="000000"/>
                <w:sz w:val="18"/>
                <w:szCs w:val="18"/>
                <w:lang w:eastAsia="sk-SK"/>
              </w:rPr>
              <w:t>2 169 732</w:t>
            </w:r>
          </w:p>
        </w:tc>
        <w:tc>
          <w:tcPr>
            <w:tcW w:w="465" w:type="pct"/>
            <w:tcBorders>
              <w:top w:val="single" w:sz="4" w:space="0" w:color="auto"/>
              <w:left w:val="nil"/>
              <w:bottom w:val="single" w:sz="8" w:space="0" w:color="auto"/>
              <w:right w:val="nil"/>
            </w:tcBorders>
            <w:shd w:val="clear" w:color="000000" w:fill="FFFFFF"/>
            <w:noWrap/>
            <w:vAlign w:val="center"/>
            <w:hideMark/>
          </w:tcPr>
          <w:p w14:paraId="2AAD7953" w14:textId="77777777" w:rsidR="00867CCC" w:rsidRPr="00B50B4C" w:rsidRDefault="00867CCC" w:rsidP="00E50B32">
            <w:pPr>
              <w:spacing w:after="0" w:line="240" w:lineRule="auto"/>
              <w:jc w:val="right"/>
              <w:rPr>
                <w:rFonts w:eastAsia="Times New Roman" w:cs="Times New Roman"/>
                <w:b/>
                <w:bCs/>
                <w:color w:val="000000"/>
                <w:sz w:val="18"/>
                <w:szCs w:val="18"/>
                <w:lang w:eastAsia="sk-SK"/>
              </w:rPr>
            </w:pPr>
            <w:r w:rsidRPr="00B50B4C">
              <w:rPr>
                <w:rFonts w:eastAsia="Times New Roman" w:cs="Times New Roman"/>
                <w:b/>
                <w:bCs/>
                <w:color w:val="000000"/>
                <w:sz w:val="18"/>
                <w:szCs w:val="18"/>
                <w:lang w:eastAsia="sk-SK"/>
              </w:rPr>
              <w:t>791 313</w:t>
            </w:r>
          </w:p>
        </w:tc>
        <w:tc>
          <w:tcPr>
            <w:tcW w:w="473" w:type="pct"/>
            <w:tcBorders>
              <w:top w:val="single" w:sz="4" w:space="0" w:color="auto"/>
              <w:left w:val="nil"/>
              <w:bottom w:val="single" w:sz="8" w:space="0" w:color="auto"/>
              <w:right w:val="nil"/>
            </w:tcBorders>
            <w:shd w:val="clear" w:color="000000" w:fill="FFFFFF"/>
            <w:noWrap/>
            <w:vAlign w:val="center"/>
            <w:hideMark/>
          </w:tcPr>
          <w:p w14:paraId="5C142A62" w14:textId="77777777" w:rsidR="00867CCC" w:rsidRPr="00B50B4C" w:rsidRDefault="00867CCC" w:rsidP="00E50B32">
            <w:pPr>
              <w:spacing w:after="0" w:line="240" w:lineRule="auto"/>
              <w:jc w:val="right"/>
              <w:rPr>
                <w:rFonts w:eastAsia="Times New Roman" w:cs="Times New Roman"/>
                <w:b/>
                <w:bCs/>
                <w:color w:val="000000"/>
                <w:sz w:val="18"/>
                <w:szCs w:val="18"/>
                <w:lang w:eastAsia="sk-SK"/>
              </w:rPr>
            </w:pPr>
            <w:r w:rsidRPr="00B50B4C">
              <w:rPr>
                <w:rFonts w:eastAsia="Times New Roman" w:cs="Times New Roman"/>
                <w:b/>
                <w:bCs/>
                <w:color w:val="000000"/>
                <w:sz w:val="18"/>
                <w:szCs w:val="18"/>
                <w:lang w:eastAsia="sk-SK"/>
              </w:rPr>
              <w:t>57,4</w:t>
            </w:r>
          </w:p>
        </w:tc>
      </w:tr>
    </w:tbl>
    <w:p w14:paraId="1419C860" w14:textId="77777777" w:rsidR="00F75E6F" w:rsidRPr="006F6DE5" w:rsidRDefault="006F6DE5" w:rsidP="00F75E6F">
      <w:pPr>
        <w:spacing w:after="0"/>
        <w:jc w:val="left"/>
        <w:rPr>
          <w:sz w:val="16"/>
          <w:szCs w:val="16"/>
        </w:rPr>
      </w:pPr>
      <w:r w:rsidRPr="006F6DE5">
        <w:rPr>
          <w:sz w:val="18"/>
          <w:szCs w:val="18"/>
        </w:rPr>
        <w:t>*Do kategórie programov Európskej územnej spolupráce, t.</w:t>
      </w:r>
      <w:r>
        <w:rPr>
          <w:sz w:val="18"/>
          <w:szCs w:val="18"/>
        </w:rPr>
        <w:t xml:space="preserve"> </w:t>
      </w:r>
      <w:r w:rsidRPr="006F6DE5">
        <w:rPr>
          <w:sz w:val="18"/>
          <w:szCs w:val="18"/>
        </w:rPr>
        <w:t xml:space="preserve">j. EÚS (CO MF SR) sú zaradené programy </w:t>
      </w:r>
      <w:proofErr w:type="spellStart"/>
      <w:r w:rsidRPr="006F6DE5">
        <w:rPr>
          <w:sz w:val="18"/>
          <w:szCs w:val="18"/>
        </w:rPr>
        <w:t>Interreg</w:t>
      </w:r>
      <w:proofErr w:type="spellEnd"/>
      <w:r w:rsidRPr="006F6DE5">
        <w:rPr>
          <w:sz w:val="18"/>
          <w:szCs w:val="18"/>
        </w:rPr>
        <w:t xml:space="preserve"> V-A SK-AT 2014-2020 a </w:t>
      </w:r>
      <w:proofErr w:type="spellStart"/>
      <w:r w:rsidRPr="006F6DE5">
        <w:rPr>
          <w:sz w:val="18"/>
          <w:szCs w:val="18"/>
        </w:rPr>
        <w:t>Interreg</w:t>
      </w:r>
      <w:proofErr w:type="spellEnd"/>
      <w:r w:rsidRPr="006F6DE5">
        <w:rPr>
          <w:sz w:val="18"/>
          <w:szCs w:val="18"/>
        </w:rPr>
        <w:t xml:space="preserve"> V-A SK-CZ 2014-2020.</w:t>
      </w:r>
      <w:r w:rsidR="00F75E6F" w:rsidRPr="00F75E6F">
        <w:rPr>
          <w:sz w:val="18"/>
          <w:szCs w:val="18"/>
        </w:rPr>
        <w:t xml:space="preserve"> </w:t>
      </w:r>
      <w:r w:rsidR="00F75E6F">
        <w:rPr>
          <w:sz w:val="18"/>
          <w:szCs w:val="18"/>
        </w:rPr>
        <w:tab/>
      </w:r>
      <w:r w:rsidR="00F75E6F">
        <w:rPr>
          <w:sz w:val="18"/>
          <w:szCs w:val="18"/>
        </w:rPr>
        <w:tab/>
      </w:r>
      <w:r w:rsidR="00F75E6F">
        <w:rPr>
          <w:sz w:val="18"/>
          <w:szCs w:val="18"/>
        </w:rPr>
        <w:tab/>
      </w:r>
      <w:r w:rsidR="00F75E6F">
        <w:rPr>
          <w:sz w:val="18"/>
          <w:szCs w:val="18"/>
        </w:rPr>
        <w:tab/>
      </w:r>
      <w:r w:rsidR="00F75E6F">
        <w:rPr>
          <w:sz w:val="18"/>
          <w:szCs w:val="18"/>
        </w:rPr>
        <w:tab/>
        <w:t xml:space="preserve">        </w:t>
      </w:r>
      <w:r w:rsidR="00F75E6F" w:rsidRPr="006F6DE5">
        <w:rPr>
          <w:sz w:val="18"/>
          <w:szCs w:val="18"/>
        </w:rPr>
        <w:t>Zdroj: MF SR</w:t>
      </w:r>
    </w:p>
    <w:p w14:paraId="3C28BECD" w14:textId="77777777" w:rsidR="006F6DE5" w:rsidRPr="006F6DE5" w:rsidRDefault="006F6DE5" w:rsidP="00F75E6F">
      <w:pPr>
        <w:spacing w:after="0"/>
        <w:rPr>
          <w:sz w:val="18"/>
          <w:szCs w:val="18"/>
        </w:rPr>
      </w:pPr>
    </w:p>
    <w:p w14:paraId="022C9398" w14:textId="77777777" w:rsidR="008254BE" w:rsidRDefault="008254BE" w:rsidP="00C34E95">
      <w:pPr>
        <w:pStyle w:val="Nadpis3"/>
      </w:pPr>
      <w:bookmarkStart w:id="69" w:name="_Toc6415654"/>
      <w:bookmarkStart w:id="70" w:name="_Toc7502846"/>
      <w:r>
        <w:t>Výdavky štátneho rozpočtu rozpočtované vo väzbe na príjmy z Európskej únie</w:t>
      </w:r>
      <w:bookmarkEnd w:id="69"/>
      <w:bookmarkEnd w:id="70"/>
    </w:p>
    <w:p w14:paraId="0326EEE3" w14:textId="77777777" w:rsidR="006F6DE5" w:rsidRPr="00BE1037" w:rsidRDefault="006F6DE5" w:rsidP="006F6DE5">
      <w:r w:rsidRPr="00BE1037">
        <w:t xml:space="preserve">Vo väzbe na príjmy z Európskej únie sa v štátnom rozpočte rozpočtujú výdavky za prostriedky EÚ, k nim zodpovedajúce výdavky na spolufinancovanie zo štátneho rozpočtu. </w:t>
      </w:r>
    </w:p>
    <w:p w14:paraId="07A72495" w14:textId="77777777" w:rsidR="006F6DE5" w:rsidRPr="00BE1037" w:rsidRDefault="006F6DE5" w:rsidP="006F6DE5">
      <w:pPr>
        <w:rPr>
          <w:b/>
        </w:rPr>
      </w:pPr>
      <w:r w:rsidRPr="00BE1037">
        <w:rPr>
          <w:b/>
        </w:rPr>
        <w:t xml:space="preserve">Výdavky za prostriedky EÚ </w:t>
      </w:r>
    </w:p>
    <w:p w14:paraId="32330F63" w14:textId="77777777" w:rsidR="006F6DE5" w:rsidRPr="003E1E9E" w:rsidRDefault="006F6DE5" w:rsidP="006F6DE5">
      <w:r w:rsidRPr="003E1E9E">
        <w:t>Výdavky za prostriedky EÚ boli na rok 2018 rozpočtované vo výške 1 378 419 tis. eur, teda v rovnakej výške ako príjmy z rozpočtu EÚ. Skutočné pl</w:t>
      </w:r>
      <w:r>
        <w:t xml:space="preserve">nenie výdavkov EÚ je vo výške </w:t>
      </w:r>
      <w:r w:rsidRPr="003E1E9E">
        <w:t>2 081 232 tis. eur.</w:t>
      </w:r>
    </w:p>
    <w:p w14:paraId="6BE22212" w14:textId="77777777" w:rsidR="006F6DE5" w:rsidRPr="003E1E9E" w:rsidRDefault="006F6DE5" w:rsidP="006F6DE5">
      <w:r w:rsidRPr="003E1E9E">
        <w:t xml:space="preserve">Na rozdiel od schváleného rozpočtu výdavkov z prostriedkov EÚ, ktoré boli zákonom o štátnom rozpočte na rok 2018 vyčlenené pre kapitoly, v ktorých sa nachádzajú platobné jednotky, Pôdohospodárska platobná agentúra a Ministerstvo práce, sociálnych vecí a rodiny SR za Fond pre najodkázanejšie osoby, skutočné čerpanie výdavkov sa prejavuje tiež v rozpočtových kapitolách, v ktorých sa realizujú projekty na úrovni konečných prijímateľov. Na základe uvedeného sa v niektorých kapitolách prejavuje negatívne saldo príjmov a výdavkov za prostriedky EÚ. </w:t>
      </w:r>
    </w:p>
    <w:p w14:paraId="5D4203C0" w14:textId="280FD755" w:rsidR="006F6DE5" w:rsidRPr="003E1E9E" w:rsidRDefault="006F6DE5" w:rsidP="006F6DE5">
      <w:r w:rsidRPr="003E1E9E">
        <w:t>Rozpočet výdavkov za prostriedky EÚ bol v roku 2018 upravený v nadväznosti na vysporiadanie finančných prostriedkov za finančné opravy v zmysle § 15 zákona o rozpočtových pravidlách, v nadväznosti na prijaté oznámenia o výške prostriedkov, ktoré budú použité v nasledujúcich rokoch v zmysle § 8 zákona o rozpočtových pravidlách a v nadväznosti na ostatné viazania prostriedkov v zmysle § 18 zákona o rozpočtových pravidlách</w:t>
      </w:r>
      <w:r w:rsidRPr="008759CD">
        <w:t>. Zároveň z dôvodu rýchlejšej implementácie projektov v rámci OP Technická pomoc 2014 - 2020 bol navýšený rozpočet Úradu vlády SR z kapitoly V</w:t>
      </w:r>
      <w:r w:rsidR="009B2C0E">
        <w:t>šeobecná pokladničný správa z r</w:t>
      </w:r>
      <w:r w:rsidRPr="008759CD">
        <w:t>ezervy na prostriedky EÚ a odvody EÚ – Rýchlejšia realizácia a väčší počet prostriedkov v sume 16 208 tis. eur.</w:t>
      </w:r>
    </w:p>
    <w:p w14:paraId="4896B64A" w14:textId="496AD07F" w:rsidR="006F6DE5" w:rsidRPr="00860E1D" w:rsidRDefault="006F6DE5" w:rsidP="006F6DE5">
      <w:r w:rsidRPr="003E1E9E">
        <w:t xml:space="preserve">Po </w:t>
      </w:r>
      <w:r w:rsidRPr="00860E1D">
        <w:t>úpravách dosiahol rozpočet úroveň 2</w:t>
      </w:r>
      <w:r w:rsidR="000E2643">
        <w:t> </w:t>
      </w:r>
      <w:r w:rsidRPr="006F6DE5">
        <w:t>081</w:t>
      </w:r>
      <w:r w:rsidR="000E2643">
        <w:t xml:space="preserve"> </w:t>
      </w:r>
      <w:r w:rsidRPr="006F6DE5">
        <w:t>275</w:t>
      </w:r>
      <w:r w:rsidRPr="00860E1D">
        <w:t xml:space="preserve"> tis. eur, pričom celkové čerpanie výdavkov za prostriedky EÚ v roku 2018 je </w:t>
      </w:r>
      <w:r w:rsidR="00A84A20">
        <w:t>nepatrne</w:t>
      </w:r>
      <w:r w:rsidRPr="00860E1D">
        <w:t xml:space="preserve"> nižšie</w:t>
      </w:r>
      <w:r w:rsidR="00F263D1">
        <w:t>,</w:t>
      </w:r>
      <w:r w:rsidRPr="00860E1D">
        <w:t xml:space="preserve"> a to vo výške 2 081 232 tis. eur. Nižšie čerpanie oproti upravenému rozpočtu sa prejavilo v kapitolách Ministerstva spravodlivosti SR, Ministerstva zdravotníctva SR a Ministerstva dopravy a výstavby SR vzhľadom k tomu, že jednotlivé rozpočtové organizácie nevyužili možnosť presunu prostriedkov v zmysle § 8 zákona o rozpočtových pravidlách a o zmene a doplnení niektorých zákonov v znení neskorších predpisov.</w:t>
      </w:r>
    </w:p>
    <w:p w14:paraId="58DC110B" w14:textId="5CDAA50D" w:rsidR="008D4660" w:rsidRDefault="006F6DE5" w:rsidP="006F6DE5">
      <w:r w:rsidRPr="00860E1D">
        <w:t>Skutočné plnenie výdavkov za prostriedky EÚ vo výške 2</w:t>
      </w:r>
      <w:r>
        <w:t> </w:t>
      </w:r>
      <w:r w:rsidRPr="00860E1D">
        <w:t>081</w:t>
      </w:r>
      <w:r>
        <w:t> </w:t>
      </w:r>
      <w:r w:rsidRPr="00860E1D">
        <w:t>232</w:t>
      </w:r>
      <w:r>
        <w:t> </w:t>
      </w:r>
      <w:r w:rsidRPr="00860E1D">
        <w:t>tis.</w:t>
      </w:r>
      <w:r>
        <w:t> </w:t>
      </w:r>
      <w:r w:rsidRPr="00860E1D">
        <w:t>eur predstavuje plnenie na úrovni 100 % z </w:t>
      </w:r>
      <w:r w:rsidRPr="00CC67BA">
        <w:t>upraveného rozpočtu. Výdavky za štrukturálne operácie, pri ktorých plní úlohu  certifikačného orgánu Ministerstvo financií SR</w:t>
      </w:r>
      <w:r>
        <w:t>,</w:t>
      </w:r>
      <w:r w:rsidRPr="00CC67BA">
        <w:t xml:space="preserve"> sú vo výške 1</w:t>
      </w:r>
      <w:r>
        <w:t> </w:t>
      </w:r>
      <w:r w:rsidRPr="00CC67BA">
        <w:t>419</w:t>
      </w:r>
      <w:r>
        <w:t> </w:t>
      </w:r>
      <w:r w:rsidRPr="00CC67BA">
        <w:t>058</w:t>
      </w:r>
      <w:r>
        <w:t> tis. </w:t>
      </w:r>
      <w:r w:rsidRPr="00CC67BA">
        <w:t>eur (z toho štrukturálne fondy 3. programového obdobia v sume 687</w:t>
      </w:r>
      <w:r>
        <w:t> </w:t>
      </w:r>
      <w:r w:rsidRPr="00CC67BA">
        <w:t>912 tis. eur a Kohézny fond 3. programového obdobia v sume 731 146 tis. eur). Výdavky za štrukturálne operácie, pri ktorých plní úlohu  certifikačného orgánu Ministerstvo práce, sociálnych vecí a rodiny SR</w:t>
      </w:r>
      <w:r>
        <w:t>,</w:t>
      </w:r>
      <w:r w:rsidRPr="00CC67BA">
        <w:t xml:space="preserve"> sú v sume 11 949 tis. eur. Výdavky za poľnohospodárske fondy boli vo výške 650</w:t>
      </w:r>
      <w:r>
        <w:t> </w:t>
      </w:r>
      <w:r w:rsidRPr="00CC67BA">
        <w:t>225</w:t>
      </w:r>
      <w:r>
        <w:t> </w:t>
      </w:r>
      <w:r w:rsidRPr="00CC67BA">
        <w:t>tis. eur (z toho za Európsky poľnohospodársky fond rozvoja vidieka v sume 200</w:t>
      </w:r>
      <w:r>
        <w:t> </w:t>
      </w:r>
      <w:r w:rsidRPr="00CC67BA">
        <w:t>775</w:t>
      </w:r>
      <w:r>
        <w:t> </w:t>
      </w:r>
      <w:r w:rsidRPr="00CC67BA">
        <w:t>tis.</w:t>
      </w:r>
      <w:r>
        <w:t> </w:t>
      </w:r>
      <w:r w:rsidRPr="00CC67BA">
        <w:t>eur a</w:t>
      </w:r>
      <w:r>
        <w:t xml:space="preserve"> </w:t>
      </w:r>
      <w:r w:rsidRPr="00CC67BA">
        <w:t>za Európsky poľnohospodársky záručný fond v sume 449</w:t>
      </w:r>
      <w:r>
        <w:t> </w:t>
      </w:r>
      <w:r w:rsidRPr="00CC67BA">
        <w:t>450</w:t>
      </w:r>
      <w:r>
        <w:t> </w:t>
      </w:r>
      <w:r w:rsidRPr="00CC67BA">
        <w:t xml:space="preserve">tis. eur). </w:t>
      </w:r>
    </w:p>
    <w:p w14:paraId="4AFAC547" w14:textId="77777777" w:rsidR="008D4660" w:rsidRDefault="008D4660">
      <w:pPr>
        <w:spacing w:after="160" w:line="259" w:lineRule="auto"/>
        <w:jc w:val="left"/>
      </w:pPr>
      <w:r>
        <w:br w:type="page"/>
      </w:r>
    </w:p>
    <w:tbl>
      <w:tblPr>
        <w:tblW w:w="5335" w:type="pct"/>
        <w:tblLayout w:type="fixed"/>
        <w:tblCellMar>
          <w:left w:w="70" w:type="dxa"/>
          <w:right w:w="70" w:type="dxa"/>
        </w:tblCellMar>
        <w:tblLook w:val="04A0" w:firstRow="1" w:lastRow="0" w:firstColumn="1" w:lastColumn="0" w:noHBand="0" w:noVBand="1"/>
      </w:tblPr>
      <w:tblGrid>
        <w:gridCol w:w="3262"/>
        <w:gridCol w:w="993"/>
        <w:gridCol w:w="991"/>
        <w:gridCol w:w="993"/>
        <w:gridCol w:w="1134"/>
        <w:gridCol w:w="849"/>
        <w:gridCol w:w="851"/>
      </w:tblGrid>
      <w:tr w:rsidR="006F6649" w:rsidRPr="00E627BB" w14:paraId="050883BE" w14:textId="77777777" w:rsidTr="006F6649">
        <w:trPr>
          <w:trHeight w:val="330"/>
        </w:trPr>
        <w:tc>
          <w:tcPr>
            <w:tcW w:w="5000" w:type="pct"/>
            <w:gridSpan w:val="7"/>
            <w:tcBorders>
              <w:top w:val="nil"/>
              <w:left w:val="nil"/>
              <w:bottom w:val="nil"/>
              <w:right w:val="nil"/>
            </w:tcBorders>
            <w:shd w:val="clear" w:color="000000" w:fill="000000"/>
            <w:noWrap/>
            <w:vAlign w:val="bottom"/>
            <w:hideMark/>
          </w:tcPr>
          <w:p w14:paraId="0D86BCE0" w14:textId="77777777" w:rsidR="006F6649" w:rsidRPr="00E627BB" w:rsidRDefault="006F6649" w:rsidP="00E50B32">
            <w:pPr>
              <w:spacing w:after="0" w:line="240" w:lineRule="auto"/>
              <w:jc w:val="left"/>
              <w:rPr>
                <w:rFonts w:eastAsia="Times New Roman" w:cs="Times New Roman"/>
                <w:b/>
                <w:bCs/>
                <w:color w:val="FFFFFF"/>
                <w:sz w:val="18"/>
                <w:szCs w:val="18"/>
                <w:lang w:eastAsia="sk-SK"/>
              </w:rPr>
            </w:pPr>
            <w:r w:rsidRPr="00E627BB">
              <w:rPr>
                <w:rFonts w:eastAsia="Times New Roman" w:cs="Times New Roman"/>
                <w:b/>
                <w:bCs/>
                <w:color w:val="FFFFFF"/>
                <w:sz w:val="18"/>
                <w:szCs w:val="18"/>
                <w:lang w:eastAsia="sk-SK"/>
              </w:rPr>
              <w:t>Výdavky za prostriedky EÚ                                                                                                                               v tis. eur</w:t>
            </w:r>
          </w:p>
        </w:tc>
      </w:tr>
      <w:tr w:rsidR="006F6649" w:rsidRPr="00E627BB" w14:paraId="756CF280" w14:textId="77777777" w:rsidTr="006F6649">
        <w:trPr>
          <w:trHeight w:val="330"/>
        </w:trPr>
        <w:tc>
          <w:tcPr>
            <w:tcW w:w="1798" w:type="pct"/>
            <w:tcBorders>
              <w:top w:val="nil"/>
              <w:left w:val="nil"/>
              <w:bottom w:val="nil"/>
              <w:right w:val="nil"/>
            </w:tcBorders>
            <w:shd w:val="clear" w:color="000000" w:fill="BFBFBF"/>
            <w:vAlign w:val="center"/>
            <w:hideMark/>
          </w:tcPr>
          <w:p w14:paraId="32B2C380" w14:textId="77777777" w:rsidR="006F6649" w:rsidRPr="00E627BB" w:rsidRDefault="006F6649" w:rsidP="00E50B32">
            <w:pPr>
              <w:spacing w:after="0" w:line="240" w:lineRule="auto"/>
              <w:jc w:val="center"/>
              <w:rPr>
                <w:rFonts w:eastAsia="Times New Roman" w:cs="Times New Roman"/>
                <w:b/>
                <w:bCs/>
                <w:sz w:val="18"/>
                <w:szCs w:val="18"/>
                <w:lang w:eastAsia="sk-SK"/>
              </w:rPr>
            </w:pPr>
          </w:p>
        </w:tc>
        <w:tc>
          <w:tcPr>
            <w:tcW w:w="1093" w:type="pct"/>
            <w:gridSpan w:val="2"/>
            <w:tcBorders>
              <w:top w:val="nil"/>
              <w:left w:val="nil"/>
              <w:bottom w:val="nil"/>
              <w:right w:val="nil"/>
            </w:tcBorders>
            <w:shd w:val="clear" w:color="000000" w:fill="BFBFBF"/>
            <w:vAlign w:val="center"/>
            <w:hideMark/>
          </w:tcPr>
          <w:p w14:paraId="0F02D72D" w14:textId="77777777" w:rsidR="006F6649" w:rsidRPr="00E627BB" w:rsidRDefault="006F6649" w:rsidP="00E50B32">
            <w:pPr>
              <w:spacing w:after="0" w:line="240" w:lineRule="auto"/>
              <w:jc w:val="center"/>
              <w:rPr>
                <w:rFonts w:eastAsia="Times New Roman" w:cs="Times New Roman"/>
                <w:b/>
                <w:bCs/>
                <w:sz w:val="18"/>
                <w:szCs w:val="18"/>
                <w:lang w:eastAsia="sk-SK"/>
              </w:rPr>
            </w:pPr>
            <w:r w:rsidRPr="00E627BB">
              <w:rPr>
                <w:rFonts w:eastAsia="Times New Roman" w:cs="Times New Roman"/>
                <w:b/>
                <w:bCs/>
                <w:sz w:val="18"/>
                <w:szCs w:val="18"/>
                <w:lang w:eastAsia="sk-SK"/>
              </w:rPr>
              <w:t>Skutočnosť</w:t>
            </w:r>
          </w:p>
        </w:tc>
        <w:tc>
          <w:tcPr>
            <w:tcW w:w="547" w:type="pct"/>
            <w:tcBorders>
              <w:top w:val="nil"/>
              <w:left w:val="nil"/>
              <w:bottom w:val="nil"/>
              <w:right w:val="nil"/>
            </w:tcBorders>
            <w:shd w:val="clear" w:color="000000" w:fill="BFBFBF"/>
            <w:vAlign w:val="center"/>
            <w:hideMark/>
          </w:tcPr>
          <w:p w14:paraId="7B058C5F" w14:textId="77777777" w:rsidR="006F6649" w:rsidRPr="00E627BB" w:rsidRDefault="006F6649" w:rsidP="00E50B32">
            <w:pPr>
              <w:spacing w:after="0" w:line="240" w:lineRule="auto"/>
              <w:jc w:val="center"/>
              <w:rPr>
                <w:rFonts w:eastAsia="Times New Roman" w:cs="Times New Roman"/>
                <w:b/>
                <w:bCs/>
                <w:sz w:val="18"/>
                <w:szCs w:val="18"/>
                <w:lang w:eastAsia="sk-SK"/>
              </w:rPr>
            </w:pPr>
            <w:r w:rsidRPr="00E627BB">
              <w:rPr>
                <w:rFonts w:eastAsia="Times New Roman" w:cs="Times New Roman"/>
                <w:b/>
                <w:bCs/>
                <w:sz w:val="18"/>
                <w:szCs w:val="18"/>
                <w:lang w:eastAsia="sk-SK"/>
              </w:rPr>
              <w:t>Rozpočet</w:t>
            </w:r>
          </w:p>
        </w:tc>
        <w:tc>
          <w:tcPr>
            <w:tcW w:w="625" w:type="pct"/>
            <w:tcBorders>
              <w:top w:val="nil"/>
              <w:left w:val="nil"/>
              <w:bottom w:val="nil"/>
              <w:right w:val="nil"/>
            </w:tcBorders>
            <w:shd w:val="clear" w:color="000000" w:fill="BFBFBF"/>
            <w:vAlign w:val="center"/>
            <w:hideMark/>
          </w:tcPr>
          <w:p w14:paraId="1EE70D1A" w14:textId="77777777" w:rsidR="006F6649" w:rsidRPr="00E627BB" w:rsidRDefault="006F6649" w:rsidP="00E50B32">
            <w:pPr>
              <w:spacing w:after="0" w:line="240" w:lineRule="auto"/>
              <w:jc w:val="center"/>
              <w:rPr>
                <w:rFonts w:eastAsia="Times New Roman" w:cs="Times New Roman"/>
                <w:b/>
                <w:bCs/>
                <w:sz w:val="18"/>
                <w:szCs w:val="18"/>
                <w:lang w:eastAsia="sk-SK"/>
              </w:rPr>
            </w:pPr>
            <w:r w:rsidRPr="00E627BB">
              <w:rPr>
                <w:rFonts w:eastAsia="Times New Roman" w:cs="Times New Roman"/>
                <w:b/>
                <w:bCs/>
                <w:sz w:val="18"/>
                <w:szCs w:val="18"/>
                <w:lang w:eastAsia="sk-SK"/>
              </w:rPr>
              <w:t>Skutočnosť</w:t>
            </w:r>
          </w:p>
        </w:tc>
        <w:tc>
          <w:tcPr>
            <w:tcW w:w="937" w:type="pct"/>
            <w:gridSpan w:val="2"/>
            <w:tcBorders>
              <w:top w:val="nil"/>
              <w:left w:val="nil"/>
              <w:bottom w:val="nil"/>
              <w:right w:val="nil"/>
            </w:tcBorders>
            <w:shd w:val="clear" w:color="000000" w:fill="BFBFBF"/>
            <w:vAlign w:val="center"/>
            <w:hideMark/>
          </w:tcPr>
          <w:p w14:paraId="20EE6A33" w14:textId="77777777" w:rsidR="006F6649" w:rsidRPr="00E627BB" w:rsidRDefault="006F6649" w:rsidP="00E50B32">
            <w:pPr>
              <w:spacing w:after="0" w:line="240" w:lineRule="auto"/>
              <w:jc w:val="center"/>
              <w:rPr>
                <w:rFonts w:eastAsia="Times New Roman" w:cs="Times New Roman"/>
                <w:b/>
                <w:bCs/>
                <w:sz w:val="18"/>
                <w:szCs w:val="18"/>
                <w:lang w:eastAsia="sk-SK"/>
              </w:rPr>
            </w:pPr>
            <w:r w:rsidRPr="00E627BB">
              <w:rPr>
                <w:rFonts w:eastAsia="Times New Roman" w:cs="Times New Roman"/>
                <w:b/>
                <w:bCs/>
                <w:sz w:val="18"/>
                <w:szCs w:val="18"/>
                <w:lang w:eastAsia="sk-SK"/>
              </w:rPr>
              <w:t>Rozdiel</w:t>
            </w:r>
          </w:p>
        </w:tc>
      </w:tr>
      <w:tr w:rsidR="006F6649" w:rsidRPr="00E627BB" w14:paraId="718F195F" w14:textId="77777777" w:rsidTr="006F6649">
        <w:trPr>
          <w:trHeight w:val="330"/>
        </w:trPr>
        <w:tc>
          <w:tcPr>
            <w:tcW w:w="1798" w:type="pct"/>
            <w:tcBorders>
              <w:top w:val="nil"/>
              <w:left w:val="nil"/>
              <w:bottom w:val="nil"/>
              <w:right w:val="nil"/>
            </w:tcBorders>
            <w:shd w:val="clear" w:color="000000" w:fill="BFBFBF"/>
            <w:vAlign w:val="center"/>
            <w:hideMark/>
          </w:tcPr>
          <w:p w14:paraId="6FA01FBE" w14:textId="77777777" w:rsidR="006F6649" w:rsidRPr="00E627BB" w:rsidRDefault="006F6649" w:rsidP="00E50B32">
            <w:pPr>
              <w:spacing w:after="0" w:line="240" w:lineRule="auto"/>
              <w:jc w:val="left"/>
              <w:rPr>
                <w:rFonts w:eastAsia="Times New Roman" w:cs="Times New Roman"/>
                <w:b/>
                <w:bCs/>
                <w:sz w:val="18"/>
                <w:szCs w:val="18"/>
                <w:lang w:eastAsia="sk-SK"/>
              </w:rPr>
            </w:pPr>
            <w:r w:rsidRPr="00E627BB">
              <w:rPr>
                <w:rFonts w:eastAsia="Times New Roman" w:cs="Times New Roman"/>
                <w:b/>
                <w:bCs/>
                <w:sz w:val="18"/>
                <w:szCs w:val="18"/>
                <w:lang w:eastAsia="sk-SK"/>
              </w:rPr>
              <w:t> </w:t>
            </w:r>
          </w:p>
        </w:tc>
        <w:tc>
          <w:tcPr>
            <w:tcW w:w="547" w:type="pct"/>
            <w:tcBorders>
              <w:top w:val="nil"/>
              <w:left w:val="nil"/>
              <w:bottom w:val="nil"/>
              <w:right w:val="nil"/>
            </w:tcBorders>
            <w:shd w:val="clear" w:color="000000" w:fill="BFBFBF"/>
            <w:vAlign w:val="center"/>
            <w:hideMark/>
          </w:tcPr>
          <w:p w14:paraId="6CEEB6FA" w14:textId="77777777" w:rsidR="006F6649" w:rsidRPr="00E627BB" w:rsidRDefault="006F6649" w:rsidP="00E50B32">
            <w:pPr>
              <w:spacing w:after="0" w:line="240" w:lineRule="auto"/>
              <w:jc w:val="center"/>
              <w:rPr>
                <w:rFonts w:eastAsia="Times New Roman" w:cs="Times New Roman"/>
                <w:b/>
                <w:bCs/>
                <w:sz w:val="18"/>
                <w:szCs w:val="18"/>
                <w:lang w:eastAsia="sk-SK"/>
              </w:rPr>
            </w:pPr>
            <w:r w:rsidRPr="00E627BB">
              <w:rPr>
                <w:rFonts w:eastAsia="Times New Roman" w:cs="Times New Roman"/>
                <w:b/>
                <w:bCs/>
                <w:sz w:val="18"/>
                <w:szCs w:val="18"/>
                <w:lang w:eastAsia="sk-SK"/>
              </w:rPr>
              <w:t>2016</w:t>
            </w:r>
          </w:p>
        </w:tc>
        <w:tc>
          <w:tcPr>
            <w:tcW w:w="546" w:type="pct"/>
            <w:tcBorders>
              <w:top w:val="nil"/>
              <w:left w:val="nil"/>
              <w:bottom w:val="nil"/>
              <w:right w:val="nil"/>
            </w:tcBorders>
            <w:shd w:val="clear" w:color="000000" w:fill="BFBFBF"/>
            <w:vAlign w:val="center"/>
            <w:hideMark/>
          </w:tcPr>
          <w:p w14:paraId="1CEE97DF" w14:textId="77777777" w:rsidR="006F6649" w:rsidRPr="00E627BB" w:rsidRDefault="006F6649" w:rsidP="00E50B32">
            <w:pPr>
              <w:spacing w:after="0" w:line="240" w:lineRule="auto"/>
              <w:jc w:val="center"/>
              <w:rPr>
                <w:rFonts w:eastAsia="Times New Roman" w:cs="Times New Roman"/>
                <w:b/>
                <w:bCs/>
                <w:sz w:val="18"/>
                <w:szCs w:val="18"/>
                <w:lang w:eastAsia="sk-SK"/>
              </w:rPr>
            </w:pPr>
            <w:r w:rsidRPr="00E627BB">
              <w:rPr>
                <w:rFonts w:eastAsia="Times New Roman" w:cs="Times New Roman"/>
                <w:b/>
                <w:bCs/>
                <w:sz w:val="18"/>
                <w:szCs w:val="18"/>
                <w:lang w:eastAsia="sk-SK"/>
              </w:rPr>
              <w:t>2017</w:t>
            </w:r>
          </w:p>
        </w:tc>
        <w:tc>
          <w:tcPr>
            <w:tcW w:w="547" w:type="pct"/>
            <w:tcBorders>
              <w:top w:val="nil"/>
              <w:left w:val="nil"/>
              <w:bottom w:val="nil"/>
              <w:right w:val="nil"/>
            </w:tcBorders>
            <w:shd w:val="clear" w:color="000000" w:fill="BFBFBF"/>
            <w:vAlign w:val="center"/>
            <w:hideMark/>
          </w:tcPr>
          <w:p w14:paraId="08451404" w14:textId="77777777" w:rsidR="006F6649" w:rsidRPr="00E627BB" w:rsidRDefault="006F6649" w:rsidP="00E50B32">
            <w:pPr>
              <w:spacing w:after="0" w:line="240" w:lineRule="auto"/>
              <w:jc w:val="center"/>
              <w:rPr>
                <w:rFonts w:eastAsia="Times New Roman" w:cs="Times New Roman"/>
                <w:b/>
                <w:bCs/>
                <w:sz w:val="18"/>
                <w:szCs w:val="18"/>
                <w:lang w:eastAsia="sk-SK"/>
              </w:rPr>
            </w:pPr>
            <w:r w:rsidRPr="00E627BB">
              <w:rPr>
                <w:rFonts w:eastAsia="Times New Roman" w:cs="Times New Roman"/>
                <w:b/>
                <w:bCs/>
                <w:sz w:val="18"/>
                <w:szCs w:val="18"/>
                <w:lang w:eastAsia="sk-SK"/>
              </w:rPr>
              <w:t>2018</w:t>
            </w:r>
          </w:p>
        </w:tc>
        <w:tc>
          <w:tcPr>
            <w:tcW w:w="625" w:type="pct"/>
            <w:tcBorders>
              <w:top w:val="nil"/>
              <w:left w:val="nil"/>
              <w:bottom w:val="nil"/>
              <w:right w:val="nil"/>
            </w:tcBorders>
            <w:shd w:val="clear" w:color="000000" w:fill="BFBFBF"/>
            <w:vAlign w:val="center"/>
            <w:hideMark/>
          </w:tcPr>
          <w:p w14:paraId="5D1D944D" w14:textId="77777777" w:rsidR="006F6649" w:rsidRPr="00E627BB" w:rsidRDefault="006F6649" w:rsidP="00E50B32">
            <w:pPr>
              <w:spacing w:after="0" w:line="240" w:lineRule="auto"/>
              <w:jc w:val="center"/>
              <w:rPr>
                <w:rFonts w:eastAsia="Times New Roman" w:cs="Times New Roman"/>
                <w:b/>
                <w:bCs/>
                <w:sz w:val="18"/>
                <w:szCs w:val="18"/>
                <w:lang w:eastAsia="sk-SK"/>
              </w:rPr>
            </w:pPr>
            <w:r w:rsidRPr="00E627BB">
              <w:rPr>
                <w:rFonts w:eastAsia="Times New Roman" w:cs="Times New Roman"/>
                <w:b/>
                <w:bCs/>
                <w:sz w:val="18"/>
                <w:szCs w:val="18"/>
                <w:lang w:eastAsia="sk-SK"/>
              </w:rPr>
              <w:t>2018</w:t>
            </w:r>
          </w:p>
        </w:tc>
        <w:tc>
          <w:tcPr>
            <w:tcW w:w="468" w:type="pct"/>
            <w:tcBorders>
              <w:top w:val="nil"/>
              <w:left w:val="nil"/>
              <w:bottom w:val="nil"/>
              <w:right w:val="nil"/>
            </w:tcBorders>
            <w:shd w:val="clear" w:color="000000" w:fill="BFBFBF"/>
            <w:vAlign w:val="center"/>
            <w:hideMark/>
          </w:tcPr>
          <w:p w14:paraId="52CF2650" w14:textId="77777777" w:rsidR="006F6649" w:rsidRPr="00E627BB" w:rsidRDefault="006F6649" w:rsidP="00E50B32">
            <w:pPr>
              <w:spacing w:after="0" w:line="240" w:lineRule="auto"/>
              <w:jc w:val="center"/>
              <w:rPr>
                <w:rFonts w:eastAsia="Times New Roman" w:cs="Times New Roman"/>
                <w:b/>
                <w:bCs/>
                <w:sz w:val="18"/>
                <w:szCs w:val="18"/>
                <w:lang w:eastAsia="sk-SK"/>
              </w:rPr>
            </w:pPr>
            <w:r w:rsidRPr="00E627BB">
              <w:rPr>
                <w:rFonts w:eastAsia="Times New Roman" w:cs="Times New Roman"/>
                <w:b/>
                <w:bCs/>
                <w:sz w:val="18"/>
                <w:szCs w:val="18"/>
                <w:lang w:eastAsia="sk-SK"/>
              </w:rPr>
              <w:t>v tis. eur</w:t>
            </w:r>
          </w:p>
        </w:tc>
        <w:tc>
          <w:tcPr>
            <w:tcW w:w="469" w:type="pct"/>
            <w:tcBorders>
              <w:top w:val="nil"/>
              <w:left w:val="nil"/>
              <w:bottom w:val="nil"/>
              <w:right w:val="nil"/>
            </w:tcBorders>
            <w:shd w:val="clear" w:color="000000" w:fill="BFBFBF"/>
            <w:vAlign w:val="center"/>
            <w:hideMark/>
          </w:tcPr>
          <w:p w14:paraId="6FFDAAD1" w14:textId="77777777" w:rsidR="006F6649" w:rsidRPr="00E627BB" w:rsidRDefault="006F6649" w:rsidP="00E50B32">
            <w:pPr>
              <w:spacing w:after="0" w:line="240" w:lineRule="auto"/>
              <w:jc w:val="center"/>
              <w:rPr>
                <w:rFonts w:eastAsia="Times New Roman" w:cs="Times New Roman"/>
                <w:b/>
                <w:bCs/>
                <w:sz w:val="18"/>
                <w:szCs w:val="18"/>
                <w:lang w:eastAsia="sk-SK"/>
              </w:rPr>
            </w:pPr>
            <w:r w:rsidRPr="00E627BB">
              <w:rPr>
                <w:rFonts w:eastAsia="Times New Roman" w:cs="Times New Roman"/>
                <w:b/>
                <w:bCs/>
                <w:sz w:val="18"/>
                <w:szCs w:val="18"/>
                <w:lang w:eastAsia="sk-SK"/>
              </w:rPr>
              <w:t>v %</w:t>
            </w:r>
          </w:p>
        </w:tc>
      </w:tr>
      <w:tr w:rsidR="006F6649" w:rsidRPr="00E627BB" w14:paraId="000967FB" w14:textId="77777777" w:rsidTr="00353F0C">
        <w:trPr>
          <w:trHeight w:val="345"/>
        </w:trPr>
        <w:tc>
          <w:tcPr>
            <w:tcW w:w="1798" w:type="pct"/>
            <w:tcBorders>
              <w:top w:val="nil"/>
              <w:left w:val="nil"/>
              <w:bottom w:val="single" w:sz="8" w:space="0" w:color="auto"/>
              <w:right w:val="nil"/>
            </w:tcBorders>
            <w:shd w:val="clear" w:color="000000" w:fill="BFBFBF"/>
            <w:vAlign w:val="center"/>
            <w:hideMark/>
          </w:tcPr>
          <w:p w14:paraId="19CD3EAF" w14:textId="77777777" w:rsidR="006F6649" w:rsidRPr="00E627BB" w:rsidRDefault="006F6649" w:rsidP="00E50B32">
            <w:pPr>
              <w:spacing w:after="0" w:line="240" w:lineRule="auto"/>
              <w:jc w:val="left"/>
              <w:rPr>
                <w:rFonts w:eastAsia="Times New Roman" w:cs="Times New Roman"/>
                <w:b/>
                <w:bCs/>
                <w:sz w:val="18"/>
                <w:szCs w:val="18"/>
                <w:lang w:eastAsia="sk-SK"/>
              </w:rPr>
            </w:pPr>
            <w:r w:rsidRPr="00E627BB">
              <w:rPr>
                <w:rFonts w:eastAsia="Times New Roman" w:cs="Times New Roman"/>
                <w:b/>
                <w:bCs/>
                <w:sz w:val="18"/>
                <w:szCs w:val="18"/>
                <w:lang w:eastAsia="sk-SK"/>
              </w:rPr>
              <w:t> </w:t>
            </w:r>
          </w:p>
        </w:tc>
        <w:tc>
          <w:tcPr>
            <w:tcW w:w="547" w:type="pct"/>
            <w:tcBorders>
              <w:top w:val="nil"/>
              <w:left w:val="nil"/>
              <w:bottom w:val="single" w:sz="8" w:space="0" w:color="auto"/>
              <w:right w:val="nil"/>
            </w:tcBorders>
            <w:shd w:val="clear" w:color="000000" w:fill="BFBFBF"/>
            <w:vAlign w:val="center"/>
            <w:hideMark/>
          </w:tcPr>
          <w:p w14:paraId="71EA8C13" w14:textId="77777777" w:rsidR="006F6649" w:rsidRPr="00E627BB" w:rsidRDefault="006F6649" w:rsidP="00E50B32">
            <w:pPr>
              <w:spacing w:after="0" w:line="240" w:lineRule="auto"/>
              <w:jc w:val="center"/>
              <w:rPr>
                <w:rFonts w:eastAsia="Times New Roman" w:cs="Times New Roman"/>
                <w:b/>
                <w:bCs/>
                <w:sz w:val="18"/>
                <w:szCs w:val="18"/>
                <w:lang w:eastAsia="sk-SK"/>
              </w:rPr>
            </w:pPr>
            <w:r w:rsidRPr="00E627BB">
              <w:rPr>
                <w:rFonts w:eastAsia="Times New Roman" w:cs="Times New Roman"/>
                <w:b/>
                <w:bCs/>
                <w:sz w:val="18"/>
                <w:szCs w:val="18"/>
                <w:lang w:eastAsia="sk-SK"/>
              </w:rPr>
              <w:t>1</w:t>
            </w:r>
          </w:p>
        </w:tc>
        <w:tc>
          <w:tcPr>
            <w:tcW w:w="546" w:type="pct"/>
            <w:tcBorders>
              <w:top w:val="nil"/>
              <w:left w:val="nil"/>
              <w:bottom w:val="single" w:sz="8" w:space="0" w:color="auto"/>
              <w:right w:val="nil"/>
            </w:tcBorders>
            <w:shd w:val="clear" w:color="000000" w:fill="BFBFBF"/>
            <w:vAlign w:val="center"/>
            <w:hideMark/>
          </w:tcPr>
          <w:p w14:paraId="4E0CA033" w14:textId="77777777" w:rsidR="006F6649" w:rsidRPr="00E627BB" w:rsidRDefault="006F6649" w:rsidP="00E50B32">
            <w:pPr>
              <w:spacing w:after="0" w:line="240" w:lineRule="auto"/>
              <w:jc w:val="center"/>
              <w:rPr>
                <w:rFonts w:eastAsia="Times New Roman" w:cs="Times New Roman"/>
                <w:b/>
                <w:bCs/>
                <w:sz w:val="18"/>
                <w:szCs w:val="18"/>
                <w:lang w:eastAsia="sk-SK"/>
              </w:rPr>
            </w:pPr>
            <w:r w:rsidRPr="00E627BB">
              <w:rPr>
                <w:rFonts w:eastAsia="Times New Roman" w:cs="Times New Roman"/>
                <w:b/>
                <w:bCs/>
                <w:sz w:val="18"/>
                <w:szCs w:val="18"/>
                <w:lang w:eastAsia="sk-SK"/>
              </w:rPr>
              <w:t>2</w:t>
            </w:r>
          </w:p>
        </w:tc>
        <w:tc>
          <w:tcPr>
            <w:tcW w:w="547" w:type="pct"/>
            <w:tcBorders>
              <w:top w:val="nil"/>
              <w:left w:val="nil"/>
              <w:bottom w:val="single" w:sz="8" w:space="0" w:color="auto"/>
              <w:right w:val="nil"/>
            </w:tcBorders>
            <w:shd w:val="clear" w:color="000000" w:fill="BFBFBF"/>
            <w:vAlign w:val="center"/>
            <w:hideMark/>
          </w:tcPr>
          <w:p w14:paraId="556AA290" w14:textId="77777777" w:rsidR="006F6649" w:rsidRPr="00E627BB" w:rsidRDefault="006F6649" w:rsidP="00E50B32">
            <w:pPr>
              <w:spacing w:after="0" w:line="240" w:lineRule="auto"/>
              <w:jc w:val="center"/>
              <w:rPr>
                <w:rFonts w:eastAsia="Times New Roman" w:cs="Times New Roman"/>
                <w:b/>
                <w:bCs/>
                <w:sz w:val="18"/>
                <w:szCs w:val="18"/>
                <w:lang w:eastAsia="sk-SK"/>
              </w:rPr>
            </w:pPr>
            <w:r w:rsidRPr="00E627BB">
              <w:rPr>
                <w:rFonts w:eastAsia="Times New Roman" w:cs="Times New Roman"/>
                <w:b/>
                <w:bCs/>
                <w:sz w:val="18"/>
                <w:szCs w:val="18"/>
                <w:lang w:eastAsia="sk-SK"/>
              </w:rPr>
              <w:t>3</w:t>
            </w:r>
          </w:p>
        </w:tc>
        <w:tc>
          <w:tcPr>
            <w:tcW w:w="625" w:type="pct"/>
            <w:tcBorders>
              <w:top w:val="nil"/>
              <w:left w:val="nil"/>
              <w:bottom w:val="single" w:sz="8" w:space="0" w:color="auto"/>
              <w:right w:val="nil"/>
            </w:tcBorders>
            <w:shd w:val="clear" w:color="000000" w:fill="BFBFBF"/>
            <w:vAlign w:val="center"/>
            <w:hideMark/>
          </w:tcPr>
          <w:p w14:paraId="76EB4693" w14:textId="77777777" w:rsidR="006F6649" w:rsidRPr="00E627BB" w:rsidRDefault="006F6649" w:rsidP="00E50B32">
            <w:pPr>
              <w:spacing w:after="0" w:line="240" w:lineRule="auto"/>
              <w:jc w:val="center"/>
              <w:rPr>
                <w:rFonts w:eastAsia="Times New Roman" w:cs="Times New Roman"/>
                <w:b/>
                <w:bCs/>
                <w:sz w:val="18"/>
                <w:szCs w:val="18"/>
                <w:lang w:eastAsia="sk-SK"/>
              </w:rPr>
            </w:pPr>
            <w:r w:rsidRPr="00E627BB">
              <w:rPr>
                <w:rFonts w:eastAsia="Times New Roman" w:cs="Times New Roman"/>
                <w:b/>
                <w:bCs/>
                <w:sz w:val="18"/>
                <w:szCs w:val="18"/>
                <w:lang w:eastAsia="sk-SK"/>
              </w:rPr>
              <w:t>4</w:t>
            </w:r>
          </w:p>
        </w:tc>
        <w:tc>
          <w:tcPr>
            <w:tcW w:w="468" w:type="pct"/>
            <w:tcBorders>
              <w:top w:val="nil"/>
              <w:left w:val="nil"/>
              <w:bottom w:val="single" w:sz="8" w:space="0" w:color="auto"/>
              <w:right w:val="nil"/>
            </w:tcBorders>
            <w:shd w:val="clear" w:color="000000" w:fill="BFBFBF"/>
            <w:vAlign w:val="center"/>
            <w:hideMark/>
          </w:tcPr>
          <w:p w14:paraId="3AFF748E" w14:textId="77777777" w:rsidR="006F6649" w:rsidRPr="00E627BB" w:rsidRDefault="006F6649" w:rsidP="00E50B32">
            <w:pPr>
              <w:spacing w:after="0" w:line="240" w:lineRule="auto"/>
              <w:jc w:val="center"/>
              <w:rPr>
                <w:rFonts w:eastAsia="Times New Roman" w:cs="Times New Roman"/>
                <w:b/>
                <w:bCs/>
                <w:sz w:val="18"/>
                <w:szCs w:val="18"/>
                <w:lang w:eastAsia="sk-SK"/>
              </w:rPr>
            </w:pPr>
            <w:r w:rsidRPr="00E627BB">
              <w:rPr>
                <w:rFonts w:eastAsia="Times New Roman" w:cs="Times New Roman"/>
                <w:b/>
                <w:bCs/>
                <w:sz w:val="18"/>
                <w:szCs w:val="18"/>
                <w:lang w:eastAsia="sk-SK"/>
              </w:rPr>
              <w:t>5=4-3</w:t>
            </w:r>
          </w:p>
        </w:tc>
        <w:tc>
          <w:tcPr>
            <w:tcW w:w="469" w:type="pct"/>
            <w:tcBorders>
              <w:top w:val="nil"/>
              <w:left w:val="nil"/>
              <w:bottom w:val="single" w:sz="8" w:space="0" w:color="auto"/>
              <w:right w:val="nil"/>
            </w:tcBorders>
            <w:shd w:val="clear" w:color="000000" w:fill="BFBFBF"/>
            <w:vAlign w:val="center"/>
            <w:hideMark/>
          </w:tcPr>
          <w:p w14:paraId="75274EDD" w14:textId="77777777" w:rsidR="006F6649" w:rsidRPr="00E627BB" w:rsidRDefault="006F6649" w:rsidP="00E50B32">
            <w:pPr>
              <w:spacing w:after="0" w:line="240" w:lineRule="auto"/>
              <w:jc w:val="center"/>
              <w:rPr>
                <w:rFonts w:eastAsia="Times New Roman" w:cs="Times New Roman"/>
                <w:b/>
                <w:bCs/>
                <w:sz w:val="18"/>
                <w:szCs w:val="18"/>
                <w:lang w:eastAsia="sk-SK"/>
              </w:rPr>
            </w:pPr>
            <w:r w:rsidRPr="00E627BB">
              <w:rPr>
                <w:rFonts w:eastAsia="Times New Roman" w:cs="Times New Roman"/>
                <w:b/>
                <w:bCs/>
                <w:sz w:val="18"/>
                <w:szCs w:val="18"/>
                <w:lang w:eastAsia="sk-SK"/>
              </w:rPr>
              <w:t>6=4-3</w:t>
            </w:r>
          </w:p>
        </w:tc>
      </w:tr>
      <w:tr w:rsidR="006F6649" w:rsidRPr="00E627BB" w14:paraId="3892D2DC" w14:textId="77777777" w:rsidTr="00353F0C">
        <w:trPr>
          <w:trHeight w:val="330"/>
        </w:trPr>
        <w:tc>
          <w:tcPr>
            <w:tcW w:w="1798" w:type="pct"/>
            <w:tcBorders>
              <w:top w:val="nil"/>
              <w:left w:val="nil"/>
              <w:bottom w:val="nil"/>
              <w:right w:val="nil"/>
            </w:tcBorders>
            <w:shd w:val="clear" w:color="000000" w:fill="FFFFFF"/>
            <w:vAlign w:val="center"/>
            <w:hideMark/>
          </w:tcPr>
          <w:p w14:paraId="03E6A6AF" w14:textId="77777777" w:rsidR="006F6649" w:rsidRPr="00E627BB" w:rsidRDefault="006F6649" w:rsidP="00E50B32">
            <w:pPr>
              <w:spacing w:after="0" w:line="240" w:lineRule="auto"/>
              <w:jc w:val="left"/>
              <w:rPr>
                <w:rFonts w:eastAsia="Times New Roman" w:cs="Times New Roman"/>
                <w:color w:val="000000"/>
                <w:sz w:val="18"/>
                <w:szCs w:val="18"/>
                <w:lang w:eastAsia="sk-SK"/>
              </w:rPr>
            </w:pPr>
            <w:r w:rsidRPr="00E627BB">
              <w:rPr>
                <w:rFonts w:eastAsia="Times New Roman" w:cs="Times New Roman"/>
                <w:color w:val="000000"/>
                <w:sz w:val="18"/>
                <w:szCs w:val="18"/>
                <w:lang w:eastAsia="sk-SK"/>
              </w:rPr>
              <w:t>Poľnohospodárske fondy 2. programové obdobie</w:t>
            </w:r>
          </w:p>
        </w:tc>
        <w:tc>
          <w:tcPr>
            <w:tcW w:w="547" w:type="pct"/>
            <w:tcBorders>
              <w:top w:val="nil"/>
              <w:left w:val="nil"/>
              <w:bottom w:val="nil"/>
              <w:right w:val="nil"/>
            </w:tcBorders>
            <w:shd w:val="clear" w:color="000000" w:fill="FFFFFF"/>
            <w:noWrap/>
            <w:vAlign w:val="center"/>
            <w:hideMark/>
          </w:tcPr>
          <w:p w14:paraId="42953847" w14:textId="77777777" w:rsidR="006F6649" w:rsidRPr="00E627BB" w:rsidRDefault="006F6649" w:rsidP="00E50B32">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22</w:t>
            </w:r>
          </w:p>
        </w:tc>
        <w:tc>
          <w:tcPr>
            <w:tcW w:w="546" w:type="pct"/>
            <w:tcBorders>
              <w:top w:val="nil"/>
              <w:left w:val="nil"/>
              <w:bottom w:val="nil"/>
              <w:right w:val="nil"/>
            </w:tcBorders>
            <w:shd w:val="clear" w:color="auto" w:fill="auto"/>
            <w:noWrap/>
            <w:vAlign w:val="center"/>
            <w:hideMark/>
          </w:tcPr>
          <w:p w14:paraId="719CE5D5" w14:textId="77777777" w:rsidR="006F6649" w:rsidRPr="00E627BB" w:rsidRDefault="006F6649" w:rsidP="00E50B32">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0</w:t>
            </w:r>
          </w:p>
        </w:tc>
        <w:tc>
          <w:tcPr>
            <w:tcW w:w="547" w:type="pct"/>
            <w:tcBorders>
              <w:top w:val="nil"/>
              <w:left w:val="nil"/>
              <w:bottom w:val="nil"/>
              <w:right w:val="nil"/>
            </w:tcBorders>
            <w:shd w:val="clear" w:color="000000" w:fill="FFFFFF"/>
            <w:noWrap/>
            <w:vAlign w:val="center"/>
            <w:hideMark/>
          </w:tcPr>
          <w:p w14:paraId="2B2A158A" w14:textId="77777777" w:rsidR="006F6649" w:rsidRPr="00E627BB" w:rsidRDefault="006F6649" w:rsidP="00E50B32">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0</w:t>
            </w:r>
          </w:p>
        </w:tc>
        <w:tc>
          <w:tcPr>
            <w:tcW w:w="625" w:type="pct"/>
            <w:tcBorders>
              <w:top w:val="single" w:sz="8" w:space="0" w:color="auto"/>
              <w:left w:val="nil"/>
              <w:bottom w:val="nil"/>
              <w:right w:val="nil"/>
            </w:tcBorders>
            <w:shd w:val="clear" w:color="auto" w:fill="BFBFBF" w:themeFill="background1" w:themeFillShade="BF"/>
            <w:noWrap/>
            <w:vAlign w:val="center"/>
            <w:hideMark/>
          </w:tcPr>
          <w:p w14:paraId="08891E09" w14:textId="77777777" w:rsidR="006F6649" w:rsidRPr="00E627BB" w:rsidRDefault="006F6649" w:rsidP="00E50B32">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0</w:t>
            </w:r>
          </w:p>
        </w:tc>
        <w:tc>
          <w:tcPr>
            <w:tcW w:w="468" w:type="pct"/>
            <w:tcBorders>
              <w:top w:val="nil"/>
              <w:left w:val="nil"/>
              <w:bottom w:val="nil"/>
              <w:right w:val="nil"/>
            </w:tcBorders>
            <w:shd w:val="clear" w:color="000000" w:fill="FFFFFF"/>
            <w:noWrap/>
            <w:vAlign w:val="center"/>
            <w:hideMark/>
          </w:tcPr>
          <w:p w14:paraId="0F51FD04" w14:textId="77777777" w:rsidR="006F6649" w:rsidRPr="00E627BB" w:rsidRDefault="006F6649" w:rsidP="00E50B32">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0</w:t>
            </w:r>
          </w:p>
        </w:tc>
        <w:tc>
          <w:tcPr>
            <w:tcW w:w="469" w:type="pct"/>
            <w:tcBorders>
              <w:top w:val="nil"/>
              <w:left w:val="nil"/>
              <w:bottom w:val="nil"/>
              <w:right w:val="nil"/>
            </w:tcBorders>
            <w:shd w:val="clear" w:color="000000" w:fill="FFFFFF"/>
            <w:noWrap/>
            <w:vAlign w:val="center"/>
            <w:hideMark/>
          </w:tcPr>
          <w:p w14:paraId="57642957" w14:textId="77777777" w:rsidR="006F6649" w:rsidRPr="00E627BB" w:rsidRDefault="006F6649" w:rsidP="00E50B32">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w:t>
            </w:r>
          </w:p>
        </w:tc>
      </w:tr>
      <w:tr w:rsidR="006F6649" w:rsidRPr="00E627BB" w14:paraId="086CD451" w14:textId="77777777" w:rsidTr="00353F0C">
        <w:trPr>
          <w:trHeight w:val="330"/>
        </w:trPr>
        <w:tc>
          <w:tcPr>
            <w:tcW w:w="1798" w:type="pct"/>
            <w:tcBorders>
              <w:top w:val="nil"/>
              <w:left w:val="nil"/>
              <w:bottom w:val="nil"/>
              <w:right w:val="nil"/>
            </w:tcBorders>
            <w:shd w:val="clear" w:color="000000" w:fill="FFFFFF"/>
            <w:vAlign w:val="center"/>
            <w:hideMark/>
          </w:tcPr>
          <w:p w14:paraId="73B01D1B" w14:textId="77777777" w:rsidR="006F6649" w:rsidRPr="00E627BB" w:rsidRDefault="006F6649" w:rsidP="00E50B32">
            <w:pPr>
              <w:spacing w:after="0" w:line="240" w:lineRule="auto"/>
              <w:jc w:val="left"/>
              <w:rPr>
                <w:rFonts w:eastAsia="Times New Roman" w:cs="Times New Roman"/>
                <w:color w:val="000000"/>
                <w:sz w:val="18"/>
                <w:szCs w:val="18"/>
                <w:lang w:eastAsia="sk-SK"/>
              </w:rPr>
            </w:pPr>
            <w:r w:rsidRPr="00E627BB">
              <w:rPr>
                <w:rFonts w:eastAsia="Times New Roman" w:cs="Times New Roman"/>
                <w:color w:val="000000"/>
                <w:sz w:val="18"/>
                <w:szCs w:val="18"/>
                <w:lang w:eastAsia="sk-SK"/>
              </w:rPr>
              <w:t>Poľnohospodárske fondy 3. programové obdobie</w:t>
            </w:r>
          </w:p>
        </w:tc>
        <w:tc>
          <w:tcPr>
            <w:tcW w:w="547" w:type="pct"/>
            <w:tcBorders>
              <w:top w:val="nil"/>
              <w:left w:val="nil"/>
              <w:bottom w:val="nil"/>
              <w:right w:val="nil"/>
            </w:tcBorders>
            <w:shd w:val="clear" w:color="000000" w:fill="FFFFFF"/>
            <w:noWrap/>
            <w:vAlign w:val="center"/>
            <w:hideMark/>
          </w:tcPr>
          <w:p w14:paraId="4659972F" w14:textId="77777777" w:rsidR="006F6649" w:rsidRPr="00E627BB" w:rsidRDefault="006F6649" w:rsidP="00E50B32">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528 321</w:t>
            </w:r>
          </w:p>
        </w:tc>
        <w:tc>
          <w:tcPr>
            <w:tcW w:w="546" w:type="pct"/>
            <w:tcBorders>
              <w:top w:val="nil"/>
              <w:left w:val="nil"/>
              <w:bottom w:val="nil"/>
              <w:right w:val="nil"/>
            </w:tcBorders>
            <w:shd w:val="clear" w:color="000000" w:fill="FFFFFF"/>
            <w:noWrap/>
            <w:vAlign w:val="center"/>
            <w:hideMark/>
          </w:tcPr>
          <w:p w14:paraId="7609C202" w14:textId="77777777" w:rsidR="006F6649" w:rsidRPr="00E627BB" w:rsidRDefault="006F6649" w:rsidP="00E50B32">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585 726</w:t>
            </w:r>
          </w:p>
        </w:tc>
        <w:tc>
          <w:tcPr>
            <w:tcW w:w="547" w:type="pct"/>
            <w:tcBorders>
              <w:top w:val="nil"/>
              <w:left w:val="nil"/>
              <w:bottom w:val="nil"/>
              <w:right w:val="nil"/>
            </w:tcBorders>
            <w:shd w:val="clear" w:color="000000" w:fill="FFFFFF"/>
            <w:noWrap/>
            <w:vAlign w:val="center"/>
            <w:hideMark/>
          </w:tcPr>
          <w:p w14:paraId="6F64C20E" w14:textId="77777777" w:rsidR="006F6649" w:rsidRPr="00E627BB" w:rsidRDefault="006F6649" w:rsidP="00E50B32">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686 253</w:t>
            </w:r>
          </w:p>
        </w:tc>
        <w:tc>
          <w:tcPr>
            <w:tcW w:w="625" w:type="pct"/>
            <w:tcBorders>
              <w:top w:val="nil"/>
              <w:left w:val="nil"/>
              <w:bottom w:val="nil"/>
              <w:right w:val="nil"/>
            </w:tcBorders>
            <w:shd w:val="clear" w:color="auto" w:fill="BFBFBF" w:themeFill="background1" w:themeFillShade="BF"/>
            <w:noWrap/>
            <w:vAlign w:val="center"/>
            <w:hideMark/>
          </w:tcPr>
          <w:p w14:paraId="077592B1" w14:textId="77777777" w:rsidR="006F6649" w:rsidRPr="00E627BB" w:rsidRDefault="006F6649" w:rsidP="00E50B32">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650 225</w:t>
            </w:r>
          </w:p>
        </w:tc>
        <w:tc>
          <w:tcPr>
            <w:tcW w:w="468" w:type="pct"/>
            <w:tcBorders>
              <w:top w:val="nil"/>
              <w:left w:val="nil"/>
              <w:bottom w:val="nil"/>
              <w:right w:val="nil"/>
            </w:tcBorders>
            <w:shd w:val="clear" w:color="000000" w:fill="FFFFFF"/>
            <w:noWrap/>
            <w:vAlign w:val="center"/>
            <w:hideMark/>
          </w:tcPr>
          <w:p w14:paraId="448950AA" w14:textId="77777777" w:rsidR="006F6649" w:rsidRPr="00E627BB" w:rsidRDefault="006F6649" w:rsidP="00E50B32">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-36 028</w:t>
            </w:r>
          </w:p>
        </w:tc>
        <w:tc>
          <w:tcPr>
            <w:tcW w:w="469" w:type="pct"/>
            <w:tcBorders>
              <w:top w:val="nil"/>
              <w:left w:val="nil"/>
              <w:bottom w:val="nil"/>
              <w:right w:val="nil"/>
            </w:tcBorders>
            <w:shd w:val="clear" w:color="000000" w:fill="FFFFFF"/>
            <w:noWrap/>
            <w:vAlign w:val="center"/>
            <w:hideMark/>
          </w:tcPr>
          <w:p w14:paraId="62E864B8" w14:textId="77777777" w:rsidR="006F6649" w:rsidRPr="00E627BB" w:rsidRDefault="006F6649" w:rsidP="00E50B32">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-5,2</w:t>
            </w:r>
          </w:p>
        </w:tc>
      </w:tr>
      <w:tr w:rsidR="006F6649" w:rsidRPr="00E627BB" w14:paraId="19EDC984" w14:textId="77777777" w:rsidTr="00353F0C">
        <w:trPr>
          <w:trHeight w:val="330"/>
        </w:trPr>
        <w:tc>
          <w:tcPr>
            <w:tcW w:w="1798" w:type="pct"/>
            <w:tcBorders>
              <w:top w:val="nil"/>
              <w:left w:val="nil"/>
              <w:bottom w:val="nil"/>
              <w:right w:val="nil"/>
            </w:tcBorders>
            <w:shd w:val="clear" w:color="000000" w:fill="FFFFFF"/>
            <w:vAlign w:val="center"/>
            <w:hideMark/>
          </w:tcPr>
          <w:p w14:paraId="5219E95D" w14:textId="77777777" w:rsidR="006F6649" w:rsidRPr="00E627BB" w:rsidRDefault="006F6649" w:rsidP="00E50B32">
            <w:pPr>
              <w:spacing w:after="0" w:line="240" w:lineRule="auto"/>
              <w:jc w:val="lef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Poľnohospodárske fondy spolu - MPRV SR</w:t>
            </w:r>
          </w:p>
        </w:tc>
        <w:tc>
          <w:tcPr>
            <w:tcW w:w="547" w:type="pct"/>
            <w:tcBorders>
              <w:top w:val="nil"/>
              <w:left w:val="nil"/>
              <w:bottom w:val="nil"/>
              <w:right w:val="nil"/>
            </w:tcBorders>
            <w:shd w:val="clear" w:color="000000" w:fill="FFFFFF"/>
            <w:noWrap/>
            <w:vAlign w:val="center"/>
            <w:hideMark/>
          </w:tcPr>
          <w:p w14:paraId="471A68A1" w14:textId="77777777" w:rsidR="006F6649" w:rsidRPr="00E627BB" w:rsidRDefault="006F6649" w:rsidP="00E50B32">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528 343</w:t>
            </w:r>
          </w:p>
        </w:tc>
        <w:tc>
          <w:tcPr>
            <w:tcW w:w="546" w:type="pct"/>
            <w:tcBorders>
              <w:top w:val="nil"/>
              <w:left w:val="nil"/>
              <w:bottom w:val="nil"/>
              <w:right w:val="nil"/>
            </w:tcBorders>
            <w:shd w:val="clear" w:color="000000" w:fill="FFFFFF"/>
            <w:noWrap/>
            <w:vAlign w:val="center"/>
            <w:hideMark/>
          </w:tcPr>
          <w:p w14:paraId="5B2CCC24" w14:textId="77777777" w:rsidR="006F6649" w:rsidRPr="00E627BB" w:rsidRDefault="006F6649" w:rsidP="00E50B32">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585 726</w:t>
            </w:r>
          </w:p>
        </w:tc>
        <w:tc>
          <w:tcPr>
            <w:tcW w:w="547" w:type="pct"/>
            <w:tcBorders>
              <w:top w:val="nil"/>
              <w:left w:val="nil"/>
              <w:bottom w:val="nil"/>
              <w:right w:val="nil"/>
            </w:tcBorders>
            <w:shd w:val="clear" w:color="000000" w:fill="FFFFFF"/>
            <w:noWrap/>
            <w:vAlign w:val="center"/>
            <w:hideMark/>
          </w:tcPr>
          <w:p w14:paraId="60A0713E" w14:textId="77777777" w:rsidR="006F6649" w:rsidRPr="00E627BB" w:rsidRDefault="006F6649" w:rsidP="00E50B32">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686 253</w:t>
            </w:r>
          </w:p>
        </w:tc>
        <w:tc>
          <w:tcPr>
            <w:tcW w:w="625" w:type="pct"/>
            <w:tcBorders>
              <w:top w:val="nil"/>
              <w:left w:val="nil"/>
              <w:bottom w:val="nil"/>
              <w:right w:val="nil"/>
            </w:tcBorders>
            <w:shd w:val="clear" w:color="auto" w:fill="BFBFBF" w:themeFill="background1" w:themeFillShade="BF"/>
            <w:noWrap/>
            <w:vAlign w:val="center"/>
            <w:hideMark/>
          </w:tcPr>
          <w:p w14:paraId="06255482" w14:textId="77777777" w:rsidR="006F6649" w:rsidRPr="00E627BB" w:rsidRDefault="006F6649" w:rsidP="00E50B32">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650 225</w:t>
            </w:r>
          </w:p>
        </w:tc>
        <w:tc>
          <w:tcPr>
            <w:tcW w:w="468" w:type="pct"/>
            <w:tcBorders>
              <w:top w:val="nil"/>
              <w:left w:val="nil"/>
              <w:bottom w:val="nil"/>
              <w:right w:val="nil"/>
            </w:tcBorders>
            <w:shd w:val="clear" w:color="000000" w:fill="FFFFFF"/>
            <w:noWrap/>
            <w:vAlign w:val="center"/>
            <w:hideMark/>
          </w:tcPr>
          <w:p w14:paraId="6127B1CD" w14:textId="77777777" w:rsidR="006F6649" w:rsidRPr="00E627BB" w:rsidRDefault="006F6649" w:rsidP="00E50B32">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-36 028</w:t>
            </w:r>
          </w:p>
        </w:tc>
        <w:tc>
          <w:tcPr>
            <w:tcW w:w="469" w:type="pct"/>
            <w:tcBorders>
              <w:top w:val="nil"/>
              <w:left w:val="nil"/>
              <w:bottom w:val="nil"/>
              <w:right w:val="nil"/>
            </w:tcBorders>
            <w:shd w:val="clear" w:color="000000" w:fill="FFFFFF"/>
            <w:noWrap/>
            <w:vAlign w:val="center"/>
            <w:hideMark/>
          </w:tcPr>
          <w:p w14:paraId="4ADCF69D" w14:textId="77777777" w:rsidR="006F6649" w:rsidRPr="00E627BB" w:rsidRDefault="006F6649" w:rsidP="00E50B32">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-5,2</w:t>
            </w:r>
          </w:p>
        </w:tc>
      </w:tr>
      <w:tr w:rsidR="006F6649" w:rsidRPr="00E627BB" w14:paraId="55044697" w14:textId="77777777" w:rsidTr="00353F0C">
        <w:trPr>
          <w:trHeight w:val="510"/>
        </w:trPr>
        <w:tc>
          <w:tcPr>
            <w:tcW w:w="1798" w:type="pct"/>
            <w:tcBorders>
              <w:top w:val="nil"/>
              <w:left w:val="nil"/>
              <w:bottom w:val="nil"/>
              <w:right w:val="nil"/>
            </w:tcBorders>
            <w:shd w:val="clear" w:color="000000" w:fill="FFFFFF"/>
            <w:vAlign w:val="center"/>
            <w:hideMark/>
          </w:tcPr>
          <w:p w14:paraId="525896AF" w14:textId="77777777" w:rsidR="006F6649" w:rsidRPr="00E627BB" w:rsidRDefault="006F6649" w:rsidP="00E50B32">
            <w:pPr>
              <w:spacing w:after="0" w:line="240" w:lineRule="auto"/>
              <w:jc w:val="left"/>
              <w:rPr>
                <w:rFonts w:eastAsia="Times New Roman" w:cs="Times New Roman"/>
                <w:color w:val="000000"/>
                <w:sz w:val="18"/>
                <w:szCs w:val="18"/>
                <w:lang w:eastAsia="sk-SK"/>
              </w:rPr>
            </w:pPr>
            <w:r w:rsidRPr="00E627BB">
              <w:rPr>
                <w:rFonts w:eastAsia="Times New Roman" w:cs="Times New Roman"/>
                <w:color w:val="000000"/>
                <w:sz w:val="18"/>
                <w:szCs w:val="18"/>
                <w:lang w:eastAsia="sk-SK"/>
              </w:rPr>
              <w:t xml:space="preserve">Štrukturálne fondy, Kohézny fond, Európsky fond pre rybné hospodárstvo 2. programové obdobie </w:t>
            </w:r>
          </w:p>
        </w:tc>
        <w:tc>
          <w:tcPr>
            <w:tcW w:w="547" w:type="pct"/>
            <w:tcBorders>
              <w:top w:val="nil"/>
              <w:left w:val="nil"/>
              <w:bottom w:val="nil"/>
              <w:right w:val="nil"/>
            </w:tcBorders>
            <w:shd w:val="clear" w:color="000000" w:fill="FFFFFF"/>
            <w:noWrap/>
            <w:vAlign w:val="center"/>
            <w:hideMark/>
          </w:tcPr>
          <w:p w14:paraId="2B998739" w14:textId="77777777" w:rsidR="006F6649" w:rsidRPr="00E627BB" w:rsidRDefault="006F6649" w:rsidP="00E50B32">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663 243</w:t>
            </w:r>
          </w:p>
        </w:tc>
        <w:tc>
          <w:tcPr>
            <w:tcW w:w="546" w:type="pct"/>
            <w:tcBorders>
              <w:top w:val="nil"/>
              <w:left w:val="nil"/>
              <w:bottom w:val="nil"/>
              <w:right w:val="nil"/>
            </w:tcBorders>
            <w:shd w:val="clear" w:color="auto" w:fill="auto"/>
            <w:noWrap/>
            <w:vAlign w:val="center"/>
            <w:hideMark/>
          </w:tcPr>
          <w:p w14:paraId="3BE572C5" w14:textId="77777777" w:rsidR="006F6649" w:rsidRPr="00E627BB" w:rsidRDefault="006F6649" w:rsidP="00E50B32">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320</w:t>
            </w:r>
          </w:p>
        </w:tc>
        <w:tc>
          <w:tcPr>
            <w:tcW w:w="547" w:type="pct"/>
            <w:tcBorders>
              <w:top w:val="nil"/>
              <w:left w:val="nil"/>
              <w:bottom w:val="nil"/>
              <w:right w:val="nil"/>
            </w:tcBorders>
            <w:shd w:val="clear" w:color="000000" w:fill="FFFFFF"/>
            <w:noWrap/>
            <w:vAlign w:val="center"/>
            <w:hideMark/>
          </w:tcPr>
          <w:p w14:paraId="6C70B9F8" w14:textId="77777777" w:rsidR="006F6649" w:rsidRPr="00E627BB" w:rsidRDefault="006F6649" w:rsidP="00E50B32">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0</w:t>
            </w:r>
          </w:p>
        </w:tc>
        <w:tc>
          <w:tcPr>
            <w:tcW w:w="625" w:type="pct"/>
            <w:tcBorders>
              <w:top w:val="nil"/>
              <w:left w:val="nil"/>
              <w:bottom w:val="nil"/>
              <w:right w:val="nil"/>
            </w:tcBorders>
            <w:shd w:val="clear" w:color="auto" w:fill="BFBFBF" w:themeFill="background1" w:themeFillShade="BF"/>
            <w:noWrap/>
            <w:vAlign w:val="center"/>
            <w:hideMark/>
          </w:tcPr>
          <w:p w14:paraId="3B9B4718" w14:textId="77777777" w:rsidR="006F6649" w:rsidRPr="00E627BB" w:rsidRDefault="006F6649" w:rsidP="00E50B32">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0</w:t>
            </w:r>
          </w:p>
        </w:tc>
        <w:tc>
          <w:tcPr>
            <w:tcW w:w="468" w:type="pct"/>
            <w:tcBorders>
              <w:top w:val="nil"/>
              <w:left w:val="nil"/>
              <w:bottom w:val="nil"/>
              <w:right w:val="nil"/>
            </w:tcBorders>
            <w:shd w:val="clear" w:color="000000" w:fill="FFFFFF"/>
            <w:noWrap/>
            <w:vAlign w:val="center"/>
            <w:hideMark/>
          </w:tcPr>
          <w:p w14:paraId="4F03420E" w14:textId="77777777" w:rsidR="006F6649" w:rsidRPr="00E627BB" w:rsidRDefault="006F6649" w:rsidP="00E50B32">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0</w:t>
            </w:r>
          </w:p>
        </w:tc>
        <w:tc>
          <w:tcPr>
            <w:tcW w:w="469" w:type="pct"/>
            <w:tcBorders>
              <w:top w:val="nil"/>
              <w:left w:val="nil"/>
              <w:bottom w:val="nil"/>
              <w:right w:val="nil"/>
            </w:tcBorders>
            <w:shd w:val="clear" w:color="000000" w:fill="FFFFFF"/>
            <w:noWrap/>
            <w:vAlign w:val="center"/>
            <w:hideMark/>
          </w:tcPr>
          <w:p w14:paraId="4B09E0DC" w14:textId="77777777" w:rsidR="006F6649" w:rsidRPr="00E627BB" w:rsidRDefault="006F6649" w:rsidP="00E50B32">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w:t>
            </w:r>
          </w:p>
        </w:tc>
      </w:tr>
      <w:tr w:rsidR="006F6649" w:rsidRPr="00E627BB" w14:paraId="0CC8204B" w14:textId="77777777" w:rsidTr="00353F0C">
        <w:trPr>
          <w:trHeight w:val="615"/>
        </w:trPr>
        <w:tc>
          <w:tcPr>
            <w:tcW w:w="1798" w:type="pct"/>
            <w:tcBorders>
              <w:top w:val="nil"/>
              <w:left w:val="nil"/>
              <w:bottom w:val="nil"/>
              <w:right w:val="nil"/>
            </w:tcBorders>
            <w:shd w:val="clear" w:color="000000" w:fill="FFFFFF"/>
            <w:vAlign w:val="center"/>
            <w:hideMark/>
          </w:tcPr>
          <w:p w14:paraId="2014F390" w14:textId="77777777" w:rsidR="006F6649" w:rsidRPr="00E627BB" w:rsidRDefault="006F6649" w:rsidP="00E50B32">
            <w:pPr>
              <w:spacing w:after="0" w:line="240" w:lineRule="auto"/>
              <w:jc w:val="left"/>
              <w:rPr>
                <w:rFonts w:eastAsia="Times New Roman" w:cs="Times New Roman"/>
                <w:color w:val="000000"/>
                <w:sz w:val="18"/>
                <w:szCs w:val="18"/>
                <w:lang w:eastAsia="sk-SK"/>
              </w:rPr>
            </w:pPr>
            <w:r w:rsidRPr="00E627BB">
              <w:rPr>
                <w:rFonts w:eastAsia="Times New Roman" w:cs="Times New Roman"/>
                <w:color w:val="000000"/>
                <w:sz w:val="18"/>
                <w:szCs w:val="18"/>
                <w:lang w:eastAsia="sk-SK"/>
              </w:rPr>
              <w:t xml:space="preserve">Štrukturálne fondy, Kohézny fond, Európsky námorný a rybársky fond 3. programové obdobie </w:t>
            </w:r>
          </w:p>
        </w:tc>
        <w:tc>
          <w:tcPr>
            <w:tcW w:w="547" w:type="pct"/>
            <w:tcBorders>
              <w:top w:val="nil"/>
              <w:left w:val="nil"/>
              <w:bottom w:val="nil"/>
              <w:right w:val="nil"/>
            </w:tcBorders>
            <w:shd w:val="clear" w:color="000000" w:fill="FFFFFF"/>
            <w:noWrap/>
            <w:vAlign w:val="center"/>
            <w:hideMark/>
          </w:tcPr>
          <w:p w14:paraId="5ED09395" w14:textId="77777777" w:rsidR="006F6649" w:rsidRPr="00E627BB" w:rsidRDefault="006F6649" w:rsidP="00E50B32">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555 159</w:t>
            </w:r>
          </w:p>
        </w:tc>
        <w:tc>
          <w:tcPr>
            <w:tcW w:w="546" w:type="pct"/>
            <w:tcBorders>
              <w:top w:val="nil"/>
              <w:left w:val="nil"/>
              <w:bottom w:val="nil"/>
              <w:right w:val="nil"/>
            </w:tcBorders>
            <w:shd w:val="clear" w:color="000000" w:fill="FFFFFF"/>
            <w:noWrap/>
            <w:vAlign w:val="center"/>
            <w:hideMark/>
          </w:tcPr>
          <w:p w14:paraId="02BAA4C8" w14:textId="77777777" w:rsidR="006F6649" w:rsidRPr="00E627BB" w:rsidRDefault="006F6649" w:rsidP="00E50B32">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834 141</w:t>
            </w:r>
          </w:p>
        </w:tc>
        <w:tc>
          <w:tcPr>
            <w:tcW w:w="547" w:type="pct"/>
            <w:tcBorders>
              <w:top w:val="nil"/>
              <w:left w:val="nil"/>
              <w:bottom w:val="nil"/>
              <w:right w:val="nil"/>
            </w:tcBorders>
            <w:shd w:val="clear" w:color="000000" w:fill="FFFFFF"/>
            <w:noWrap/>
            <w:vAlign w:val="center"/>
            <w:hideMark/>
          </w:tcPr>
          <w:p w14:paraId="4D50447A" w14:textId="77777777" w:rsidR="006F6649" w:rsidRPr="00E627BB" w:rsidRDefault="006F6649" w:rsidP="00E50B32">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673 595</w:t>
            </w:r>
          </w:p>
        </w:tc>
        <w:tc>
          <w:tcPr>
            <w:tcW w:w="625" w:type="pct"/>
            <w:tcBorders>
              <w:top w:val="nil"/>
              <w:left w:val="nil"/>
              <w:bottom w:val="nil"/>
              <w:right w:val="nil"/>
            </w:tcBorders>
            <w:shd w:val="clear" w:color="auto" w:fill="BFBFBF" w:themeFill="background1" w:themeFillShade="BF"/>
            <w:noWrap/>
            <w:vAlign w:val="center"/>
            <w:hideMark/>
          </w:tcPr>
          <w:p w14:paraId="1B5FE287" w14:textId="77777777" w:rsidR="006F6649" w:rsidRPr="00E627BB" w:rsidRDefault="006F6649" w:rsidP="00E50B32">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1 416 456</w:t>
            </w:r>
          </w:p>
        </w:tc>
        <w:tc>
          <w:tcPr>
            <w:tcW w:w="468" w:type="pct"/>
            <w:tcBorders>
              <w:top w:val="nil"/>
              <w:left w:val="nil"/>
              <w:bottom w:val="nil"/>
              <w:right w:val="nil"/>
            </w:tcBorders>
            <w:shd w:val="clear" w:color="000000" w:fill="FFFFFF"/>
            <w:noWrap/>
            <w:vAlign w:val="center"/>
            <w:hideMark/>
          </w:tcPr>
          <w:p w14:paraId="4882163B" w14:textId="77777777" w:rsidR="006F6649" w:rsidRPr="00E627BB" w:rsidRDefault="006F6649" w:rsidP="00E50B32">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742 861</w:t>
            </w:r>
          </w:p>
        </w:tc>
        <w:tc>
          <w:tcPr>
            <w:tcW w:w="469" w:type="pct"/>
            <w:tcBorders>
              <w:top w:val="nil"/>
              <w:left w:val="nil"/>
              <w:bottom w:val="nil"/>
              <w:right w:val="nil"/>
            </w:tcBorders>
            <w:shd w:val="clear" w:color="000000" w:fill="FFFFFF"/>
            <w:noWrap/>
            <w:vAlign w:val="center"/>
            <w:hideMark/>
          </w:tcPr>
          <w:p w14:paraId="419BB052" w14:textId="77777777" w:rsidR="006F6649" w:rsidRPr="00E627BB" w:rsidRDefault="006F6649" w:rsidP="00E50B32">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110,3</w:t>
            </w:r>
          </w:p>
        </w:tc>
      </w:tr>
      <w:tr w:rsidR="006F6649" w:rsidRPr="00E627BB" w14:paraId="408839CA" w14:textId="77777777" w:rsidTr="00353F0C">
        <w:trPr>
          <w:trHeight w:val="330"/>
        </w:trPr>
        <w:tc>
          <w:tcPr>
            <w:tcW w:w="1798" w:type="pct"/>
            <w:tcBorders>
              <w:top w:val="nil"/>
              <w:left w:val="nil"/>
              <w:bottom w:val="nil"/>
              <w:right w:val="nil"/>
            </w:tcBorders>
            <w:shd w:val="clear" w:color="000000" w:fill="FFFFFF"/>
            <w:vAlign w:val="center"/>
            <w:hideMark/>
          </w:tcPr>
          <w:p w14:paraId="748BA34D" w14:textId="77777777" w:rsidR="006F6649" w:rsidRPr="00E627BB" w:rsidRDefault="006F6649" w:rsidP="00E50B32">
            <w:pPr>
              <w:spacing w:after="0" w:line="240" w:lineRule="auto"/>
              <w:jc w:val="left"/>
              <w:rPr>
                <w:rFonts w:eastAsia="Times New Roman" w:cs="Times New Roman"/>
                <w:color w:val="000000"/>
                <w:sz w:val="18"/>
                <w:szCs w:val="18"/>
                <w:lang w:eastAsia="sk-SK"/>
              </w:rPr>
            </w:pPr>
            <w:r w:rsidRPr="00E627BB">
              <w:rPr>
                <w:rFonts w:eastAsia="Times New Roman" w:cs="Times New Roman"/>
                <w:color w:val="000000"/>
                <w:sz w:val="18"/>
                <w:szCs w:val="18"/>
                <w:lang w:eastAsia="sk-SK"/>
              </w:rPr>
              <w:t>Programy EÚS 3. programové obdobie (CO MF SR)</w:t>
            </w:r>
          </w:p>
        </w:tc>
        <w:tc>
          <w:tcPr>
            <w:tcW w:w="547" w:type="pct"/>
            <w:tcBorders>
              <w:top w:val="nil"/>
              <w:left w:val="nil"/>
              <w:bottom w:val="nil"/>
              <w:right w:val="nil"/>
            </w:tcBorders>
            <w:shd w:val="clear" w:color="000000" w:fill="FFFFFF"/>
            <w:noWrap/>
            <w:vAlign w:val="center"/>
            <w:hideMark/>
          </w:tcPr>
          <w:p w14:paraId="2C04BACF" w14:textId="77777777" w:rsidR="006F6649" w:rsidRPr="00E627BB" w:rsidRDefault="006F6649" w:rsidP="00E50B32">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0</w:t>
            </w:r>
          </w:p>
        </w:tc>
        <w:tc>
          <w:tcPr>
            <w:tcW w:w="546" w:type="pct"/>
            <w:tcBorders>
              <w:top w:val="nil"/>
              <w:left w:val="nil"/>
              <w:bottom w:val="nil"/>
              <w:right w:val="nil"/>
            </w:tcBorders>
            <w:shd w:val="clear" w:color="000000" w:fill="FFFFFF"/>
            <w:noWrap/>
            <w:vAlign w:val="center"/>
            <w:hideMark/>
          </w:tcPr>
          <w:p w14:paraId="4C7F5829" w14:textId="77777777" w:rsidR="006F6649" w:rsidRPr="00E627BB" w:rsidRDefault="006F6649" w:rsidP="00E50B32">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0</w:t>
            </w:r>
          </w:p>
        </w:tc>
        <w:tc>
          <w:tcPr>
            <w:tcW w:w="547" w:type="pct"/>
            <w:tcBorders>
              <w:top w:val="nil"/>
              <w:left w:val="nil"/>
              <w:bottom w:val="nil"/>
              <w:right w:val="nil"/>
            </w:tcBorders>
            <w:shd w:val="clear" w:color="000000" w:fill="FFFFFF"/>
            <w:noWrap/>
            <w:vAlign w:val="center"/>
            <w:hideMark/>
          </w:tcPr>
          <w:p w14:paraId="4C66093E" w14:textId="77777777" w:rsidR="006F6649" w:rsidRPr="00E627BB" w:rsidRDefault="006F6649" w:rsidP="00E50B32">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10 050</w:t>
            </w:r>
          </w:p>
        </w:tc>
        <w:tc>
          <w:tcPr>
            <w:tcW w:w="625" w:type="pct"/>
            <w:tcBorders>
              <w:top w:val="nil"/>
              <w:left w:val="nil"/>
              <w:bottom w:val="nil"/>
              <w:right w:val="nil"/>
            </w:tcBorders>
            <w:shd w:val="clear" w:color="auto" w:fill="BFBFBF" w:themeFill="background1" w:themeFillShade="BF"/>
            <w:noWrap/>
            <w:vAlign w:val="center"/>
            <w:hideMark/>
          </w:tcPr>
          <w:p w14:paraId="017D5C08" w14:textId="77777777" w:rsidR="006F6649" w:rsidRPr="00E627BB" w:rsidRDefault="006F6649" w:rsidP="00E50B32">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2 602</w:t>
            </w:r>
          </w:p>
        </w:tc>
        <w:tc>
          <w:tcPr>
            <w:tcW w:w="468" w:type="pct"/>
            <w:tcBorders>
              <w:top w:val="nil"/>
              <w:left w:val="nil"/>
              <w:bottom w:val="nil"/>
              <w:right w:val="nil"/>
            </w:tcBorders>
            <w:shd w:val="clear" w:color="000000" w:fill="FFFFFF"/>
            <w:noWrap/>
            <w:vAlign w:val="center"/>
            <w:hideMark/>
          </w:tcPr>
          <w:p w14:paraId="41403D7A" w14:textId="77777777" w:rsidR="006F6649" w:rsidRPr="00E627BB" w:rsidRDefault="006F6649" w:rsidP="00E50B32">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-7 448</w:t>
            </w:r>
          </w:p>
        </w:tc>
        <w:tc>
          <w:tcPr>
            <w:tcW w:w="469" w:type="pct"/>
            <w:tcBorders>
              <w:top w:val="nil"/>
              <w:left w:val="nil"/>
              <w:bottom w:val="nil"/>
              <w:right w:val="nil"/>
            </w:tcBorders>
            <w:shd w:val="clear" w:color="000000" w:fill="FFFFFF"/>
            <w:noWrap/>
            <w:vAlign w:val="center"/>
            <w:hideMark/>
          </w:tcPr>
          <w:p w14:paraId="58834F5B" w14:textId="77777777" w:rsidR="006F6649" w:rsidRPr="00E627BB" w:rsidRDefault="006F6649" w:rsidP="00E50B32">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-74,1</w:t>
            </w:r>
          </w:p>
        </w:tc>
      </w:tr>
      <w:tr w:rsidR="006F6649" w:rsidRPr="00E627BB" w14:paraId="0043C198" w14:textId="77777777" w:rsidTr="00353F0C">
        <w:trPr>
          <w:trHeight w:val="330"/>
        </w:trPr>
        <w:tc>
          <w:tcPr>
            <w:tcW w:w="1798" w:type="pct"/>
            <w:tcBorders>
              <w:top w:val="nil"/>
              <w:left w:val="nil"/>
              <w:bottom w:val="nil"/>
              <w:right w:val="nil"/>
            </w:tcBorders>
            <w:shd w:val="clear" w:color="000000" w:fill="FFFFFF"/>
            <w:vAlign w:val="center"/>
            <w:hideMark/>
          </w:tcPr>
          <w:p w14:paraId="451DCB28" w14:textId="77777777" w:rsidR="006F6649" w:rsidRPr="00E627BB" w:rsidRDefault="006F6649" w:rsidP="00E50B32">
            <w:pPr>
              <w:spacing w:after="0" w:line="240" w:lineRule="auto"/>
              <w:jc w:val="lef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Štrukturálne operácie - MF SR</w:t>
            </w:r>
          </w:p>
        </w:tc>
        <w:tc>
          <w:tcPr>
            <w:tcW w:w="547" w:type="pct"/>
            <w:tcBorders>
              <w:top w:val="nil"/>
              <w:left w:val="nil"/>
              <w:bottom w:val="nil"/>
              <w:right w:val="nil"/>
            </w:tcBorders>
            <w:shd w:val="clear" w:color="000000" w:fill="FFFFFF"/>
            <w:noWrap/>
            <w:vAlign w:val="center"/>
            <w:hideMark/>
          </w:tcPr>
          <w:p w14:paraId="23079008" w14:textId="77777777" w:rsidR="006F6649" w:rsidRPr="00E627BB" w:rsidRDefault="006F6649" w:rsidP="00E50B32">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1 218 402</w:t>
            </w:r>
          </w:p>
        </w:tc>
        <w:tc>
          <w:tcPr>
            <w:tcW w:w="546" w:type="pct"/>
            <w:tcBorders>
              <w:top w:val="nil"/>
              <w:left w:val="nil"/>
              <w:bottom w:val="nil"/>
              <w:right w:val="nil"/>
            </w:tcBorders>
            <w:shd w:val="clear" w:color="000000" w:fill="FFFFFF"/>
            <w:noWrap/>
            <w:vAlign w:val="center"/>
            <w:hideMark/>
          </w:tcPr>
          <w:p w14:paraId="742D35DB" w14:textId="77777777" w:rsidR="006F6649" w:rsidRPr="00E627BB" w:rsidRDefault="006F6649" w:rsidP="00E50B32">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834 461</w:t>
            </w:r>
          </w:p>
        </w:tc>
        <w:tc>
          <w:tcPr>
            <w:tcW w:w="547" w:type="pct"/>
            <w:tcBorders>
              <w:top w:val="nil"/>
              <w:left w:val="nil"/>
              <w:bottom w:val="nil"/>
              <w:right w:val="nil"/>
            </w:tcBorders>
            <w:shd w:val="clear" w:color="000000" w:fill="FFFFFF"/>
            <w:noWrap/>
            <w:vAlign w:val="center"/>
            <w:hideMark/>
          </w:tcPr>
          <w:p w14:paraId="0578002F" w14:textId="77777777" w:rsidR="006F6649" w:rsidRPr="00E627BB" w:rsidRDefault="006F6649" w:rsidP="00E50B32">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683 645</w:t>
            </w:r>
          </w:p>
        </w:tc>
        <w:tc>
          <w:tcPr>
            <w:tcW w:w="625" w:type="pct"/>
            <w:tcBorders>
              <w:top w:val="nil"/>
              <w:left w:val="nil"/>
              <w:bottom w:val="nil"/>
              <w:right w:val="nil"/>
            </w:tcBorders>
            <w:shd w:val="clear" w:color="auto" w:fill="BFBFBF" w:themeFill="background1" w:themeFillShade="BF"/>
            <w:noWrap/>
            <w:vAlign w:val="center"/>
            <w:hideMark/>
          </w:tcPr>
          <w:p w14:paraId="67ABB4A8" w14:textId="77777777" w:rsidR="006F6649" w:rsidRPr="00E627BB" w:rsidRDefault="006F6649" w:rsidP="00E50B32">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1 419 058</w:t>
            </w:r>
          </w:p>
        </w:tc>
        <w:tc>
          <w:tcPr>
            <w:tcW w:w="468" w:type="pct"/>
            <w:tcBorders>
              <w:top w:val="nil"/>
              <w:left w:val="nil"/>
              <w:bottom w:val="nil"/>
              <w:right w:val="nil"/>
            </w:tcBorders>
            <w:shd w:val="clear" w:color="000000" w:fill="FFFFFF"/>
            <w:noWrap/>
            <w:vAlign w:val="center"/>
            <w:hideMark/>
          </w:tcPr>
          <w:p w14:paraId="413E89F7" w14:textId="77777777" w:rsidR="006F6649" w:rsidRPr="00E627BB" w:rsidRDefault="006F6649" w:rsidP="00E50B32">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735 413</w:t>
            </w:r>
          </w:p>
        </w:tc>
        <w:tc>
          <w:tcPr>
            <w:tcW w:w="469" w:type="pct"/>
            <w:tcBorders>
              <w:top w:val="nil"/>
              <w:left w:val="nil"/>
              <w:bottom w:val="nil"/>
              <w:right w:val="nil"/>
            </w:tcBorders>
            <w:shd w:val="clear" w:color="000000" w:fill="FFFFFF"/>
            <w:noWrap/>
            <w:vAlign w:val="center"/>
            <w:hideMark/>
          </w:tcPr>
          <w:p w14:paraId="173FA904" w14:textId="77777777" w:rsidR="006F6649" w:rsidRPr="00E627BB" w:rsidRDefault="006F6649" w:rsidP="00E50B32">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107,6</w:t>
            </w:r>
          </w:p>
        </w:tc>
      </w:tr>
      <w:tr w:rsidR="006F6649" w:rsidRPr="00E627BB" w14:paraId="1BA727C3" w14:textId="77777777" w:rsidTr="00353F0C">
        <w:trPr>
          <w:trHeight w:val="330"/>
        </w:trPr>
        <w:tc>
          <w:tcPr>
            <w:tcW w:w="1798" w:type="pct"/>
            <w:tcBorders>
              <w:top w:val="nil"/>
              <w:left w:val="nil"/>
              <w:bottom w:val="nil"/>
              <w:right w:val="nil"/>
            </w:tcBorders>
            <w:shd w:val="clear" w:color="000000" w:fill="FFFFFF"/>
            <w:vAlign w:val="center"/>
            <w:hideMark/>
          </w:tcPr>
          <w:p w14:paraId="42668E1B" w14:textId="77777777" w:rsidR="006F6649" w:rsidRPr="00E627BB" w:rsidRDefault="006F6649" w:rsidP="00E50B32">
            <w:pPr>
              <w:spacing w:after="0" w:line="240" w:lineRule="auto"/>
              <w:jc w:val="left"/>
              <w:rPr>
                <w:rFonts w:eastAsia="Times New Roman" w:cs="Times New Roman"/>
                <w:color w:val="000000"/>
                <w:sz w:val="18"/>
                <w:szCs w:val="18"/>
                <w:lang w:eastAsia="sk-SK"/>
              </w:rPr>
            </w:pPr>
            <w:r w:rsidRPr="00E627BB">
              <w:rPr>
                <w:rFonts w:eastAsia="Times New Roman" w:cs="Times New Roman"/>
                <w:color w:val="000000"/>
                <w:sz w:val="18"/>
                <w:szCs w:val="18"/>
                <w:lang w:eastAsia="sk-SK"/>
              </w:rPr>
              <w:t>OP Sociálneho začlenenia najodkázanejších osôb</w:t>
            </w:r>
          </w:p>
        </w:tc>
        <w:tc>
          <w:tcPr>
            <w:tcW w:w="547" w:type="pct"/>
            <w:tcBorders>
              <w:top w:val="nil"/>
              <w:left w:val="nil"/>
              <w:bottom w:val="nil"/>
              <w:right w:val="nil"/>
            </w:tcBorders>
            <w:shd w:val="clear" w:color="000000" w:fill="FFFFFF"/>
            <w:noWrap/>
            <w:vAlign w:val="center"/>
            <w:hideMark/>
          </w:tcPr>
          <w:p w14:paraId="736669E3" w14:textId="77777777" w:rsidR="006F6649" w:rsidRPr="00E627BB" w:rsidRDefault="006F6649" w:rsidP="00E50B32">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6 539</w:t>
            </w:r>
          </w:p>
        </w:tc>
        <w:tc>
          <w:tcPr>
            <w:tcW w:w="546" w:type="pct"/>
            <w:tcBorders>
              <w:top w:val="nil"/>
              <w:left w:val="nil"/>
              <w:bottom w:val="nil"/>
              <w:right w:val="nil"/>
            </w:tcBorders>
            <w:shd w:val="clear" w:color="auto" w:fill="auto"/>
            <w:noWrap/>
            <w:vAlign w:val="center"/>
            <w:hideMark/>
          </w:tcPr>
          <w:p w14:paraId="3AF92E03" w14:textId="77777777" w:rsidR="006F6649" w:rsidRPr="00E627BB" w:rsidRDefault="006F6649" w:rsidP="00E50B32">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11 935</w:t>
            </w:r>
          </w:p>
        </w:tc>
        <w:tc>
          <w:tcPr>
            <w:tcW w:w="547" w:type="pct"/>
            <w:tcBorders>
              <w:top w:val="nil"/>
              <w:left w:val="nil"/>
              <w:bottom w:val="nil"/>
              <w:right w:val="nil"/>
            </w:tcBorders>
            <w:shd w:val="clear" w:color="000000" w:fill="FFFFFF"/>
            <w:noWrap/>
            <w:vAlign w:val="center"/>
            <w:hideMark/>
          </w:tcPr>
          <w:p w14:paraId="04670F5F" w14:textId="77777777" w:rsidR="006F6649" w:rsidRPr="00E627BB" w:rsidRDefault="006F6649" w:rsidP="00E50B32">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8 521</w:t>
            </w:r>
          </w:p>
        </w:tc>
        <w:tc>
          <w:tcPr>
            <w:tcW w:w="625" w:type="pct"/>
            <w:tcBorders>
              <w:top w:val="nil"/>
              <w:left w:val="nil"/>
              <w:bottom w:val="nil"/>
              <w:right w:val="nil"/>
            </w:tcBorders>
            <w:shd w:val="clear" w:color="auto" w:fill="BFBFBF" w:themeFill="background1" w:themeFillShade="BF"/>
            <w:noWrap/>
            <w:vAlign w:val="center"/>
            <w:hideMark/>
          </w:tcPr>
          <w:p w14:paraId="00C560AB" w14:textId="77777777" w:rsidR="006F6649" w:rsidRPr="00E627BB" w:rsidRDefault="006F6649" w:rsidP="00E50B32">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11 949</w:t>
            </w:r>
          </w:p>
        </w:tc>
        <w:tc>
          <w:tcPr>
            <w:tcW w:w="468" w:type="pct"/>
            <w:tcBorders>
              <w:top w:val="nil"/>
              <w:left w:val="nil"/>
              <w:bottom w:val="nil"/>
              <w:right w:val="nil"/>
            </w:tcBorders>
            <w:shd w:val="clear" w:color="000000" w:fill="FFFFFF"/>
            <w:noWrap/>
            <w:vAlign w:val="center"/>
            <w:hideMark/>
          </w:tcPr>
          <w:p w14:paraId="2F1A3998" w14:textId="77777777" w:rsidR="006F6649" w:rsidRPr="00E627BB" w:rsidRDefault="006F6649" w:rsidP="00E50B32">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3 428</w:t>
            </w:r>
          </w:p>
        </w:tc>
        <w:tc>
          <w:tcPr>
            <w:tcW w:w="469" w:type="pct"/>
            <w:tcBorders>
              <w:top w:val="nil"/>
              <w:left w:val="nil"/>
              <w:bottom w:val="nil"/>
              <w:right w:val="nil"/>
            </w:tcBorders>
            <w:shd w:val="clear" w:color="000000" w:fill="FFFFFF"/>
            <w:noWrap/>
            <w:vAlign w:val="center"/>
            <w:hideMark/>
          </w:tcPr>
          <w:p w14:paraId="1C203BE9" w14:textId="77777777" w:rsidR="006F6649" w:rsidRPr="00E627BB" w:rsidRDefault="006F6649" w:rsidP="00E50B32">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40,2</w:t>
            </w:r>
          </w:p>
        </w:tc>
      </w:tr>
      <w:tr w:rsidR="006F6649" w:rsidRPr="00E627BB" w14:paraId="5E264ED0" w14:textId="77777777" w:rsidTr="00353F0C">
        <w:trPr>
          <w:trHeight w:val="330"/>
        </w:trPr>
        <w:tc>
          <w:tcPr>
            <w:tcW w:w="1798" w:type="pct"/>
            <w:tcBorders>
              <w:top w:val="nil"/>
              <w:left w:val="nil"/>
              <w:bottom w:val="nil"/>
              <w:right w:val="nil"/>
            </w:tcBorders>
            <w:shd w:val="clear" w:color="000000" w:fill="FFFFFF"/>
            <w:vAlign w:val="center"/>
            <w:hideMark/>
          </w:tcPr>
          <w:p w14:paraId="76AD11F5" w14:textId="77777777" w:rsidR="006F6649" w:rsidRPr="00E627BB" w:rsidRDefault="006F6649" w:rsidP="00E50B32">
            <w:pPr>
              <w:spacing w:after="0" w:line="240" w:lineRule="auto"/>
              <w:jc w:val="lef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Štrukturálne operácie - MPSVR SR</w:t>
            </w:r>
          </w:p>
        </w:tc>
        <w:tc>
          <w:tcPr>
            <w:tcW w:w="547" w:type="pct"/>
            <w:tcBorders>
              <w:top w:val="nil"/>
              <w:left w:val="nil"/>
              <w:bottom w:val="nil"/>
              <w:right w:val="nil"/>
            </w:tcBorders>
            <w:shd w:val="clear" w:color="000000" w:fill="FFFFFF"/>
            <w:noWrap/>
            <w:vAlign w:val="center"/>
            <w:hideMark/>
          </w:tcPr>
          <w:p w14:paraId="6896C958" w14:textId="77777777" w:rsidR="006F6649" w:rsidRPr="00E627BB" w:rsidRDefault="006F6649" w:rsidP="00E50B32">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6 539</w:t>
            </w:r>
          </w:p>
        </w:tc>
        <w:tc>
          <w:tcPr>
            <w:tcW w:w="546" w:type="pct"/>
            <w:tcBorders>
              <w:top w:val="nil"/>
              <w:left w:val="nil"/>
              <w:bottom w:val="nil"/>
              <w:right w:val="nil"/>
            </w:tcBorders>
            <w:shd w:val="clear" w:color="000000" w:fill="FFFFFF"/>
            <w:noWrap/>
            <w:vAlign w:val="center"/>
            <w:hideMark/>
          </w:tcPr>
          <w:p w14:paraId="7BB71566" w14:textId="77777777" w:rsidR="006F6649" w:rsidRPr="00E627BB" w:rsidRDefault="006F6649" w:rsidP="00E50B32">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11 935</w:t>
            </w:r>
          </w:p>
        </w:tc>
        <w:tc>
          <w:tcPr>
            <w:tcW w:w="547" w:type="pct"/>
            <w:tcBorders>
              <w:top w:val="nil"/>
              <w:left w:val="nil"/>
              <w:bottom w:val="nil"/>
              <w:right w:val="nil"/>
            </w:tcBorders>
            <w:shd w:val="clear" w:color="000000" w:fill="FFFFFF"/>
            <w:noWrap/>
            <w:vAlign w:val="center"/>
            <w:hideMark/>
          </w:tcPr>
          <w:p w14:paraId="39BCE17E" w14:textId="77777777" w:rsidR="006F6649" w:rsidRPr="00E627BB" w:rsidRDefault="006F6649" w:rsidP="00E50B32">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8 521</w:t>
            </w:r>
          </w:p>
        </w:tc>
        <w:tc>
          <w:tcPr>
            <w:tcW w:w="625" w:type="pct"/>
            <w:tcBorders>
              <w:top w:val="nil"/>
              <w:left w:val="nil"/>
              <w:bottom w:val="nil"/>
              <w:right w:val="nil"/>
            </w:tcBorders>
            <w:shd w:val="clear" w:color="auto" w:fill="BFBFBF" w:themeFill="background1" w:themeFillShade="BF"/>
            <w:noWrap/>
            <w:vAlign w:val="center"/>
            <w:hideMark/>
          </w:tcPr>
          <w:p w14:paraId="1E2366EF" w14:textId="77777777" w:rsidR="006F6649" w:rsidRPr="00E627BB" w:rsidRDefault="006F6649" w:rsidP="00E50B32">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11 949</w:t>
            </w:r>
          </w:p>
        </w:tc>
        <w:tc>
          <w:tcPr>
            <w:tcW w:w="468" w:type="pct"/>
            <w:tcBorders>
              <w:top w:val="nil"/>
              <w:left w:val="nil"/>
              <w:bottom w:val="nil"/>
              <w:right w:val="nil"/>
            </w:tcBorders>
            <w:shd w:val="clear" w:color="000000" w:fill="FFFFFF"/>
            <w:noWrap/>
            <w:vAlign w:val="center"/>
            <w:hideMark/>
          </w:tcPr>
          <w:p w14:paraId="4F308F3A" w14:textId="77777777" w:rsidR="006F6649" w:rsidRPr="00E627BB" w:rsidRDefault="006F6649" w:rsidP="00E50B32">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3 428</w:t>
            </w:r>
          </w:p>
        </w:tc>
        <w:tc>
          <w:tcPr>
            <w:tcW w:w="469" w:type="pct"/>
            <w:tcBorders>
              <w:top w:val="nil"/>
              <w:left w:val="nil"/>
              <w:bottom w:val="nil"/>
              <w:right w:val="nil"/>
            </w:tcBorders>
            <w:shd w:val="clear" w:color="000000" w:fill="FFFFFF"/>
            <w:noWrap/>
            <w:vAlign w:val="center"/>
            <w:hideMark/>
          </w:tcPr>
          <w:p w14:paraId="14F38AF3" w14:textId="77777777" w:rsidR="006F6649" w:rsidRPr="00E627BB" w:rsidRDefault="006F6649" w:rsidP="00E50B32">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40,2</w:t>
            </w:r>
          </w:p>
        </w:tc>
      </w:tr>
      <w:tr w:rsidR="006F6649" w:rsidRPr="00E627BB" w14:paraId="24B9A7FB" w14:textId="77777777" w:rsidTr="00353F0C">
        <w:trPr>
          <w:trHeight w:val="249"/>
        </w:trPr>
        <w:tc>
          <w:tcPr>
            <w:tcW w:w="1798" w:type="pct"/>
            <w:tcBorders>
              <w:top w:val="single" w:sz="4" w:space="0" w:color="auto"/>
              <w:left w:val="nil"/>
              <w:bottom w:val="single" w:sz="8" w:space="0" w:color="auto"/>
              <w:right w:val="nil"/>
            </w:tcBorders>
            <w:shd w:val="clear" w:color="000000" w:fill="FFFFFF"/>
            <w:vAlign w:val="center"/>
            <w:hideMark/>
          </w:tcPr>
          <w:p w14:paraId="7EAA66CA" w14:textId="77777777" w:rsidR="006F6649" w:rsidRPr="00E627BB" w:rsidRDefault="006F6649" w:rsidP="00E50B32">
            <w:pPr>
              <w:spacing w:after="0" w:line="240" w:lineRule="auto"/>
              <w:jc w:val="lef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Spolu výdavky za prostriedky EÚ</w:t>
            </w:r>
          </w:p>
        </w:tc>
        <w:tc>
          <w:tcPr>
            <w:tcW w:w="547" w:type="pct"/>
            <w:tcBorders>
              <w:top w:val="single" w:sz="4" w:space="0" w:color="auto"/>
              <w:left w:val="nil"/>
              <w:bottom w:val="single" w:sz="8" w:space="0" w:color="auto"/>
              <w:right w:val="nil"/>
            </w:tcBorders>
            <w:shd w:val="clear" w:color="000000" w:fill="FFFFFF"/>
            <w:noWrap/>
            <w:vAlign w:val="center"/>
            <w:hideMark/>
          </w:tcPr>
          <w:p w14:paraId="6A363C6E" w14:textId="77777777" w:rsidR="006F6649" w:rsidRPr="00E627BB" w:rsidRDefault="006F6649" w:rsidP="00E50B32">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1 753 284</w:t>
            </w:r>
          </w:p>
        </w:tc>
        <w:tc>
          <w:tcPr>
            <w:tcW w:w="546" w:type="pct"/>
            <w:tcBorders>
              <w:top w:val="single" w:sz="4" w:space="0" w:color="auto"/>
              <w:left w:val="nil"/>
              <w:bottom w:val="single" w:sz="8" w:space="0" w:color="auto"/>
              <w:right w:val="nil"/>
            </w:tcBorders>
            <w:shd w:val="clear" w:color="000000" w:fill="FFFFFF"/>
            <w:noWrap/>
            <w:vAlign w:val="center"/>
            <w:hideMark/>
          </w:tcPr>
          <w:p w14:paraId="3DB93B47" w14:textId="77777777" w:rsidR="006F6649" w:rsidRPr="00E627BB" w:rsidRDefault="006F6649" w:rsidP="00E50B32">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1 432 122</w:t>
            </w:r>
          </w:p>
        </w:tc>
        <w:tc>
          <w:tcPr>
            <w:tcW w:w="547" w:type="pct"/>
            <w:tcBorders>
              <w:top w:val="single" w:sz="4" w:space="0" w:color="auto"/>
              <w:left w:val="nil"/>
              <w:bottom w:val="single" w:sz="8" w:space="0" w:color="auto"/>
              <w:right w:val="nil"/>
            </w:tcBorders>
            <w:shd w:val="clear" w:color="000000" w:fill="FFFFFF"/>
            <w:noWrap/>
            <w:vAlign w:val="center"/>
            <w:hideMark/>
          </w:tcPr>
          <w:p w14:paraId="0623DB2D" w14:textId="77777777" w:rsidR="006F6649" w:rsidRPr="00E627BB" w:rsidRDefault="006F6649" w:rsidP="00E50B32">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1 378 419</w:t>
            </w:r>
          </w:p>
        </w:tc>
        <w:tc>
          <w:tcPr>
            <w:tcW w:w="625" w:type="pct"/>
            <w:tcBorders>
              <w:top w:val="single" w:sz="4" w:space="0" w:color="auto"/>
              <w:left w:val="nil"/>
              <w:bottom w:val="single" w:sz="8" w:space="0" w:color="auto"/>
              <w:right w:val="nil"/>
            </w:tcBorders>
            <w:shd w:val="clear" w:color="auto" w:fill="BFBFBF" w:themeFill="background1" w:themeFillShade="BF"/>
            <w:noWrap/>
            <w:vAlign w:val="center"/>
            <w:hideMark/>
          </w:tcPr>
          <w:p w14:paraId="289C12A8" w14:textId="77777777" w:rsidR="006F6649" w:rsidRPr="00E627BB" w:rsidRDefault="006F6649" w:rsidP="00E50B32">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2 081 232</w:t>
            </w:r>
          </w:p>
        </w:tc>
        <w:tc>
          <w:tcPr>
            <w:tcW w:w="468" w:type="pct"/>
            <w:tcBorders>
              <w:top w:val="single" w:sz="4" w:space="0" w:color="auto"/>
              <w:left w:val="nil"/>
              <w:bottom w:val="single" w:sz="8" w:space="0" w:color="auto"/>
              <w:right w:val="nil"/>
            </w:tcBorders>
            <w:shd w:val="clear" w:color="000000" w:fill="FFFFFF"/>
            <w:noWrap/>
            <w:vAlign w:val="center"/>
            <w:hideMark/>
          </w:tcPr>
          <w:p w14:paraId="0684918C" w14:textId="77777777" w:rsidR="006F6649" w:rsidRPr="00E627BB" w:rsidRDefault="006F6649" w:rsidP="00E50B32">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702 813</w:t>
            </w:r>
          </w:p>
        </w:tc>
        <w:tc>
          <w:tcPr>
            <w:tcW w:w="469" w:type="pct"/>
            <w:tcBorders>
              <w:top w:val="single" w:sz="4" w:space="0" w:color="auto"/>
              <w:left w:val="nil"/>
              <w:bottom w:val="single" w:sz="8" w:space="0" w:color="auto"/>
              <w:right w:val="nil"/>
            </w:tcBorders>
            <w:shd w:val="clear" w:color="000000" w:fill="FFFFFF"/>
            <w:noWrap/>
            <w:vAlign w:val="center"/>
            <w:hideMark/>
          </w:tcPr>
          <w:p w14:paraId="26D06B86" w14:textId="77777777" w:rsidR="006F6649" w:rsidRPr="00E627BB" w:rsidRDefault="006F6649" w:rsidP="00E50B32">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51,0</w:t>
            </w:r>
          </w:p>
        </w:tc>
      </w:tr>
    </w:tbl>
    <w:p w14:paraId="016E19C9" w14:textId="77777777" w:rsidR="006F6649" w:rsidRDefault="006F6649" w:rsidP="006F6649">
      <w:pPr>
        <w:jc w:val="right"/>
        <w:rPr>
          <w:b/>
        </w:rPr>
      </w:pPr>
      <w:r w:rsidRPr="006F6649">
        <w:rPr>
          <w:sz w:val="18"/>
          <w:szCs w:val="18"/>
        </w:rPr>
        <w:t>Zdroj: MF SR</w:t>
      </w:r>
    </w:p>
    <w:p w14:paraId="77DFE013" w14:textId="77777777" w:rsidR="006F6649" w:rsidRPr="00CC67BA" w:rsidRDefault="006F6649" w:rsidP="006F6649">
      <w:pPr>
        <w:tabs>
          <w:tab w:val="left" w:pos="284"/>
        </w:tabs>
        <w:rPr>
          <w:b/>
        </w:rPr>
      </w:pPr>
      <w:r w:rsidRPr="00CC67BA">
        <w:rPr>
          <w:b/>
        </w:rPr>
        <w:t xml:space="preserve">Výdavky na spolufinancovanie zo ŠR </w:t>
      </w:r>
    </w:p>
    <w:p w14:paraId="62A4319C" w14:textId="77777777" w:rsidR="006F6649" w:rsidRPr="00CC67BA" w:rsidRDefault="006F6649" w:rsidP="006F6649">
      <w:pPr>
        <w:tabs>
          <w:tab w:val="left" w:pos="284"/>
        </w:tabs>
      </w:pPr>
      <w:r w:rsidRPr="006F6649">
        <w:t>Výdavky na spolufinancovanie zo ŠR boli rozpočtované vo výške 221</w:t>
      </w:r>
      <w:r>
        <w:t> </w:t>
      </w:r>
      <w:r w:rsidRPr="006F6649">
        <w:t>565</w:t>
      </w:r>
      <w:r>
        <w:t> tis. </w:t>
      </w:r>
      <w:r w:rsidRPr="006F6649">
        <w:t>eur, z toho</w:t>
      </w:r>
      <w:r w:rsidRPr="00CC67BA">
        <w:t xml:space="preserve"> prostriedky na spolufinancovanie zo ŠR k prostriedkom EÚ vo výške 213</w:t>
      </w:r>
      <w:r>
        <w:t> </w:t>
      </w:r>
      <w:r w:rsidRPr="00CC67BA">
        <w:t>792</w:t>
      </w:r>
      <w:r>
        <w:t> </w:t>
      </w:r>
      <w:r w:rsidRPr="00CC67BA">
        <w:t>tis. eur, prostriedky na spolufinancovanie k zahraničným grantom a prostriedkom poskytnutým na základe medzinárodných zmlúv vo výške 6</w:t>
      </w:r>
      <w:r>
        <w:t> </w:t>
      </w:r>
      <w:r w:rsidRPr="00CC67BA">
        <w:t>825</w:t>
      </w:r>
      <w:r>
        <w:t> </w:t>
      </w:r>
      <w:r w:rsidRPr="00CC67BA">
        <w:t>tis.</w:t>
      </w:r>
      <w:r>
        <w:t> </w:t>
      </w:r>
      <w:r w:rsidRPr="00CC67BA">
        <w:t>eur a prostriedky na spolufinancovanie vnútorných politík v sume 948 tis. eur. Skutočné plnenie výdavkov na spolu</w:t>
      </w:r>
      <w:r>
        <w:t xml:space="preserve">financovanie zo ŠR je vo výške </w:t>
      </w:r>
      <w:r w:rsidRPr="00CC67BA">
        <w:t>326</w:t>
      </w:r>
      <w:r>
        <w:t> </w:t>
      </w:r>
      <w:r w:rsidRPr="00CC67BA">
        <w:t>074</w:t>
      </w:r>
      <w:r>
        <w:t> </w:t>
      </w:r>
      <w:r w:rsidRPr="00CC67BA">
        <w:t xml:space="preserve">tis. eur, z toho prostriedky na spolufinancovanie zo ŠR k prostriedkom EÚ vo výške </w:t>
      </w:r>
      <w:r>
        <w:t>311 </w:t>
      </w:r>
      <w:r w:rsidRPr="00CC67BA">
        <w:t>327</w:t>
      </w:r>
      <w:r>
        <w:t> </w:t>
      </w:r>
      <w:r w:rsidRPr="00CC67BA">
        <w:t>tis. eur, prostriedky na spolufinancovanie k zahraničným grantom a prostriedkom poskytnutým na základe medzinárodných zmlúv vo výške 5</w:t>
      </w:r>
      <w:r>
        <w:t> </w:t>
      </w:r>
      <w:r w:rsidRPr="00CC67BA">
        <w:t>123</w:t>
      </w:r>
      <w:r>
        <w:t> </w:t>
      </w:r>
      <w:r w:rsidRPr="00CC67BA">
        <w:t>tis. eur a prostriedky na spolufinancovanie vnútorných politík v sume 9 624 tis. eur.</w:t>
      </w:r>
    </w:p>
    <w:p w14:paraId="50102B07" w14:textId="77777777" w:rsidR="006F6649" w:rsidRPr="00CC67BA" w:rsidRDefault="006F6649" w:rsidP="006F6649">
      <w:pPr>
        <w:numPr>
          <w:ilvl w:val="0"/>
          <w:numId w:val="5"/>
        </w:numPr>
        <w:tabs>
          <w:tab w:val="left" w:pos="284"/>
        </w:tabs>
        <w:ind w:left="0" w:firstLine="0"/>
        <w:rPr>
          <w:b/>
        </w:rPr>
      </w:pPr>
      <w:r w:rsidRPr="00CC67BA">
        <w:rPr>
          <w:b/>
        </w:rPr>
        <w:t>Spolufinancovanie zo štátneho rozpočtu k prostriedkom EÚ</w:t>
      </w:r>
    </w:p>
    <w:p w14:paraId="174F80F7" w14:textId="77777777" w:rsidR="006F6649" w:rsidRPr="008759CD" w:rsidRDefault="006F6649" w:rsidP="006F6649">
      <w:r w:rsidRPr="00CC67BA">
        <w:t xml:space="preserve">Z rovnakého dôvodu ako pri úprave </w:t>
      </w:r>
      <w:r w:rsidRPr="008759CD">
        <w:t>výdavkov z prostriedkov EÚ došlo k úprave rozpočtu na spolufinancovanie zo štátneho rozpočtu. Zároveň z dôvodu rýchlejšej implementácie projektov v rámci OP Technická pomoc 2014 – 2020 a</w:t>
      </w:r>
      <w:r>
        <w:t xml:space="preserve"> </w:t>
      </w:r>
      <w:r w:rsidRPr="008759CD">
        <w:t>OP Výskum a inovácie 2014 - 2020 bol navýšený rozpočet Úradu vlády SR v sume 3</w:t>
      </w:r>
      <w:r>
        <w:t> </w:t>
      </w:r>
      <w:r w:rsidRPr="008759CD">
        <w:t>523</w:t>
      </w:r>
      <w:r>
        <w:t> </w:t>
      </w:r>
      <w:r w:rsidRPr="008759CD">
        <w:t>tis</w:t>
      </w:r>
      <w:r w:rsidR="00883866">
        <w:t>.</w:t>
      </w:r>
      <w:r w:rsidRPr="008759CD">
        <w:t xml:space="preserve"> eur a</w:t>
      </w:r>
      <w:r w:rsidR="00883866">
        <w:t xml:space="preserve"> </w:t>
      </w:r>
      <w:r w:rsidRPr="008759CD">
        <w:t>Ministerstvu ho</w:t>
      </w:r>
      <w:r>
        <w:t>spodárstva SR v sume 1 170 tis. </w:t>
      </w:r>
      <w:r w:rsidRPr="008759CD">
        <w:t>eur z kapitoly VPS – Rezerva na prostriedky EÚ a odvody EÚ – Rýchlejšia realizácia a väčší počet prostriedkov. Po úpravách dosiahol rozpočet úroveň 311</w:t>
      </w:r>
      <w:r>
        <w:t> </w:t>
      </w:r>
      <w:r w:rsidRPr="008759CD">
        <w:t>331</w:t>
      </w:r>
      <w:r>
        <w:t> </w:t>
      </w:r>
      <w:r w:rsidRPr="008759CD">
        <w:t>tis.</w:t>
      </w:r>
      <w:r>
        <w:t> </w:t>
      </w:r>
      <w:r w:rsidRPr="008759CD">
        <w:t xml:space="preserve">eur. </w:t>
      </w:r>
    </w:p>
    <w:p w14:paraId="601339E7" w14:textId="5DDB7594" w:rsidR="006F6649" w:rsidRPr="00AE1C93" w:rsidRDefault="006F6649" w:rsidP="006F6649">
      <w:r w:rsidRPr="008759CD">
        <w:t xml:space="preserve">Čerpanie výdavkov na spolufinancovanie zo ŠR k prostriedkom EÚ v roku 2018 za štrukturálne operácie je </w:t>
      </w:r>
      <w:r w:rsidR="00E627BB">
        <w:t>nepatrne</w:t>
      </w:r>
      <w:r w:rsidRPr="008759CD">
        <w:t xml:space="preserve"> nižšie ako upravený rozpočet a predstavuje</w:t>
      </w:r>
      <w:r w:rsidRPr="00CC67BA">
        <w:t xml:space="preserve"> sumu 31</w:t>
      </w:r>
      <w:r>
        <w:t>1 327 </w:t>
      </w:r>
      <w:r w:rsidRPr="00CC67BA">
        <w:t>tis.</w:t>
      </w:r>
      <w:r>
        <w:t> </w:t>
      </w:r>
      <w:r w:rsidRPr="00CC67BA">
        <w:t xml:space="preserve">eur. Nižšie čerpanie oproti upravenému rozpočtu sa prejavilo v kapitole Ministerstva zdravotníctva SR z rovnakého dôvodu, </w:t>
      </w:r>
      <w:r w:rsidRPr="00AE1C93">
        <w:t>ako pri výdavkoch EÚ.</w:t>
      </w:r>
    </w:p>
    <w:p w14:paraId="5CA13945" w14:textId="77777777" w:rsidR="006F6649" w:rsidRDefault="006F6649" w:rsidP="006F6649">
      <w:r w:rsidRPr="00AE1C93">
        <w:t>Skutočné plnenie výdavkov na spolufinancovanie zo ŠR vo výške 31</w:t>
      </w:r>
      <w:r>
        <w:t>1 327 </w:t>
      </w:r>
      <w:r w:rsidRPr="00AE1C93">
        <w:t>tis. eur predstavuje plnenie na úrovni 100 % z upraveného rozpočtu. Výdavky za štrukturálne operácie, pri ktorých plní úlohu  certifikačného orgánu Ministerstvo financií SR</w:t>
      </w:r>
      <w:r>
        <w:t>,</w:t>
      </w:r>
      <w:r w:rsidRPr="00AE1C93">
        <w:t xml:space="preserve"> sú vo výške </w:t>
      </w:r>
      <w:r>
        <w:t>228 </w:t>
      </w:r>
      <w:r w:rsidRPr="00AE1C93">
        <w:t>324</w:t>
      </w:r>
      <w:r>
        <w:t> </w:t>
      </w:r>
      <w:r w:rsidRPr="00AE1C93">
        <w:t>tis.</w:t>
      </w:r>
      <w:r>
        <w:t> </w:t>
      </w:r>
      <w:r w:rsidRPr="00AE1C93">
        <w:t>eur (z toho štrukturálne fondy 3. programového obdobia v sume</w:t>
      </w:r>
      <w:r>
        <w:t xml:space="preserve"> 118 </w:t>
      </w:r>
      <w:r w:rsidRPr="00AE1C93">
        <w:t>699</w:t>
      </w:r>
      <w:r>
        <w:t> </w:t>
      </w:r>
      <w:r w:rsidRPr="00AE1C93">
        <w:t>tis. eur a Kohézny fond 3. programového obdobia v sume 109</w:t>
      </w:r>
      <w:r>
        <w:t> </w:t>
      </w:r>
      <w:r w:rsidRPr="00AE1C93">
        <w:t>625</w:t>
      </w:r>
      <w:r>
        <w:t> </w:t>
      </w:r>
      <w:r w:rsidRPr="00AE1C93">
        <w:t>tis.</w:t>
      </w:r>
      <w:r>
        <w:t> </w:t>
      </w:r>
      <w:r w:rsidRPr="00AE1C93">
        <w:t>eur). Výdavky za štrukturálne operácie, pri ktorých plní úlohu  certifikačného orgánu Ministerstvo práce, sociálnych vecí a rodiny SR</w:t>
      </w:r>
      <w:r>
        <w:t>,</w:t>
      </w:r>
      <w:r w:rsidRPr="00AE1C93">
        <w:t xml:space="preserve"> sú v sume 2 109 tis. eur. Výdavky za poľnohospodárske fondy boli vo výške 80 894 tis. eur (z toho za Európsky poľnohospodársky fond rozvoja vidieka v sume 69</w:t>
      </w:r>
      <w:r>
        <w:t> </w:t>
      </w:r>
      <w:r w:rsidRPr="00AE1C93">
        <w:t>010</w:t>
      </w:r>
      <w:r>
        <w:t> </w:t>
      </w:r>
      <w:r w:rsidRPr="00AE1C93">
        <w:t>tis.</w:t>
      </w:r>
      <w:r>
        <w:t> </w:t>
      </w:r>
      <w:r w:rsidRPr="00AE1C93">
        <w:t>eur a</w:t>
      </w:r>
      <w:r>
        <w:t xml:space="preserve"> </w:t>
      </w:r>
      <w:r w:rsidRPr="00AE1C93">
        <w:t>za Európsky poľnoh</w:t>
      </w:r>
      <w:r>
        <w:t xml:space="preserve">ospodársky záručný fond v sume </w:t>
      </w:r>
      <w:r w:rsidRPr="00AE1C93">
        <w:t>1</w:t>
      </w:r>
      <w:r>
        <w:t>1 </w:t>
      </w:r>
      <w:r w:rsidRPr="00AE1C93">
        <w:t>884</w:t>
      </w:r>
      <w:r>
        <w:t> </w:t>
      </w:r>
      <w:r w:rsidRPr="00AE1C93">
        <w:t>tis. eur).</w:t>
      </w:r>
    </w:p>
    <w:tbl>
      <w:tblPr>
        <w:tblW w:w="5168" w:type="pct"/>
        <w:tblLayout w:type="fixed"/>
        <w:tblCellMar>
          <w:left w:w="70" w:type="dxa"/>
          <w:right w:w="70" w:type="dxa"/>
        </w:tblCellMar>
        <w:tblLook w:val="04A0" w:firstRow="1" w:lastRow="0" w:firstColumn="1" w:lastColumn="0" w:noHBand="0" w:noVBand="1"/>
      </w:tblPr>
      <w:tblGrid>
        <w:gridCol w:w="2974"/>
        <w:gridCol w:w="1136"/>
        <w:gridCol w:w="851"/>
        <w:gridCol w:w="991"/>
        <w:gridCol w:w="1136"/>
        <w:gridCol w:w="991"/>
        <w:gridCol w:w="710"/>
      </w:tblGrid>
      <w:tr w:rsidR="006F6649" w:rsidRPr="00E627BB" w14:paraId="2D18FEF0" w14:textId="77777777" w:rsidTr="005B1A70">
        <w:trPr>
          <w:trHeight w:val="330"/>
        </w:trPr>
        <w:tc>
          <w:tcPr>
            <w:tcW w:w="5000" w:type="pct"/>
            <w:gridSpan w:val="7"/>
            <w:tcBorders>
              <w:top w:val="nil"/>
              <w:left w:val="nil"/>
              <w:bottom w:val="nil"/>
              <w:right w:val="nil"/>
            </w:tcBorders>
            <w:shd w:val="clear" w:color="000000" w:fill="000000"/>
            <w:noWrap/>
            <w:vAlign w:val="center"/>
            <w:hideMark/>
          </w:tcPr>
          <w:p w14:paraId="301EEA8D" w14:textId="77777777" w:rsidR="006F6649" w:rsidRPr="00E627BB" w:rsidRDefault="006F6649" w:rsidP="006F6649">
            <w:pPr>
              <w:spacing w:after="0" w:line="240" w:lineRule="auto"/>
              <w:jc w:val="left"/>
              <w:rPr>
                <w:rFonts w:eastAsia="Times New Roman" w:cs="Times New Roman"/>
                <w:b/>
                <w:bCs/>
                <w:color w:val="FFFFFF"/>
                <w:sz w:val="18"/>
                <w:szCs w:val="18"/>
                <w:lang w:eastAsia="sk-SK"/>
              </w:rPr>
            </w:pPr>
            <w:bookmarkStart w:id="71" w:name="RANGE!A1:G13"/>
            <w:r w:rsidRPr="00E627BB">
              <w:rPr>
                <w:rFonts w:eastAsia="Times New Roman" w:cs="Times New Roman"/>
                <w:b/>
                <w:bCs/>
                <w:color w:val="FFFFFF"/>
                <w:sz w:val="18"/>
                <w:szCs w:val="18"/>
                <w:lang w:eastAsia="sk-SK"/>
              </w:rPr>
              <w:t xml:space="preserve">Výdavky spolufinancovania zo ŠR k prostriedkom EÚ </w:t>
            </w:r>
            <w:bookmarkEnd w:id="71"/>
            <w:r w:rsidRPr="00E627BB">
              <w:rPr>
                <w:rFonts w:eastAsia="Times New Roman" w:cs="Times New Roman"/>
                <w:b/>
                <w:bCs/>
                <w:color w:val="FFFFFF"/>
                <w:sz w:val="18"/>
                <w:szCs w:val="18"/>
                <w:lang w:eastAsia="sk-SK"/>
              </w:rPr>
              <w:t xml:space="preserve">                                                                          v tis. eur</w:t>
            </w:r>
          </w:p>
        </w:tc>
      </w:tr>
      <w:tr w:rsidR="00904A6C" w:rsidRPr="00E627BB" w14:paraId="2BE9DC6F" w14:textId="77777777" w:rsidTr="00904A6C">
        <w:trPr>
          <w:trHeight w:val="330"/>
        </w:trPr>
        <w:tc>
          <w:tcPr>
            <w:tcW w:w="1692" w:type="pct"/>
            <w:tcBorders>
              <w:top w:val="nil"/>
              <w:left w:val="nil"/>
              <w:bottom w:val="nil"/>
              <w:right w:val="nil"/>
            </w:tcBorders>
            <w:shd w:val="clear" w:color="000000" w:fill="BFBFBF"/>
            <w:vAlign w:val="center"/>
            <w:hideMark/>
          </w:tcPr>
          <w:p w14:paraId="32F8FD41" w14:textId="77777777" w:rsidR="006F6649" w:rsidRPr="00E627BB" w:rsidRDefault="006F6649" w:rsidP="006F6649">
            <w:pPr>
              <w:spacing w:after="0" w:line="240" w:lineRule="auto"/>
              <w:jc w:val="center"/>
              <w:rPr>
                <w:rFonts w:eastAsia="Times New Roman" w:cs="Times New Roman"/>
                <w:b/>
                <w:bCs/>
                <w:sz w:val="18"/>
                <w:szCs w:val="18"/>
                <w:lang w:eastAsia="sk-SK"/>
              </w:rPr>
            </w:pPr>
          </w:p>
        </w:tc>
        <w:tc>
          <w:tcPr>
            <w:tcW w:w="646" w:type="pct"/>
            <w:tcBorders>
              <w:top w:val="nil"/>
              <w:left w:val="nil"/>
              <w:bottom w:val="nil"/>
              <w:right w:val="nil"/>
            </w:tcBorders>
            <w:shd w:val="clear" w:color="000000" w:fill="BFBFBF"/>
            <w:vAlign w:val="center"/>
            <w:hideMark/>
          </w:tcPr>
          <w:p w14:paraId="151865B5" w14:textId="77777777" w:rsidR="006F6649" w:rsidRPr="00E627BB" w:rsidRDefault="006F6649" w:rsidP="006F6649">
            <w:pPr>
              <w:spacing w:after="0" w:line="240" w:lineRule="auto"/>
              <w:jc w:val="center"/>
              <w:rPr>
                <w:rFonts w:eastAsia="Times New Roman" w:cs="Times New Roman"/>
                <w:b/>
                <w:bCs/>
                <w:sz w:val="18"/>
                <w:szCs w:val="18"/>
                <w:lang w:eastAsia="sk-SK"/>
              </w:rPr>
            </w:pPr>
            <w:r w:rsidRPr="00E627BB">
              <w:rPr>
                <w:rFonts w:eastAsia="Times New Roman" w:cs="Times New Roman"/>
                <w:b/>
                <w:bCs/>
                <w:sz w:val="18"/>
                <w:szCs w:val="18"/>
                <w:lang w:eastAsia="sk-SK"/>
              </w:rPr>
              <w:t>Skutočnosť</w:t>
            </w:r>
          </w:p>
        </w:tc>
        <w:tc>
          <w:tcPr>
            <w:tcW w:w="484" w:type="pct"/>
            <w:tcBorders>
              <w:top w:val="nil"/>
              <w:left w:val="nil"/>
              <w:bottom w:val="nil"/>
              <w:right w:val="nil"/>
            </w:tcBorders>
            <w:shd w:val="clear" w:color="000000" w:fill="BFBFBF"/>
            <w:vAlign w:val="center"/>
            <w:hideMark/>
          </w:tcPr>
          <w:p w14:paraId="640281FB" w14:textId="77777777" w:rsidR="006F6649" w:rsidRPr="00E627BB" w:rsidRDefault="006F6649" w:rsidP="006F6649">
            <w:pPr>
              <w:spacing w:after="0" w:line="240" w:lineRule="auto"/>
              <w:jc w:val="center"/>
              <w:rPr>
                <w:rFonts w:eastAsia="Times New Roman" w:cs="Times New Roman"/>
                <w:b/>
                <w:bCs/>
                <w:sz w:val="18"/>
                <w:szCs w:val="18"/>
                <w:lang w:eastAsia="sk-SK"/>
              </w:rPr>
            </w:pPr>
          </w:p>
        </w:tc>
        <w:tc>
          <w:tcPr>
            <w:tcW w:w="564" w:type="pct"/>
            <w:tcBorders>
              <w:top w:val="nil"/>
              <w:left w:val="nil"/>
              <w:bottom w:val="nil"/>
              <w:right w:val="nil"/>
            </w:tcBorders>
            <w:shd w:val="clear" w:color="000000" w:fill="BFBFBF"/>
            <w:vAlign w:val="center"/>
            <w:hideMark/>
          </w:tcPr>
          <w:p w14:paraId="4F4160FC" w14:textId="77777777" w:rsidR="006F6649" w:rsidRPr="00E627BB" w:rsidRDefault="006F6649" w:rsidP="006F6649">
            <w:pPr>
              <w:spacing w:after="0" w:line="240" w:lineRule="auto"/>
              <w:jc w:val="center"/>
              <w:rPr>
                <w:rFonts w:eastAsia="Times New Roman" w:cs="Times New Roman"/>
                <w:b/>
                <w:bCs/>
                <w:sz w:val="18"/>
                <w:szCs w:val="18"/>
                <w:lang w:eastAsia="sk-SK"/>
              </w:rPr>
            </w:pPr>
            <w:r w:rsidRPr="00E627BB">
              <w:rPr>
                <w:rFonts w:eastAsia="Times New Roman" w:cs="Times New Roman"/>
                <w:b/>
                <w:bCs/>
                <w:sz w:val="18"/>
                <w:szCs w:val="18"/>
                <w:lang w:eastAsia="sk-SK"/>
              </w:rPr>
              <w:t>Rozpočet</w:t>
            </w:r>
          </w:p>
        </w:tc>
        <w:tc>
          <w:tcPr>
            <w:tcW w:w="646" w:type="pct"/>
            <w:tcBorders>
              <w:top w:val="nil"/>
              <w:left w:val="nil"/>
              <w:bottom w:val="nil"/>
              <w:right w:val="nil"/>
            </w:tcBorders>
            <w:shd w:val="clear" w:color="000000" w:fill="BFBFBF"/>
            <w:vAlign w:val="center"/>
            <w:hideMark/>
          </w:tcPr>
          <w:p w14:paraId="1A32857B" w14:textId="77777777" w:rsidR="006F6649" w:rsidRPr="00E627BB" w:rsidRDefault="006F6649" w:rsidP="006F6649">
            <w:pPr>
              <w:spacing w:after="0" w:line="240" w:lineRule="auto"/>
              <w:jc w:val="center"/>
              <w:rPr>
                <w:rFonts w:eastAsia="Times New Roman" w:cs="Times New Roman"/>
                <w:b/>
                <w:bCs/>
                <w:sz w:val="18"/>
                <w:szCs w:val="18"/>
                <w:lang w:eastAsia="sk-SK"/>
              </w:rPr>
            </w:pPr>
            <w:r w:rsidRPr="00E627BB">
              <w:rPr>
                <w:rFonts w:eastAsia="Times New Roman" w:cs="Times New Roman"/>
                <w:b/>
                <w:bCs/>
                <w:sz w:val="18"/>
                <w:szCs w:val="18"/>
                <w:lang w:eastAsia="sk-SK"/>
              </w:rPr>
              <w:t>Skutočnosť</w:t>
            </w:r>
          </w:p>
        </w:tc>
        <w:tc>
          <w:tcPr>
            <w:tcW w:w="564" w:type="pct"/>
            <w:tcBorders>
              <w:top w:val="nil"/>
              <w:left w:val="nil"/>
              <w:bottom w:val="nil"/>
              <w:right w:val="nil"/>
            </w:tcBorders>
            <w:shd w:val="clear" w:color="000000" w:fill="BFBFBF"/>
            <w:vAlign w:val="center"/>
            <w:hideMark/>
          </w:tcPr>
          <w:p w14:paraId="1F3782AC" w14:textId="77777777" w:rsidR="006F6649" w:rsidRPr="00E627BB" w:rsidRDefault="006F6649" w:rsidP="006F6649">
            <w:pPr>
              <w:spacing w:after="0" w:line="240" w:lineRule="auto"/>
              <w:jc w:val="center"/>
              <w:rPr>
                <w:rFonts w:eastAsia="Times New Roman" w:cs="Times New Roman"/>
                <w:b/>
                <w:bCs/>
                <w:sz w:val="18"/>
                <w:szCs w:val="18"/>
                <w:lang w:eastAsia="sk-SK"/>
              </w:rPr>
            </w:pPr>
            <w:r w:rsidRPr="00E627BB">
              <w:rPr>
                <w:rFonts w:eastAsia="Times New Roman" w:cs="Times New Roman"/>
                <w:b/>
                <w:bCs/>
                <w:sz w:val="18"/>
                <w:szCs w:val="18"/>
                <w:lang w:eastAsia="sk-SK"/>
              </w:rPr>
              <w:t>Rozdiel</w:t>
            </w:r>
          </w:p>
        </w:tc>
        <w:tc>
          <w:tcPr>
            <w:tcW w:w="404" w:type="pct"/>
            <w:tcBorders>
              <w:top w:val="nil"/>
              <w:left w:val="nil"/>
              <w:bottom w:val="nil"/>
              <w:right w:val="nil"/>
            </w:tcBorders>
            <w:shd w:val="clear" w:color="000000" w:fill="BFBFBF"/>
            <w:vAlign w:val="center"/>
            <w:hideMark/>
          </w:tcPr>
          <w:p w14:paraId="2F9CC2CC" w14:textId="77777777" w:rsidR="006F6649" w:rsidRPr="00E627BB" w:rsidRDefault="006F6649" w:rsidP="006F6649">
            <w:pPr>
              <w:spacing w:after="0" w:line="240" w:lineRule="auto"/>
              <w:jc w:val="center"/>
              <w:rPr>
                <w:rFonts w:eastAsia="Times New Roman" w:cs="Times New Roman"/>
                <w:b/>
                <w:bCs/>
                <w:sz w:val="18"/>
                <w:szCs w:val="18"/>
                <w:lang w:eastAsia="sk-SK"/>
              </w:rPr>
            </w:pPr>
          </w:p>
        </w:tc>
      </w:tr>
      <w:tr w:rsidR="00904A6C" w:rsidRPr="00E627BB" w14:paraId="2E8E69ED" w14:textId="77777777" w:rsidTr="00904A6C">
        <w:trPr>
          <w:trHeight w:val="330"/>
        </w:trPr>
        <w:tc>
          <w:tcPr>
            <w:tcW w:w="1692" w:type="pct"/>
            <w:tcBorders>
              <w:top w:val="nil"/>
              <w:left w:val="nil"/>
              <w:bottom w:val="nil"/>
              <w:right w:val="nil"/>
            </w:tcBorders>
            <w:shd w:val="clear" w:color="000000" w:fill="BFBFBF"/>
            <w:vAlign w:val="center"/>
            <w:hideMark/>
          </w:tcPr>
          <w:p w14:paraId="45BA5D60" w14:textId="77777777" w:rsidR="006F6649" w:rsidRPr="00E627BB" w:rsidRDefault="006F6649" w:rsidP="006F6649">
            <w:pPr>
              <w:spacing w:after="0" w:line="240" w:lineRule="auto"/>
              <w:jc w:val="left"/>
              <w:rPr>
                <w:rFonts w:eastAsia="Times New Roman" w:cs="Times New Roman"/>
                <w:b/>
                <w:bCs/>
                <w:sz w:val="18"/>
                <w:szCs w:val="18"/>
                <w:lang w:eastAsia="sk-SK"/>
              </w:rPr>
            </w:pPr>
            <w:r w:rsidRPr="00E627BB">
              <w:rPr>
                <w:rFonts w:eastAsia="Times New Roman" w:cs="Times New Roman"/>
                <w:b/>
                <w:bCs/>
                <w:sz w:val="18"/>
                <w:szCs w:val="18"/>
                <w:lang w:eastAsia="sk-SK"/>
              </w:rPr>
              <w:t> </w:t>
            </w:r>
          </w:p>
        </w:tc>
        <w:tc>
          <w:tcPr>
            <w:tcW w:w="646" w:type="pct"/>
            <w:tcBorders>
              <w:top w:val="nil"/>
              <w:left w:val="nil"/>
              <w:bottom w:val="nil"/>
              <w:right w:val="nil"/>
            </w:tcBorders>
            <w:shd w:val="clear" w:color="000000" w:fill="BFBFBF"/>
            <w:vAlign w:val="center"/>
            <w:hideMark/>
          </w:tcPr>
          <w:p w14:paraId="199CF78E" w14:textId="77777777" w:rsidR="006F6649" w:rsidRPr="00E627BB" w:rsidRDefault="006F6649" w:rsidP="006F6649">
            <w:pPr>
              <w:spacing w:after="0" w:line="240" w:lineRule="auto"/>
              <w:jc w:val="left"/>
              <w:rPr>
                <w:rFonts w:eastAsia="Times New Roman" w:cs="Times New Roman"/>
                <w:b/>
                <w:bCs/>
                <w:sz w:val="18"/>
                <w:szCs w:val="18"/>
                <w:lang w:eastAsia="sk-SK"/>
              </w:rPr>
            </w:pPr>
            <w:r w:rsidRPr="00E627BB">
              <w:rPr>
                <w:rFonts w:eastAsia="Times New Roman" w:cs="Times New Roman"/>
                <w:b/>
                <w:bCs/>
                <w:sz w:val="18"/>
                <w:szCs w:val="18"/>
                <w:lang w:eastAsia="sk-SK"/>
              </w:rPr>
              <w:t>2016</w:t>
            </w:r>
          </w:p>
        </w:tc>
        <w:tc>
          <w:tcPr>
            <w:tcW w:w="484" w:type="pct"/>
            <w:tcBorders>
              <w:top w:val="nil"/>
              <w:left w:val="nil"/>
              <w:bottom w:val="nil"/>
              <w:right w:val="nil"/>
            </w:tcBorders>
            <w:shd w:val="clear" w:color="000000" w:fill="BFBFBF"/>
            <w:vAlign w:val="center"/>
            <w:hideMark/>
          </w:tcPr>
          <w:p w14:paraId="35D1C799" w14:textId="77777777" w:rsidR="006F6649" w:rsidRPr="00E627BB" w:rsidRDefault="006F6649" w:rsidP="006F6649">
            <w:pPr>
              <w:spacing w:after="0" w:line="240" w:lineRule="auto"/>
              <w:jc w:val="left"/>
              <w:rPr>
                <w:rFonts w:eastAsia="Times New Roman" w:cs="Times New Roman"/>
                <w:b/>
                <w:bCs/>
                <w:sz w:val="18"/>
                <w:szCs w:val="18"/>
                <w:lang w:eastAsia="sk-SK"/>
              </w:rPr>
            </w:pPr>
            <w:r w:rsidRPr="00E627BB">
              <w:rPr>
                <w:rFonts w:eastAsia="Times New Roman" w:cs="Times New Roman"/>
                <w:b/>
                <w:bCs/>
                <w:sz w:val="18"/>
                <w:szCs w:val="18"/>
                <w:lang w:eastAsia="sk-SK"/>
              </w:rPr>
              <w:t>2017</w:t>
            </w:r>
          </w:p>
        </w:tc>
        <w:tc>
          <w:tcPr>
            <w:tcW w:w="564" w:type="pct"/>
            <w:tcBorders>
              <w:top w:val="nil"/>
              <w:left w:val="nil"/>
              <w:bottom w:val="nil"/>
              <w:right w:val="nil"/>
            </w:tcBorders>
            <w:shd w:val="clear" w:color="000000" w:fill="BFBFBF"/>
            <w:vAlign w:val="center"/>
            <w:hideMark/>
          </w:tcPr>
          <w:p w14:paraId="4BE2F739" w14:textId="77777777" w:rsidR="006F6649" w:rsidRPr="00E627BB" w:rsidRDefault="006F6649" w:rsidP="006F6649">
            <w:pPr>
              <w:spacing w:after="0" w:line="240" w:lineRule="auto"/>
              <w:jc w:val="left"/>
              <w:rPr>
                <w:rFonts w:eastAsia="Times New Roman" w:cs="Times New Roman"/>
                <w:b/>
                <w:bCs/>
                <w:sz w:val="18"/>
                <w:szCs w:val="18"/>
                <w:lang w:eastAsia="sk-SK"/>
              </w:rPr>
            </w:pPr>
            <w:r w:rsidRPr="00E627BB">
              <w:rPr>
                <w:rFonts w:eastAsia="Times New Roman" w:cs="Times New Roman"/>
                <w:b/>
                <w:bCs/>
                <w:sz w:val="18"/>
                <w:szCs w:val="18"/>
                <w:lang w:eastAsia="sk-SK"/>
              </w:rPr>
              <w:t>2018</w:t>
            </w:r>
          </w:p>
        </w:tc>
        <w:tc>
          <w:tcPr>
            <w:tcW w:w="646" w:type="pct"/>
            <w:tcBorders>
              <w:top w:val="nil"/>
              <w:left w:val="nil"/>
              <w:bottom w:val="nil"/>
              <w:right w:val="nil"/>
            </w:tcBorders>
            <w:shd w:val="clear" w:color="000000" w:fill="BFBFBF"/>
            <w:vAlign w:val="center"/>
            <w:hideMark/>
          </w:tcPr>
          <w:p w14:paraId="5D3319DA" w14:textId="77777777" w:rsidR="006F6649" w:rsidRPr="00E627BB" w:rsidRDefault="006F6649" w:rsidP="006F6649">
            <w:pPr>
              <w:spacing w:after="0" w:line="240" w:lineRule="auto"/>
              <w:jc w:val="left"/>
              <w:rPr>
                <w:rFonts w:eastAsia="Times New Roman" w:cs="Times New Roman"/>
                <w:b/>
                <w:bCs/>
                <w:sz w:val="18"/>
                <w:szCs w:val="18"/>
                <w:lang w:eastAsia="sk-SK"/>
              </w:rPr>
            </w:pPr>
            <w:r w:rsidRPr="00E627BB">
              <w:rPr>
                <w:rFonts w:eastAsia="Times New Roman" w:cs="Times New Roman"/>
                <w:b/>
                <w:bCs/>
                <w:sz w:val="18"/>
                <w:szCs w:val="18"/>
                <w:lang w:eastAsia="sk-SK"/>
              </w:rPr>
              <w:t>2018</w:t>
            </w:r>
          </w:p>
        </w:tc>
        <w:tc>
          <w:tcPr>
            <w:tcW w:w="564" w:type="pct"/>
            <w:tcBorders>
              <w:top w:val="nil"/>
              <w:left w:val="nil"/>
              <w:bottom w:val="nil"/>
              <w:right w:val="nil"/>
            </w:tcBorders>
            <w:shd w:val="clear" w:color="000000" w:fill="BFBFBF"/>
            <w:vAlign w:val="center"/>
            <w:hideMark/>
          </w:tcPr>
          <w:p w14:paraId="0C73995D" w14:textId="77777777" w:rsidR="006F6649" w:rsidRPr="00E627BB" w:rsidRDefault="006F6649" w:rsidP="006F6649">
            <w:pPr>
              <w:spacing w:after="0" w:line="240" w:lineRule="auto"/>
              <w:jc w:val="left"/>
              <w:rPr>
                <w:rFonts w:eastAsia="Times New Roman" w:cs="Times New Roman"/>
                <w:b/>
                <w:bCs/>
                <w:sz w:val="18"/>
                <w:szCs w:val="18"/>
                <w:lang w:eastAsia="sk-SK"/>
              </w:rPr>
            </w:pPr>
            <w:r w:rsidRPr="00E627BB">
              <w:rPr>
                <w:rFonts w:eastAsia="Times New Roman" w:cs="Times New Roman"/>
                <w:b/>
                <w:bCs/>
                <w:sz w:val="18"/>
                <w:szCs w:val="18"/>
                <w:lang w:eastAsia="sk-SK"/>
              </w:rPr>
              <w:t xml:space="preserve"> v tis. eur</w:t>
            </w:r>
          </w:p>
        </w:tc>
        <w:tc>
          <w:tcPr>
            <w:tcW w:w="404" w:type="pct"/>
            <w:tcBorders>
              <w:top w:val="nil"/>
              <w:left w:val="nil"/>
              <w:bottom w:val="nil"/>
              <w:right w:val="nil"/>
            </w:tcBorders>
            <w:shd w:val="clear" w:color="000000" w:fill="BFBFBF"/>
            <w:vAlign w:val="center"/>
            <w:hideMark/>
          </w:tcPr>
          <w:p w14:paraId="49CF3E1B" w14:textId="77777777" w:rsidR="006F6649" w:rsidRPr="00E627BB" w:rsidRDefault="006F6649" w:rsidP="006F6649">
            <w:pPr>
              <w:spacing w:after="0" w:line="240" w:lineRule="auto"/>
              <w:jc w:val="left"/>
              <w:rPr>
                <w:rFonts w:eastAsia="Times New Roman" w:cs="Times New Roman"/>
                <w:b/>
                <w:bCs/>
                <w:sz w:val="18"/>
                <w:szCs w:val="18"/>
                <w:lang w:eastAsia="sk-SK"/>
              </w:rPr>
            </w:pPr>
            <w:r w:rsidRPr="00E627BB">
              <w:rPr>
                <w:rFonts w:eastAsia="Times New Roman" w:cs="Times New Roman"/>
                <w:b/>
                <w:bCs/>
                <w:sz w:val="18"/>
                <w:szCs w:val="18"/>
                <w:lang w:eastAsia="sk-SK"/>
              </w:rPr>
              <w:t>v %</w:t>
            </w:r>
          </w:p>
        </w:tc>
      </w:tr>
      <w:tr w:rsidR="00904A6C" w:rsidRPr="00E627BB" w14:paraId="36CDE279" w14:textId="77777777" w:rsidTr="00904A6C">
        <w:trPr>
          <w:trHeight w:val="345"/>
        </w:trPr>
        <w:tc>
          <w:tcPr>
            <w:tcW w:w="1692" w:type="pct"/>
            <w:tcBorders>
              <w:top w:val="nil"/>
              <w:left w:val="nil"/>
              <w:bottom w:val="single" w:sz="8" w:space="0" w:color="auto"/>
              <w:right w:val="nil"/>
            </w:tcBorders>
            <w:shd w:val="clear" w:color="000000" w:fill="BFBFBF"/>
            <w:vAlign w:val="center"/>
            <w:hideMark/>
          </w:tcPr>
          <w:p w14:paraId="288273F4" w14:textId="77777777" w:rsidR="006F6649" w:rsidRPr="00E627BB" w:rsidRDefault="006F6649" w:rsidP="00904A6C">
            <w:pPr>
              <w:spacing w:after="0" w:line="240" w:lineRule="auto"/>
              <w:jc w:val="center"/>
              <w:rPr>
                <w:rFonts w:eastAsia="Times New Roman" w:cs="Times New Roman"/>
                <w:b/>
                <w:bCs/>
                <w:sz w:val="18"/>
                <w:szCs w:val="18"/>
                <w:lang w:eastAsia="sk-SK"/>
              </w:rPr>
            </w:pPr>
          </w:p>
        </w:tc>
        <w:tc>
          <w:tcPr>
            <w:tcW w:w="646" w:type="pct"/>
            <w:tcBorders>
              <w:top w:val="nil"/>
              <w:left w:val="nil"/>
              <w:bottom w:val="single" w:sz="8" w:space="0" w:color="auto"/>
              <w:right w:val="nil"/>
            </w:tcBorders>
            <w:shd w:val="clear" w:color="000000" w:fill="BFBFBF"/>
            <w:vAlign w:val="center"/>
            <w:hideMark/>
          </w:tcPr>
          <w:p w14:paraId="2FA71CBA" w14:textId="77777777" w:rsidR="006F6649" w:rsidRPr="00E627BB" w:rsidRDefault="006F6649" w:rsidP="00904A6C">
            <w:pPr>
              <w:spacing w:after="0" w:line="240" w:lineRule="auto"/>
              <w:jc w:val="center"/>
              <w:rPr>
                <w:rFonts w:eastAsia="Times New Roman" w:cs="Times New Roman"/>
                <w:b/>
                <w:bCs/>
                <w:sz w:val="18"/>
                <w:szCs w:val="18"/>
                <w:lang w:eastAsia="sk-SK"/>
              </w:rPr>
            </w:pPr>
            <w:r w:rsidRPr="00E627BB">
              <w:rPr>
                <w:rFonts w:eastAsia="Times New Roman" w:cs="Times New Roman"/>
                <w:b/>
                <w:bCs/>
                <w:sz w:val="18"/>
                <w:szCs w:val="18"/>
                <w:lang w:eastAsia="sk-SK"/>
              </w:rPr>
              <w:t>1</w:t>
            </w:r>
          </w:p>
        </w:tc>
        <w:tc>
          <w:tcPr>
            <w:tcW w:w="484" w:type="pct"/>
            <w:tcBorders>
              <w:top w:val="nil"/>
              <w:left w:val="nil"/>
              <w:bottom w:val="single" w:sz="8" w:space="0" w:color="auto"/>
              <w:right w:val="nil"/>
            </w:tcBorders>
            <w:shd w:val="clear" w:color="000000" w:fill="BFBFBF"/>
            <w:vAlign w:val="center"/>
            <w:hideMark/>
          </w:tcPr>
          <w:p w14:paraId="3905D12E" w14:textId="77777777" w:rsidR="006F6649" w:rsidRPr="00E627BB" w:rsidRDefault="006F6649" w:rsidP="00904A6C">
            <w:pPr>
              <w:spacing w:after="0" w:line="240" w:lineRule="auto"/>
              <w:jc w:val="center"/>
              <w:rPr>
                <w:rFonts w:eastAsia="Times New Roman" w:cs="Times New Roman"/>
                <w:b/>
                <w:bCs/>
                <w:sz w:val="18"/>
                <w:szCs w:val="18"/>
                <w:lang w:eastAsia="sk-SK"/>
              </w:rPr>
            </w:pPr>
            <w:r w:rsidRPr="00E627BB">
              <w:rPr>
                <w:rFonts w:eastAsia="Times New Roman" w:cs="Times New Roman"/>
                <w:b/>
                <w:bCs/>
                <w:sz w:val="18"/>
                <w:szCs w:val="18"/>
                <w:lang w:eastAsia="sk-SK"/>
              </w:rPr>
              <w:t>2</w:t>
            </w:r>
          </w:p>
        </w:tc>
        <w:tc>
          <w:tcPr>
            <w:tcW w:w="564" w:type="pct"/>
            <w:tcBorders>
              <w:top w:val="nil"/>
              <w:left w:val="nil"/>
              <w:bottom w:val="single" w:sz="8" w:space="0" w:color="auto"/>
              <w:right w:val="nil"/>
            </w:tcBorders>
            <w:shd w:val="clear" w:color="000000" w:fill="BFBFBF"/>
            <w:vAlign w:val="center"/>
            <w:hideMark/>
          </w:tcPr>
          <w:p w14:paraId="2F36A1BC" w14:textId="77777777" w:rsidR="006F6649" w:rsidRPr="00E627BB" w:rsidRDefault="006F6649" w:rsidP="00904A6C">
            <w:pPr>
              <w:spacing w:after="0" w:line="240" w:lineRule="auto"/>
              <w:jc w:val="center"/>
              <w:rPr>
                <w:rFonts w:eastAsia="Times New Roman" w:cs="Times New Roman"/>
                <w:b/>
                <w:bCs/>
                <w:sz w:val="18"/>
                <w:szCs w:val="18"/>
                <w:lang w:eastAsia="sk-SK"/>
              </w:rPr>
            </w:pPr>
            <w:r w:rsidRPr="00E627BB">
              <w:rPr>
                <w:rFonts w:eastAsia="Times New Roman" w:cs="Times New Roman"/>
                <w:b/>
                <w:bCs/>
                <w:sz w:val="18"/>
                <w:szCs w:val="18"/>
                <w:lang w:eastAsia="sk-SK"/>
              </w:rPr>
              <w:t>3</w:t>
            </w:r>
          </w:p>
        </w:tc>
        <w:tc>
          <w:tcPr>
            <w:tcW w:w="646" w:type="pct"/>
            <w:tcBorders>
              <w:top w:val="nil"/>
              <w:left w:val="nil"/>
              <w:bottom w:val="single" w:sz="8" w:space="0" w:color="auto"/>
              <w:right w:val="nil"/>
            </w:tcBorders>
            <w:shd w:val="clear" w:color="000000" w:fill="BFBFBF"/>
            <w:vAlign w:val="center"/>
            <w:hideMark/>
          </w:tcPr>
          <w:p w14:paraId="5DE782D6" w14:textId="77777777" w:rsidR="006F6649" w:rsidRPr="00E627BB" w:rsidRDefault="006F6649" w:rsidP="00904A6C">
            <w:pPr>
              <w:spacing w:after="0" w:line="240" w:lineRule="auto"/>
              <w:jc w:val="center"/>
              <w:rPr>
                <w:rFonts w:eastAsia="Times New Roman" w:cs="Times New Roman"/>
                <w:b/>
                <w:bCs/>
                <w:sz w:val="18"/>
                <w:szCs w:val="18"/>
                <w:lang w:eastAsia="sk-SK"/>
              </w:rPr>
            </w:pPr>
            <w:r w:rsidRPr="00E627BB">
              <w:rPr>
                <w:rFonts w:eastAsia="Times New Roman" w:cs="Times New Roman"/>
                <w:b/>
                <w:bCs/>
                <w:sz w:val="18"/>
                <w:szCs w:val="18"/>
                <w:lang w:eastAsia="sk-SK"/>
              </w:rPr>
              <w:t>4</w:t>
            </w:r>
          </w:p>
        </w:tc>
        <w:tc>
          <w:tcPr>
            <w:tcW w:w="564" w:type="pct"/>
            <w:tcBorders>
              <w:top w:val="nil"/>
              <w:left w:val="nil"/>
              <w:bottom w:val="single" w:sz="8" w:space="0" w:color="auto"/>
              <w:right w:val="nil"/>
            </w:tcBorders>
            <w:shd w:val="clear" w:color="000000" w:fill="BFBFBF"/>
            <w:vAlign w:val="center"/>
            <w:hideMark/>
          </w:tcPr>
          <w:p w14:paraId="159327E8" w14:textId="77777777" w:rsidR="006F6649" w:rsidRPr="00E627BB" w:rsidRDefault="006F6649" w:rsidP="00904A6C">
            <w:pPr>
              <w:spacing w:after="0" w:line="240" w:lineRule="auto"/>
              <w:jc w:val="center"/>
              <w:rPr>
                <w:rFonts w:eastAsia="Times New Roman" w:cs="Times New Roman"/>
                <w:b/>
                <w:bCs/>
                <w:sz w:val="18"/>
                <w:szCs w:val="18"/>
                <w:lang w:eastAsia="sk-SK"/>
              </w:rPr>
            </w:pPr>
            <w:r w:rsidRPr="00E627BB">
              <w:rPr>
                <w:rFonts w:eastAsia="Times New Roman" w:cs="Times New Roman"/>
                <w:b/>
                <w:bCs/>
                <w:sz w:val="18"/>
                <w:szCs w:val="18"/>
                <w:lang w:eastAsia="sk-SK"/>
              </w:rPr>
              <w:t>5=4-3</w:t>
            </w:r>
          </w:p>
        </w:tc>
        <w:tc>
          <w:tcPr>
            <w:tcW w:w="404" w:type="pct"/>
            <w:tcBorders>
              <w:top w:val="nil"/>
              <w:left w:val="nil"/>
              <w:bottom w:val="single" w:sz="8" w:space="0" w:color="auto"/>
              <w:right w:val="nil"/>
            </w:tcBorders>
            <w:shd w:val="clear" w:color="000000" w:fill="BFBFBF"/>
            <w:vAlign w:val="center"/>
            <w:hideMark/>
          </w:tcPr>
          <w:p w14:paraId="496EB2CB" w14:textId="77777777" w:rsidR="006F6649" w:rsidRPr="00E627BB" w:rsidRDefault="006F6649" w:rsidP="00904A6C">
            <w:pPr>
              <w:spacing w:after="0" w:line="240" w:lineRule="auto"/>
              <w:jc w:val="center"/>
              <w:rPr>
                <w:rFonts w:eastAsia="Times New Roman" w:cs="Times New Roman"/>
                <w:b/>
                <w:bCs/>
                <w:sz w:val="18"/>
                <w:szCs w:val="18"/>
                <w:lang w:eastAsia="sk-SK"/>
              </w:rPr>
            </w:pPr>
            <w:r w:rsidRPr="00E627BB">
              <w:rPr>
                <w:rFonts w:eastAsia="Times New Roman" w:cs="Times New Roman"/>
                <w:b/>
                <w:bCs/>
                <w:sz w:val="18"/>
                <w:szCs w:val="18"/>
                <w:lang w:eastAsia="sk-SK"/>
              </w:rPr>
              <w:t>6=4-3</w:t>
            </w:r>
          </w:p>
        </w:tc>
      </w:tr>
      <w:tr w:rsidR="00904A6C" w:rsidRPr="00E627BB" w14:paraId="63A05507" w14:textId="77777777" w:rsidTr="00353F0C">
        <w:trPr>
          <w:trHeight w:val="330"/>
        </w:trPr>
        <w:tc>
          <w:tcPr>
            <w:tcW w:w="1692" w:type="pct"/>
            <w:tcBorders>
              <w:top w:val="nil"/>
              <w:left w:val="nil"/>
              <w:bottom w:val="nil"/>
              <w:right w:val="nil"/>
            </w:tcBorders>
            <w:shd w:val="clear" w:color="000000" w:fill="FFFFFF"/>
            <w:vAlign w:val="center"/>
            <w:hideMark/>
          </w:tcPr>
          <w:p w14:paraId="137615CD" w14:textId="77777777" w:rsidR="006F6649" w:rsidRPr="00E627BB" w:rsidRDefault="006F6649" w:rsidP="006F6649">
            <w:pPr>
              <w:spacing w:after="0" w:line="240" w:lineRule="auto"/>
              <w:jc w:val="left"/>
              <w:rPr>
                <w:rFonts w:eastAsia="Times New Roman" w:cs="Times New Roman"/>
                <w:color w:val="000000"/>
                <w:sz w:val="18"/>
                <w:szCs w:val="18"/>
                <w:lang w:eastAsia="sk-SK"/>
              </w:rPr>
            </w:pPr>
            <w:r w:rsidRPr="00E627BB">
              <w:rPr>
                <w:rFonts w:eastAsia="Times New Roman" w:cs="Times New Roman"/>
                <w:color w:val="000000"/>
                <w:sz w:val="18"/>
                <w:szCs w:val="18"/>
                <w:lang w:eastAsia="sk-SK"/>
              </w:rPr>
              <w:t>Poľnohospodárske fondy 3. programové obdobie</w:t>
            </w:r>
          </w:p>
        </w:tc>
        <w:tc>
          <w:tcPr>
            <w:tcW w:w="646" w:type="pct"/>
            <w:tcBorders>
              <w:top w:val="nil"/>
              <w:left w:val="nil"/>
              <w:bottom w:val="nil"/>
              <w:right w:val="nil"/>
            </w:tcBorders>
            <w:shd w:val="clear" w:color="000000" w:fill="FFFFFF"/>
            <w:noWrap/>
            <w:vAlign w:val="center"/>
            <w:hideMark/>
          </w:tcPr>
          <w:p w14:paraId="342F04C8" w14:textId="77777777" w:rsidR="006F6649" w:rsidRPr="00E627BB" w:rsidRDefault="006F6649" w:rsidP="006F6649">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53 592</w:t>
            </w:r>
          </w:p>
        </w:tc>
        <w:tc>
          <w:tcPr>
            <w:tcW w:w="484" w:type="pct"/>
            <w:tcBorders>
              <w:top w:val="nil"/>
              <w:left w:val="nil"/>
              <w:bottom w:val="nil"/>
              <w:right w:val="nil"/>
            </w:tcBorders>
            <w:shd w:val="clear" w:color="000000" w:fill="FFFFFF"/>
            <w:noWrap/>
            <w:vAlign w:val="center"/>
            <w:hideMark/>
          </w:tcPr>
          <w:p w14:paraId="0AD7460D" w14:textId="77777777" w:rsidR="006F6649" w:rsidRPr="00E627BB" w:rsidRDefault="006F6649" w:rsidP="006F6649">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74 043</w:t>
            </w:r>
          </w:p>
        </w:tc>
        <w:tc>
          <w:tcPr>
            <w:tcW w:w="564" w:type="pct"/>
            <w:tcBorders>
              <w:top w:val="nil"/>
              <w:left w:val="nil"/>
              <w:bottom w:val="nil"/>
              <w:right w:val="nil"/>
            </w:tcBorders>
            <w:shd w:val="clear" w:color="000000" w:fill="FFFFFF"/>
            <w:noWrap/>
            <w:vAlign w:val="center"/>
            <w:hideMark/>
          </w:tcPr>
          <w:p w14:paraId="7FA70895" w14:textId="77777777" w:rsidR="006F6649" w:rsidRPr="00E627BB" w:rsidRDefault="006F6649" w:rsidP="006F6649">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106 748</w:t>
            </w:r>
          </w:p>
        </w:tc>
        <w:tc>
          <w:tcPr>
            <w:tcW w:w="646" w:type="pct"/>
            <w:tcBorders>
              <w:top w:val="nil"/>
              <w:left w:val="nil"/>
              <w:bottom w:val="nil"/>
              <w:right w:val="nil"/>
            </w:tcBorders>
            <w:shd w:val="clear" w:color="auto" w:fill="BFBFBF" w:themeFill="background1" w:themeFillShade="BF"/>
            <w:noWrap/>
            <w:vAlign w:val="center"/>
            <w:hideMark/>
          </w:tcPr>
          <w:p w14:paraId="46012E3F" w14:textId="77777777" w:rsidR="006F6649" w:rsidRPr="00E627BB" w:rsidRDefault="006F6649" w:rsidP="006F6649">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80 894</w:t>
            </w:r>
          </w:p>
        </w:tc>
        <w:tc>
          <w:tcPr>
            <w:tcW w:w="564" w:type="pct"/>
            <w:tcBorders>
              <w:top w:val="nil"/>
              <w:left w:val="nil"/>
              <w:bottom w:val="nil"/>
              <w:right w:val="nil"/>
            </w:tcBorders>
            <w:shd w:val="clear" w:color="000000" w:fill="FFFFFF"/>
            <w:noWrap/>
            <w:vAlign w:val="center"/>
            <w:hideMark/>
          </w:tcPr>
          <w:p w14:paraId="3657F2F1" w14:textId="77777777" w:rsidR="006F6649" w:rsidRPr="00E627BB" w:rsidRDefault="006F6649" w:rsidP="006F6649">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-25 854</w:t>
            </w:r>
          </w:p>
        </w:tc>
        <w:tc>
          <w:tcPr>
            <w:tcW w:w="404" w:type="pct"/>
            <w:tcBorders>
              <w:top w:val="nil"/>
              <w:left w:val="nil"/>
              <w:bottom w:val="nil"/>
              <w:right w:val="nil"/>
            </w:tcBorders>
            <w:shd w:val="clear" w:color="000000" w:fill="FFFFFF"/>
            <w:noWrap/>
            <w:vAlign w:val="center"/>
            <w:hideMark/>
          </w:tcPr>
          <w:p w14:paraId="670FC909" w14:textId="77777777" w:rsidR="006F6649" w:rsidRPr="00E627BB" w:rsidRDefault="006F6649" w:rsidP="006F6649">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-24,2</w:t>
            </w:r>
          </w:p>
        </w:tc>
      </w:tr>
      <w:tr w:rsidR="00904A6C" w:rsidRPr="00E627BB" w14:paraId="6A407C32" w14:textId="77777777" w:rsidTr="00353F0C">
        <w:trPr>
          <w:trHeight w:val="330"/>
        </w:trPr>
        <w:tc>
          <w:tcPr>
            <w:tcW w:w="1692" w:type="pct"/>
            <w:tcBorders>
              <w:top w:val="nil"/>
              <w:left w:val="nil"/>
              <w:bottom w:val="nil"/>
              <w:right w:val="nil"/>
            </w:tcBorders>
            <w:shd w:val="clear" w:color="000000" w:fill="FFFFFF"/>
            <w:vAlign w:val="center"/>
            <w:hideMark/>
          </w:tcPr>
          <w:p w14:paraId="18EAE9ED" w14:textId="77777777" w:rsidR="006F6649" w:rsidRPr="00E627BB" w:rsidRDefault="006F6649" w:rsidP="006F6649">
            <w:pPr>
              <w:spacing w:after="0" w:line="240" w:lineRule="auto"/>
              <w:jc w:val="lef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Poľnohospodárske fondy spolu - MPRV SR</w:t>
            </w:r>
          </w:p>
        </w:tc>
        <w:tc>
          <w:tcPr>
            <w:tcW w:w="646" w:type="pct"/>
            <w:tcBorders>
              <w:top w:val="nil"/>
              <w:left w:val="nil"/>
              <w:bottom w:val="nil"/>
              <w:right w:val="nil"/>
            </w:tcBorders>
            <w:shd w:val="clear" w:color="000000" w:fill="FFFFFF"/>
            <w:noWrap/>
            <w:vAlign w:val="center"/>
            <w:hideMark/>
          </w:tcPr>
          <w:p w14:paraId="071CF0A8" w14:textId="77777777" w:rsidR="006F6649" w:rsidRPr="00E627BB" w:rsidRDefault="006F6649" w:rsidP="006F6649">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53 592</w:t>
            </w:r>
          </w:p>
        </w:tc>
        <w:tc>
          <w:tcPr>
            <w:tcW w:w="484" w:type="pct"/>
            <w:tcBorders>
              <w:top w:val="nil"/>
              <w:left w:val="nil"/>
              <w:bottom w:val="nil"/>
              <w:right w:val="nil"/>
            </w:tcBorders>
            <w:shd w:val="clear" w:color="auto" w:fill="auto"/>
            <w:noWrap/>
            <w:vAlign w:val="center"/>
            <w:hideMark/>
          </w:tcPr>
          <w:p w14:paraId="7C492269" w14:textId="77777777" w:rsidR="006F6649" w:rsidRPr="00E627BB" w:rsidRDefault="006F6649" w:rsidP="006F6649">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74 043</w:t>
            </w:r>
          </w:p>
        </w:tc>
        <w:tc>
          <w:tcPr>
            <w:tcW w:w="564" w:type="pct"/>
            <w:tcBorders>
              <w:top w:val="nil"/>
              <w:left w:val="nil"/>
              <w:bottom w:val="nil"/>
              <w:right w:val="nil"/>
            </w:tcBorders>
            <w:shd w:val="clear" w:color="000000" w:fill="FFFFFF"/>
            <w:noWrap/>
            <w:vAlign w:val="center"/>
            <w:hideMark/>
          </w:tcPr>
          <w:p w14:paraId="1CBA1DFE" w14:textId="77777777" w:rsidR="006F6649" w:rsidRPr="00E627BB" w:rsidRDefault="006F6649" w:rsidP="006F6649">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106 748</w:t>
            </w:r>
          </w:p>
        </w:tc>
        <w:tc>
          <w:tcPr>
            <w:tcW w:w="646" w:type="pct"/>
            <w:tcBorders>
              <w:top w:val="nil"/>
              <w:left w:val="nil"/>
              <w:bottom w:val="nil"/>
              <w:right w:val="nil"/>
            </w:tcBorders>
            <w:shd w:val="clear" w:color="auto" w:fill="BFBFBF" w:themeFill="background1" w:themeFillShade="BF"/>
            <w:noWrap/>
            <w:vAlign w:val="center"/>
            <w:hideMark/>
          </w:tcPr>
          <w:p w14:paraId="2B1D58E4" w14:textId="77777777" w:rsidR="006F6649" w:rsidRPr="00E627BB" w:rsidRDefault="006F6649" w:rsidP="006F6649">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80 894</w:t>
            </w:r>
          </w:p>
        </w:tc>
        <w:tc>
          <w:tcPr>
            <w:tcW w:w="564" w:type="pct"/>
            <w:tcBorders>
              <w:top w:val="nil"/>
              <w:left w:val="nil"/>
              <w:bottom w:val="nil"/>
              <w:right w:val="nil"/>
            </w:tcBorders>
            <w:shd w:val="clear" w:color="000000" w:fill="FFFFFF"/>
            <w:noWrap/>
            <w:vAlign w:val="center"/>
            <w:hideMark/>
          </w:tcPr>
          <w:p w14:paraId="1FE7DE79" w14:textId="77777777" w:rsidR="006F6649" w:rsidRPr="00E627BB" w:rsidRDefault="006F6649" w:rsidP="006F6649">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-25 854</w:t>
            </w:r>
          </w:p>
        </w:tc>
        <w:tc>
          <w:tcPr>
            <w:tcW w:w="404" w:type="pct"/>
            <w:tcBorders>
              <w:top w:val="nil"/>
              <w:left w:val="nil"/>
              <w:bottom w:val="nil"/>
              <w:right w:val="nil"/>
            </w:tcBorders>
            <w:shd w:val="clear" w:color="000000" w:fill="FFFFFF"/>
            <w:noWrap/>
            <w:vAlign w:val="center"/>
            <w:hideMark/>
          </w:tcPr>
          <w:p w14:paraId="1D4E91EA" w14:textId="77777777" w:rsidR="006F6649" w:rsidRPr="00E627BB" w:rsidRDefault="006F6649" w:rsidP="006F6649">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-24,2</w:t>
            </w:r>
          </w:p>
        </w:tc>
      </w:tr>
      <w:tr w:rsidR="00904A6C" w:rsidRPr="00E627BB" w14:paraId="3AEBC0FB" w14:textId="77777777" w:rsidTr="00353F0C">
        <w:trPr>
          <w:trHeight w:val="510"/>
        </w:trPr>
        <w:tc>
          <w:tcPr>
            <w:tcW w:w="1692" w:type="pct"/>
            <w:tcBorders>
              <w:top w:val="nil"/>
              <w:left w:val="nil"/>
              <w:bottom w:val="nil"/>
              <w:right w:val="nil"/>
            </w:tcBorders>
            <w:shd w:val="clear" w:color="000000" w:fill="FFFFFF"/>
            <w:vAlign w:val="center"/>
            <w:hideMark/>
          </w:tcPr>
          <w:p w14:paraId="46E9813A" w14:textId="77777777" w:rsidR="006F6649" w:rsidRPr="00E627BB" w:rsidRDefault="006F6649" w:rsidP="006F6649">
            <w:pPr>
              <w:spacing w:after="0" w:line="240" w:lineRule="auto"/>
              <w:jc w:val="left"/>
              <w:rPr>
                <w:rFonts w:eastAsia="Times New Roman" w:cs="Times New Roman"/>
                <w:color w:val="000000"/>
                <w:sz w:val="18"/>
                <w:szCs w:val="18"/>
                <w:lang w:eastAsia="sk-SK"/>
              </w:rPr>
            </w:pPr>
            <w:r w:rsidRPr="00E627BB">
              <w:rPr>
                <w:rFonts w:eastAsia="Times New Roman" w:cs="Times New Roman"/>
                <w:color w:val="000000"/>
                <w:sz w:val="18"/>
                <w:szCs w:val="18"/>
                <w:lang w:eastAsia="sk-SK"/>
              </w:rPr>
              <w:t xml:space="preserve">Štrukturálne fondy, Kohézny fond, Európsky fond pre rybné hospodárstvo 2. programové obdobie </w:t>
            </w:r>
          </w:p>
        </w:tc>
        <w:tc>
          <w:tcPr>
            <w:tcW w:w="646" w:type="pct"/>
            <w:tcBorders>
              <w:top w:val="nil"/>
              <w:left w:val="nil"/>
              <w:bottom w:val="nil"/>
              <w:right w:val="nil"/>
            </w:tcBorders>
            <w:shd w:val="clear" w:color="000000" w:fill="FFFFFF"/>
            <w:noWrap/>
            <w:vAlign w:val="center"/>
            <w:hideMark/>
          </w:tcPr>
          <w:p w14:paraId="070F599A" w14:textId="77777777" w:rsidR="006F6649" w:rsidRPr="00E627BB" w:rsidRDefault="006F6649" w:rsidP="006F6649">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111 652</w:t>
            </w:r>
          </w:p>
        </w:tc>
        <w:tc>
          <w:tcPr>
            <w:tcW w:w="484" w:type="pct"/>
            <w:tcBorders>
              <w:top w:val="nil"/>
              <w:left w:val="nil"/>
              <w:bottom w:val="nil"/>
              <w:right w:val="nil"/>
            </w:tcBorders>
            <w:shd w:val="clear" w:color="000000" w:fill="FFFFFF"/>
            <w:noWrap/>
            <w:vAlign w:val="center"/>
            <w:hideMark/>
          </w:tcPr>
          <w:p w14:paraId="72ED2004" w14:textId="77777777" w:rsidR="006F6649" w:rsidRPr="00E627BB" w:rsidRDefault="006F6649" w:rsidP="006F6649">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12</w:t>
            </w:r>
          </w:p>
        </w:tc>
        <w:tc>
          <w:tcPr>
            <w:tcW w:w="564" w:type="pct"/>
            <w:tcBorders>
              <w:top w:val="nil"/>
              <w:left w:val="nil"/>
              <w:bottom w:val="nil"/>
              <w:right w:val="nil"/>
            </w:tcBorders>
            <w:shd w:val="clear" w:color="000000" w:fill="FFFFFF"/>
            <w:noWrap/>
            <w:vAlign w:val="center"/>
            <w:hideMark/>
          </w:tcPr>
          <w:p w14:paraId="0DF226B4" w14:textId="77777777" w:rsidR="006F6649" w:rsidRPr="00E627BB" w:rsidRDefault="006F6649" w:rsidP="006F6649">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0</w:t>
            </w:r>
          </w:p>
        </w:tc>
        <w:tc>
          <w:tcPr>
            <w:tcW w:w="646" w:type="pct"/>
            <w:tcBorders>
              <w:top w:val="nil"/>
              <w:left w:val="nil"/>
              <w:bottom w:val="nil"/>
              <w:right w:val="nil"/>
            </w:tcBorders>
            <w:shd w:val="clear" w:color="auto" w:fill="BFBFBF" w:themeFill="background1" w:themeFillShade="BF"/>
            <w:noWrap/>
            <w:vAlign w:val="center"/>
            <w:hideMark/>
          </w:tcPr>
          <w:p w14:paraId="1DC37493" w14:textId="77777777" w:rsidR="006F6649" w:rsidRPr="00E627BB" w:rsidRDefault="006F6649" w:rsidP="006F6649">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0</w:t>
            </w:r>
          </w:p>
        </w:tc>
        <w:tc>
          <w:tcPr>
            <w:tcW w:w="564" w:type="pct"/>
            <w:tcBorders>
              <w:top w:val="nil"/>
              <w:left w:val="nil"/>
              <w:bottom w:val="nil"/>
              <w:right w:val="nil"/>
            </w:tcBorders>
            <w:shd w:val="clear" w:color="000000" w:fill="FFFFFF"/>
            <w:noWrap/>
            <w:vAlign w:val="center"/>
            <w:hideMark/>
          </w:tcPr>
          <w:p w14:paraId="6E5BF32E" w14:textId="77777777" w:rsidR="006F6649" w:rsidRPr="00E627BB" w:rsidRDefault="006F6649" w:rsidP="006F6649">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0</w:t>
            </w:r>
          </w:p>
        </w:tc>
        <w:tc>
          <w:tcPr>
            <w:tcW w:w="404" w:type="pct"/>
            <w:tcBorders>
              <w:top w:val="nil"/>
              <w:left w:val="nil"/>
              <w:bottom w:val="nil"/>
              <w:right w:val="nil"/>
            </w:tcBorders>
            <w:shd w:val="clear" w:color="000000" w:fill="FFFFFF"/>
            <w:noWrap/>
            <w:vAlign w:val="center"/>
            <w:hideMark/>
          </w:tcPr>
          <w:p w14:paraId="588D2C5D" w14:textId="77777777" w:rsidR="006F6649" w:rsidRPr="00E627BB" w:rsidRDefault="006F6649" w:rsidP="006F6649">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w:t>
            </w:r>
          </w:p>
        </w:tc>
      </w:tr>
      <w:tr w:rsidR="00904A6C" w:rsidRPr="00E627BB" w14:paraId="567378F1" w14:textId="77777777" w:rsidTr="00353F0C">
        <w:trPr>
          <w:trHeight w:val="510"/>
        </w:trPr>
        <w:tc>
          <w:tcPr>
            <w:tcW w:w="1692" w:type="pct"/>
            <w:tcBorders>
              <w:top w:val="nil"/>
              <w:left w:val="nil"/>
              <w:bottom w:val="nil"/>
              <w:right w:val="nil"/>
            </w:tcBorders>
            <w:shd w:val="clear" w:color="000000" w:fill="FFFFFF"/>
            <w:vAlign w:val="center"/>
            <w:hideMark/>
          </w:tcPr>
          <w:p w14:paraId="015724D2" w14:textId="77777777" w:rsidR="006F6649" w:rsidRPr="00E627BB" w:rsidRDefault="006F6649" w:rsidP="006F6649">
            <w:pPr>
              <w:spacing w:after="0" w:line="240" w:lineRule="auto"/>
              <w:jc w:val="left"/>
              <w:rPr>
                <w:rFonts w:eastAsia="Times New Roman" w:cs="Times New Roman"/>
                <w:color w:val="000000"/>
                <w:sz w:val="18"/>
                <w:szCs w:val="18"/>
                <w:lang w:eastAsia="sk-SK"/>
              </w:rPr>
            </w:pPr>
            <w:r w:rsidRPr="00E627BB">
              <w:rPr>
                <w:rFonts w:eastAsia="Times New Roman" w:cs="Times New Roman"/>
                <w:color w:val="000000"/>
                <w:sz w:val="18"/>
                <w:szCs w:val="18"/>
                <w:lang w:eastAsia="sk-SK"/>
              </w:rPr>
              <w:t xml:space="preserve">Štrukturálne fondy, Kohézny fond, Európsky námorný a rybársky fond 3. programové obdobie </w:t>
            </w:r>
          </w:p>
        </w:tc>
        <w:tc>
          <w:tcPr>
            <w:tcW w:w="646" w:type="pct"/>
            <w:tcBorders>
              <w:top w:val="nil"/>
              <w:left w:val="nil"/>
              <w:bottom w:val="nil"/>
              <w:right w:val="nil"/>
            </w:tcBorders>
            <w:shd w:val="clear" w:color="000000" w:fill="FFFFFF"/>
            <w:noWrap/>
            <w:vAlign w:val="center"/>
            <w:hideMark/>
          </w:tcPr>
          <w:p w14:paraId="072C3248" w14:textId="77777777" w:rsidR="006F6649" w:rsidRPr="00E627BB" w:rsidRDefault="006F6649" w:rsidP="006F6649">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102 923</w:t>
            </w:r>
          </w:p>
        </w:tc>
        <w:tc>
          <w:tcPr>
            <w:tcW w:w="484" w:type="pct"/>
            <w:tcBorders>
              <w:top w:val="nil"/>
              <w:left w:val="nil"/>
              <w:bottom w:val="nil"/>
              <w:right w:val="nil"/>
            </w:tcBorders>
            <w:shd w:val="clear" w:color="000000" w:fill="FFFFFF"/>
            <w:noWrap/>
            <w:vAlign w:val="center"/>
            <w:hideMark/>
          </w:tcPr>
          <w:p w14:paraId="4591AB28" w14:textId="77777777" w:rsidR="006F6649" w:rsidRPr="00E627BB" w:rsidRDefault="006F6649" w:rsidP="006F6649">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150 873</w:t>
            </w:r>
          </w:p>
        </w:tc>
        <w:tc>
          <w:tcPr>
            <w:tcW w:w="564" w:type="pct"/>
            <w:tcBorders>
              <w:top w:val="nil"/>
              <w:left w:val="nil"/>
              <w:bottom w:val="nil"/>
              <w:right w:val="nil"/>
            </w:tcBorders>
            <w:shd w:val="clear" w:color="000000" w:fill="FFFFFF"/>
            <w:noWrap/>
            <w:vAlign w:val="center"/>
            <w:hideMark/>
          </w:tcPr>
          <w:p w14:paraId="005FE8F3" w14:textId="77777777" w:rsidR="006F6649" w:rsidRPr="00E627BB" w:rsidRDefault="006F6649" w:rsidP="006F6649">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105 540</w:t>
            </w:r>
          </w:p>
        </w:tc>
        <w:tc>
          <w:tcPr>
            <w:tcW w:w="646" w:type="pct"/>
            <w:tcBorders>
              <w:top w:val="nil"/>
              <w:left w:val="nil"/>
              <w:bottom w:val="nil"/>
              <w:right w:val="nil"/>
            </w:tcBorders>
            <w:shd w:val="clear" w:color="auto" w:fill="BFBFBF" w:themeFill="background1" w:themeFillShade="BF"/>
            <w:noWrap/>
            <w:vAlign w:val="center"/>
            <w:hideMark/>
          </w:tcPr>
          <w:p w14:paraId="7A78721D" w14:textId="77777777" w:rsidR="006F6649" w:rsidRPr="00E627BB" w:rsidRDefault="006F6649" w:rsidP="006F6649">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228 230</w:t>
            </w:r>
          </w:p>
        </w:tc>
        <w:tc>
          <w:tcPr>
            <w:tcW w:w="564" w:type="pct"/>
            <w:tcBorders>
              <w:top w:val="nil"/>
              <w:left w:val="nil"/>
              <w:bottom w:val="nil"/>
              <w:right w:val="nil"/>
            </w:tcBorders>
            <w:shd w:val="clear" w:color="000000" w:fill="FFFFFF"/>
            <w:noWrap/>
            <w:vAlign w:val="center"/>
            <w:hideMark/>
          </w:tcPr>
          <w:p w14:paraId="79BEB972" w14:textId="77777777" w:rsidR="006F6649" w:rsidRPr="00E627BB" w:rsidRDefault="006F6649" w:rsidP="006F6649">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122 690</w:t>
            </w:r>
          </w:p>
        </w:tc>
        <w:tc>
          <w:tcPr>
            <w:tcW w:w="404" w:type="pct"/>
            <w:tcBorders>
              <w:top w:val="nil"/>
              <w:left w:val="nil"/>
              <w:bottom w:val="nil"/>
              <w:right w:val="nil"/>
            </w:tcBorders>
            <w:shd w:val="clear" w:color="000000" w:fill="FFFFFF"/>
            <w:noWrap/>
            <w:vAlign w:val="center"/>
            <w:hideMark/>
          </w:tcPr>
          <w:p w14:paraId="24DD3CD5" w14:textId="77777777" w:rsidR="006F6649" w:rsidRPr="00E627BB" w:rsidRDefault="006F6649" w:rsidP="006F6649">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116,2</w:t>
            </w:r>
          </w:p>
        </w:tc>
      </w:tr>
      <w:tr w:rsidR="00904A6C" w:rsidRPr="00E627BB" w14:paraId="4171D259" w14:textId="77777777" w:rsidTr="00353F0C">
        <w:trPr>
          <w:trHeight w:val="330"/>
        </w:trPr>
        <w:tc>
          <w:tcPr>
            <w:tcW w:w="1692" w:type="pct"/>
            <w:tcBorders>
              <w:top w:val="nil"/>
              <w:left w:val="nil"/>
              <w:bottom w:val="nil"/>
              <w:right w:val="nil"/>
            </w:tcBorders>
            <w:shd w:val="clear" w:color="000000" w:fill="FFFFFF"/>
            <w:vAlign w:val="center"/>
            <w:hideMark/>
          </w:tcPr>
          <w:p w14:paraId="26F38CEB" w14:textId="77777777" w:rsidR="006F6649" w:rsidRPr="00E627BB" w:rsidRDefault="006F6649" w:rsidP="006F6649">
            <w:pPr>
              <w:spacing w:after="0" w:line="240" w:lineRule="auto"/>
              <w:jc w:val="left"/>
              <w:rPr>
                <w:rFonts w:eastAsia="Times New Roman" w:cs="Times New Roman"/>
                <w:color w:val="000000"/>
                <w:sz w:val="18"/>
                <w:szCs w:val="18"/>
                <w:lang w:eastAsia="sk-SK"/>
              </w:rPr>
            </w:pPr>
            <w:r w:rsidRPr="00E627BB">
              <w:rPr>
                <w:rFonts w:eastAsia="Times New Roman" w:cs="Times New Roman"/>
                <w:color w:val="000000"/>
                <w:sz w:val="18"/>
                <w:szCs w:val="18"/>
                <w:lang w:eastAsia="sk-SK"/>
              </w:rPr>
              <w:t>Programy EÚS 3. programové obdobie (CO MF SR)</w:t>
            </w:r>
          </w:p>
        </w:tc>
        <w:tc>
          <w:tcPr>
            <w:tcW w:w="646" w:type="pct"/>
            <w:tcBorders>
              <w:top w:val="nil"/>
              <w:left w:val="nil"/>
              <w:bottom w:val="nil"/>
              <w:right w:val="nil"/>
            </w:tcBorders>
            <w:shd w:val="clear" w:color="000000" w:fill="FFFFFF"/>
            <w:noWrap/>
            <w:vAlign w:val="center"/>
            <w:hideMark/>
          </w:tcPr>
          <w:p w14:paraId="6871E544" w14:textId="77777777" w:rsidR="006F6649" w:rsidRPr="00E627BB" w:rsidRDefault="006F6649" w:rsidP="006F6649">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0</w:t>
            </w:r>
          </w:p>
        </w:tc>
        <w:tc>
          <w:tcPr>
            <w:tcW w:w="484" w:type="pct"/>
            <w:tcBorders>
              <w:top w:val="nil"/>
              <w:left w:val="nil"/>
              <w:bottom w:val="nil"/>
              <w:right w:val="nil"/>
            </w:tcBorders>
            <w:shd w:val="clear" w:color="000000" w:fill="FFFFFF"/>
            <w:noWrap/>
            <w:vAlign w:val="center"/>
            <w:hideMark/>
          </w:tcPr>
          <w:p w14:paraId="74754FFF" w14:textId="77777777" w:rsidR="006F6649" w:rsidRPr="00E627BB" w:rsidRDefault="006F6649" w:rsidP="006F6649">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0</w:t>
            </w:r>
          </w:p>
        </w:tc>
        <w:tc>
          <w:tcPr>
            <w:tcW w:w="564" w:type="pct"/>
            <w:tcBorders>
              <w:top w:val="nil"/>
              <w:left w:val="nil"/>
              <w:bottom w:val="nil"/>
              <w:right w:val="nil"/>
            </w:tcBorders>
            <w:shd w:val="clear" w:color="000000" w:fill="FFFFFF"/>
            <w:noWrap/>
            <w:vAlign w:val="center"/>
            <w:hideMark/>
          </w:tcPr>
          <w:p w14:paraId="538AD1DC" w14:textId="77777777" w:rsidR="006F6649" w:rsidRPr="00E627BB" w:rsidRDefault="006F6649" w:rsidP="006F6649">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0</w:t>
            </w:r>
          </w:p>
        </w:tc>
        <w:tc>
          <w:tcPr>
            <w:tcW w:w="646" w:type="pct"/>
            <w:tcBorders>
              <w:top w:val="nil"/>
              <w:left w:val="nil"/>
              <w:bottom w:val="nil"/>
              <w:right w:val="nil"/>
            </w:tcBorders>
            <w:shd w:val="clear" w:color="auto" w:fill="BFBFBF" w:themeFill="background1" w:themeFillShade="BF"/>
            <w:noWrap/>
            <w:vAlign w:val="center"/>
            <w:hideMark/>
          </w:tcPr>
          <w:p w14:paraId="0FA1D83D" w14:textId="77777777" w:rsidR="006F6649" w:rsidRPr="00E627BB" w:rsidRDefault="006F6649" w:rsidP="006F6649">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94</w:t>
            </w:r>
          </w:p>
        </w:tc>
        <w:tc>
          <w:tcPr>
            <w:tcW w:w="564" w:type="pct"/>
            <w:tcBorders>
              <w:top w:val="nil"/>
              <w:left w:val="nil"/>
              <w:bottom w:val="nil"/>
              <w:right w:val="nil"/>
            </w:tcBorders>
            <w:shd w:val="clear" w:color="000000" w:fill="FFFFFF"/>
            <w:noWrap/>
            <w:vAlign w:val="center"/>
            <w:hideMark/>
          </w:tcPr>
          <w:p w14:paraId="4EF1648A" w14:textId="77777777" w:rsidR="006F6649" w:rsidRPr="00E627BB" w:rsidRDefault="006F6649" w:rsidP="006F6649">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94</w:t>
            </w:r>
          </w:p>
        </w:tc>
        <w:tc>
          <w:tcPr>
            <w:tcW w:w="404" w:type="pct"/>
            <w:tcBorders>
              <w:top w:val="nil"/>
              <w:left w:val="nil"/>
              <w:bottom w:val="nil"/>
              <w:right w:val="nil"/>
            </w:tcBorders>
            <w:shd w:val="clear" w:color="000000" w:fill="FFFFFF"/>
            <w:noWrap/>
            <w:vAlign w:val="center"/>
            <w:hideMark/>
          </w:tcPr>
          <w:p w14:paraId="1DAAEDCF" w14:textId="77777777" w:rsidR="006F6649" w:rsidRPr="00E627BB" w:rsidRDefault="006F6649" w:rsidP="006F6649">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w:t>
            </w:r>
          </w:p>
        </w:tc>
      </w:tr>
      <w:tr w:rsidR="00904A6C" w:rsidRPr="00E627BB" w14:paraId="599385C6" w14:textId="77777777" w:rsidTr="00353F0C">
        <w:trPr>
          <w:trHeight w:val="330"/>
        </w:trPr>
        <w:tc>
          <w:tcPr>
            <w:tcW w:w="1692" w:type="pct"/>
            <w:tcBorders>
              <w:top w:val="nil"/>
              <w:left w:val="nil"/>
              <w:bottom w:val="nil"/>
              <w:right w:val="nil"/>
            </w:tcBorders>
            <w:shd w:val="clear" w:color="000000" w:fill="FFFFFF"/>
            <w:vAlign w:val="center"/>
            <w:hideMark/>
          </w:tcPr>
          <w:p w14:paraId="469F8A5B" w14:textId="77777777" w:rsidR="006F6649" w:rsidRPr="00E627BB" w:rsidRDefault="006F6649" w:rsidP="006F6649">
            <w:pPr>
              <w:spacing w:after="0" w:line="240" w:lineRule="auto"/>
              <w:jc w:val="lef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Štrukturálne operácie - MF SR</w:t>
            </w:r>
          </w:p>
        </w:tc>
        <w:tc>
          <w:tcPr>
            <w:tcW w:w="646" w:type="pct"/>
            <w:tcBorders>
              <w:top w:val="nil"/>
              <w:left w:val="nil"/>
              <w:bottom w:val="nil"/>
              <w:right w:val="nil"/>
            </w:tcBorders>
            <w:shd w:val="clear" w:color="000000" w:fill="FFFFFF"/>
            <w:noWrap/>
            <w:vAlign w:val="center"/>
            <w:hideMark/>
          </w:tcPr>
          <w:p w14:paraId="718B9FB8" w14:textId="77777777" w:rsidR="006F6649" w:rsidRPr="00E627BB" w:rsidRDefault="006F6649" w:rsidP="006F6649">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214 575</w:t>
            </w:r>
          </w:p>
        </w:tc>
        <w:tc>
          <w:tcPr>
            <w:tcW w:w="484" w:type="pct"/>
            <w:tcBorders>
              <w:top w:val="nil"/>
              <w:left w:val="nil"/>
              <w:bottom w:val="nil"/>
              <w:right w:val="nil"/>
            </w:tcBorders>
            <w:shd w:val="clear" w:color="000000" w:fill="FFFFFF"/>
            <w:noWrap/>
            <w:vAlign w:val="center"/>
            <w:hideMark/>
          </w:tcPr>
          <w:p w14:paraId="147B4DCF" w14:textId="77777777" w:rsidR="006F6649" w:rsidRPr="00E627BB" w:rsidRDefault="006F6649" w:rsidP="006F6649">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150 885</w:t>
            </w:r>
          </w:p>
        </w:tc>
        <w:tc>
          <w:tcPr>
            <w:tcW w:w="564" w:type="pct"/>
            <w:tcBorders>
              <w:top w:val="nil"/>
              <w:left w:val="nil"/>
              <w:bottom w:val="nil"/>
              <w:right w:val="nil"/>
            </w:tcBorders>
            <w:shd w:val="clear" w:color="000000" w:fill="FFFFFF"/>
            <w:noWrap/>
            <w:vAlign w:val="center"/>
            <w:hideMark/>
          </w:tcPr>
          <w:p w14:paraId="5964AA55" w14:textId="77777777" w:rsidR="006F6649" w:rsidRPr="00E627BB" w:rsidRDefault="006F6649" w:rsidP="006F6649">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105 540</w:t>
            </w:r>
          </w:p>
        </w:tc>
        <w:tc>
          <w:tcPr>
            <w:tcW w:w="646" w:type="pct"/>
            <w:tcBorders>
              <w:top w:val="nil"/>
              <w:left w:val="nil"/>
              <w:bottom w:val="nil"/>
              <w:right w:val="nil"/>
            </w:tcBorders>
            <w:shd w:val="clear" w:color="auto" w:fill="BFBFBF" w:themeFill="background1" w:themeFillShade="BF"/>
            <w:noWrap/>
            <w:vAlign w:val="center"/>
            <w:hideMark/>
          </w:tcPr>
          <w:p w14:paraId="05E75833" w14:textId="77777777" w:rsidR="006F6649" w:rsidRPr="00E627BB" w:rsidRDefault="006F6649" w:rsidP="006F6649">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228 324</w:t>
            </w:r>
          </w:p>
        </w:tc>
        <w:tc>
          <w:tcPr>
            <w:tcW w:w="564" w:type="pct"/>
            <w:tcBorders>
              <w:top w:val="nil"/>
              <w:left w:val="nil"/>
              <w:bottom w:val="nil"/>
              <w:right w:val="nil"/>
            </w:tcBorders>
            <w:shd w:val="clear" w:color="000000" w:fill="FFFFFF"/>
            <w:noWrap/>
            <w:vAlign w:val="center"/>
            <w:hideMark/>
          </w:tcPr>
          <w:p w14:paraId="172F3D6C" w14:textId="77777777" w:rsidR="006F6649" w:rsidRPr="00E627BB" w:rsidRDefault="006F6649" w:rsidP="006F6649">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122 784</w:t>
            </w:r>
          </w:p>
        </w:tc>
        <w:tc>
          <w:tcPr>
            <w:tcW w:w="404" w:type="pct"/>
            <w:tcBorders>
              <w:top w:val="nil"/>
              <w:left w:val="nil"/>
              <w:bottom w:val="nil"/>
              <w:right w:val="nil"/>
            </w:tcBorders>
            <w:shd w:val="clear" w:color="000000" w:fill="FFFFFF"/>
            <w:noWrap/>
            <w:vAlign w:val="center"/>
            <w:hideMark/>
          </w:tcPr>
          <w:p w14:paraId="0A54281D" w14:textId="77777777" w:rsidR="006F6649" w:rsidRPr="00E627BB" w:rsidRDefault="006F6649" w:rsidP="006F6649">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116,3</w:t>
            </w:r>
          </w:p>
        </w:tc>
      </w:tr>
      <w:tr w:rsidR="00904A6C" w:rsidRPr="00E627BB" w14:paraId="078DA0F1" w14:textId="77777777" w:rsidTr="00353F0C">
        <w:trPr>
          <w:trHeight w:val="330"/>
        </w:trPr>
        <w:tc>
          <w:tcPr>
            <w:tcW w:w="1692" w:type="pct"/>
            <w:tcBorders>
              <w:top w:val="nil"/>
              <w:left w:val="nil"/>
              <w:bottom w:val="nil"/>
              <w:right w:val="nil"/>
            </w:tcBorders>
            <w:shd w:val="clear" w:color="000000" w:fill="FFFFFF"/>
            <w:vAlign w:val="center"/>
            <w:hideMark/>
          </w:tcPr>
          <w:p w14:paraId="0B7FE156" w14:textId="77777777" w:rsidR="006F6649" w:rsidRPr="00E627BB" w:rsidRDefault="006F6649" w:rsidP="006F6649">
            <w:pPr>
              <w:spacing w:after="0" w:line="240" w:lineRule="auto"/>
              <w:jc w:val="left"/>
              <w:rPr>
                <w:rFonts w:eastAsia="Times New Roman" w:cs="Times New Roman"/>
                <w:color w:val="000000"/>
                <w:sz w:val="18"/>
                <w:szCs w:val="18"/>
                <w:lang w:eastAsia="sk-SK"/>
              </w:rPr>
            </w:pPr>
            <w:r w:rsidRPr="00E627BB">
              <w:rPr>
                <w:rFonts w:eastAsia="Times New Roman" w:cs="Times New Roman"/>
                <w:color w:val="000000"/>
                <w:sz w:val="18"/>
                <w:szCs w:val="18"/>
                <w:lang w:eastAsia="sk-SK"/>
              </w:rPr>
              <w:t>OP Sociálneho začlenenia najodkázanejších osôb</w:t>
            </w:r>
          </w:p>
        </w:tc>
        <w:tc>
          <w:tcPr>
            <w:tcW w:w="646" w:type="pct"/>
            <w:tcBorders>
              <w:top w:val="nil"/>
              <w:left w:val="nil"/>
              <w:bottom w:val="nil"/>
              <w:right w:val="nil"/>
            </w:tcBorders>
            <w:shd w:val="clear" w:color="000000" w:fill="FFFFFF"/>
            <w:noWrap/>
            <w:vAlign w:val="center"/>
            <w:hideMark/>
          </w:tcPr>
          <w:p w14:paraId="43F46301" w14:textId="77777777" w:rsidR="006F6649" w:rsidRPr="00E627BB" w:rsidRDefault="006F6649" w:rsidP="006F6649">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1 154</w:t>
            </w:r>
          </w:p>
        </w:tc>
        <w:tc>
          <w:tcPr>
            <w:tcW w:w="484" w:type="pct"/>
            <w:tcBorders>
              <w:top w:val="nil"/>
              <w:left w:val="nil"/>
              <w:bottom w:val="nil"/>
              <w:right w:val="nil"/>
            </w:tcBorders>
            <w:shd w:val="clear" w:color="auto" w:fill="auto"/>
            <w:noWrap/>
            <w:vAlign w:val="center"/>
            <w:hideMark/>
          </w:tcPr>
          <w:p w14:paraId="1186F123" w14:textId="77777777" w:rsidR="006F6649" w:rsidRPr="00E627BB" w:rsidRDefault="006F6649" w:rsidP="006F6649">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2 106</w:t>
            </w:r>
          </w:p>
        </w:tc>
        <w:tc>
          <w:tcPr>
            <w:tcW w:w="564" w:type="pct"/>
            <w:tcBorders>
              <w:top w:val="nil"/>
              <w:left w:val="nil"/>
              <w:bottom w:val="nil"/>
              <w:right w:val="nil"/>
            </w:tcBorders>
            <w:shd w:val="clear" w:color="000000" w:fill="FFFFFF"/>
            <w:noWrap/>
            <w:vAlign w:val="center"/>
            <w:hideMark/>
          </w:tcPr>
          <w:p w14:paraId="00DD820B" w14:textId="77777777" w:rsidR="006F6649" w:rsidRPr="00E627BB" w:rsidRDefault="006F6649" w:rsidP="006F6649">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1 504</w:t>
            </w:r>
          </w:p>
        </w:tc>
        <w:tc>
          <w:tcPr>
            <w:tcW w:w="646" w:type="pct"/>
            <w:tcBorders>
              <w:top w:val="nil"/>
              <w:left w:val="nil"/>
              <w:bottom w:val="nil"/>
              <w:right w:val="nil"/>
            </w:tcBorders>
            <w:shd w:val="clear" w:color="auto" w:fill="BFBFBF" w:themeFill="background1" w:themeFillShade="BF"/>
            <w:noWrap/>
            <w:vAlign w:val="center"/>
            <w:hideMark/>
          </w:tcPr>
          <w:p w14:paraId="4CD2878F" w14:textId="77777777" w:rsidR="006F6649" w:rsidRPr="00E627BB" w:rsidRDefault="006F6649" w:rsidP="006F6649">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2 109</w:t>
            </w:r>
          </w:p>
        </w:tc>
        <w:tc>
          <w:tcPr>
            <w:tcW w:w="564" w:type="pct"/>
            <w:tcBorders>
              <w:top w:val="nil"/>
              <w:left w:val="nil"/>
              <w:bottom w:val="nil"/>
              <w:right w:val="nil"/>
            </w:tcBorders>
            <w:shd w:val="clear" w:color="000000" w:fill="FFFFFF"/>
            <w:noWrap/>
            <w:vAlign w:val="center"/>
            <w:hideMark/>
          </w:tcPr>
          <w:p w14:paraId="43A74F31" w14:textId="77777777" w:rsidR="006F6649" w:rsidRPr="00E627BB" w:rsidRDefault="006F6649" w:rsidP="006F6649">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605</w:t>
            </w:r>
          </w:p>
        </w:tc>
        <w:tc>
          <w:tcPr>
            <w:tcW w:w="404" w:type="pct"/>
            <w:tcBorders>
              <w:top w:val="nil"/>
              <w:left w:val="nil"/>
              <w:bottom w:val="nil"/>
              <w:right w:val="nil"/>
            </w:tcBorders>
            <w:shd w:val="clear" w:color="000000" w:fill="FFFFFF"/>
            <w:noWrap/>
            <w:vAlign w:val="center"/>
            <w:hideMark/>
          </w:tcPr>
          <w:p w14:paraId="0495F2BB" w14:textId="77777777" w:rsidR="006F6649" w:rsidRPr="00E627BB" w:rsidRDefault="006F6649" w:rsidP="006F6649">
            <w:pPr>
              <w:spacing w:after="0" w:line="240" w:lineRule="auto"/>
              <w:jc w:val="right"/>
              <w:rPr>
                <w:rFonts w:eastAsia="Times New Roman" w:cs="Times New Roman"/>
                <w:color w:val="000000"/>
                <w:sz w:val="18"/>
                <w:szCs w:val="18"/>
                <w:lang w:eastAsia="sk-SK"/>
              </w:rPr>
            </w:pPr>
            <w:r w:rsidRPr="00E627BB">
              <w:rPr>
                <w:rFonts w:eastAsia="Times New Roman" w:cs="Times New Roman"/>
                <w:color w:val="000000"/>
                <w:sz w:val="18"/>
                <w:szCs w:val="18"/>
                <w:lang w:eastAsia="sk-SK"/>
              </w:rPr>
              <w:t>40,2</w:t>
            </w:r>
          </w:p>
        </w:tc>
      </w:tr>
      <w:tr w:rsidR="00904A6C" w:rsidRPr="00E627BB" w14:paraId="12868222" w14:textId="77777777" w:rsidTr="00353F0C">
        <w:trPr>
          <w:trHeight w:val="330"/>
        </w:trPr>
        <w:tc>
          <w:tcPr>
            <w:tcW w:w="1692" w:type="pct"/>
            <w:tcBorders>
              <w:top w:val="nil"/>
              <w:left w:val="nil"/>
              <w:bottom w:val="nil"/>
              <w:right w:val="nil"/>
            </w:tcBorders>
            <w:shd w:val="clear" w:color="000000" w:fill="FFFFFF"/>
            <w:vAlign w:val="center"/>
            <w:hideMark/>
          </w:tcPr>
          <w:p w14:paraId="5F63E915" w14:textId="77777777" w:rsidR="006F6649" w:rsidRPr="00E627BB" w:rsidRDefault="006F6649" w:rsidP="006F6649">
            <w:pPr>
              <w:spacing w:after="0" w:line="240" w:lineRule="auto"/>
              <w:jc w:val="lef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Štrukturálne operácie - MPSVR SR</w:t>
            </w:r>
          </w:p>
        </w:tc>
        <w:tc>
          <w:tcPr>
            <w:tcW w:w="646" w:type="pct"/>
            <w:tcBorders>
              <w:top w:val="nil"/>
              <w:left w:val="nil"/>
              <w:bottom w:val="nil"/>
              <w:right w:val="nil"/>
            </w:tcBorders>
            <w:shd w:val="clear" w:color="000000" w:fill="FFFFFF"/>
            <w:noWrap/>
            <w:vAlign w:val="center"/>
            <w:hideMark/>
          </w:tcPr>
          <w:p w14:paraId="16F1B8ED" w14:textId="77777777" w:rsidR="006F6649" w:rsidRPr="00E627BB" w:rsidRDefault="006F6649" w:rsidP="006F6649">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1 154</w:t>
            </w:r>
          </w:p>
        </w:tc>
        <w:tc>
          <w:tcPr>
            <w:tcW w:w="484" w:type="pct"/>
            <w:tcBorders>
              <w:top w:val="nil"/>
              <w:left w:val="nil"/>
              <w:bottom w:val="nil"/>
              <w:right w:val="nil"/>
            </w:tcBorders>
            <w:shd w:val="clear" w:color="000000" w:fill="FFFFFF"/>
            <w:noWrap/>
            <w:vAlign w:val="center"/>
            <w:hideMark/>
          </w:tcPr>
          <w:p w14:paraId="52501DF5" w14:textId="77777777" w:rsidR="006F6649" w:rsidRPr="00E627BB" w:rsidRDefault="006F6649" w:rsidP="006F6649">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2 106</w:t>
            </w:r>
          </w:p>
        </w:tc>
        <w:tc>
          <w:tcPr>
            <w:tcW w:w="564" w:type="pct"/>
            <w:tcBorders>
              <w:top w:val="nil"/>
              <w:left w:val="nil"/>
              <w:bottom w:val="nil"/>
              <w:right w:val="nil"/>
            </w:tcBorders>
            <w:shd w:val="clear" w:color="000000" w:fill="FFFFFF"/>
            <w:noWrap/>
            <w:vAlign w:val="center"/>
            <w:hideMark/>
          </w:tcPr>
          <w:p w14:paraId="669A333E" w14:textId="77777777" w:rsidR="006F6649" w:rsidRPr="00E627BB" w:rsidRDefault="006F6649" w:rsidP="006F6649">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1 504</w:t>
            </w:r>
          </w:p>
        </w:tc>
        <w:tc>
          <w:tcPr>
            <w:tcW w:w="646" w:type="pct"/>
            <w:tcBorders>
              <w:top w:val="nil"/>
              <w:left w:val="nil"/>
              <w:bottom w:val="nil"/>
              <w:right w:val="nil"/>
            </w:tcBorders>
            <w:shd w:val="clear" w:color="auto" w:fill="BFBFBF" w:themeFill="background1" w:themeFillShade="BF"/>
            <w:noWrap/>
            <w:vAlign w:val="center"/>
            <w:hideMark/>
          </w:tcPr>
          <w:p w14:paraId="44ACB94D" w14:textId="77777777" w:rsidR="006F6649" w:rsidRPr="00E627BB" w:rsidRDefault="006F6649" w:rsidP="006F6649">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2 109</w:t>
            </w:r>
          </w:p>
        </w:tc>
        <w:tc>
          <w:tcPr>
            <w:tcW w:w="564" w:type="pct"/>
            <w:tcBorders>
              <w:top w:val="nil"/>
              <w:left w:val="nil"/>
              <w:bottom w:val="nil"/>
              <w:right w:val="nil"/>
            </w:tcBorders>
            <w:shd w:val="clear" w:color="000000" w:fill="FFFFFF"/>
            <w:noWrap/>
            <w:vAlign w:val="center"/>
            <w:hideMark/>
          </w:tcPr>
          <w:p w14:paraId="314D8867" w14:textId="77777777" w:rsidR="006F6649" w:rsidRPr="00E627BB" w:rsidRDefault="006F6649" w:rsidP="006F6649">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605</w:t>
            </w:r>
          </w:p>
        </w:tc>
        <w:tc>
          <w:tcPr>
            <w:tcW w:w="404" w:type="pct"/>
            <w:tcBorders>
              <w:top w:val="nil"/>
              <w:left w:val="nil"/>
              <w:bottom w:val="nil"/>
              <w:right w:val="nil"/>
            </w:tcBorders>
            <w:shd w:val="clear" w:color="000000" w:fill="FFFFFF"/>
            <w:noWrap/>
            <w:vAlign w:val="center"/>
            <w:hideMark/>
          </w:tcPr>
          <w:p w14:paraId="0676B18F" w14:textId="77777777" w:rsidR="006F6649" w:rsidRPr="00E627BB" w:rsidRDefault="006F6649" w:rsidP="006F6649">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40,2</w:t>
            </w:r>
          </w:p>
        </w:tc>
      </w:tr>
      <w:tr w:rsidR="00904A6C" w:rsidRPr="00E627BB" w14:paraId="26B81B2D" w14:textId="77777777" w:rsidTr="00353F0C">
        <w:trPr>
          <w:trHeight w:val="345"/>
        </w:trPr>
        <w:tc>
          <w:tcPr>
            <w:tcW w:w="1692" w:type="pct"/>
            <w:tcBorders>
              <w:top w:val="single" w:sz="4" w:space="0" w:color="auto"/>
              <w:left w:val="nil"/>
              <w:bottom w:val="single" w:sz="8" w:space="0" w:color="auto"/>
              <w:right w:val="nil"/>
            </w:tcBorders>
            <w:shd w:val="clear" w:color="000000" w:fill="FFFFFF"/>
            <w:vAlign w:val="center"/>
            <w:hideMark/>
          </w:tcPr>
          <w:p w14:paraId="4D3B1B42" w14:textId="77777777" w:rsidR="006F6649" w:rsidRPr="00E627BB" w:rsidRDefault="006F6649" w:rsidP="00E50B32">
            <w:pPr>
              <w:spacing w:after="0" w:line="240" w:lineRule="auto"/>
              <w:jc w:val="lef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Spolu výdavky za prostriedky EÚ</w:t>
            </w:r>
          </w:p>
        </w:tc>
        <w:tc>
          <w:tcPr>
            <w:tcW w:w="646" w:type="pct"/>
            <w:tcBorders>
              <w:top w:val="single" w:sz="4" w:space="0" w:color="auto"/>
              <w:left w:val="nil"/>
              <w:bottom w:val="single" w:sz="8" w:space="0" w:color="auto"/>
              <w:right w:val="nil"/>
            </w:tcBorders>
            <w:shd w:val="clear" w:color="000000" w:fill="FFFFFF"/>
            <w:noWrap/>
            <w:vAlign w:val="center"/>
            <w:hideMark/>
          </w:tcPr>
          <w:p w14:paraId="6F9182B3" w14:textId="77777777" w:rsidR="006F6649" w:rsidRPr="00E627BB" w:rsidRDefault="006F6649" w:rsidP="00E50B32">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269 321</w:t>
            </w:r>
          </w:p>
        </w:tc>
        <w:tc>
          <w:tcPr>
            <w:tcW w:w="484" w:type="pct"/>
            <w:tcBorders>
              <w:top w:val="single" w:sz="4" w:space="0" w:color="auto"/>
              <w:left w:val="nil"/>
              <w:bottom w:val="single" w:sz="8" w:space="0" w:color="auto"/>
              <w:right w:val="nil"/>
            </w:tcBorders>
            <w:shd w:val="clear" w:color="000000" w:fill="FFFFFF"/>
            <w:noWrap/>
            <w:vAlign w:val="center"/>
            <w:hideMark/>
          </w:tcPr>
          <w:p w14:paraId="3C4FF10F" w14:textId="77777777" w:rsidR="006F6649" w:rsidRPr="00E627BB" w:rsidRDefault="006F6649" w:rsidP="00E50B32">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227 034</w:t>
            </w:r>
          </w:p>
        </w:tc>
        <w:tc>
          <w:tcPr>
            <w:tcW w:w="564" w:type="pct"/>
            <w:tcBorders>
              <w:top w:val="single" w:sz="4" w:space="0" w:color="auto"/>
              <w:left w:val="nil"/>
              <w:bottom w:val="single" w:sz="8" w:space="0" w:color="auto"/>
              <w:right w:val="nil"/>
            </w:tcBorders>
            <w:shd w:val="clear" w:color="000000" w:fill="FFFFFF"/>
            <w:noWrap/>
            <w:vAlign w:val="center"/>
            <w:hideMark/>
          </w:tcPr>
          <w:p w14:paraId="61DF92CE" w14:textId="77777777" w:rsidR="006F6649" w:rsidRPr="00E627BB" w:rsidRDefault="006F6649" w:rsidP="00E50B32">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213 792</w:t>
            </w:r>
          </w:p>
        </w:tc>
        <w:tc>
          <w:tcPr>
            <w:tcW w:w="646" w:type="pct"/>
            <w:tcBorders>
              <w:top w:val="single" w:sz="4" w:space="0" w:color="auto"/>
              <w:left w:val="nil"/>
              <w:bottom w:val="single" w:sz="8" w:space="0" w:color="auto"/>
              <w:right w:val="nil"/>
            </w:tcBorders>
            <w:shd w:val="clear" w:color="auto" w:fill="BFBFBF" w:themeFill="background1" w:themeFillShade="BF"/>
            <w:noWrap/>
            <w:vAlign w:val="center"/>
            <w:hideMark/>
          </w:tcPr>
          <w:p w14:paraId="590FD82E" w14:textId="77777777" w:rsidR="006F6649" w:rsidRPr="00E627BB" w:rsidRDefault="006F6649" w:rsidP="00E50B32">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311 327</w:t>
            </w:r>
          </w:p>
        </w:tc>
        <w:tc>
          <w:tcPr>
            <w:tcW w:w="564" w:type="pct"/>
            <w:tcBorders>
              <w:top w:val="single" w:sz="4" w:space="0" w:color="auto"/>
              <w:left w:val="nil"/>
              <w:bottom w:val="single" w:sz="8" w:space="0" w:color="auto"/>
              <w:right w:val="nil"/>
            </w:tcBorders>
            <w:shd w:val="clear" w:color="000000" w:fill="FFFFFF"/>
            <w:noWrap/>
            <w:vAlign w:val="center"/>
            <w:hideMark/>
          </w:tcPr>
          <w:p w14:paraId="4FE53367" w14:textId="77777777" w:rsidR="006F6649" w:rsidRPr="00E627BB" w:rsidRDefault="006F6649" w:rsidP="00E50B32">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97 535</w:t>
            </w:r>
          </w:p>
        </w:tc>
        <w:tc>
          <w:tcPr>
            <w:tcW w:w="404" w:type="pct"/>
            <w:tcBorders>
              <w:top w:val="single" w:sz="4" w:space="0" w:color="auto"/>
              <w:left w:val="nil"/>
              <w:bottom w:val="single" w:sz="8" w:space="0" w:color="auto"/>
              <w:right w:val="nil"/>
            </w:tcBorders>
            <w:shd w:val="clear" w:color="000000" w:fill="FFFFFF"/>
            <w:noWrap/>
            <w:vAlign w:val="center"/>
            <w:hideMark/>
          </w:tcPr>
          <w:p w14:paraId="26F1D654" w14:textId="77777777" w:rsidR="006F6649" w:rsidRPr="00E627BB" w:rsidRDefault="006F6649" w:rsidP="00E50B32">
            <w:pPr>
              <w:spacing w:after="0" w:line="240" w:lineRule="auto"/>
              <w:jc w:val="right"/>
              <w:rPr>
                <w:rFonts w:eastAsia="Times New Roman" w:cs="Times New Roman"/>
                <w:b/>
                <w:bCs/>
                <w:color w:val="000000"/>
                <w:sz w:val="18"/>
                <w:szCs w:val="18"/>
                <w:lang w:eastAsia="sk-SK"/>
              </w:rPr>
            </w:pPr>
            <w:r w:rsidRPr="00E627BB">
              <w:rPr>
                <w:rFonts w:eastAsia="Times New Roman" w:cs="Times New Roman"/>
                <w:b/>
                <w:bCs/>
                <w:color w:val="000000"/>
                <w:sz w:val="18"/>
                <w:szCs w:val="18"/>
                <w:lang w:eastAsia="sk-SK"/>
              </w:rPr>
              <w:t>45,6</w:t>
            </w:r>
          </w:p>
        </w:tc>
      </w:tr>
    </w:tbl>
    <w:p w14:paraId="7FF74BD6" w14:textId="77777777" w:rsidR="00904A6C" w:rsidRDefault="00904A6C" w:rsidP="00904A6C">
      <w:pPr>
        <w:jc w:val="right"/>
        <w:rPr>
          <w:sz w:val="18"/>
          <w:szCs w:val="18"/>
        </w:rPr>
      </w:pPr>
      <w:r w:rsidRPr="00904A6C">
        <w:rPr>
          <w:sz w:val="18"/>
          <w:szCs w:val="18"/>
        </w:rPr>
        <w:t>Zdroj: MF SR</w:t>
      </w:r>
    </w:p>
    <w:p w14:paraId="4D253D50" w14:textId="77777777" w:rsidR="00904A6C" w:rsidRPr="004106CF" w:rsidRDefault="00904A6C" w:rsidP="00904A6C">
      <w:pPr>
        <w:numPr>
          <w:ilvl w:val="0"/>
          <w:numId w:val="5"/>
        </w:numPr>
        <w:tabs>
          <w:tab w:val="left" w:pos="284"/>
        </w:tabs>
        <w:ind w:left="0" w:firstLine="0"/>
        <w:rPr>
          <w:b/>
        </w:rPr>
      </w:pPr>
      <w:r w:rsidRPr="004106CF">
        <w:rPr>
          <w:b/>
        </w:rPr>
        <w:t>Spolufinancovanie zo štátneho rozpočtu k zahraničným grantom z EÚ a k prostriedkom poskytnutým na základe medzinárodných zmlúv</w:t>
      </w:r>
    </w:p>
    <w:p w14:paraId="28AE078C" w14:textId="77777777" w:rsidR="00904A6C" w:rsidRPr="004106CF" w:rsidRDefault="00904A6C" w:rsidP="00904A6C">
      <w:r w:rsidRPr="004106CF">
        <w:t>Okrem výdavkov na spolufinancovanie zo ŠR k prostriedkom EÚ sú rozpočtované aj výdavky na spolufinancovanie zo ŠR k zahraničným grantom (finančný nástroj pre životné prostredie LIFE+ a programy európskej územnej spolupráce), k prostriedkom poskytnutým na základe medzinárodných zmlúv (Finančný mechanizmus EHP a Nórsky finančný mechanizmus) a</w:t>
      </w:r>
      <w:r>
        <w:t xml:space="preserve"> k </w:t>
      </w:r>
      <w:r w:rsidRPr="004106CF">
        <w:t xml:space="preserve">prostriedkom na spolufinancovanie </w:t>
      </w:r>
      <w:r w:rsidRPr="004106CF">
        <w:rPr>
          <w:bCs/>
        </w:rPr>
        <w:t xml:space="preserve">fondov pre oblasť vnútorných záležitostí na </w:t>
      </w:r>
      <w:r w:rsidRPr="004106CF">
        <w:t>roky 2014 - 2020.</w:t>
      </w:r>
    </w:p>
    <w:p w14:paraId="37644566" w14:textId="77777777" w:rsidR="00904A6C" w:rsidRPr="004106CF" w:rsidRDefault="00904A6C" w:rsidP="00904A6C">
      <w:r w:rsidRPr="004106CF">
        <w:t>Čerpanie výdavkov na spolufinancovanie k zahraničným grantom z prostriedkov EÚ v roku 2018 predstavovalo sumu 2 806 tis. eur. Čerpanie výdavkov k prostriedkom poskytnutým na základe medzinárodných zmlúv v roku 2018 predstavovalo sumu 2 317 tis. eur.</w:t>
      </w:r>
    </w:p>
    <w:p w14:paraId="4198D767" w14:textId="77777777" w:rsidR="00605DD4" w:rsidRDefault="00605DD4">
      <w:pPr>
        <w:spacing w:after="160" w:line="259" w:lineRule="auto"/>
        <w:jc w:val="left"/>
      </w:pPr>
      <w:r>
        <w:br w:type="page"/>
      </w:r>
    </w:p>
    <w:p w14:paraId="1CC73518" w14:textId="60088310" w:rsidR="00904A6C" w:rsidRDefault="00904A6C" w:rsidP="00904A6C">
      <w:r w:rsidRPr="004106CF">
        <w:t>Prehľad výdavkov na spolufinancovanie zo štátneho rozpočtu k zahraničným grantom z EÚ a</w:t>
      </w:r>
      <w:r>
        <w:t xml:space="preserve"> </w:t>
      </w:r>
      <w:r w:rsidRPr="004106CF">
        <w:t>k prostriedkom poskytnutým na základe medzinárodných zmlúv je uvedený v nasledovnej tabuľke:</w:t>
      </w:r>
    </w:p>
    <w:tbl>
      <w:tblPr>
        <w:tblW w:w="5252" w:type="pct"/>
        <w:tblLayout w:type="fixed"/>
        <w:tblCellMar>
          <w:left w:w="70" w:type="dxa"/>
          <w:right w:w="70" w:type="dxa"/>
        </w:tblCellMar>
        <w:tblLook w:val="04A0" w:firstRow="1" w:lastRow="0" w:firstColumn="1" w:lastColumn="0" w:noHBand="0" w:noVBand="1"/>
      </w:tblPr>
      <w:tblGrid>
        <w:gridCol w:w="3108"/>
        <w:gridCol w:w="931"/>
        <w:gridCol w:w="749"/>
        <w:gridCol w:w="931"/>
        <w:gridCol w:w="1225"/>
        <w:gridCol w:w="863"/>
        <w:gridCol w:w="1125"/>
      </w:tblGrid>
      <w:tr w:rsidR="00904A6C" w:rsidRPr="00642A8F" w14:paraId="14CDFAEE" w14:textId="77777777" w:rsidTr="00904A6C">
        <w:trPr>
          <w:trHeight w:val="330"/>
        </w:trPr>
        <w:tc>
          <w:tcPr>
            <w:tcW w:w="5000" w:type="pct"/>
            <w:gridSpan w:val="7"/>
            <w:tcBorders>
              <w:top w:val="nil"/>
              <w:left w:val="nil"/>
              <w:bottom w:val="nil"/>
              <w:right w:val="nil"/>
            </w:tcBorders>
            <w:shd w:val="clear" w:color="000000" w:fill="000000"/>
            <w:noWrap/>
            <w:vAlign w:val="bottom"/>
            <w:hideMark/>
          </w:tcPr>
          <w:p w14:paraId="029499EB" w14:textId="77777777" w:rsidR="00914618" w:rsidRDefault="00904A6C" w:rsidP="00904A6C">
            <w:pPr>
              <w:spacing w:after="0" w:line="240" w:lineRule="auto"/>
              <w:jc w:val="left"/>
              <w:rPr>
                <w:rFonts w:eastAsia="Times New Roman" w:cs="Times New Roman"/>
                <w:b/>
                <w:bCs/>
                <w:color w:val="FFFFFF"/>
                <w:sz w:val="18"/>
                <w:szCs w:val="18"/>
                <w:lang w:eastAsia="sk-SK"/>
              </w:rPr>
            </w:pPr>
            <w:bookmarkStart w:id="72" w:name="RANGE!A2:G12"/>
            <w:r w:rsidRPr="00642A8F">
              <w:rPr>
                <w:rFonts w:eastAsia="Times New Roman" w:cs="Times New Roman"/>
                <w:b/>
                <w:bCs/>
                <w:color w:val="FFFFFF"/>
                <w:sz w:val="18"/>
                <w:szCs w:val="18"/>
                <w:lang w:eastAsia="sk-SK"/>
              </w:rPr>
              <w:t xml:space="preserve">Spolufinancovanie zo ŠR k zahraničným grantom/k prostriedkom poskytnutým </w:t>
            </w:r>
          </w:p>
          <w:p w14:paraId="214CA7CC" w14:textId="3DD97C71" w:rsidR="00904A6C" w:rsidRPr="00642A8F" w:rsidRDefault="00904A6C" w:rsidP="00914618">
            <w:pPr>
              <w:spacing w:after="0" w:line="240" w:lineRule="auto"/>
              <w:jc w:val="left"/>
              <w:rPr>
                <w:rFonts w:eastAsia="Times New Roman" w:cs="Times New Roman"/>
                <w:b/>
                <w:bCs/>
                <w:color w:val="FFFFFF"/>
                <w:sz w:val="18"/>
                <w:szCs w:val="18"/>
                <w:lang w:eastAsia="sk-SK"/>
              </w:rPr>
            </w:pPr>
            <w:r w:rsidRPr="00642A8F">
              <w:rPr>
                <w:rFonts w:eastAsia="Times New Roman" w:cs="Times New Roman"/>
                <w:b/>
                <w:bCs/>
                <w:color w:val="FFFFFF"/>
                <w:sz w:val="18"/>
                <w:szCs w:val="18"/>
                <w:lang w:eastAsia="sk-SK"/>
              </w:rPr>
              <w:t xml:space="preserve">na základe medzinárodných zmlúv </w:t>
            </w:r>
            <w:bookmarkEnd w:id="72"/>
            <w:r w:rsidRPr="00642A8F">
              <w:rPr>
                <w:rFonts w:eastAsia="Times New Roman" w:cs="Times New Roman"/>
                <w:b/>
                <w:bCs/>
                <w:color w:val="FFFFFF"/>
                <w:sz w:val="18"/>
                <w:szCs w:val="18"/>
                <w:lang w:eastAsia="sk-SK"/>
              </w:rPr>
              <w:t xml:space="preserve">   </w:t>
            </w:r>
            <w:r w:rsidR="00914618">
              <w:rPr>
                <w:rFonts w:eastAsia="Times New Roman" w:cs="Times New Roman"/>
                <w:b/>
                <w:bCs/>
                <w:color w:val="FFFFFF"/>
                <w:sz w:val="18"/>
                <w:szCs w:val="18"/>
                <w:lang w:eastAsia="sk-SK"/>
              </w:rPr>
              <w:t xml:space="preserve">                                                                                                                   </w:t>
            </w:r>
            <w:r w:rsidRPr="00642A8F">
              <w:rPr>
                <w:rFonts w:eastAsia="Times New Roman" w:cs="Times New Roman"/>
                <w:b/>
                <w:bCs/>
                <w:color w:val="FFFFFF"/>
                <w:sz w:val="18"/>
                <w:szCs w:val="18"/>
                <w:lang w:eastAsia="sk-SK"/>
              </w:rPr>
              <w:t xml:space="preserve"> </w:t>
            </w:r>
            <w:r w:rsidR="00914618" w:rsidRPr="00642A8F">
              <w:rPr>
                <w:rFonts w:eastAsia="Times New Roman" w:cs="Times New Roman"/>
                <w:b/>
                <w:bCs/>
                <w:color w:val="FFFFFF"/>
                <w:sz w:val="18"/>
                <w:szCs w:val="18"/>
                <w:lang w:eastAsia="sk-SK"/>
              </w:rPr>
              <w:t>v tis. eur</w:t>
            </w:r>
            <w:r w:rsidRPr="00642A8F">
              <w:rPr>
                <w:rFonts w:eastAsia="Times New Roman" w:cs="Times New Roman"/>
                <w:b/>
                <w:bCs/>
                <w:color w:val="FFFFFF"/>
                <w:sz w:val="18"/>
                <w:szCs w:val="18"/>
                <w:lang w:eastAsia="sk-SK"/>
              </w:rPr>
              <w:t xml:space="preserve">                                                                                                                                                                    </w:t>
            </w:r>
          </w:p>
        </w:tc>
      </w:tr>
      <w:tr w:rsidR="00904A6C" w:rsidRPr="00642A8F" w14:paraId="6686FC35" w14:textId="77777777" w:rsidTr="00C009A2">
        <w:trPr>
          <w:trHeight w:val="330"/>
        </w:trPr>
        <w:tc>
          <w:tcPr>
            <w:tcW w:w="1740" w:type="pct"/>
            <w:tcBorders>
              <w:top w:val="nil"/>
              <w:left w:val="nil"/>
              <w:bottom w:val="nil"/>
              <w:right w:val="nil"/>
            </w:tcBorders>
            <w:shd w:val="clear" w:color="000000" w:fill="BFBFBF"/>
            <w:vAlign w:val="center"/>
            <w:hideMark/>
          </w:tcPr>
          <w:p w14:paraId="3D202A51" w14:textId="77777777" w:rsidR="00904A6C" w:rsidRPr="00642A8F" w:rsidRDefault="00904A6C" w:rsidP="00904A6C">
            <w:pPr>
              <w:spacing w:after="0" w:line="240" w:lineRule="auto"/>
              <w:jc w:val="left"/>
              <w:rPr>
                <w:rFonts w:eastAsia="Times New Roman" w:cs="Times New Roman"/>
                <w:b/>
                <w:bCs/>
                <w:sz w:val="18"/>
                <w:szCs w:val="18"/>
                <w:lang w:eastAsia="sk-SK"/>
              </w:rPr>
            </w:pPr>
            <w:r w:rsidRPr="00642A8F">
              <w:rPr>
                <w:rFonts w:eastAsia="Times New Roman" w:cs="Times New Roman"/>
                <w:b/>
                <w:bCs/>
                <w:sz w:val="18"/>
                <w:szCs w:val="18"/>
                <w:lang w:eastAsia="sk-SK"/>
              </w:rPr>
              <w:t> </w:t>
            </w:r>
          </w:p>
        </w:tc>
        <w:tc>
          <w:tcPr>
            <w:tcW w:w="940" w:type="pct"/>
            <w:gridSpan w:val="2"/>
            <w:tcBorders>
              <w:top w:val="nil"/>
              <w:left w:val="nil"/>
              <w:bottom w:val="nil"/>
              <w:right w:val="nil"/>
            </w:tcBorders>
            <w:shd w:val="clear" w:color="000000" w:fill="BFBFBF"/>
            <w:vAlign w:val="center"/>
            <w:hideMark/>
          </w:tcPr>
          <w:p w14:paraId="16044590" w14:textId="77777777" w:rsidR="00904A6C" w:rsidRPr="00642A8F" w:rsidRDefault="00904A6C" w:rsidP="00E50B32">
            <w:pPr>
              <w:spacing w:after="0" w:line="240" w:lineRule="auto"/>
              <w:jc w:val="center"/>
              <w:rPr>
                <w:rFonts w:eastAsia="Times New Roman" w:cs="Times New Roman"/>
                <w:b/>
                <w:bCs/>
                <w:sz w:val="18"/>
                <w:szCs w:val="18"/>
                <w:lang w:eastAsia="sk-SK"/>
              </w:rPr>
            </w:pPr>
            <w:r w:rsidRPr="00642A8F">
              <w:rPr>
                <w:rFonts w:eastAsia="Times New Roman" w:cs="Times New Roman"/>
                <w:b/>
                <w:bCs/>
                <w:sz w:val="18"/>
                <w:szCs w:val="18"/>
                <w:lang w:eastAsia="sk-SK"/>
              </w:rPr>
              <w:t>Skutočnosť</w:t>
            </w:r>
          </w:p>
        </w:tc>
        <w:tc>
          <w:tcPr>
            <w:tcW w:w="521" w:type="pct"/>
            <w:tcBorders>
              <w:top w:val="nil"/>
              <w:left w:val="nil"/>
              <w:bottom w:val="nil"/>
              <w:right w:val="nil"/>
            </w:tcBorders>
            <w:shd w:val="clear" w:color="000000" w:fill="BFBFBF"/>
            <w:vAlign w:val="center"/>
            <w:hideMark/>
          </w:tcPr>
          <w:p w14:paraId="3CED5A83" w14:textId="77777777" w:rsidR="00904A6C" w:rsidRPr="00642A8F" w:rsidRDefault="00904A6C" w:rsidP="00E50B32">
            <w:pPr>
              <w:spacing w:after="0" w:line="240" w:lineRule="auto"/>
              <w:jc w:val="center"/>
              <w:rPr>
                <w:rFonts w:eastAsia="Times New Roman" w:cs="Times New Roman"/>
                <w:b/>
                <w:bCs/>
                <w:sz w:val="18"/>
                <w:szCs w:val="18"/>
                <w:lang w:eastAsia="sk-SK"/>
              </w:rPr>
            </w:pPr>
            <w:r w:rsidRPr="00642A8F">
              <w:rPr>
                <w:rFonts w:eastAsia="Times New Roman" w:cs="Times New Roman"/>
                <w:b/>
                <w:bCs/>
                <w:sz w:val="18"/>
                <w:szCs w:val="18"/>
                <w:lang w:eastAsia="sk-SK"/>
              </w:rPr>
              <w:t>Rozpočet</w:t>
            </w:r>
          </w:p>
        </w:tc>
        <w:tc>
          <w:tcPr>
            <w:tcW w:w="686" w:type="pct"/>
            <w:tcBorders>
              <w:top w:val="nil"/>
              <w:left w:val="nil"/>
              <w:bottom w:val="nil"/>
              <w:right w:val="nil"/>
            </w:tcBorders>
            <w:shd w:val="clear" w:color="000000" w:fill="BFBFBF"/>
            <w:vAlign w:val="center"/>
            <w:hideMark/>
          </w:tcPr>
          <w:p w14:paraId="78B62C14" w14:textId="77777777" w:rsidR="00904A6C" w:rsidRPr="00642A8F" w:rsidRDefault="00904A6C" w:rsidP="00E50B32">
            <w:pPr>
              <w:spacing w:after="0" w:line="240" w:lineRule="auto"/>
              <w:jc w:val="center"/>
              <w:rPr>
                <w:rFonts w:eastAsia="Times New Roman" w:cs="Times New Roman"/>
                <w:b/>
                <w:bCs/>
                <w:sz w:val="18"/>
                <w:szCs w:val="18"/>
                <w:lang w:eastAsia="sk-SK"/>
              </w:rPr>
            </w:pPr>
            <w:r w:rsidRPr="00642A8F">
              <w:rPr>
                <w:rFonts w:eastAsia="Times New Roman" w:cs="Times New Roman"/>
                <w:b/>
                <w:bCs/>
                <w:sz w:val="18"/>
                <w:szCs w:val="18"/>
                <w:lang w:eastAsia="sk-SK"/>
              </w:rPr>
              <w:t>Skutočnosť</w:t>
            </w:r>
          </w:p>
        </w:tc>
        <w:tc>
          <w:tcPr>
            <w:tcW w:w="1113" w:type="pct"/>
            <w:gridSpan w:val="2"/>
            <w:tcBorders>
              <w:top w:val="nil"/>
              <w:left w:val="nil"/>
              <w:bottom w:val="nil"/>
              <w:right w:val="nil"/>
            </w:tcBorders>
            <w:shd w:val="clear" w:color="000000" w:fill="BFBFBF"/>
            <w:vAlign w:val="center"/>
            <w:hideMark/>
          </w:tcPr>
          <w:p w14:paraId="7FC5E8F5" w14:textId="77777777" w:rsidR="00904A6C" w:rsidRPr="00642A8F" w:rsidRDefault="00904A6C" w:rsidP="00E50B32">
            <w:pPr>
              <w:spacing w:after="0" w:line="240" w:lineRule="auto"/>
              <w:jc w:val="center"/>
              <w:rPr>
                <w:rFonts w:eastAsia="Times New Roman" w:cs="Times New Roman"/>
                <w:b/>
                <w:bCs/>
                <w:sz w:val="18"/>
                <w:szCs w:val="18"/>
                <w:lang w:eastAsia="sk-SK"/>
              </w:rPr>
            </w:pPr>
            <w:r w:rsidRPr="00642A8F">
              <w:rPr>
                <w:rFonts w:eastAsia="Times New Roman" w:cs="Times New Roman"/>
                <w:b/>
                <w:bCs/>
                <w:sz w:val="18"/>
                <w:szCs w:val="18"/>
                <w:lang w:eastAsia="sk-SK"/>
              </w:rPr>
              <w:t>Rozdiel</w:t>
            </w:r>
          </w:p>
        </w:tc>
      </w:tr>
      <w:tr w:rsidR="00904A6C" w:rsidRPr="00642A8F" w14:paraId="713EC1C3" w14:textId="77777777" w:rsidTr="00C009A2">
        <w:trPr>
          <w:trHeight w:val="330"/>
        </w:trPr>
        <w:tc>
          <w:tcPr>
            <w:tcW w:w="1740" w:type="pct"/>
            <w:tcBorders>
              <w:top w:val="nil"/>
              <w:left w:val="nil"/>
              <w:bottom w:val="nil"/>
              <w:right w:val="nil"/>
            </w:tcBorders>
            <w:shd w:val="clear" w:color="000000" w:fill="BFBFBF"/>
            <w:vAlign w:val="center"/>
            <w:hideMark/>
          </w:tcPr>
          <w:p w14:paraId="63866B2C" w14:textId="77777777" w:rsidR="00904A6C" w:rsidRPr="00642A8F" w:rsidRDefault="00904A6C" w:rsidP="00904A6C">
            <w:pPr>
              <w:spacing w:after="0" w:line="240" w:lineRule="auto"/>
              <w:jc w:val="left"/>
              <w:rPr>
                <w:rFonts w:eastAsia="Times New Roman" w:cs="Times New Roman"/>
                <w:b/>
                <w:bCs/>
                <w:sz w:val="18"/>
                <w:szCs w:val="18"/>
                <w:lang w:eastAsia="sk-SK"/>
              </w:rPr>
            </w:pPr>
            <w:r w:rsidRPr="00642A8F">
              <w:rPr>
                <w:rFonts w:eastAsia="Times New Roman" w:cs="Times New Roman"/>
                <w:b/>
                <w:bCs/>
                <w:sz w:val="18"/>
                <w:szCs w:val="18"/>
                <w:lang w:eastAsia="sk-SK"/>
              </w:rPr>
              <w:t> </w:t>
            </w:r>
          </w:p>
        </w:tc>
        <w:tc>
          <w:tcPr>
            <w:tcW w:w="521" w:type="pct"/>
            <w:tcBorders>
              <w:top w:val="nil"/>
              <w:left w:val="nil"/>
              <w:bottom w:val="nil"/>
              <w:right w:val="nil"/>
            </w:tcBorders>
            <w:shd w:val="clear" w:color="000000" w:fill="BFBFBF"/>
            <w:vAlign w:val="center"/>
            <w:hideMark/>
          </w:tcPr>
          <w:p w14:paraId="36CA62BB" w14:textId="77777777" w:rsidR="00904A6C" w:rsidRPr="00642A8F" w:rsidRDefault="00904A6C" w:rsidP="00E50B32">
            <w:pPr>
              <w:spacing w:after="0" w:line="240" w:lineRule="auto"/>
              <w:jc w:val="center"/>
              <w:rPr>
                <w:rFonts w:eastAsia="Times New Roman" w:cs="Times New Roman"/>
                <w:b/>
                <w:bCs/>
                <w:sz w:val="18"/>
                <w:szCs w:val="18"/>
                <w:lang w:eastAsia="sk-SK"/>
              </w:rPr>
            </w:pPr>
            <w:r w:rsidRPr="00642A8F">
              <w:rPr>
                <w:rFonts w:eastAsia="Times New Roman" w:cs="Times New Roman"/>
                <w:b/>
                <w:bCs/>
                <w:sz w:val="18"/>
                <w:szCs w:val="18"/>
                <w:lang w:eastAsia="sk-SK"/>
              </w:rPr>
              <w:t>2016</w:t>
            </w:r>
          </w:p>
        </w:tc>
        <w:tc>
          <w:tcPr>
            <w:tcW w:w="419" w:type="pct"/>
            <w:tcBorders>
              <w:top w:val="nil"/>
              <w:left w:val="nil"/>
              <w:bottom w:val="nil"/>
              <w:right w:val="nil"/>
            </w:tcBorders>
            <w:shd w:val="clear" w:color="000000" w:fill="BFBFBF"/>
            <w:vAlign w:val="center"/>
            <w:hideMark/>
          </w:tcPr>
          <w:p w14:paraId="0D3A816B" w14:textId="77777777" w:rsidR="00904A6C" w:rsidRPr="00642A8F" w:rsidRDefault="00904A6C" w:rsidP="00E50B32">
            <w:pPr>
              <w:spacing w:after="0" w:line="240" w:lineRule="auto"/>
              <w:jc w:val="center"/>
              <w:rPr>
                <w:rFonts w:eastAsia="Times New Roman" w:cs="Times New Roman"/>
                <w:b/>
                <w:bCs/>
                <w:sz w:val="18"/>
                <w:szCs w:val="18"/>
                <w:lang w:eastAsia="sk-SK"/>
              </w:rPr>
            </w:pPr>
            <w:r w:rsidRPr="00642A8F">
              <w:rPr>
                <w:rFonts w:eastAsia="Times New Roman" w:cs="Times New Roman"/>
                <w:b/>
                <w:bCs/>
                <w:sz w:val="18"/>
                <w:szCs w:val="18"/>
                <w:lang w:eastAsia="sk-SK"/>
              </w:rPr>
              <w:t>2017</w:t>
            </w:r>
          </w:p>
        </w:tc>
        <w:tc>
          <w:tcPr>
            <w:tcW w:w="521" w:type="pct"/>
            <w:tcBorders>
              <w:top w:val="nil"/>
              <w:left w:val="nil"/>
              <w:bottom w:val="nil"/>
              <w:right w:val="nil"/>
            </w:tcBorders>
            <w:shd w:val="clear" w:color="000000" w:fill="BFBFBF"/>
            <w:vAlign w:val="center"/>
            <w:hideMark/>
          </w:tcPr>
          <w:p w14:paraId="1883A56A" w14:textId="77777777" w:rsidR="00904A6C" w:rsidRPr="00642A8F" w:rsidRDefault="00904A6C" w:rsidP="00E50B32">
            <w:pPr>
              <w:spacing w:after="0" w:line="240" w:lineRule="auto"/>
              <w:jc w:val="center"/>
              <w:rPr>
                <w:rFonts w:eastAsia="Times New Roman" w:cs="Times New Roman"/>
                <w:b/>
                <w:bCs/>
                <w:sz w:val="18"/>
                <w:szCs w:val="18"/>
                <w:lang w:eastAsia="sk-SK"/>
              </w:rPr>
            </w:pPr>
            <w:r w:rsidRPr="00642A8F">
              <w:rPr>
                <w:rFonts w:eastAsia="Times New Roman" w:cs="Times New Roman"/>
                <w:b/>
                <w:bCs/>
                <w:sz w:val="18"/>
                <w:szCs w:val="18"/>
                <w:lang w:eastAsia="sk-SK"/>
              </w:rPr>
              <w:t>2018</w:t>
            </w:r>
          </w:p>
        </w:tc>
        <w:tc>
          <w:tcPr>
            <w:tcW w:w="686" w:type="pct"/>
            <w:tcBorders>
              <w:top w:val="nil"/>
              <w:left w:val="nil"/>
              <w:bottom w:val="nil"/>
              <w:right w:val="nil"/>
            </w:tcBorders>
            <w:shd w:val="clear" w:color="000000" w:fill="BFBFBF"/>
            <w:vAlign w:val="center"/>
            <w:hideMark/>
          </w:tcPr>
          <w:p w14:paraId="0D6D8830" w14:textId="77777777" w:rsidR="00904A6C" w:rsidRPr="00642A8F" w:rsidRDefault="00904A6C" w:rsidP="00E50B32">
            <w:pPr>
              <w:spacing w:after="0" w:line="240" w:lineRule="auto"/>
              <w:jc w:val="center"/>
              <w:rPr>
                <w:rFonts w:eastAsia="Times New Roman" w:cs="Times New Roman"/>
                <w:b/>
                <w:bCs/>
                <w:sz w:val="18"/>
                <w:szCs w:val="18"/>
                <w:lang w:eastAsia="sk-SK"/>
              </w:rPr>
            </w:pPr>
            <w:r w:rsidRPr="00642A8F">
              <w:rPr>
                <w:rFonts w:eastAsia="Times New Roman" w:cs="Times New Roman"/>
                <w:b/>
                <w:bCs/>
                <w:sz w:val="18"/>
                <w:szCs w:val="18"/>
                <w:lang w:eastAsia="sk-SK"/>
              </w:rPr>
              <w:t>2018</w:t>
            </w:r>
          </w:p>
        </w:tc>
        <w:tc>
          <w:tcPr>
            <w:tcW w:w="483" w:type="pct"/>
            <w:tcBorders>
              <w:top w:val="nil"/>
              <w:left w:val="nil"/>
              <w:bottom w:val="nil"/>
              <w:right w:val="nil"/>
            </w:tcBorders>
            <w:shd w:val="clear" w:color="000000" w:fill="BFBFBF"/>
            <w:vAlign w:val="center"/>
            <w:hideMark/>
          </w:tcPr>
          <w:p w14:paraId="3E0E4126" w14:textId="77777777" w:rsidR="00904A6C" w:rsidRPr="00642A8F" w:rsidRDefault="00904A6C" w:rsidP="00E50B32">
            <w:pPr>
              <w:spacing w:after="0" w:line="240" w:lineRule="auto"/>
              <w:jc w:val="center"/>
              <w:rPr>
                <w:rFonts w:eastAsia="Times New Roman" w:cs="Times New Roman"/>
                <w:b/>
                <w:bCs/>
                <w:sz w:val="18"/>
                <w:szCs w:val="18"/>
                <w:lang w:eastAsia="sk-SK"/>
              </w:rPr>
            </w:pPr>
            <w:r w:rsidRPr="00642A8F">
              <w:rPr>
                <w:rFonts w:eastAsia="Times New Roman" w:cs="Times New Roman"/>
                <w:b/>
                <w:bCs/>
                <w:sz w:val="18"/>
                <w:szCs w:val="18"/>
                <w:lang w:eastAsia="sk-SK"/>
              </w:rPr>
              <w:t>v tis. eur</w:t>
            </w:r>
          </w:p>
        </w:tc>
        <w:tc>
          <w:tcPr>
            <w:tcW w:w="630" w:type="pct"/>
            <w:tcBorders>
              <w:top w:val="nil"/>
              <w:left w:val="nil"/>
              <w:bottom w:val="nil"/>
              <w:right w:val="nil"/>
            </w:tcBorders>
            <w:shd w:val="clear" w:color="000000" w:fill="BFBFBF"/>
            <w:vAlign w:val="center"/>
            <w:hideMark/>
          </w:tcPr>
          <w:p w14:paraId="43E632FC" w14:textId="77777777" w:rsidR="00904A6C" w:rsidRPr="00642A8F" w:rsidRDefault="00904A6C" w:rsidP="00E50B32">
            <w:pPr>
              <w:spacing w:after="0" w:line="240" w:lineRule="auto"/>
              <w:jc w:val="center"/>
              <w:rPr>
                <w:rFonts w:eastAsia="Times New Roman" w:cs="Times New Roman"/>
                <w:b/>
                <w:bCs/>
                <w:sz w:val="18"/>
                <w:szCs w:val="18"/>
                <w:lang w:eastAsia="sk-SK"/>
              </w:rPr>
            </w:pPr>
            <w:r w:rsidRPr="00642A8F">
              <w:rPr>
                <w:rFonts w:eastAsia="Times New Roman" w:cs="Times New Roman"/>
                <w:b/>
                <w:bCs/>
                <w:sz w:val="18"/>
                <w:szCs w:val="18"/>
                <w:lang w:eastAsia="sk-SK"/>
              </w:rPr>
              <w:t>v %</w:t>
            </w:r>
          </w:p>
        </w:tc>
      </w:tr>
      <w:tr w:rsidR="00904A6C" w:rsidRPr="00642A8F" w14:paraId="524BCDBE" w14:textId="77777777" w:rsidTr="00C009A2">
        <w:trPr>
          <w:trHeight w:val="345"/>
        </w:trPr>
        <w:tc>
          <w:tcPr>
            <w:tcW w:w="1740" w:type="pct"/>
            <w:tcBorders>
              <w:top w:val="nil"/>
              <w:left w:val="nil"/>
              <w:bottom w:val="single" w:sz="8" w:space="0" w:color="auto"/>
              <w:right w:val="nil"/>
            </w:tcBorders>
            <w:shd w:val="clear" w:color="000000" w:fill="BFBFBF"/>
            <w:vAlign w:val="center"/>
            <w:hideMark/>
          </w:tcPr>
          <w:p w14:paraId="0F9C5C57" w14:textId="77777777" w:rsidR="00904A6C" w:rsidRPr="00642A8F" w:rsidRDefault="00904A6C" w:rsidP="00904A6C">
            <w:pPr>
              <w:spacing w:after="0" w:line="240" w:lineRule="auto"/>
              <w:jc w:val="left"/>
              <w:rPr>
                <w:rFonts w:eastAsia="Times New Roman" w:cs="Times New Roman"/>
                <w:b/>
                <w:bCs/>
                <w:sz w:val="18"/>
                <w:szCs w:val="18"/>
                <w:lang w:eastAsia="sk-SK"/>
              </w:rPr>
            </w:pPr>
            <w:r w:rsidRPr="00642A8F">
              <w:rPr>
                <w:rFonts w:eastAsia="Times New Roman" w:cs="Times New Roman"/>
                <w:b/>
                <w:bCs/>
                <w:sz w:val="18"/>
                <w:szCs w:val="18"/>
                <w:lang w:eastAsia="sk-SK"/>
              </w:rPr>
              <w:t> </w:t>
            </w:r>
          </w:p>
        </w:tc>
        <w:tc>
          <w:tcPr>
            <w:tcW w:w="521" w:type="pct"/>
            <w:tcBorders>
              <w:top w:val="nil"/>
              <w:left w:val="nil"/>
              <w:bottom w:val="single" w:sz="8" w:space="0" w:color="auto"/>
              <w:right w:val="nil"/>
            </w:tcBorders>
            <w:shd w:val="clear" w:color="000000" w:fill="BFBFBF"/>
            <w:vAlign w:val="center"/>
            <w:hideMark/>
          </w:tcPr>
          <w:p w14:paraId="7C8F2AE0" w14:textId="77777777" w:rsidR="00904A6C" w:rsidRPr="00642A8F" w:rsidRDefault="00904A6C" w:rsidP="00E50B32">
            <w:pPr>
              <w:spacing w:after="0" w:line="240" w:lineRule="auto"/>
              <w:jc w:val="center"/>
              <w:rPr>
                <w:rFonts w:eastAsia="Times New Roman" w:cs="Times New Roman"/>
                <w:b/>
                <w:bCs/>
                <w:sz w:val="18"/>
                <w:szCs w:val="18"/>
                <w:lang w:eastAsia="sk-SK"/>
              </w:rPr>
            </w:pPr>
            <w:r w:rsidRPr="00642A8F">
              <w:rPr>
                <w:rFonts w:eastAsia="Times New Roman" w:cs="Times New Roman"/>
                <w:b/>
                <w:bCs/>
                <w:sz w:val="18"/>
                <w:szCs w:val="18"/>
                <w:lang w:eastAsia="sk-SK"/>
              </w:rPr>
              <w:t>1</w:t>
            </w:r>
          </w:p>
        </w:tc>
        <w:tc>
          <w:tcPr>
            <w:tcW w:w="419" w:type="pct"/>
            <w:tcBorders>
              <w:top w:val="nil"/>
              <w:left w:val="nil"/>
              <w:bottom w:val="single" w:sz="8" w:space="0" w:color="auto"/>
              <w:right w:val="nil"/>
            </w:tcBorders>
            <w:shd w:val="clear" w:color="000000" w:fill="BFBFBF"/>
            <w:vAlign w:val="center"/>
            <w:hideMark/>
          </w:tcPr>
          <w:p w14:paraId="1B6CD933" w14:textId="77777777" w:rsidR="00904A6C" w:rsidRPr="00642A8F" w:rsidRDefault="00904A6C" w:rsidP="00E50B32">
            <w:pPr>
              <w:spacing w:after="0" w:line="240" w:lineRule="auto"/>
              <w:jc w:val="center"/>
              <w:rPr>
                <w:rFonts w:eastAsia="Times New Roman" w:cs="Times New Roman"/>
                <w:b/>
                <w:bCs/>
                <w:sz w:val="18"/>
                <w:szCs w:val="18"/>
                <w:lang w:eastAsia="sk-SK"/>
              </w:rPr>
            </w:pPr>
            <w:r w:rsidRPr="00642A8F">
              <w:rPr>
                <w:rFonts w:eastAsia="Times New Roman" w:cs="Times New Roman"/>
                <w:b/>
                <w:bCs/>
                <w:sz w:val="18"/>
                <w:szCs w:val="18"/>
                <w:lang w:eastAsia="sk-SK"/>
              </w:rPr>
              <w:t>2</w:t>
            </w:r>
          </w:p>
        </w:tc>
        <w:tc>
          <w:tcPr>
            <w:tcW w:w="521" w:type="pct"/>
            <w:tcBorders>
              <w:top w:val="nil"/>
              <w:left w:val="nil"/>
              <w:bottom w:val="single" w:sz="8" w:space="0" w:color="auto"/>
              <w:right w:val="nil"/>
            </w:tcBorders>
            <w:shd w:val="clear" w:color="000000" w:fill="BFBFBF"/>
            <w:vAlign w:val="center"/>
            <w:hideMark/>
          </w:tcPr>
          <w:p w14:paraId="39D53CE3" w14:textId="77777777" w:rsidR="00904A6C" w:rsidRPr="00642A8F" w:rsidRDefault="00904A6C" w:rsidP="00E50B32">
            <w:pPr>
              <w:spacing w:after="0" w:line="240" w:lineRule="auto"/>
              <w:jc w:val="center"/>
              <w:rPr>
                <w:rFonts w:eastAsia="Times New Roman" w:cs="Times New Roman"/>
                <w:b/>
                <w:bCs/>
                <w:sz w:val="18"/>
                <w:szCs w:val="18"/>
                <w:lang w:eastAsia="sk-SK"/>
              </w:rPr>
            </w:pPr>
            <w:r w:rsidRPr="00642A8F">
              <w:rPr>
                <w:rFonts w:eastAsia="Times New Roman" w:cs="Times New Roman"/>
                <w:b/>
                <w:bCs/>
                <w:sz w:val="18"/>
                <w:szCs w:val="18"/>
                <w:lang w:eastAsia="sk-SK"/>
              </w:rPr>
              <w:t>3</w:t>
            </w:r>
          </w:p>
        </w:tc>
        <w:tc>
          <w:tcPr>
            <w:tcW w:w="686" w:type="pct"/>
            <w:tcBorders>
              <w:top w:val="nil"/>
              <w:left w:val="nil"/>
              <w:bottom w:val="single" w:sz="8" w:space="0" w:color="auto"/>
              <w:right w:val="nil"/>
            </w:tcBorders>
            <w:shd w:val="clear" w:color="000000" w:fill="BFBFBF"/>
            <w:vAlign w:val="center"/>
            <w:hideMark/>
          </w:tcPr>
          <w:p w14:paraId="448DB59E" w14:textId="77777777" w:rsidR="00904A6C" w:rsidRPr="00642A8F" w:rsidRDefault="00904A6C" w:rsidP="00E50B32">
            <w:pPr>
              <w:spacing w:after="0" w:line="240" w:lineRule="auto"/>
              <w:jc w:val="center"/>
              <w:rPr>
                <w:rFonts w:eastAsia="Times New Roman" w:cs="Times New Roman"/>
                <w:b/>
                <w:bCs/>
                <w:sz w:val="18"/>
                <w:szCs w:val="18"/>
                <w:lang w:eastAsia="sk-SK"/>
              </w:rPr>
            </w:pPr>
            <w:r w:rsidRPr="00642A8F">
              <w:rPr>
                <w:rFonts w:eastAsia="Times New Roman" w:cs="Times New Roman"/>
                <w:b/>
                <w:bCs/>
                <w:sz w:val="18"/>
                <w:szCs w:val="18"/>
                <w:lang w:eastAsia="sk-SK"/>
              </w:rPr>
              <w:t>4</w:t>
            </w:r>
          </w:p>
        </w:tc>
        <w:tc>
          <w:tcPr>
            <w:tcW w:w="483" w:type="pct"/>
            <w:tcBorders>
              <w:top w:val="nil"/>
              <w:left w:val="nil"/>
              <w:bottom w:val="single" w:sz="8" w:space="0" w:color="auto"/>
              <w:right w:val="nil"/>
            </w:tcBorders>
            <w:shd w:val="clear" w:color="000000" w:fill="BFBFBF"/>
            <w:vAlign w:val="center"/>
            <w:hideMark/>
          </w:tcPr>
          <w:p w14:paraId="0B7D507C" w14:textId="77777777" w:rsidR="00904A6C" w:rsidRPr="00642A8F" w:rsidRDefault="00904A6C" w:rsidP="00E50B32">
            <w:pPr>
              <w:spacing w:after="0" w:line="240" w:lineRule="auto"/>
              <w:jc w:val="center"/>
              <w:rPr>
                <w:rFonts w:eastAsia="Times New Roman" w:cs="Times New Roman"/>
                <w:b/>
                <w:bCs/>
                <w:sz w:val="18"/>
                <w:szCs w:val="18"/>
                <w:lang w:eastAsia="sk-SK"/>
              </w:rPr>
            </w:pPr>
            <w:r w:rsidRPr="00642A8F">
              <w:rPr>
                <w:rFonts w:eastAsia="Times New Roman" w:cs="Times New Roman"/>
                <w:b/>
                <w:bCs/>
                <w:sz w:val="18"/>
                <w:szCs w:val="18"/>
                <w:lang w:eastAsia="sk-SK"/>
              </w:rPr>
              <w:t>5=4-3</w:t>
            </w:r>
          </w:p>
        </w:tc>
        <w:tc>
          <w:tcPr>
            <w:tcW w:w="630" w:type="pct"/>
            <w:tcBorders>
              <w:top w:val="nil"/>
              <w:left w:val="nil"/>
              <w:bottom w:val="single" w:sz="8" w:space="0" w:color="auto"/>
              <w:right w:val="nil"/>
            </w:tcBorders>
            <w:shd w:val="clear" w:color="000000" w:fill="BFBFBF"/>
            <w:vAlign w:val="center"/>
            <w:hideMark/>
          </w:tcPr>
          <w:p w14:paraId="61854F9B" w14:textId="77777777" w:rsidR="00904A6C" w:rsidRPr="00642A8F" w:rsidRDefault="00904A6C" w:rsidP="00E50B32">
            <w:pPr>
              <w:spacing w:after="0" w:line="240" w:lineRule="auto"/>
              <w:jc w:val="center"/>
              <w:rPr>
                <w:rFonts w:eastAsia="Times New Roman" w:cs="Times New Roman"/>
                <w:b/>
                <w:bCs/>
                <w:sz w:val="18"/>
                <w:szCs w:val="18"/>
                <w:lang w:eastAsia="sk-SK"/>
              </w:rPr>
            </w:pPr>
            <w:r w:rsidRPr="00642A8F">
              <w:rPr>
                <w:rFonts w:eastAsia="Times New Roman" w:cs="Times New Roman"/>
                <w:b/>
                <w:bCs/>
                <w:sz w:val="18"/>
                <w:szCs w:val="18"/>
                <w:lang w:eastAsia="sk-SK"/>
              </w:rPr>
              <w:t>6=4-3</w:t>
            </w:r>
          </w:p>
        </w:tc>
      </w:tr>
      <w:tr w:rsidR="00C009A2" w:rsidRPr="00642A8F" w14:paraId="55E01188" w14:textId="77777777" w:rsidTr="00353F0C">
        <w:trPr>
          <w:trHeight w:val="510"/>
        </w:trPr>
        <w:tc>
          <w:tcPr>
            <w:tcW w:w="1740" w:type="pct"/>
            <w:tcBorders>
              <w:top w:val="nil"/>
              <w:left w:val="nil"/>
              <w:bottom w:val="nil"/>
              <w:right w:val="nil"/>
            </w:tcBorders>
            <w:shd w:val="clear" w:color="000000" w:fill="FFFFFF"/>
            <w:vAlign w:val="center"/>
            <w:hideMark/>
          </w:tcPr>
          <w:p w14:paraId="4120C319" w14:textId="77777777" w:rsidR="00904A6C" w:rsidRPr="00642A8F" w:rsidRDefault="00904A6C" w:rsidP="00C009A2">
            <w:pPr>
              <w:spacing w:after="0" w:line="240" w:lineRule="auto"/>
              <w:jc w:val="left"/>
              <w:rPr>
                <w:rFonts w:eastAsia="Times New Roman" w:cs="Times New Roman"/>
                <w:color w:val="000000"/>
                <w:sz w:val="18"/>
                <w:szCs w:val="18"/>
                <w:lang w:eastAsia="sk-SK"/>
              </w:rPr>
            </w:pPr>
            <w:r w:rsidRPr="00642A8F">
              <w:rPr>
                <w:rFonts w:eastAsia="Times New Roman" w:cs="Times New Roman"/>
                <w:color w:val="000000"/>
                <w:sz w:val="18"/>
                <w:szCs w:val="18"/>
                <w:lang w:eastAsia="sk-SK"/>
              </w:rPr>
              <w:t xml:space="preserve">Finančný nástroj pre životné prostredie </w:t>
            </w:r>
            <w:r w:rsidRPr="00642A8F">
              <w:rPr>
                <w:rFonts w:eastAsia="Times New Roman" w:cs="Times New Roman"/>
                <w:color w:val="000000"/>
                <w:sz w:val="18"/>
                <w:szCs w:val="18"/>
                <w:lang w:eastAsia="sk-SK"/>
              </w:rPr>
              <w:br/>
              <w:t>LIFE + (2. a 3. programové obdobie)</w:t>
            </w:r>
          </w:p>
        </w:tc>
        <w:tc>
          <w:tcPr>
            <w:tcW w:w="521" w:type="pct"/>
            <w:tcBorders>
              <w:top w:val="nil"/>
              <w:left w:val="nil"/>
              <w:bottom w:val="nil"/>
              <w:right w:val="nil"/>
            </w:tcBorders>
            <w:shd w:val="clear" w:color="000000" w:fill="FFFFFF"/>
            <w:noWrap/>
            <w:vAlign w:val="center"/>
            <w:hideMark/>
          </w:tcPr>
          <w:p w14:paraId="20E95E17" w14:textId="77777777" w:rsidR="00904A6C" w:rsidRPr="00642A8F" w:rsidRDefault="00904A6C" w:rsidP="00C009A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1 501</w:t>
            </w:r>
          </w:p>
        </w:tc>
        <w:tc>
          <w:tcPr>
            <w:tcW w:w="419" w:type="pct"/>
            <w:tcBorders>
              <w:top w:val="nil"/>
              <w:left w:val="nil"/>
              <w:bottom w:val="nil"/>
              <w:right w:val="nil"/>
            </w:tcBorders>
            <w:shd w:val="clear" w:color="000000" w:fill="FFFFFF"/>
            <w:noWrap/>
            <w:vAlign w:val="center"/>
            <w:hideMark/>
          </w:tcPr>
          <w:p w14:paraId="33CB6130" w14:textId="77777777" w:rsidR="00904A6C" w:rsidRPr="00642A8F" w:rsidRDefault="00904A6C" w:rsidP="00C009A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958</w:t>
            </w:r>
          </w:p>
        </w:tc>
        <w:tc>
          <w:tcPr>
            <w:tcW w:w="521" w:type="pct"/>
            <w:tcBorders>
              <w:top w:val="nil"/>
              <w:left w:val="nil"/>
              <w:bottom w:val="nil"/>
              <w:right w:val="nil"/>
            </w:tcBorders>
            <w:shd w:val="clear" w:color="000000" w:fill="FFFFFF"/>
            <w:noWrap/>
            <w:vAlign w:val="center"/>
            <w:hideMark/>
          </w:tcPr>
          <w:p w14:paraId="1C5C3732" w14:textId="77777777" w:rsidR="00904A6C" w:rsidRPr="00642A8F" w:rsidRDefault="00904A6C" w:rsidP="00C009A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3 500</w:t>
            </w:r>
          </w:p>
        </w:tc>
        <w:tc>
          <w:tcPr>
            <w:tcW w:w="686" w:type="pct"/>
            <w:tcBorders>
              <w:top w:val="nil"/>
              <w:left w:val="nil"/>
              <w:bottom w:val="nil"/>
              <w:right w:val="nil"/>
            </w:tcBorders>
            <w:shd w:val="clear" w:color="auto" w:fill="BFBFBF" w:themeFill="background1" w:themeFillShade="BF"/>
            <w:noWrap/>
            <w:vAlign w:val="center"/>
            <w:hideMark/>
          </w:tcPr>
          <w:p w14:paraId="18BE3AF4" w14:textId="77777777" w:rsidR="00904A6C" w:rsidRPr="00642A8F" w:rsidRDefault="00904A6C" w:rsidP="00E50B3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1 548</w:t>
            </w:r>
          </w:p>
        </w:tc>
        <w:tc>
          <w:tcPr>
            <w:tcW w:w="483" w:type="pct"/>
            <w:tcBorders>
              <w:top w:val="nil"/>
              <w:left w:val="nil"/>
              <w:bottom w:val="nil"/>
              <w:right w:val="nil"/>
            </w:tcBorders>
            <w:shd w:val="clear" w:color="000000" w:fill="FFFFFF"/>
            <w:noWrap/>
            <w:vAlign w:val="center"/>
            <w:hideMark/>
          </w:tcPr>
          <w:p w14:paraId="54E8688C" w14:textId="77777777" w:rsidR="00904A6C" w:rsidRPr="00642A8F" w:rsidRDefault="00904A6C" w:rsidP="00C009A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-1 952</w:t>
            </w:r>
          </w:p>
        </w:tc>
        <w:tc>
          <w:tcPr>
            <w:tcW w:w="630" w:type="pct"/>
            <w:tcBorders>
              <w:top w:val="nil"/>
              <w:left w:val="nil"/>
              <w:bottom w:val="nil"/>
              <w:right w:val="nil"/>
            </w:tcBorders>
            <w:shd w:val="clear" w:color="000000" w:fill="FFFFFF"/>
            <w:noWrap/>
            <w:vAlign w:val="center"/>
            <w:hideMark/>
          </w:tcPr>
          <w:p w14:paraId="72FFAEC1" w14:textId="77777777" w:rsidR="00904A6C" w:rsidRPr="00642A8F" w:rsidRDefault="00904A6C" w:rsidP="00C009A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-55,8</w:t>
            </w:r>
          </w:p>
        </w:tc>
      </w:tr>
      <w:tr w:rsidR="00C009A2" w:rsidRPr="00642A8F" w14:paraId="4A8522F2" w14:textId="77777777" w:rsidTr="00353F0C">
        <w:trPr>
          <w:trHeight w:val="330"/>
        </w:trPr>
        <w:tc>
          <w:tcPr>
            <w:tcW w:w="1740" w:type="pct"/>
            <w:tcBorders>
              <w:top w:val="nil"/>
              <w:left w:val="nil"/>
              <w:bottom w:val="nil"/>
              <w:right w:val="nil"/>
            </w:tcBorders>
            <w:shd w:val="clear" w:color="000000" w:fill="FFFFFF"/>
            <w:vAlign w:val="center"/>
            <w:hideMark/>
          </w:tcPr>
          <w:p w14:paraId="100D6C25" w14:textId="77777777" w:rsidR="00904A6C" w:rsidRPr="00642A8F" w:rsidRDefault="00904A6C" w:rsidP="00C009A2">
            <w:pPr>
              <w:spacing w:after="0" w:line="240" w:lineRule="auto"/>
              <w:jc w:val="left"/>
              <w:rPr>
                <w:rFonts w:eastAsia="Times New Roman" w:cs="Times New Roman"/>
                <w:color w:val="000000"/>
                <w:sz w:val="18"/>
                <w:szCs w:val="18"/>
                <w:lang w:eastAsia="sk-SK"/>
              </w:rPr>
            </w:pPr>
            <w:r w:rsidRPr="00642A8F">
              <w:rPr>
                <w:rFonts w:eastAsia="Times New Roman" w:cs="Times New Roman"/>
                <w:color w:val="000000"/>
                <w:sz w:val="18"/>
                <w:szCs w:val="18"/>
                <w:lang w:eastAsia="sk-SK"/>
              </w:rPr>
              <w:t>Programy EÚS (2. a 3. programové obdobie)</w:t>
            </w:r>
          </w:p>
        </w:tc>
        <w:tc>
          <w:tcPr>
            <w:tcW w:w="521" w:type="pct"/>
            <w:tcBorders>
              <w:top w:val="nil"/>
              <w:left w:val="nil"/>
              <w:bottom w:val="nil"/>
              <w:right w:val="nil"/>
            </w:tcBorders>
            <w:shd w:val="clear" w:color="000000" w:fill="FFFFFF"/>
            <w:noWrap/>
            <w:vAlign w:val="center"/>
            <w:hideMark/>
          </w:tcPr>
          <w:p w14:paraId="6DFA83D5" w14:textId="77777777" w:rsidR="00904A6C" w:rsidRPr="00642A8F" w:rsidRDefault="00904A6C" w:rsidP="00C009A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3 556</w:t>
            </w:r>
          </w:p>
        </w:tc>
        <w:tc>
          <w:tcPr>
            <w:tcW w:w="419" w:type="pct"/>
            <w:tcBorders>
              <w:top w:val="nil"/>
              <w:left w:val="nil"/>
              <w:bottom w:val="nil"/>
              <w:right w:val="nil"/>
            </w:tcBorders>
            <w:shd w:val="clear" w:color="auto" w:fill="auto"/>
            <w:noWrap/>
            <w:vAlign w:val="center"/>
            <w:hideMark/>
          </w:tcPr>
          <w:p w14:paraId="3EA06BA7" w14:textId="77777777" w:rsidR="00904A6C" w:rsidRPr="00642A8F" w:rsidRDefault="00904A6C" w:rsidP="00C009A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496</w:t>
            </w:r>
          </w:p>
        </w:tc>
        <w:tc>
          <w:tcPr>
            <w:tcW w:w="521" w:type="pct"/>
            <w:tcBorders>
              <w:top w:val="nil"/>
              <w:left w:val="nil"/>
              <w:bottom w:val="nil"/>
              <w:right w:val="nil"/>
            </w:tcBorders>
            <w:shd w:val="clear" w:color="000000" w:fill="FFFFFF"/>
            <w:noWrap/>
            <w:vAlign w:val="center"/>
            <w:hideMark/>
          </w:tcPr>
          <w:p w14:paraId="2B4EC773" w14:textId="77777777" w:rsidR="00904A6C" w:rsidRPr="00642A8F" w:rsidRDefault="00904A6C" w:rsidP="00C009A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1 008</w:t>
            </w:r>
          </w:p>
        </w:tc>
        <w:tc>
          <w:tcPr>
            <w:tcW w:w="686" w:type="pct"/>
            <w:tcBorders>
              <w:top w:val="nil"/>
              <w:left w:val="nil"/>
              <w:bottom w:val="nil"/>
              <w:right w:val="nil"/>
            </w:tcBorders>
            <w:shd w:val="clear" w:color="auto" w:fill="BFBFBF" w:themeFill="background1" w:themeFillShade="BF"/>
            <w:noWrap/>
            <w:vAlign w:val="center"/>
            <w:hideMark/>
          </w:tcPr>
          <w:p w14:paraId="08466232" w14:textId="77777777" w:rsidR="00904A6C" w:rsidRPr="00642A8F" w:rsidRDefault="00904A6C" w:rsidP="00E50B3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1 258</w:t>
            </w:r>
          </w:p>
        </w:tc>
        <w:tc>
          <w:tcPr>
            <w:tcW w:w="483" w:type="pct"/>
            <w:tcBorders>
              <w:top w:val="nil"/>
              <w:left w:val="nil"/>
              <w:bottom w:val="nil"/>
              <w:right w:val="nil"/>
            </w:tcBorders>
            <w:shd w:val="clear" w:color="000000" w:fill="FFFFFF"/>
            <w:noWrap/>
            <w:vAlign w:val="center"/>
            <w:hideMark/>
          </w:tcPr>
          <w:p w14:paraId="0F31BC5C" w14:textId="77777777" w:rsidR="00904A6C" w:rsidRPr="00642A8F" w:rsidRDefault="00904A6C" w:rsidP="00C009A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250</w:t>
            </w:r>
          </w:p>
        </w:tc>
        <w:tc>
          <w:tcPr>
            <w:tcW w:w="630" w:type="pct"/>
            <w:tcBorders>
              <w:top w:val="nil"/>
              <w:left w:val="nil"/>
              <w:bottom w:val="nil"/>
              <w:right w:val="nil"/>
            </w:tcBorders>
            <w:shd w:val="clear" w:color="000000" w:fill="FFFFFF"/>
            <w:noWrap/>
            <w:vAlign w:val="center"/>
            <w:hideMark/>
          </w:tcPr>
          <w:p w14:paraId="0213BEA3" w14:textId="77777777" w:rsidR="00904A6C" w:rsidRPr="00642A8F" w:rsidRDefault="00904A6C" w:rsidP="00C009A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24,8</w:t>
            </w:r>
          </w:p>
        </w:tc>
      </w:tr>
      <w:tr w:rsidR="00C009A2" w:rsidRPr="00642A8F" w14:paraId="76215C72" w14:textId="77777777" w:rsidTr="00353F0C">
        <w:trPr>
          <w:trHeight w:val="510"/>
        </w:trPr>
        <w:tc>
          <w:tcPr>
            <w:tcW w:w="1740" w:type="pct"/>
            <w:tcBorders>
              <w:top w:val="nil"/>
              <w:left w:val="nil"/>
              <w:bottom w:val="nil"/>
              <w:right w:val="nil"/>
            </w:tcBorders>
            <w:shd w:val="clear" w:color="000000" w:fill="FFFFFF"/>
            <w:vAlign w:val="center"/>
            <w:hideMark/>
          </w:tcPr>
          <w:p w14:paraId="709A6C70" w14:textId="77777777" w:rsidR="00904A6C" w:rsidRPr="00642A8F" w:rsidRDefault="00904A6C" w:rsidP="00C009A2">
            <w:pPr>
              <w:spacing w:after="0" w:line="240" w:lineRule="auto"/>
              <w:jc w:val="left"/>
              <w:rPr>
                <w:rFonts w:eastAsia="Times New Roman" w:cs="Times New Roman"/>
                <w:b/>
                <w:bCs/>
                <w:color w:val="000000"/>
                <w:sz w:val="18"/>
                <w:szCs w:val="18"/>
                <w:lang w:eastAsia="sk-SK"/>
              </w:rPr>
            </w:pPr>
            <w:r w:rsidRPr="00642A8F">
              <w:rPr>
                <w:rFonts w:eastAsia="Times New Roman" w:cs="Times New Roman"/>
                <w:b/>
                <w:bCs/>
                <w:color w:val="000000"/>
                <w:sz w:val="18"/>
                <w:szCs w:val="18"/>
                <w:lang w:eastAsia="sk-SK"/>
              </w:rPr>
              <w:t>Spolu spolufinancovanie k</w:t>
            </w:r>
            <w:r w:rsidR="00C009A2" w:rsidRPr="00642A8F">
              <w:rPr>
                <w:rFonts w:eastAsia="Times New Roman" w:cs="Times New Roman"/>
                <w:b/>
                <w:bCs/>
                <w:color w:val="000000"/>
                <w:sz w:val="18"/>
                <w:szCs w:val="18"/>
                <w:lang w:eastAsia="sk-SK"/>
              </w:rPr>
              <w:t> zahraničným grantom z </w:t>
            </w:r>
            <w:r w:rsidRPr="00642A8F">
              <w:rPr>
                <w:rFonts w:eastAsia="Times New Roman" w:cs="Times New Roman"/>
                <w:b/>
                <w:bCs/>
                <w:color w:val="000000"/>
                <w:sz w:val="18"/>
                <w:szCs w:val="18"/>
                <w:lang w:eastAsia="sk-SK"/>
              </w:rPr>
              <w:t>prostriedkov EÚ</w:t>
            </w:r>
          </w:p>
        </w:tc>
        <w:tc>
          <w:tcPr>
            <w:tcW w:w="521" w:type="pct"/>
            <w:tcBorders>
              <w:top w:val="nil"/>
              <w:left w:val="nil"/>
              <w:bottom w:val="nil"/>
              <w:right w:val="nil"/>
            </w:tcBorders>
            <w:shd w:val="clear" w:color="000000" w:fill="FFFFFF"/>
            <w:noWrap/>
            <w:vAlign w:val="center"/>
            <w:hideMark/>
          </w:tcPr>
          <w:p w14:paraId="6F3F0350" w14:textId="77777777" w:rsidR="00904A6C" w:rsidRPr="00642A8F" w:rsidRDefault="00904A6C" w:rsidP="00C009A2">
            <w:pPr>
              <w:spacing w:after="0" w:line="240" w:lineRule="auto"/>
              <w:jc w:val="right"/>
              <w:rPr>
                <w:rFonts w:eastAsia="Times New Roman" w:cs="Times New Roman"/>
                <w:b/>
                <w:bCs/>
                <w:color w:val="000000"/>
                <w:sz w:val="18"/>
                <w:szCs w:val="18"/>
                <w:lang w:eastAsia="sk-SK"/>
              </w:rPr>
            </w:pPr>
            <w:r w:rsidRPr="00642A8F">
              <w:rPr>
                <w:rFonts w:eastAsia="Times New Roman" w:cs="Times New Roman"/>
                <w:b/>
                <w:bCs/>
                <w:color w:val="000000"/>
                <w:sz w:val="18"/>
                <w:szCs w:val="18"/>
                <w:lang w:eastAsia="sk-SK"/>
              </w:rPr>
              <w:t>5 057</w:t>
            </w:r>
          </w:p>
        </w:tc>
        <w:tc>
          <w:tcPr>
            <w:tcW w:w="419" w:type="pct"/>
            <w:tcBorders>
              <w:top w:val="nil"/>
              <w:left w:val="nil"/>
              <w:bottom w:val="nil"/>
              <w:right w:val="nil"/>
            </w:tcBorders>
            <w:shd w:val="clear" w:color="000000" w:fill="FFFFFF"/>
            <w:noWrap/>
            <w:vAlign w:val="center"/>
            <w:hideMark/>
          </w:tcPr>
          <w:p w14:paraId="5F6F135D" w14:textId="77777777" w:rsidR="00904A6C" w:rsidRPr="00642A8F" w:rsidRDefault="00904A6C" w:rsidP="00C009A2">
            <w:pPr>
              <w:spacing w:after="0" w:line="240" w:lineRule="auto"/>
              <w:jc w:val="right"/>
              <w:rPr>
                <w:rFonts w:eastAsia="Times New Roman" w:cs="Times New Roman"/>
                <w:b/>
                <w:bCs/>
                <w:color w:val="000000"/>
                <w:sz w:val="18"/>
                <w:szCs w:val="18"/>
                <w:lang w:eastAsia="sk-SK"/>
              </w:rPr>
            </w:pPr>
            <w:r w:rsidRPr="00642A8F">
              <w:rPr>
                <w:rFonts w:eastAsia="Times New Roman" w:cs="Times New Roman"/>
                <w:b/>
                <w:bCs/>
                <w:color w:val="000000"/>
                <w:sz w:val="18"/>
                <w:szCs w:val="18"/>
                <w:lang w:eastAsia="sk-SK"/>
              </w:rPr>
              <w:t>1 454</w:t>
            </w:r>
          </w:p>
        </w:tc>
        <w:tc>
          <w:tcPr>
            <w:tcW w:w="521" w:type="pct"/>
            <w:tcBorders>
              <w:top w:val="nil"/>
              <w:left w:val="nil"/>
              <w:bottom w:val="nil"/>
              <w:right w:val="nil"/>
            </w:tcBorders>
            <w:shd w:val="clear" w:color="000000" w:fill="FFFFFF"/>
            <w:noWrap/>
            <w:vAlign w:val="center"/>
            <w:hideMark/>
          </w:tcPr>
          <w:p w14:paraId="4346C800" w14:textId="77777777" w:rsidR="00904A6C" w:rsidRPr="00642A8F" w:rsidRDefault="00904A6C" w:rsidP="00C009A2">
            <w:pPr>
              <w:spacing w:after="0" w:line="240" w:lineRule="auto"/>
              <w:jc w:val="right"/>
              <w:rPr>
                <w:rFonts w:eastAsia="Times New Roman" w:cs="Times New Roman"/>
                <w:b/>
                <w:bCs/>
                <w:color w:val="000000"/>
                <w:sz w:val="18"/>
                <w:szCs w:val="18"/>
                <w:lang w:eastAsia="sk-SK"/>
              </w:rPr>
            </w:pPr>
            <w:r w:rsidRPr="00642A8F">
              <w:rPr>
                <w:rFonts w:eastAsia="Times New Roman" w:cs="Times New Roman"/>
                <w:b/>
                <w:bCs/>
                <w:color w:val="000000"/>
                <w:sz w:val="18"/>
                <w:szCs w:val="18"/>
                <w:lang w:eastAsia="sk-SK"/>
              </w:rPr>
              <w:t>4 508</w:t>
            </w:r>
          </w:p>
        </w:tc>
        <w:tc>
          <w:tcPr>
            <w:tcW w:w="686" w:type="pct"/>
            <w:tcBorders>
              <w:top w:val="nil"/>
              <w:left w:val="nil"/>
              <w:bottom w:val="nil"/>
              <w:right w:val="nil"/>
            </w:tcBorders>
            <w:shd w:val="clear" w:color="auto" w:fill="BFBFBF" w:themeFill="background1" w:themeFillShade="BF"/>
            <w:noWrap/>
            <w:vAlign w:val="center"/>
            <w:hideMark/>
          </w:tcPr>
          <w:p w14:paraId="0D739373" w14:textId="77777777" w:rsidR="00904A6C" w:rsidRPr="00642A8F" w:rsidRDefault="00904A6C" w:rsidP="00E50B32">
            <w:pPr>
              <w:spacing w:after="0" w:line="240" w:lineRule="auto"/>
              <w:jc w:val="right"/>
              <w:rPr>
                <w:rFonts w:eastAsia="Times New Roman" w:cs="Times New Roman"/>
                <w:b/>
                <w:bCs/>
                <w:color w:val="000000"/>
                <w:sz w:val="18"/>
                <w:szCs w:val="18"/>
                <w:lang w:eastAsia="sk-SK"/>
              </w:rPr>
            </w:pPr>
            <w:r w:rsidRPr="00642A8F">
              <w:rPr>
                <w:rFonts w:eastAsia="Times New Roman" w:cs="Times New Roman"/>
                <w:b/>
                <w:bCs/>
                <w:color w:val="000000"/>
                <w:sz w:val="18"/>
                <w:szCs w:val="18"/>
                <w:lang w:eastAsia="sk-SK"/>
              </w:rPr>
              <w:t>2 806</w:t>
            </w:r>
          </w:p>
        </w:tc>
        <w:tc>
          <w:tcPr>
            <w:tcW w:w="483" w:type="pct"/>
            <w:tcBorders>
              <w:top w:val="nil"/>
              <w:left w:val="nil"/>
              <w:bottom w:val="nil"/>
              <w:right w:val="nil"/>
            </w:tcBorders>
            <w:shd w:val="clear" w:color="000000" w:fill="FFFFFF"/>
            <w:noWrap/>
            <w:vAlign w:val="center"/>
            <w:hideMark/>
          </w:tcPr>
          <w:p w14:paraId="25EC6863" w14:textId="77777777" w:rsidR="00904A6C" w:rsidRPr="00642A8F" w:rsidRDefault="00904A6C" w:rsidP="00C009A2">
            <w:pPr>
              <w:spacing w:after="0" w:line="240" w:lineRule="auto"/>
              <w:jc w:val="right"/>
              <w:rPr>
                <w:rFonts w:eastAsia="Times New Roman" w:cs="Times New Roman"/>
                <w:b/>
                <w:bCs/>
                <w:color w:val="000000"/>
                <w:sz w:val="18"/>
                <w:szCs w:val="18"/>
                <w:lang w:eastAsia="sk-SK"/>
              </w:rPr>
            </w:pPr>
            <w:r w:rsidRPr="00642A8F">
              <w:rPr>
                <w:rFonts w:eastAsia="Times New Roman" w:cs="Times New Roman"/>
                <w:b/>
                <w:bCs/>
                <w:color w:val="000000"/>
                <w:sz w:val="18"/>
                <w:szCs w:val="18"/>
                <w:lang w:eastAsia="sk-SK"/>
              </w:rPr>
              <w:t>-1 702</w:t>
            </w:r>
          </w:p>
        </w:tc>
        <w:tc>
          <w:tcPr>
            <w:tcW w:w="630" w:type="pct"/>
            <w:tcBorders>
              <w:top w:val="nil"/>
              <w:left w:val="nil"/>
              <w:bottom w:val="nil"/>
              <w:right w:val="nil"/>
            </w:tcBorders>
            <w:shd w:val="clear" w:color="000000" w:fill="FFFFFF"/>
            <w:noWrap/>
            <w:vAlign w:val="center"/>
            <w:hideMark/>
          </w:tcPr>
          <w:p w14:paraId="796D6DFC" w14:textId="77777777" w:rsidR="00904A6C" w:rsidRPr="00642A8F" w:rsidRDefault="00904A6C" w:rsidP="00C009A2">
            <w:pPr>
              <w:spacing w:after="0" w:line="240" w:lineRule="auto"/>
              <w:jc w:val="right"/>
              <w:rPr>
                <w:rFonts w:eastAsia="Times New Roman" w:cs="Times New Roman"/>
                <w:b/>
                <w:bCs/>
                <w:color w:val="000000"/>
                <w:sz w:val="18"/>
                <w:szCs w:val="18"/>
                <w:lang w:eastAsia="sk-SK"/>
              </w:rPr>
            </w:pPr>
            <w:r w:rsidRPr="00642A8F">
              <w:rPr>
                <w:rFonts w:eastAsia="Times New Roman" w:cs="Times New Roman"/>
                <w:b/>
                <w:bCs/>
                <w:color w:val="000000"/>
                <w:sz w:val="18"/>
                <w:szCs w:val="18"/>
                <w:lang w:eastAsia="sk-SK"/>
              </w:rPr>
              <w:t>-37,8</w:t>
            </w:r>
          </w:p>
        </w:tc>
      </w:tr>
      <w:tr w:rsidR="00C009A2" w:rsidRPr="00642A8F" w14:paraId="11C00957" w14:textId="77777777" w:rsidTr="00353F0C">
        <w:trPr>
          <w:trHeight w:val="330"/>
        </w:trPr>
        <w:tc>
          <w:tcPr>
            <w:tcW w:w="1740" w:type="pct"/>
            <w:tcBorders>
              <w:top w:val="nil"/>
              <w:left w:val="nil"/>
              <w:bottom w:val="nil"/>
              <w:right w:val="nil"/>
            </w:tcBorders>
            <w:shd w:val="clear" w:color="000000" w:fill="FFFFFF"/>
            <w:vAlign w:val="center"/>
            <w:hideMark/>
          </w:tcPr>
          <w:p w14:paraId="78E48403" w14:textId="77777777" w:rsidR="00904A6C" w:rsidRPr="00642A8F" w:rsidRDefault="00904A6C" w:rsidP="00C009A2">
            <w:pPr>
              <w:spacing w:after="0" w:line="240" w:lineRule="auto"/>
              <w:jc w:val="left"/>
              <w:rPr>
                <w:rFonts w:eastAsia="Times New Roman" w:cs="Times New Roman"/>
                <w:color w:val="000000"/>
                <w:sz w:val="18"/>
                <w:szCs w:val="18"/>
                <w:lang w:eastAsia="sk-SK"/>
              </w:rPr>
            </w:pPr>
            <w:r w:rsidRPr="00642A8F">
              <w:rPr>
                <w:rFonts w:eastAsia="Times New Roman" w:cs="Times New Roman"/>
                <w:color w:val="000000"/>
                <w:sz w:val="18"/>
                <w:szCs w:val="18"/>
                <w:lang w:eastAsia="sk-SK"/>
              </w:rPr>
              <w:t>Finančný mechanizmus EHP</w:t>
            </w:r>
          </w:p>
        </w:tc>
        <w:tc>
          <w:tcPr>
            <w:tcW w:w="521" w:type="pct"/>
            <w:tcBorders>
              <w:top w:val="nil"/>
              <w:left w:val="nil"/>
              <w:bottom w:val="nil"/>
              <w:right w:val="nil"/>
            </w:tcBorders>
            <w:shd w:val="clear" w:color="000000" w:fill="FFFFFF"/>
            <w:noWrap/>
            <w:vAlign w:val="center"/>
            <w:hideMark/>
          </w:tcPr>
          <w:p w14:paraId="71A95801" w14:textId="77777777" w:rsidR="00904A6C" w:rsidRPr="00642A8F" w:rsidRDefault="00904A6C" w:rsidP="00C009A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997</w:t>
            </w:r>
          </w:p>
        </w:tc>
        <w:tc>
          <w:tcPr>
            <w:tcW w:w="419" w:type="pct"/>
            <w:tcBorders>
              <w:top w:val="nil"/>
              <w:left w:val="nil"/>
              <w:bottom w:val="nil"/>
              <w:right w:val="nil"/>
            </w:tcBorders>
            <w:shd w:val="clear" w:color="000000" w:fill="FFFFFF"/>
            <w:noWrap/>
            <w:vAlign w:val="center"/>
            <w:hideMark/>
          </w:tcPr>
          <w:p w14:paraId="08A21461" w14:textId="77777777" w:rsidR="00904A6C" w:rsidRPr="00642A8F" w:rsidRDefault="00904A6C" w:rsidP="00C009A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519</w:t>
            </w:r>
          </w:p>
        </w:tc>
        <w:tc>
          <w:tcPr>
            <w:tcW w:w="521" w:type="pct"/>
            <w:tcBorders>
              <w:top w:val="nil"/>
              <w:left w:val="nil"/>
              <w:bottom w:val="nil"/>
              <w:right w:val="nil"/>
            </w:tcBorders>
            <w:shd w:val="clear" w:color="000000" w:fill="FFFFFF"/>
            <w:noWrap/>
            <w:vAlign w:val="center"/>
            <w:hideMark/>
          </w:tcPr>
          <w:p w14:paraId="4CF48403" w14:textId="77777777" w:rsidR="00904A6C" w:rsidRPr="00642A8F" w:rsidRDefault="00904A6C" w:rsidP="00C009A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999</w:t>
            </w:r>
          </w:p>
        </w:tc>
        <w:tc>
          <w:tcPr>
            <w:tcW w:w="686" w:type="pct"/>
            <w:tcBorders>
              <w:top w:val="nil"/>
              <w:left w:val="nil"/>
              <w:bottom w:val="nil"/>
              <w:right w:val="nil"/>
            </w:tcBorders>
            <w:shd w:val="clear" w:color="auto" w:fill="BFBFBF" w:themeFill="background1" w:themeFillShade="BF"/>
            <w:noWrap/>
            <w:vAlign w:val="center"/>
            <w:hideMark/>
          </w:tcPr>
          <w:p w14:paraId="5B793876" w14:textId="77777777" w:rsidR="00904A6C" w:rsidRPr="00642A8F" w:rsidRDefault="00904A6C" w:rsidP="00E50B3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999</w:t>
            </w:r>
          </w:p>
        </w:tc>
        <w:tc>
          <w:tcPr>
            <w:tcW w:w="483" w:type="pct"/>
            <w:tcBorders>
              <w:top w:val="nil"/>
              <w:left w:val="nil"/>
              <w:bottom w:val="nil"/>
              <w:right w:val="nil"/>
            </w:tcBorders>
            <w:shd w:val="clear" w:color="000000" w:fill="FFFFFF"/>
            <w:noWrap/>
            <w:vAlign w:val="center"/>
            <w:hideMark/>
          </w:tcPr>
          <w:p w14:paraId="5477EABF" w14:textId="77777777" w:rsidR="00904A6C" w:rsidRPr="00642A8F" w:rsidRDefault="00904A6C" w:rsidP="00C009A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0</w:t>
            </w:r>
          </w:p>
        </w:tc>
        <w:tc>
          <w:tcPr>
            <w:tcW w:w="630" w:type="pct"/>
            <w:tcBorders>
              <w:top w:val="nil"/>
              <w:left w:val="nil"/>
              <w:bottom w:val="nil"/>
              <w:right w:val="nil"/>
            </w:tcBorders>
            <w:shd w:val="clear" w:color="000000" w:fill="FFFFFF"/>
            <w:noWrap/>
            <w:vAlign w:val="center"/>
            <w:hideMark/>
          </w:tcPr>
          <w:p w14:paraId="17758019" w14:textId="77777777" w:rsidR="00904A6C" w:rsidRPr="00642A8F" w:rsidRDefault="00904A6C" w:rsidP="00C009A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0,0</w:t>
            </w:r>
          </w:p>
        </w:tc>
      </w:tr>
      <w:tr w:rsidR="00C009A2" w:rsidRPr="00642A8F" w14:paraId="1F72DAE6" w14:textId="77777777" w:rsidTr="00353F0C">
        <w:trPr>
          <w:trHeight w:val="330"/>
        </w:trPr>
        <w:tc>
          <w:tcPr>
            <w:tcW w:w="1740" w:type="pct"/>
            <w:tcBorders>
              <w:top w:val="nil"/>
              <w:left w:val="nil"/>
              <w:bottom w:val="nil"/>
              <w:right w:val="nil"/>
            </w:tcBorders>
            <w:shd w:val="clear" w:color="000000" w:fill="FFFFFF"/>
            <w:vAlign w:val="center"/>
            <w:hideMark/>
          </w:tcPr>
          <w:p w14:paraId="0F33024F" w14:textId="77777777" w:rsidR="00904A6C" w:rsidRPr="00642A8F" w:rsidRDefault="00904A6C" w:rsidP="00C009A2">
            <w:pPr>
              <w:spacing w:after="0" w:line="240" w:lineRule="auto"/>
              <w:jc w:val="left"/>
              <w:rPr>
                <w:rFonts w:eastAsia="Times New Roman" w:cs="Times New Roman"/>
                <w:color w:val="000000"/>
                <w:sz w:val="18"/>
                <w:szCs w:val="18"/>
                <w:lang w:eastAsia="sk-SK"/>
              </w:rPr>
            </w:pPr>
            <w:r w:rsidRPr="00642A8F">
              <w:rPr>
                <w:rFonts w:eastAsia="Times New Roman" w:cs="Times New Roman"/>
                <w:color w:val="000000"/>
                <w:sz w:val="18"/>
                <w:szCs w:val="18"/>
                <w:lang w:eastAsia="sk-SK"/>
              </w:rPr>
              <w:t>Nórsky finančný mechanizmus</w:t>
            </w:r>
          </w:p>
        </w:tc>
        <w:tc>
          <w:tcPr>
            <w:tcW w:w="521" w:type="pct"/>
            <w:tcBorders>
              <w:top w:val="nil"/>
              <w:left w:val="nil"/>
              <w:bottom w:val="nil"/>
              <w:right w:val="nil"/>
            </w:tcBorders>
            <w:shd w:val="clear" w:color="000000" w:fill="FFFFFF"/>
            <w:noWrap/>
            <w:vAlign w:val="center"/>
            <w:hideMark/>
          </w:tcPr>
          <w:p w14:paraId="32EC50EA" w14:textId="77777777" w:rsidR="00904A6C" w:rsidRPr="00642A8F" w:rsidRDefault="00904A6C" w:rsidP="00C009A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738</w:t>
            </w:r>
          </w:p>
        </w:tc>
        <w:tc>
          <w:tcPr>
            <w:tcW w:w="419" w:type="pct"/>
            <w:tcBorders>
              <w:top w:val="nil"/>
              <w:left w:val="nil"/>
              <w:bottom w:val="nil"/>
              <w:right w:val="nil"/>
            </w:tcBorders>
            <w:shd w:val="clear" w:color="000000" w:fill="FFFFFF"/>
            <w:noWrap/>
            <w:vAlign w:val="center"/>
            <w:hideMark/>
          </w:tcPr>
          <w:p w14:paraId="2EE8EE09" w14:textId="77777777" w:rsidR="00904A6C" w:rsidRPr="00642A8F" w:rsidRDefault="00904A6C" w:rsidP="00C009A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640</w:t>
            </w:r>
          </w:p>
        </w:tc>
        <w:tc>
          <w:tcPr>
            <w:tcW w:w="521" w:type="pct"/>
            <w:tcBorders>
              <w:top w:val="nil"/>
              <w:left w:val="nil"/>
              <w:bottom w:val="nil"/>
              <w:right w:val="nil"/>
            </w:tcBorders>
            <w:shd w:val="clear" w:color="000000" w:fill="FFFFFF"/>
            <w:noWrap/>
            <w:vAlign w:val="center"/>
            <w:hideMark/>
          </w:tcPr>
          <w:p w14:paraId="39009E9F" w14:textId="77777777" w:rsidR="00904A6C" w:rsidRPr="00642A8F" w:rsidRDefault="00904A6C" w:rsidP="00C009A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1 318</w:t>
            </w:r>
          </w:p>
        </w:tc>
        <w:tc>
          <w:tcPr>
            <w:tcW w:w="686" w:type="pct"/>
            <w:tcBorders>
              <w:top w:val="nil"/>
              <w:left w:val="nil"/>
              <w:bottom w:val="nil"/>
              <w:right w:val="nil"/>
            </w:tcBorders>
            <w:shd w:val="clear" w:color="auto" w:fill="BFBFBF" w:themeFill="background1" w:themeFillShade="BF"/>
            <w:noWrap/>
            <w:vAlign w:val="center"/>
            <w:hideMark/>
          </w:tcPr>
          <w:p w14:paraId="67D1FAF2" w14:textId="77777777" w:rsidR="00904A6C" w:rsidRPr="00642A8F" w:rsidRDefault="00904A6C" w:rsidP="00E50B3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1 318</w:t>
            </w:r>
          </w:p>
        </w:tc>
        <w:tc>
          <w:tcPr>
            <w:tcW w:w="483" w:type="pct"/>
            <w:tcBorders>
              <w:top w:val="nil"/>
              <w:left w:val="nil"/>
              <w:bottom w:val="nil"/>
              <w:right w:val="nil"/>
            </w:tcBorders>
            <w:shd w:val="clear" w:color="000000" w:fill="FFFFFF"/>
            <w:noWrap/>
            <w:vAlign w:val="center"/>
            <w:hideMark/>
          </w:tcPr>
          <w:p w14:paraId="7D951729" w14:textId="77777777" w:rsidR="00904A6C" w:rsidRPr="00642A8F" w:rsidRDefault="00904A6C" w:rsidP="00C009A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0</w:t>
            </w:r>
          </w:p>
        </w:tc>
        <w:tc>
          <w:tcPr>
            <w:tcW w:w="630" w:type="pct"/>
            <w:tcBorders>
              <w:top w:val="nil"/>
              <w:left w:val="nil"/>
              <w:bottom w:val="nil"/>
              <w:right w:val="nil"/>
            </w:tcBorders>
            <w:shd w:val="clear" w:color="000000" w:fill="FFFFFF"/>
            <w:noWrap/>
            <w:vAlign w:val="center"/>
            <w:hideMark/>
          </w:tcPr>
          <w:p w14:paraId="5BA68CC2" w14:textId="77777777" w:rsidR="00904A6C" w:rsidRPr="00642A8F" w:rsidRDefault="00904A6C" w:rsidP="00C009A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0,0</w:t>
            </w:r>
          </w:p>
        </w:tc>
      </w:tr>
      <w:tr w:rsidR="00C009A2" w:rsidRPr="00642A8F" w14:paraId="1B66B53B" w14:textId="77777777" w:rsidTr="00353F0C">
        <w:trPr>
          <w:trHeight w:val="765"/>
        </w:trPr>
        <w:tc>
          <w:tcPr>
            <w:tcW w:w="1740" w:type="pct"/>
            <w:tcBorders>
              <w:top w:val="nil"/>
              <w:left w:val="nil"/>
              <w:bottom w:val="nil"/>
              <w:right w:val="nil"/>
            </w:tcBorders>
            <w:shd w:val="clear" w:color="000000" w:fill="FFFFFF"/>
            <w:vAlign w:val="center"/>
            <w:hideMark/>
          </w:tcPr>
          <w:p w14:paraId="14447D07" w14:textId="77777777" w:rsidR="00904A6C" w:rsidRPr="00642A8F" w:rsidRDefault="00904A6C" w:rsidP="00C009A2">
            <w:pPr>
              <w:spacing w:after="0" w:line="240" w:lineRule="auto"/>
              <w:jc w:val="left"/>
              <w:rPr>
                <w:rFonts w:eastAsia="Times New Roman" w:cs="Times New Roman"/>
                <w:b/>
                <w:bCs/>
                <w:color w:val="000000"/>
                <w:sz w:val="18"/>
                <w:szCs w:val="18"/>
                <w:lang w:eastAsia="sk-SK"/>
              </w:rPr>
            </w:pPr>
            <w:r w:rsidRPr="00642A8F">
              <w:rPr>
                <w:rFonts w:eastAsia="Times New Roman" w:cs="Times New Roman"/>
                <w:b/>
                <w:bCs/>
                <w:color w:val="000000"/>
                <w:sz w:val="18"/>
                <w:szCs w:val="18"/>
                <w:lang w:eastAsia="sk-SK"/>
              </w:rPr>
              <w:t>Spolu spolufinancovanie k</w:t>
            </w:r>
            <w:r w:rsidR="00C009A2" w:rsidRPr="00642A8F">
              <w:rPr>
                <w:rFonts w:eastAsia="Times New Roman" w:cs="Times New Roman"/>
                <w:b/>
                <w:bCs/>
                <w:color w:val="000000"/>
                <w:sz w:val="18"/>
                <w:szCs w:val="18"/>
                <w:lang w:eastAsia="sk-SK"/>
              </w:rPr>
              <w:t> </w:t>
            </w:r>
            <w:r w:rsidRPr="00642A8F">
              <w:rPr>
                <w:rFonts w:eastAsia="Times New Roman" w:cs="Times New Roman"/>
                <w:b/>
                <w:bCs/>
                <w:color w:val="000000"/>
                <w:sz w:val="18"/>
                <w:szCs w:val="18"/>
                <w:lang w:eastAsia="sk-SK"/>
              </w:rPr>
              <w:t>prostriedkom poskytnutým na základe medzinárodných zmlúv</w:t>
            </w:r>
          </w:p>
        </w:tc>
        <w:tc>
          <w:tcPr>
            <w:tcW w:w="521" w:type="pct"/>
            <w:tcBorders>
              <w:top w:val="nil"/>
              <w:left w:val="nil"/>
              <w:bottom w:val="nil"/>
              <w:right w:val="nil"/>
            </w:tcBorders>
            <w:shd w:val="clear" w:color="000000" w:fill="FFFFFF"/>
            <w:noWrap/>
            <w:vAlign w:val="center"/>
            <w:hideMark/>
          </w:tcPr>
          <w:p w14:paraId="227D365C" w14:textId="77777777" w:rsidR="00904A6C" w:rsidRPr="00642A8F" w:rsidRDefault="00904A6C" w:rsidP="00C009A2">
            <w:pPr>
              <w:spacing w:after="0" w:line="240" w:lineRule="auto"/>
              <w:jc w:val="right"/>
              <w:rPr>
                <w:rFonts w:eastAsia="Times New Roman" w:cs="Times New Roman"/>
                <w:b/>
                <w:bCs/>
                <w:color w:val="000000"/>
                <w:sz w:val="18"/>
                <w:szCs w:val="18"/>
                <w:lang w:eastAsia="sk-SK"/>
              </w:rPr>
            </w:pPr>
            <w:r w:rsidRPr="00642A8F">
              <w:rPr>
                <w:rFonts w:eastAsia="Times New Roman" w:cs="Times New Roman"/>
                <w:b/>
                <w:bCs/>
                <w:color w:val="000000"/>
                <w:sz w:val="18"/>
                <w:szCs w:val="18"/>
                <w:lang w:eastAsia="sk-SK"/>
              </w:rPr>
              <w:t>1 735</w:t>
            </w:r>
          </w:p>
        </w:tc>
        <w:tc>
          <w:tcPr>
            <w:tcW w:w="419" w:type="pct"/>
            <w:tcBorders>
              <w:top w:val="nil"/>
              <w:left w:val="nil"/>
              <w:bottom w:val="nil"/>
              <w:right w:val="nil"/>
            </w:tcBorders>
            <w:shd w:val="clear" w:color="000000" w:fill="FFFFFF"/>
            <w:noWrap/>
            <w:vAlign w:val="center"/>
            <w:hideMark/>
          </w:tcPr>
          <w:p w14:paraId="389B1F78" w14:textId="77777777" w:rsidR="00904A6C" w:rsidRPr="00642A8F" w:rsidRDefault="00904A6C" w:rsidP="00C009A2">
            <w:pPr>
              <w:spacing w:after="0" w:line="240" w:lineRule="auto"/>
              <w:jc w:val="right"/>
              <w:rPr>
                <w:rFonts w:eastAsia="Times New Roman" w:cs="Times New Roman"/>
                <w:b/>
                <w:bCs/>
                <w:color w:val="000000"/>
                <w:sz w:val="18"/>
                <w:szCs w:val="18"/>
                <w:lang w:eastAsia="sk-SK"/>
              </w:rPr>
            </w:pPr>
            <w:r w:rsidRPr="00642A8F">
              <w:rPr>
                <w:rFonts w:eastAsia="Times New Roman" w:cs="Times New Roman"/>
                <w:b/>
                <w:bCs/>
                <w:color w:val="000000"/>
                <w:sz w:val="18"/>
                <w:szCs w:val="18"/>
                <w:lang w:eastAsia="sk-SK"/>
              </w:rPr>
              <w:t>1 159</w:t>
            </w:r>
          </w:p>
        </w:tc>
        <w:tc>
          <w:tcPr>
            <w:tcW w:w="521" w:type="pct"/>
            <w:tcBorders>
              <w:top w:val="nil"/>
              <w:left w:val="nil"/>
              <w:bottom w:val="nil"/>
              <w:right w:val="nil"/>
            </w:tcBorders>
            <w:shd w:val="clear" w:color="000000" w:fill="FFFFFF"/>
            <w:noWrap/>
            <w:vAlign w:val="center"/>
            <w:hideMark/>
          </w:tcPr>
          <w:p w14:paraId="32131357" w14:textId="77777777" w:rsidR="00904A6C" w:rsidRPr="00642A8F" w:rsidRDefault="00904A6C" w:rsidP="00C009A2">
            <w:pPr>
              <w:spacing w:after="0" w:line="240" w:lineRule="auto"/>
              <w:jc w:val="right"/>
              <w:rPr>
                <w:rFonts w:eastAsia="Times New Roman" w:cs="Times New Roman"/>
                <w:b/>
                <w:bCs/>
                <w:color w:val="000000"/>
                <w:sz w:val="18"/>
                <w:szCs w:val="18"/>
                <w:lang w:eastAsia="sk-SK"/>
              </w:rPr>
            </w:pPr>
            <w:r w:rsidRPr="00642A8F">
              <w:rPr>
                <w:rFonts w:eastAsia="Times New Roman" w:cs="Times New Roman"/>
                <w:b/>
                <w:bCs/>
                <w:color w:val="000000"/>
                <w:sz w:val="18"/>
                <w:szCs w:val="18"/>
                <w:lang w:eastAsia="sk-SK"/>
              </w:rPr>
              <w:t>2 317</w:t>
            </w:r>
          </w:p>
        </w:tc>
        <w:tc>
          <w:tcPr>
            <w:tcW w:w="686" w:type="pct"/>
            <w:tcBorders>
              <w:top w:val="nil"/>
              <w:left w:val="nil"/>
              <w:bottom w:val="nil"/>
              <w:right w:val="nil"/>
            </w:tcBorders>
            <w:shd w:val="clear" w:color="auto" w:fill="BFBFBF" w:themeFill="background1" w:themeFillShade="BF"/>
            <w:noWrap/>
            <w:vAlign w:val="center"/>
            <w:hideMark/>
          </w:tcPr>
          <w:p w14:paraId="20D9B4CB" w14:textId="77777777" w:rsidR="00904A6C" w:rsidRPr="00642A8F" w:rsidRDefault="00904A6C" w:rsidP="00E50B32">
            <w:pPr>
              <w:spacing w:after="0" w:line="240" w:lineRule="auto"/>
              <w:jc w:val="right"/>
              <w:rPr>
                <w:rFonts w:eastAsia="Times New Roman" w:cs="Times New Roman"/>
                <w:b/>
                <w:bCs/>
                <w:color w:val="000000"/>
                <w:sz w:val="18"/>
                <w:szCs w:val="18"/>
                <w:lang w:eastAsia="sk-SK"/>
              </w:rPr>
            </w:pPr>
            <w:r w:rsidRPr="00642A8F">
              <w:rPr>
                <w:rFonts w:eastAsia="Times New Roman" w:cs="Times New Roman"/>
                <w:b/>
                <w:bCs/>
                <w:color w:val="000000"/>
                <w:sz w:val="18"/>
                <w:szCs w:val="18"/>
                <w:lang w:eastAsia="sk-SK"/>
              </w:rPr>
              <w:t>2 317</w:t>
            </w:r>
          </w:p>
        </w:tc>
        <w:tc>
          <w:tcPr>
            <w:tcW w:w="483" w:type="pct"/>
            <w:tcBorders>
              <w:top w:val="nil"/>
              <w:left w:val="nil"/>
              <w:bottom w:val="nil"/>
              <w:right w:val="nil"/>
            </w:tcBorders>
            <w:shd w:val="clear" w:color="000000" w:fill="FFFFFF"/>
            <w:noWrap/>
            <w:vAlign w:val="center"/>
            <w:hideMark/>
          </w:tcPr>
          <w:p w14:paraId="5AF98E76" w14:textId="77777777" w:rsidR="00904A6C" w:rsidRPr="00642A8F" w:rsidRDefault="00904A6C" w:rsidP="00C009A2">
            <w:pPr>
              <w:spacing w:after="0" w:line="240" w:lineRule="auto"/>
              <w:jc w:val="right"/>
              <w:rPr>
                <w:rFonts w:eastAsia="Times New Roman" w:cs="Times New Roman"/>
                <w:b/>
                <w:bCs/>
                <w:color w:val="000000"/>
                <w:sz w:val="18"/>
                <w:szCs w:val="18"/>
                <w:lang w:eastAsia="sk-SK"/>
              </w:rPr>
            </w:pPr>
            <w:r w:rsidRPr="00642A8F">
              <w:rPr>
                <w:rFonts w:eastAsia="Times New Roman" w:cs="Times New Roman"/>
                <w:b/>
                <w:bCs/>
                <w:color w:val="000000"/>
                <w:sz w:val="18"/>
                <w:szCs w:val="18"/>
                <w:lang w:eastAsia="sk-SK"/>
              </w:rPr>
              <w:t>0</w:t>
            </w:r>
          </w:p>
        </w:tc>
        <w:tc>
          <w:tcPr>
            <w:tcW w:w="630" w:type="pct"/>
            <w:tcBorders>
              <w:top w:val="nil"/>
              <w:left w:val="nil"/>
              <w:bottom w:val="nil"/>
              <w:right w:val="nil"/>
            </w:tcBorders>
            <w:shd w:val="clear" w:color="000000" w:fill="FFFFFF"/>
            <w:noWrap/>
            <w:vAlign w:val="center"/>
            <w:hideMark/>
          </w:tcPr>
          <w:p w14:paraId="32DB1FFB" w14:textId="77777777" w:rsidR="00904A6C" w:rsidRPr="00642A8F" w:rsidRDefault="00904A6C" w:rsidP="00C009A2">
            <w:pPr>
              <w:spacing w:after="0" w:line="240" w:lineRule="auto"/>
              <w:jc w:val="right"/>
              <w:rPr>
                <w:rFonts w:eastAsia="Times New Roman" w:cs="Times New Roman"/>
                <w:b/>
                <w:bCs/>
                <w:color w:val="000000"/>
                <w:sz w:val="18"/>
                <w:szCs w:val="18"/>
                <w:lang w:eastAsia="sk-SK"/>
              </w:rPr>
            </w:pPr>
            <w:r w:rsidRPr="00642A8F">
              <w:rPr>
                <w:rFonts w:eastAsia="Times New Roman" w:cs="Times New Roman"/>
                <w:b/>
                <w:bCs/>
                <w:color w:val="000000"/>
                <w:sz w:val="18"/>
                <w:szCs w:val="18"/>
                <w:lang w:eastAsia="sk-SK"/>
              </w:rPr>
              <w:t>0,0</w:t>
            </w:r>
          </w:p>
        </w:tc>
      </w:tr>
      <w:tr w:rsidR="00C009A2" w:rsidRPr="00642A8F" w14:paraId="02043312" w14:textId="77777777" w:rsidTr="00353F0C">
        <w:trPr>
          <w:trHeight w:val="345"/>
        </w:trPr>
        <w:tc>
          <w:tcPr>
            <w:tcW w:w="1740" w:type="pct"/>
            <w:tcBorders>
              <w:top w:val="single" w:sz="4" w:space="0" w:color="auto"/>
              <w:left w:val="nil"/>
              <w:bottom w:val="single" w:sz="8" w:space="0" w:color="auto"/>
              <w:right w:val="nil"/>
            </w:tcBorders>
            <w:shd w:val="clear" w:color="000000" w:fill="FFFFFF"/>
            <w:vAlign w:val="center"/>
            <w:hideMark/>
          </w:tcPr>
          <w:p w14:paraId="4E435221" w14:textId="77777777" w:rsidR="00904A6C" w:rsidRPr="00642A8F" w:rsidRDefault="00904A6C" w:rsidP="00C009A2">
            <w:pPr>
              <w:spacing w:after="0" w:line="240" w:lineRule="auto"/>
              <w:jc w:val="left"/>
              <w:rPr>
                <w:rFonts w:eastAsia="Times New Roman" w:cs="Times New Roman"/>
                <w:b/>
                <w:color w:val="000000"/>
                <w:sz w:val="18"/>
                <w:szCs w:val="18"/>
                <w:lang w:eastAsia="sk-SK"/>
              </w:rPr>
            </w:pPr>
            <w:r w:rsidRPr="00642A8F">
              <w:rPr>
                <w:rFonts w:eastAsia="Times New Roman" w:cs="Times New Roman"/>
                <w:b/>
                <w:color w:val="000000"/>
                <w:sz w:val="18"/>
                <w:szCs w:val="18"/>
                <w:lang w:eastAsia="sk-SK"/>
              </w:rPr>
              <w:t xml:space="preserve">Spolu </w:t>
            </w:r>
          </w:p>
        </w:tc>
        <w:tc>
          <w:tcPr>
            <w:tcW w:w="521" w:type="pct"/>
            <w:tcBorders>
              <w:top w:val="single" w:sz="4" w:space="0" w:color="auto"/>
              <w:left w:val="nil"/>
              <w:bottom w:val="single" w:sz="8" w:space="0" w:color="auto"/>
              <w:right w:val="nil"/>
            </w:tcBorders>
            <w:shd w:val="clear" w:color="000000" w:fill="FFFFFF"/>
            <w:noWrap/>
            <w:vAlign w:val="center"/>
            <w:hideMark/>
          </w:tcPr>
          <w:p w14:paraId="07B29096" w14:textId="77777777" w:rsidR="00904A6C" w:rsidRPr="00642A8F" w:rsidRDefault="00904A6C" w:rsidP="00C009A2">
            <w:pPr>
              <w:spacing w:after="0" w:line="240" w:lineRule="auto"/>
              <w:jc w:val="right"/>
              <w:rPr>
                <w:rFonts w:eastAsia="Times New Roman" w:cs="Times New Roman"/>
                <w:b/>
                <w:color w:val="000000"/>
                <w:sz w:val="18"/>
                <w:szCs w:val="18"/>
                <w:lang w:eastAsia="sk-SK"/>
              </w:rPr>
            </w:pPr>
            <w:r w:rsidRPr="00642A8F">
              <w:rPr>
                <w:rFonts w:eastAsia="Times New Roman" w:cs="Times New Roman"/>
                <w:b/>
                <w:color w:val="000000"/>
                <w:sz w:val="18"/>
                <w:szCs w:val="18"/>
                <w:lang w:eastAsia="sk-SK"/>
              </w:rPr>
              <w:t>6 792</w:t>
            </w:r>
          </w:p>
        </w:tc>
        <w:tc>
          <w:tcPr>
            <w:tcW w:w="419" w:type="pct"/>
            <w:tcBorders>
              <w:top w:val="single" w:sz="4" w:space="0" w:color="auto"/>
              <w:left w:val="nil"/>
              <w:bottom w:val="single" w:sz="8" w:space="0" w:color="auto"/>
              <w:right w:val="nil"/>
            </w:tcBorders>
            <w:shd w:val="clear" w:color="000000" w:fill="FFFFFF"/>
            <w:noWrap/>
            <w:vAlign w:val="center"/>
            <w:hideMark/>
          </w:tcPr>
          <w:p w14:paraId="686180BD" w14:textId="77777777" w:rsidR="00904A6C" w:rsidRPr="00642A8F" w:rsidRDefault="00904A6C" w:rsidP="00C009A2">
            <w:pPr>
              <w:spacing w:after="0" w:line="240" w:lineRule="auto"/>
              <w:jc w:val="right"/>
              <w:rPr>
                <w:rFonts w:eastAsia="Times New Roman" w:cs="Times New Roman"/>
                <w:b/>
                <w:color w:val="000000"/>
                <w:sz w:val="18"/>
                <w:szCs w:val="18"/>
                <w:lang w:eastAsia="sk-SK"/>
              </w:rPr>
            </w:pPr>
            <w:r w:rsidRPr="00642A8F">
              <w:rPr>
                <w:rFonts w:eastAsia="Times New Roman" w:cs="Times New Roman"/>
                <w:b/>
                <w:color w:val="000000"/>
                <w:sz w:val="18"/>
                <w:szCs w:val="18"/>
                <w:lang w:eastAsia="sk-SK"/>
              </w:rPr>
              <w:t>2 613</w:t>
            </w:r>
          </w:p>
        </w:tc>
        <w:tc>
          <w:tcPr>
            <w:tcW w:w="521" w:type="pct"/>
            <w:tcBorders>
              <w:top w:val="single" w:sz="4" w:space="0" w:color="auto"/>
              <w:left w:val="nil"/>
              <w:bottom w:val="single" w:sz="8" w:space="0" w:color="auto"/>
              <w:right w:val="nil"/>
            </w:tcBorders>
            <w:shd w:val="clear" w:color="000000" w:fill="FFFFFF"/>
            <w:noWrap/>
            <w:vAlign w:val="center"/>
            <w:hideMark/>
          </w:tcPr>
          <w:p w14:paraId="7F94BFFA" w14:textId="77777777" w:rsidR="00904A6C" w:rsidRPr="00642A8F" w:rsidRDefault="00904A6C" w:rsidP="00C009A2">
            <w:pPr>
              <w:spacing w:after="0" w:line="240" w:lineRule="auto"/>
              <w:jc w:val="right"/>
              <w:rPr>
                <w:rFonts w:eastAsia="Times New Roman" w:cs="Times New Roman"/>
                <w:b/>
                <w:color w:val="000000"/>
                <w:sz w:val="18"/>
                <w:szCs w:val="18"/>
                <w:lang w:eastAsia="sk-SK"/>
              </w:rPr>
            </w:pPr>
            <w:r w:rsidRPr="00642A8F">
              <w:rPr>
                <w:rFonts w:eastAsia="Times New Roman" w:cs="Times New Roman"/>
                <w:b/>
                <w:color w:val="000000"/>
                <w:sz w:val="18"/>
                <w:szCs w:val="18"/>
                <w:lang w:eastAsia="sk-SK"/>
              </w:rPr>
              <w:t>6 825</w:t>
            </w:r>
          </w:p>
        </w:tc>
        <w:tc>
          <w:tcPr>
            <w:tcW w:w="686" w:type="pct"/>
            <w:tcBorders>
              <w:top w:val="single" w:sz="4" w:space="0" w:color="auto"/>
              <w:left w:val="nil"/>
              <w:bottom w:val="single" w:sz="8" w:space="0" w:color="auto"/>
              <w:right w:val="nil"/>
            </w:tcBorders>
            <w:shd w:val="clear" w:color="auto" w:fill="BFBFBF" w:themeFill="background1" w:themeFillShade="BF"/>
            <w:noWrap/>
            <w:vAlign w:val="center"/>
            <w:hideMark/>
          </w:tcPr>
          <w:p w14:paraId="0895DA8D" w14:textId="77777777" w:rsidR="00904A6C" w:rsidRPr="00642A8F" w:rsidRDefault="00904A6C" w:rsidP="00E50B32">
            <w:pPr>
              <w:spacing w:after="0" w:line="240" w:lineRule="auto"/>
              <w:jc w:val="right"/>
              <w:rPr>
                <w:rFonts w:eastAsia="Times New Roman" w:cs="Times New Roman"/>
                <w:b/>
                <w:color w:val="000000"/>
                <w:sz w:val="18"/>
                <w:szCs w:val="18"/>
                <w:lang w:eastAsia="sk-SK"/>
              </w:rPr>
            </w:pPr>
            <w:r w:rsidRPr="00642A8F">
              <w:rPr>
                <w:rFonts w:eastAsia="Times New Roman" w:cs="Times New Roman"/>
                <w:b/>
                <w:color w:val="000000"/>
                <w:sz w:val="18"/>
                <w:szCs w:val="18"/>
                <w:lang w:eastAsia="sk-SK"/>
              </w:rPr>
              <w:t>5 123</w:t>
            </w:r>
          </w:p>
        </w:tc>
        <w:tc>
          <w:tcPr>
            <w:tcW w:w="483" w:type="pct"/>
            <w:tcBorders>
              <w:top w:val="single" w:sz="4" w:space="0" w:color="auto"/>
              <w:left w:val="nil"/>
              <w:bottom w:val="single" w:sz="8" w:space="0" w:color="auto"/>
              <w:right w:val="nil"/>
            </w:tcBorders>
            <w:shd w:val="clear" w:color="000000" w:fill="FFFFFF"/>
            <w:noWrap/>
            <w:vAlign w:val="center"/>
            <w:hideMark/>
          </w:tcPr>
          <w:p w14:paraId="77EE0918" w14:textId="77777777" w:rsidR="00904A6C" w:rsidRPr="00642A8F" w:rsidRDefault="00904A6C" w:rsidP="00C009A2">
            <w:pPr>
              <w:spacing w:after="0" w:line="240" w:lineRule="auto"/>
              <w:jc w:val="right"/>
              <w:rPr>
                <w:rFonts w:eastAsia="Times New Roman" w:cs="Times New Roman"/>
                <w:b/>
                <w:color w:val="000000"/>
                <w:sz w:val="18"/>
                <w:szCs w:val="18"/>
                <w:lang w:eastAsia="sk-SK"/>
              </w:rPr>
            </w:pPr>
            <w:r w:rsidRPr="00642A8F">
              <w:rPr>
                <w:rFonts w:eastAsia="Times New Roman" w:cs="Times New Roman"/>
                <w:b/>
                <w:color w:val="000000"/>
                <w:sz w:val="18"/>
                <w:szCs w:val="18"/>
                <w:lang w:eastAsia="sk-SK"/>
              </w:rPr>
              <w:t>-1 702</w:t>
            </w:r>
          </w:p>
        </w:tc>
        <w:tc>
          <w:tcPr>
            <w:tcW w:w="630" w:type="pct"/>
            <w:tcBorders>
              <w:top w:val="single" w:sz="4" w:space="0" w:color="auto"/>
              <w:left w:val="nil"/>
              <w:bottom w:val="single" w:sz="8" w:space="0" w:color="auto"/>
              <w:right w:val="nil"/>
            </w:tcBorders>
            <w:shd w:val="clear" w:color="000000" w:fill="FFFFFF"/>
            <w:noWrap/>
            <w:vAlign w:val="center"/>
            <w:hideMark/>
          </w:tcPr>
          <w:p w14:paraId="01DFCE91" w14:textId="77777777" w:rsidR="00904A6C" w:rsidRPr="00642A8F" w:rsidRDefault="00904A6C" w:rsidP="00C009A2">
            <w:pPr>
              <w:spacing w:after="0" w:line="240" w:lineRule="auto"/>
              <w:jc w:val="right"/>
              <w:rPr>
                <w:rFonts w:eastAsia="Times New Roman" w:cs="Times New Roman"/>
                <w:b/>
                <w:color w:val="000000"/>
                <w:sz w:val="18"/>
                <w:szCs w:val="18"/>
                <w:lang w:eastAsia="sk-SK"/>
              </w:rPr>
            </w:pPr>
            <w:r w:rsidRPr="00642A8F">
              <w:rPr>
                <w:rFonts w:eastAsia="Times New Roman" w:cs="Times New Roman"/>
                <w:b/>
                <w:color w:val="000000"/>
                <w:sz w:val="18"/>
                <w:szCs w:val="18"/>
                <w:lang w:eastAsia="sk-SK"/>
              </w:rPr>
              <w:t>-24,9</w:t>
            </w:r>
          </w:p>
        </w:tc>
      </w:tr>
    </w:tbl>
    <w:p w14:paraId="7627FB53" w14:textId="77777777" w:rsidR="00C009A2" w:rsidRPr="00C009A2" w:rsidRDefault="00C009A2" w:rsidP="00C009A2">
      <w:pPr>
        <w:jc w:val="right"/>
        <w:rPr>
          <w:sz w:val="18"/>
          <w:szCs w:val="18"/>
        </w:rPr>
      </w:pPr>
      <w:r w:rsidRPr="00C009A2">
        <w:rPr>
          <w:sz w:val="18"/>
          <w:szCs w:val="18"/>
        </w:rPr>
        <w:t>Zdroj: MF SR</w:t>
      </w:r>
    </w:p>
    <w:p w14:paraId="76E1A26B" w14:textId="77777777" w:rsidR="00C009A2" w:rsidRPr="006D0B3D" w:rsidRDefault="00C009A2" w:rsidP="00C009A2">
      <w:r w:rsidRPr="004106CF">
        <w:t xml:space="preserve">Celkový prehľad výdavkov na spolufinancovanie zo štátneho rozpočtu k prostriedkom EÚ, </w:t>
      </w:r>
      <w:r>
        <w:t>k </w:t>
      </w:r>
      <w:r w:rsidRPr="004106CF">
        <w:t>zahraničným grantom z prostriedkov EÚ a k prostriedkom poskytnutým na základe medzinárodných zmlúv vrátane vnútorných politík EÚ je uvedený v nasledovnej tabuľke:</w:t>
      </w:r>
    </w:p>
    <w:tbl>
      <w:tblPr>
        <w:tblW w:w="5000" w:type="pct"/>
        <w:tblLayout w:type="fixed"/>
        <w:tblCellMar>
          <w:left w:w="70" w:type="dxa"/>
          <w:right w:w="70" w:type="dxa"/>
        </w:tblCellMar>
        <w:tblLook w:val="04A0" w:firstRow="1" w:lastRow="0" w:firstColumn="1" w:lastColumn="0" w:noHBand="0" w:noVBand="1"/>
      </w:tblPr>
      <w:tblGrid>
        <w:gridCol w:w="3260"/>
        <w:gridCol w:w="859"/>
        <w:gridCol w:w="799"/>
        <w:gridCol w:w="930"/>
        <w:gridCol w:w="1063"/>
        <w:gridCol w:w="932"/>
        <w:gridCol w:w="660"/>
      </w:tblGrid>
      <w:tr w:rsidR="00C009A2" w:rsidRPr="00642A8F" w14:paraId="321E30EB" w14:textId="77777777" w:rsidTr="00E50B32">
        <w:trPr>
          <w:trHeight w:val="330"/>
        </w:trPr>
        <w:tc>
          <w:tcPr>
            <w:tcW w:w="3439" w:type="pct"/>
            <w:gridSpan w:val="4"/>
            <w:tcBorders>
              <w:top w:val="nil"/>
              <w:left w:val="nil"/>
              <w:bottom w:val="nil"/>
              <w:right w:val="nil"/>
            </w:tcBorders>
            <w:shd w:val="clear" w:color="000000" w:fill="000000"/>
            <w:noWrap/>
            <w:vAlign w:val="bottom"/>
            <w:hideMark/>
          </w:tcPr>
          <w:p w14:paraId="4920E492" w14:textId="77777777" w:rsidR="00C009A2" w:rsidRPr="00642A8F" w:rsidRDefault="00C009A2" w:rsidP="00C009A2">
            <w:pPr>
              <w:spacing w:after="0" w:line="240" w:lineRule="auto"/>
              <w:jc w:val="left"/>
              <w:rPr>
                <w:rFonts w:eastAsia="Times New Roman" w:cs="Times New Roman"/>
                <w:b/>
                <w:bCs/>
                <w:color w:val="FFFFFF"/>
                <w:sz w:val="18"/>
                <w:szCs w:val="18"/>
                <w:lang w:eastAsia="sk-SK"/>
              </w:rPr>
            </w:pPr>
            <w:bookmarkStart w:id="73" w:name="RANGE!A2:G11"/>
            <w:r w:rsidRPr="00642A8F">
              <w:rPr>
                <w:rFonts w:eastAsia="Times New Roman" w:cs="Times New Roman"/>
                <w:b/>
                <w:bCs/>
                <w:color w:val="FFFFFF"/>
                <w:sz w:val="18"/>
                <w:szCs w:val="18"/>
                <w:lang w:eastAsia="sk-SK"/>
              </w:rPr>
              <w:t xml:space="preserve">Celkový prehľad spolufinancovania zo ŠR vrátane vnútorných politík EÚ </w:t>
            </w:r>
            <w:bookmarkEnd w:id="73"/>
          </w:p>
        </w:tc>
        <w:tc>
          <w:tcPr>
            <w:tcW w:w="625" w:type="pct"/>
            <w:tcBorders>
              <w:top w:val="nil"/>
              <w:left w:val="nil"/>
              <w:bottom w:val="nil"/>
              <w:right w:val="nil"/>
            </w:tcBorders>
            <w:shd w:val="clear" w:color="000000" w:fill="000000"/>
            <w:noWrap/>
            <w:vAlign w:val="bottom"/>
            <w:hideMark/>
          </w:tcPr>
          <w:p w14:paraId="0DED9F11" w14:textId="77777777" w:rsidR="00C009A2" w:rsidRPr="00642A8F" w:rsidRDefault="00C009A2" w:rsidP="00C009A2">
            <w:pPr>
              <w:spacing w:after="0" w:line="240" w:lineRule="auto"/>
              <w:jc w:val="left"/>
              <w:rPr>
                <w:rFonts w:eastAsia="Times New Roman" w:cs="Times New Roman"/>
                <w:b/>
                <w:bCs/>
                <w:color w:val="FFFFFF"/>
                <w:sz w:val="18"/>
                <w:szCs w:val="18"/>
                <w:lang w:eastAsia="sk-SK"/>
              </w:rPr>
            </w:pPr>
            <w:r w:rsidRPr="00642A8F">
              <w:rPr>
                <w:rFonts w:eastAsia="Times New Roman" w:cs="Times New Roman"/>
                <w:b/>
                <w:bCs/>
                <w:color w:val="FFFFFF"/>
                <w:sz w:val="18"/>
                <w:szCs w:val="18"/>
                <w:lang w:eastAsia="sk-SK"/>
              </w:rPr>
              <w:t> </w:t>
            </w:r>
          </w:p>
        </w:tc>
        <w:tc>
          <w:tcPr>
            <w:tcW w:w="936" w:type="pct"/>
            <w:gridSpan w:val="2"/>
            <w:tcBorders>
              <w:top w:val="nil"/>
              <w:left w:val="nil"/>
              <w:bottom w:val="nil"/>
              <w:right w:val="nil"/>
            </w:tcBorders>
            <w:shd w:val="clear" w:color="000000" w:fill="000000"/>
            <w:noWrap/>
            <w:vAlign w:val="bottom"/>
            <w:hideMark/>
          </w:tcPr>
          <w:p w14:paraId="6FFC0379" w14:textId="5B87C24E" w:rsidR="00C009A2" w:rsidRPr="00642A8F" w:rsidRDefault="00C009A2" w:rsidP="00C009A2">
            <w:pPr>
              <w:spacing w:after="0" w:line="240" w:lineRule="auto"/>
              <w:jc w:val="left"/>
              <w:rPr>
                <w:rFonts w:eastAsia="Times New Roman" w:cs="Times New Roman"/>
                <w:b/>
                <w:bCs/>
                <w:color w:val="FFFFFF"/>
                <w:sz w:val="18"/>
                <w:szCs w:val="18"/>
                <w:lang w:eastAsia="sk-SK"/>
              </w:rPr>
            </w:pPr>
            <w:r w:rsidRPr="00642A8F">
              <w:rPr>
                <w:rFonts w:eastAsia="Times New Roman" w:cs="Times New Roman"/>
                <w:b/>
                <w:bCs/>
                <w:color w:val="FFFFFF"/>
                <w:sz w:val="18"/>
                <w:szCs w:val="18"/>
                <w:lang w:eastAsia="sk-SK"/>
              </w:rPr>
              <w:t> </w:t>
            </w:r>
            <w:r w:rsidR="00914618">
              <w:rPr>
                <w:rFonts w:eastAsia="Times New Roman" w:cs="Times New Roman"/>
                <w:b/>
                <w:bCs/>
                <w:color w:val="FFFFFF"/>
                <w:sz w:val="18"/>
                <w:szCs w:val="18"/>
                <w:lang w:eastAsia="sk-SK"/>
              </w:rPr>
              <w:t xml:space="preserve">               </w:t>
            </w:r>
            <w:r w:rsidRPr="00642A8F">
              <w:rPr>
                <w:rFonts w:eastAsia="Times New Roman" w:cs="Times New Roman"/>
                <w:b/>
                <w:bCs/>
                <w:color w:val="FFFFFF"/>
                <w:sz w:val="18"/>
                <w:szCs w:val="18"/>
                <w:lang w:eastAsia="sk-SK"/>
              </w:rPr>
              <w:t>v tis. eur</w:t>
            </w:r>
          </w:p>
        </w:tc>
      </w:tr>
      <w:tr w:rsidR="00C009A2" w:rsidRPr="00642A8F" w14:paraId="63065EFB" w14:textId="77777777" w:rsidTr="00E50B32">
        <w:trPr>
          <w:trHeight w:val="330"/>
        </w:trPr>
        <w:tc>
          <w:tcPr>
            <w:tcW w:w="1917" w:type="pct"/>
            <w:tcBorders>
              <w:top w:val="nil"/>
              <w:left w:val="nil"/>
              <w:bottom w:val="nil"/>
              <w:right w:val="nil"/>
            </w:tcBorders>
            <w:shd w:val="clear" w:color="000000" w:fill="BFBFBF"/>
            <w:vAlign w:val="center"/>
            <w:hideMark/>
          </w:tcPr>
          <w:p w14:paraId="4B4779DE" w14:textId="77777777" w:rsidR="00C009A2" w:rsidRPr="00642A8F" w:rsidRDefault="00C009A2" w:rsidP="00C009A2">
            <w:pPr>
              <w:spacing w:after="0" w:line="240" w:lineRule="auto"/>
              <w:jc w:val="left"/>
              <w:rPr>
                <w:rFonts w:eastAsia="Times New Roman" w:cs="Times New Roman"/>
                <w:b/>
                <w:bCs/>
                <w:sz w:val="18"/>
                <w:szCs w:val="18"/>
                <w:lang w:eastAsia="sk-SK"/>
              </w:rPr>
            </w:pPr>
            <w:r w:rsidRPr="00642A8F">
              <w:rPr>
                <w:rFonts w:eastAsia="Times New Roman" w:cs="Times New Roman"/>
                <w:b/>
                <w:bCs/>
                <w:sz w:val="18"/>
                <w:szCs w:val="18"/>
                <w:lang w:eastAsia="sk-SK"/>
              </w:rPr>
              <w:t> </w:t>
            </w:r>
          </w:p>
        </w:tc>
        <w:tc>
          <w:tcPr>
            <w:tcW w:w="975" w:type="pct"/>
            <w:gridSpan w:val="2"/>
            <w:tcBorders>
              <w:top w:val="nil"/>
              <w:left w:val="nil"/>
              <w:bottom w:val="nil"/>
              <w:right w:val="nil"/>
            </w:tcBorders>
            <w:shd w:val="clear" w:color="000000" w:fill="BFBFBF"/>
            <w:vAlign w:val="center"/>
            <w:hideMark/>
          </w:tcPr>
          <w:p w14:paraId="101B12F7" w14:textId="77777777" w:rsidR="00C009A2" w:rsidRPr="00642A8F" w:rsidRDefault="00C009A2" w:rsidP="00C009A2">
            <w:pPr>
              <w:spacing w:after="0" w:line="240" w:lineRule="auto"/>
              <w:jc w:val="center"/>
              <w:rPr>
                <w:rFonts w:eastAsia="Times New Roman" w:cs="Times New Roman"/>
                <w:b/>
                <w:bCs/>
                <w:sz w:val="18"/>
                <w:szCs w:val="18"/>
                <w:lang w:eastAsia="sk-SK"/>
              </w:rPr>
            </w:pPr>
            <w:r w:rsidRPr="00642A8F">
              <w:rPr>
                <w:rFonts w:eastAsia="Times New Roman" w:cs="Times New Roman"/>
                <w:b/>
                <w:bCs/>
                <w:sz w:val="18"/>
                <w:szCs w:val="18"/>
                <w:lang w:eastAsia="sk-SK"/>
              </w:rPr>
              <w:t>Skutočnosť</w:t>
            </w:r>
          </w:p>
        </w:tc>
        <w:tc>
          <w:tcPr>
            <w:tcW w:w="547" w:type="pct"/>
            <w:tcBorders>
              <w:top w:val="nil"/>
              <w:left w:val="nil"/>
              <w:bottom w:val="nil"/>
              <w:right w:val="nil"/>
            </w:tcBorders>
            <w:shd w:val="clear" w:color="000000" w:fill="BFBFBF"/>
            <w:vAlign w:val="center"/>
            <w:hideMark/>
          </w:tcPr>
          <w:p w14:paraId="79B354FC" w14:textId="77777777" w:rsidR="00C009A2" w:rsidRPr="00642A8F" w:rsidRDefault="00C009A2" w:rsidP="00C009A2">
            <w:pPr>
              <w:spacing w:after="0" w:line="240" w:lineRule="auto"/>
              <w:jc w:val="center"/>
              <w:rPr>
                <w:rFonts w:eastAsia="Times New Roman" w:cs="Times New Roman"/>
                <w:b/>
                <w:bCs/>
                <w:sz w:val="18"/>
                <w:szCs w:val="18"/>
                <w:lang w:eastAsia="sk-SK"/>
              </w:rPr>
            </w:pPr>
            <w:r w:rsidRPr="00642A8F">
              <w:rPr>
                <w:rFonts w:eastAsia="Times New Roman" w:cs="Times New Roman"/>
                <w:b/>
                <w:bCs/>
                <w:sz w:val="18"/>
                <w:szCs w:val="18"/>
                <w:lang w:eastAsia="sk-SK"/>
              </w:rPr>
              <w:t>Rozpočet</w:t>
            </w:r>
          </w:p>
        </w:tc>
        <w:tc>
          <w:tcPr>
            <w:tcW w:w="625" w:type="pct"/>
            <w:tcBorders>
              <w:top w:val="nil"/>
              <w:left w:val="nil"/>
              <w:bottom w:val="nil"/>
              <w:right w:val="nil"/>
            </w:tcBorders>
            <w:shd w:val="clear" w:color="000000" w:fill="BFBFBF"/>
            <w:vAlign w:val="center"/>
            <w:hideMark/>
          </w:tcPr>
          <w:p w14:paraId="6FD03DC8" w14:textId="77777777" w:rsidR="00C009A2" w:rsidRPr="00642A8F" w:rsidRDefault="00C009A2" w:rsidP="00C009A2">
            <w:pPr>
              <w:spacing w:after="0" w:line="240" w:lineRule="auto"/>
              <w:jc w:val="center"/>
              <w:rPr>
                <w:rFonts w:eastAsia="Times New Roman" w:cs="Times New Roman"/>
                <w:b/>
                <w:bCs/>
                <w:sz w:val="18"/>
                <w:szCs w:val="18"/>
                <w:lang w:eastAsia="sk-SK"/>
              </w:rPr>
            </w:pPr>
            <w:r w:rsidRPr="00642A8F">
              <w:rPr>
                <w:rFonts w:eastAsia="Times New Roman" w:cs="Times New Roman"/>
                <w:b/>
                <w:bCs/>
                <w:sz w:val="18"/>
                <w:szCs w:val="18"/>
                <w:lang w:eastAsia="sk-SK"/>
              </w:rPr>
              <w:t>Skutočnosť</w:t>
            </w:r>
          </w:p>
        </w:tc>
        <w:tc>
          <w:tcPr>
            <w:tcW w:w="936" w:type="pct"/>
            <w:gridSpan w:val="2"/>
            <w:tcBorders>
              <w:top w:val="nil"/>
              <w:left w:val="nil"/>
              <w:bottom w:val="nil"/>
              <w:right w:val="nil"/>
            </w:tcBorders>
            <w:shd w:val="clear" w:color="000000" w:fill="BFBFBF"/>
            <w:vAlign w:val="center"/>
            <w:hideMark/>
          </w:tcPr>
          <w:p w14:paraId="22DF13C6" w14:textId="77777777" w:rsidR="00C009A2" w:rsidRPr="00642A8F" w:rsidRDefault="00C009A2" w:rsidP="00C009A2">
            <w:pPr>
              <w:spacing w:after="0" w:line="240" w:lineRule="auto"/>
              <w:jc w:val="center"/>
              <w:rPr>
                <w:rFonts w:eastAsia="Times New Roman" w:cs="Times New Roman"/>
                <w:b/>
                <w:bCs/>
                <w:sz w:val="18"/>
                <w:szCs w:val="18"/>
                <w:lang w:eastAsia="sk-SK"/>
              </w:rPr>
            </w:pPr>
            <w:r w:rsidRPr="00642A8F">
              <w:rPr>
                <w:rFonts w:eastAsia="Times New Roman" w:cs="Times New Roman"/>
                <w:b/>
                <w:bCs/>
                <w:sz w:val="18"/>
                <w:szCs w:val="18"/>
                <w:lang w:eastAsia="sk-SK"/>
              </w:rPr>
              <w:t>Rozdiel</w:t>
            </w:r>
          </w:p>
        </w:tc>
      </w:tr>
      <w:tr w:rsidR="00C009A2" w:rsidRPr="00642A8F" w14:paraId="49933985" w14:textId="77777777" w:rsidTr="00E50B32">
        <w:trPr>
          <w:trHeight w:val="330"/>
        </w:trPr>
        <w:tc>
          <w:tcPr>
            <w:tcW w:w="1917" w:type="pct"/>
            <w:tcBorders>
              <w:top w:val="nil"/>
              <w:left w:val="nil"/>
              <w:bottom w:val="nil"/>
              <w:right w:val="nil"/>
            </w:tcBorders>
            <w:shd w:val="clear" w:color="000000" w:fill="BFBFBF"/>
            <w:vAlign w:val="center"/>
            <w:hideMark/>
          </w:tcPr>
          <w:p w14:paraId="0676AB0A" w14:textId="77777777" w:rsidR="00C009A2" w:rsidRPr="00642A8F" w:rsidRDefault="00C009A2" w:rsidP="00C009A2">
            <w:pPr>
              <w:spacing w:after="0" w:line="240" w:lineRule="auto"/>
              <w:jc w:val="center"/>
              <w:rPr>
                <w:rFonts w:eastAsia="Times New Roman" w:cs="Times New Roman"/>
                <w:b/>
                <w:bCs/>
                <w:sz w:val="18"/>
                <w:szCs w:val="18"/>
                <w:lang w:eastAsia="sk-SK"/>
              </w:rPr>
            </w:pPr>
          </w:p>
        </w:tc>
        <w:tc>
          <w:tcPr>
            <w:tcW w:w="505" w:type="pct"/>
            <w:tcBorders>
              <w:top w:val="nil"/>
              <w:left w:val="nil"/>
              <w:bottom w:val="nil"/>
              <w:right w:val="nil"/>
            </w:tcBorders>
            <w:shd w:val="clear" w:color="000000" w:fill="BFBFBF"/>
            <w:vAlign w:val="center"/>
            <w:hideMark/>
          </w:tcPr>
          <w:p w14:paraId="118C48AC" w14:textId="77777777" w:rsidR="00C009A2" w:rsidRPr="00642A8F" w:rsidRDefault="00C009A2" w:rsidP="00C009A2">
            <w:pPr>
              <w:spacing w:after="0" w:line="240" w:lineRule="auto"/>
              <w:jc w:val="center"/>
              <w:rPr>
                <w:rFonts w:eastAsia="Times New Roman" w:cs="Times New Roman"/>
                <w:b/>
                <w:bCs/>
                <w:sz w:val="18"/>
                <w:szCs w:val="18"/>
                <w:lang w:eastAsia="sk-SK"/>
              </w:rPr>
            </w:pPr>
            <w:r w:rsidRPr="00642A8F">
              <w:rPr>
                <w:rFonts w:eastAsia="Times New Roman" w:cs="Times New Roman"/>
                <w:b/>
                <w:bCs/>
                <w:sz w:val="18"/>
                <w:szCs w:val="18"/>
                <w:lang w:eastAsia="sk-SK"/>
              </w:rPr>
              <w:t>2016</w:t>
            </w:r>
          </w:p>
        </w:tc>
        <w:tc>
          <w:tcPr>
            <w:tcW w:w="470" w:type="pct"/>
            <w:tcBorders>
              <w:top w:val="nil"/>
              <w:left w:val="nil"/>
              <w:bottom w:val="nil"/>
              <w:right w:val="nil"/>
            </w:tcBorders>
            <w:shd w:val="clear" w:color="000000" w:fill="BFBFBF"/>
            <w:vAlign w:val="center"/>
            <w:hideMark/>
          </w:tcPr>
          <w:p w14:paraId="4DCC9E23" w14:textId="77777777" w:rsidR="00C009A2" w:rsidRPr="00642A8F" w:rsidRDefault="00C009A2" w:rsidP="00C009A2">
            <w:pPr>
              <w:spacing w:after="0" w:line="240" w:lineRule="auto"/>
              <w:jc w:val="center"/>
              <w:rPr>
                <w:rFonts w:eastAsia="Times New Roman" w:cs="Times New Roman"/>
                <w:b/>
                <w:bCs/>
                <w:sz w:val="18"/>
                <w:szCs w:val="18"/>
                <w:lang w:eastAsia="sk-SK"/>
              </w:rPr>
            </w:pPr>
            <w:r w:rsidRPr="00642A8F">
              <w:rPr>
                <w:rFonts w:eastAsia="Times New Roman" w:cs="Times New Roman"/>
                <w:b/>
                <w:bCs/>
                <w:sz w:val="18"/>
                <w:szCs w:val="18"/>
                <w:lang w:eastAsia="sk-SK"/>
              </w:rPr>
              <w:t>2017</w:t>
            </w:r>
          </w:p>
        </w:tc>
        <w:tc>
          <w:tcPr>
            <w:tcW w:w="547" w:type="pct"/>
            <w:tcBorders>
              <w:top w:val="nil"/>
              <w:left w:val="nil"/>
              <w:bottom w:val="nil"/>
              <w:right w:val="nil"/>
            </w:tcBorders>
            <w:shd w:val="clear" w:color="000000" w:fill="BFBFBF"/>
            <w:vAlign w:val="center"/>
            <w:hideMark/>
          </w:tcPr>
          <w:p w14:paraId="3DDB92A3" w14:textId="77777777" w:rsidR="00C009A2" w:rsidRPr="00642A8F" w:rsidRDefault="00C009A2" w:rsidP="00C009A2">
            <w:pPr>
              <w:spacing w:after="0" w:line="240" w:lineRule="auto"/>
              <w:jc w:val="center"/>
              <w:rPr>
                <w:rFonts w:eastAsia="Times New Roman" w:cs="Times New Roman"/>
                <w:b/>
                <w:bCs/>
                <w:sz w:val="18"/>
                <w:szCs w:val="18"/>
                <w:lang w:eastAsia="sk-SK"/>
              </w:rPr>
            </w:pPr>
            <w:r w:rsidRPr="00642A8F">
              <w:rPr>
                <w:rFonts w:eastAsia="Times New Roman" w:cs="Times New Roman"/>
                <w:b/>
                <w:bCs/>
                <w:sz w:val="18"/>
                <w:szCs w:val="18"/>
                <w:lang w:eastAsia="sk-SK"/>
              </w:rPr>
              <w:t>2018</w:t>
            </w:r>
          </w:p>
        </w:tc>
        <w:tc>
          <w:tcPr>
            <w:tcW w:w="625" w:type="pct"/>
            <w:tcBorders>
              <w:top w:val="nil"/>
              <w:left w:val="nil"/>
              <w:bottom w:val="nil"/>
              <w:right w:val="nil"/>
            </w:tcBorders>
            <w:shd w:val="clear" w:color="000000" w:fill="BFBFBF"/>
            <w:vAlign w:val="center"/>
            <w:hideMark/>
          </w:tcPr>
          <w:p w14:paraId="2B953C9A" w14:textId="77777777" w:rsidR="00C009A2" w:rsidRPr="00642A8F" w:rsidRDefault="00C009A2" w:rsidP="00C009A2">
            <w:pPr>
              <w:spacing w:after="0" w:line="240" w:lineRule="auto"/>
              <w:jc w:val="center"/>
              <w:rPr>
                <w:rFonts w:eastAsia="Times New Roman" w:cs="Times New Roman"/>
                <w:b/>
                <w:bCs/>
                <w:sz w:val="18"/>
                <w:szCs w:val="18"/>
                <w:lang w:eastAsia="sk-SK"/>
              </w:rPr>
            </w:pPr>
            <w:r w:rsidRPr="00642A8F">
              <w:rPr>
                <w:rFonts w:eastAsia="Times New Roman" w:cs="Times New Roman"/>
                <w:b/>
                <w:bCs/>
                <w:sz w:val="18"/>
                <w:szCs w:val="18"/>
                <w:lang w:eastAsia="sk-SK"/>
              </w:rPr>
              <w:t>2018</w:t>
            </w:r>
          </w:p>
        </w:tc>
        <w:tc>
          <w:tcPr>
            <w:tcW w:w="548" w:type="pct"/>
            <w:tcBorders>
              <w:top w:val="nil"/>
              <w:left w:val="nil"/>
              <w:bottom w:val="nil"/>
              <w:right w:val="nil"/>
            </w:tcBorders>
            <w:shd w:val="clear" w:color="000000" w:fill="BFBFBF"/>
            <w:vAlign w:val="center"/>
            <w:hideMark/>
          </w:tcPr>
          <w:p w14:paraId="17429B11" w14:textId="77777777" w:rsidR="00C009A2" w:rsidRPr="00642A8F" w:rsidRDefault="00C009A2" w:rsidP="00C009A2">
            <w:pPr>
              <w:spacing w:after="0" w:line="240" w:lineRule="auto"/>
              <w:jc w:val="center"/>
              <w:rPr>
                <w:rFonts w:eastAsia="Times New Roman" w:cs="Times New Roman"/>
                <w:b/>
                <w:bCs/>
                <w:sz w:val="18"/>
                <w:szCs w:val="18"/>
                <w:lang w:eastAsia="sk-SK"/>
              </w:rPr>
            </w:pPr>
            <w:r w:rsidRPr="00642A8F">
              <w:rPr>
                <w:rFonts w:eastAsia="Times New Roman" w:cs="Times New Roman"/>
                <w:b/>
                <w:bCs/>
                <w:sz w:val="18"/>
                <w:szCs w:val="18"/>
                <w:lang w:eastAsia="sk-SK"/>
              </w:rPr>
              <w:t>v tis. eur</w:t>
            </w:r>
          </w:p>
        </w:tc>
        <w:tc>
          <w:tcPr>
            <w:tcW w:w="388" w:type="pct"/>
            <w:tcBorders>
              <w:top w:val="nil"/>
              <w:left w:val="nil"/>
              <w:bottom w:val="nil"/>
              <w:right w:val="nil"/>
            </w:tcBorders>
            <w:shd w:val="clear" w:color="000000" w:fill="BFBFBF"/>
            <w:vAlign w:val="center"/>
            <w:hideMark/>
          </w:tcPr>
          <w:p w14:paraId="71439AB6" w14:textId="77777777" w:rsidR="00C009A2" w:rsidRPr="00642A8F" w:rsidRDefault="00C009A2" w:rsidP="00C009A2">
            <w:pPr>
              <w:spacing w:after="0" w:line="240" w:lineRule="auto"/>
              <w:jc w:val="center"/>
              <w:rPr>
                <w:rFonts w:eastAsia="Times New Roman" w:cs="Times New Roman"/>
                <w:b/>
                <w:bCs/>
                <w:sz w:val="18"/>
                <w:szCs w:val="18"/>
                <w:lang w:eastAsia="sk-SK"/>
              </w:rPr>
            </w:pPr>
            <w:r w:rsidRPr="00642A8F">
              <w:rPr>
                <w:rFonts w:eastAsia="Times New Roman" w:cs="Times New Roman"/>
                <w:b/>
                <w:bCs/>
                <w:sz w:val="18"/>
                <w:szCs w:val="18"/>
                <w:lang w:eastAsia="sk-SK"/>
              </w:rPr>
              <w:t>v %</w:t>
            </w:r>
          </w:p>
        </w:tc>
      </w:tr>
      <w:tr w:rsidR="00C009A2" w:rsidRPr="00642A8F" w14:paraId="3E8669AF" w14:textId="77777777" w:rsidTr="00E50B32">
        <w:trPr>
          <w:trHeight w:val="345"/>
        </w:trPr>
        <w:tc>
          <w:tcPr>
            <w:tcW w:w="1917" w:type="pct"/>
            <w:tcBorders>
              <w:top w:val="nil"/>
              <w:left w:val="nil"/>
              <w:bottom w:val="single" w:sz="8" w:space="0" w:color="auto"/>
              <w:right w:val="nil"/>
            </w:tcBorders>
            <w:shd w:val="clear" w:color="000000" w:fill="BFBFBF"/>
            <w:vAlign w:val="center"/>
            <w:hideMark/>
          </w:tcPr>
          <w:p w14:paraId="30127178" w14:textId="77777777" w:rsidR="00C009A2" w:rsidRPr="00642A8F" w:rsidRDefault="00C009A2" w:rsidP="00C009A2">
            <w:pPr>
              <w:spacing w:after="0" w:line="240" w:lineRule="auto"/>
              <w:jc w:val="center"/>
              <w:rPr>
                <w:rFonts w:eastAsia="Times New Roman" w:cs="Times New Roman"/>
                <w:b/>
                <w:bCs/>
                <w:sz w:val="18"/>
                <w:szCs w:val="18"/>
                <w:lang w:eastAsia="sk-SK"/>
              </w:rPr>
            </w:pPr>
          </w:p>
        </w:tc>
        <w:tc>
          <w:tcPr>
            <w:tcW w:w="505" w:type="pct"/>
            <w:tcBorders>
              <w:top w:val="nil"/>
              <w:left w:val="nil"/>
              <w:bottom w:val="single" w:sz="8" w:space="0" w:color="auto"/>
              <w:right w:val="nil"/>
            </w:tcBorders>
            <w:shd w:val="clear" w:color="000000" w:fill="BFBFBF"/>
            <w:vAlign w:val="center"/>
            <w:hideMark/>
          </w:tcPr>
          <w:p w14:paraId="4E97CD61" w14:textId="77777777" w:rsidR="00C009A2" w:rsidRPr="00642A8F" w:rsidRDefault="00C009A2" w:rsidP="00C009A2">
            <w:pPr>
              <w:spacing w:after="0" w:line="240" w:lineRule="auto"/>
              <w:jc w:val="center"/>
              <w:rPr>
                <w:rFonts w:eastAsia="Times New Roman" w:cs="Times New Roman"/>
                <w:b/>
                <w:bCs/>
                <w:sz w:val="18"/>
                <w:szCs w:val="18"/>
                <w:lang w:eastAsia="sk-SK"/>
              </w:rPr>
            </w:pPr>
            <w:r w:rsidRPr="00642A8F">
              <w:rPr>
                <w:rFonts w:eastAsia="Times New Roman" w:cs="Times New Roman"/>
                <w:b/>
                <w:bCs/>
                <w:sz w:val="18"/>
                <w:szCs w:val="18"/>
                <w:lang w:eastAsia="sk-SK"/>
              </w:rPr>
              <w:t>1</w:t>
            </w:r>
          </w:p>
        </w:tc>
        <w:tc>
          <w:tcPr>
            <w:tcW w:w="470" w:type="pct"/>
            <w:tcBorders>
              <w:top w:val="nil"/>
              <w:left w:val="nil"/>
              <w:bottom w:val="single" w:sz="8" w:space="0" w:color="auto"/>
              <w:right w:val="nil"/>
            </w:tcBorders>
            <w:shd w:val="clear" w:color="000000" w:fill="BFBFBF"/>
            <w:vAlign w:val="center"/>
            <w:hideMark/>
          </w:tcPr>
          <w:p w14:paraId="30AED256" w14:textId="77777777" w:rsidR="00C009A2" w:rsidRPr="00642A8F" w:rsidRDefault="00C009A2" w:rsidP="00C009A2">
            <w:pPr>
              <w:spacing w:after="0" w:line="240" w:lineRule="auto"/>
              <w:jc w:val="center"/>
              <w:rPr>
                <w:rFonts w:eastAsia="Times New Roman" w:cs="Times New Roman"/>
                <w:b/>
                <w:bCs/>
                <w:sz w:val="18"/>
                <w:szCs w:val="18"/>
                <w:lang w:eastAsia="sk-SK"/>
              </w:rPr>
            </w:pPr>
            <w:r w:rsidRPr="00642A8F">
              <w:rPr>
                <w:rFonts w:eastAsia="Times New Roman" w:cs="Times New Roman"/>
                <w:b/>
                <w:bCs/>
                <w:sz w:val="18"/>
                <w:szCs w:val="18"/>
                <w:lang w:eastAsia="sk-SK"/>
              </w:rPr>
              <w:t>2</w:t>
            </w:r>
          </w:p>
        </w:tc>
        <w:tc>
          <w:tcPr>
            <w:tcW w:w="547" w:type="pct"/>
            <w:tcBorders>
              <w:top w:val="nil"/>
              <w:left w:val="nil"/>
              <w:bottom w:val="single" w:sz="8" w:space="0" w:color="auto"/>
              <w:right w:val="nil"/>
            </w:tcBorders>
            <w:shd w:val="clear" w:color="000000" w:fill="BFBFBF"/>
            <w:vAlign w:val="center"/>
            <w:hideMark/>
          </w:tcPr>
          <w:p w14:paraId="3DC80DC0" w14:textId="77777777" w:rsidR="00C009A2" w:rsidRPr="00642A8F" w:rsidRDefault="00C009A2" w:rsidP="00C009A2">
            <w:pPr>
              <w:spacing w:after="0" w:line="240" w:lineRule="auto"/>
              <w:jc w:val="center"/>
              <w:rPr>
                <w:rFonts w:eastAsia="Times New Roman" w:cs="Times New Roman"/>
                <w:b/>
                <w:bCs/>
                <w:sz w:val="18"/>
                <w:szCs w:val="18"/>
                <w:lang w:eastAsia="sk-SK"/>
              </w:rPr>
            </w:pPr>
            <w:r w:rsidRPr="00642A8F">
              <w:rPr>
                <w:rFonts w:eastAsia="Times New Roman" w:cs="Times New Roman"/>
                <w:b/>
                <w:bCs/>
                <w:sz w:val="18"/>
                <w:szCs w:val="18"/>
                <w:lang w:eastAsia="sk-SK"/>
              </w:rPr>
              <w:t>3</w:t>
            </w:r>
          </w:p>
        </w:tc>
        <w:tc>
          <w:tcPr>
            <w:tcW w:w="625" w:type="pct"/>
            <w:tcBorders>
              <w:top w:val="nil"/>
              <w:left w:val="nil"/>
              <w:bottom w:val="single" w:sz="8" w:space="0" w:color="auto"/>
              <w:right w:val="nil"/>
            </w:tcBorders>
            <w:shd w:val="clear" w:color="000000" w:fill="BFBFBF"/>
            <w:vAlign w:val="center"/>
            <w:hideMark/>
          </w:tcPr>
          <w:p w14:paraId="3EC456CB" w14:textId="77777777" w:rsidR="00C009A2" w:rsidRPr="00642A8F" w:rsidRDefault="00C009A2" w:rsidP="00C009A2">
            <w:pPr>
              <w:spacing w:after="0" w:line="240" w:lineRule="auto"/>
              <w:jc w:val="center"/>
              <w:rPr>
                <w:rFonts w:eastAsia="Times New Roman" w:cs="Times New Roman"/>
                <w:b/>
                <w:bCs/>
                <w:sz w:val="18"/>
                <w:szCs w:val="18"/>
                <w:lang w:eastAsia="sk-SK"/>
              </w:rPr>
            </w:pPr>
            <w:r w:rsidRPr="00642A8F">
              <w:rPr>
                <w:rFonts w:eastAsia="Times New Roman" w:cs="Times New Roman"/>
                <w:b/>
                <w:bCs/>
                <w:sz w:val="18"/>
                <w:szCs w:val="18"/>
                <w:lang w:eastAsia="sk-SK"/>
              </w:rPr>
              <w:t>4</w:t>
            </w:r>
          </w:p>
        </w:tc>
        <w:tc>
          <w:tcPr>
            <w:tcW w:w="548" w:type="pct"/>
            <w:tcBorders>
              <w:top w:val="nil"/>
              <w:left w:val="nil"/>
              <w:bottom w:val="single" w:sz="8" w:space="0" w:color="auto"/>
              <w:right w:val="nil"/>
            </w:tcBorders>
            <w:shd w:val="clear" w:color="000000" w:fill="BFBFBF"/>
            <w:vAlign w:val="center"/>
            <w:hideMark/>
          </w:tcPr>
          <w:p w14:paraId="0D426DA2" w14:textId="77777777" w:rsidR="00C009A2" w:rsidRPr="00642A8F" w:rsidRDefault="00C009A2" w:rsidP="00C009A2">
            <w:pPr>
              <w:spacing w:after="0" w:line="240" w:lineRule="auto"/>
              <w:jc w:val="center"/>
              <w:rPr>
                <w:rFonts w:eastAsia="Times New Roman" w:cs="Times New Roman"/>
                <w:b/>
                <w:bCs/>
                <w:sz w:val="18"/>
                <w:szCs w:val="18"/>
                <w:lang w:eastAsia="sk-SK"/>
              </w:rPr>
            </w:pPr>
            <w:r w:rsidRPr="00642A8F">
              <w:rPr>
                <w:rFonts w:eastAsia="Times New Roman" w:cs="Times New Roman"/>
                <w:b/>
                <w:bCs/>
                <w:sz w:val="18"/>
                <w:szCs w:val="18"/>
                <w:lang w:eastAsia="sk-SK"/>
              </w:rPr>
              <w:t>5=4-3</w:t>
            </w:r>
          </w:p>
        </w:tc>
        <w:tc>
          <w:tcPr>
            <w:tcW w:w="388" w:type="pct"/>
            <w:tcBorders>
              <w:top w:val="nil"/>
              <w:left w:val="nil"/>
              <w:bottom w:val="single" w:sz="8" w:space="0" w:color="auto"/>
              <w:right w:val="nil"/>
            </w:tcBorders>
            <w:shd w:val="clear" w:color="000000" w:fill="BFBFBF"/>
            <w:vAlign w:val="center"/>
            <w:hideMark/>
          </w:tcPr>
          <w:p w14:paraId="4874A90E" w14:textId="77777777" w:rsidR="00C009A2" w:rsidRPr="00642A8F" w:rsidRDefault="00C009A2" w:rsidP="00C009A2">
            <w:pPr>
              <w:spacing w:after="0" w:line="240" w:lineRule="auto"/>
              <w:jc w:val="center"/>
              <w:rPr>
                <w:rFonts w:eastAsia="Times New Roman" w:cs="Times New Roman"/>
                <w:b/>
                <w:bCs/>
                <w:sz w:val="18"/>
                <w:szCs w:val="18"/>
                <w:lang w:eastAsia="sk-SK"/>
              </w:rPr>
            </w:pPr>
            <w:r w:rsidRPr="00642A8F">
              <w:rPr>
                <w:rFonts w:eastAsia="Times New Roman" w:cs="Times New Roman"/>
                <w:b/>
                <w:bCs/>
                <w:sz w:val="18"/>
                <w:szCs w:val="18"/>
                <w:lang w:eastAsia="sk-SK"/>
              </w:rPr>
              <w:t>6=4-3</w:t>
            </w:r>
          </w:p>
        </w:tc>
      </w:tr>
      <w:tr w:rsidR="00C009A2" w:rsidRPr="00642A8F" w14:paraId="73BE9DED" w14:textId="77777777" w:rsidTr="00353F0C">
        <w:trPr>
          <w:trHeight w:val="739"/>
        </w:trPr>
        <w:tc>
          <w:tcPr>
            <w:tcW w:w="1917" w:type="pct"/>
            <w:tcBorders>
              <w:top w:val="single" w:sz="4" w:space="0" w:color="auto"/>
              <w:left w:val="nil"/>
              <w:bottom w:val="nil"/>
              <w:right w:val="nil"/>
            </w:tcBorders>
            <w:shd w:val="clear" w:color="auto" w:fill="auto"/>
            <w:vAlign w:val="center"/>
            <w:hideMark/>
          </w:tcPr>
          <w:p w14:paraId="4591321F" w14:textId="77777777" w:rsidR="00C009A2" w:rsidRPr="00642A8F" w:rsidRDefault="00C009A2" w:rsidP="00C009A2">
            <w:pPr>
              <w:spacing w:after="0" w:line="240" w:lineRule="auto"/>
              <w:jc w:val="left"/>
              <w:rPr>
                <w:rFonts w:eastAsia="Times New Roman" w:cs="Times New Roman"/>
                <w:color w:val="000000"/>
                <w:sz w:val="18"/>
                <w:szCs w:val="18"/>
                <w:lang w:eastAsia="sk-SK"/>
              </w:rPr>
            </w:pPr>
            <w:r w:rsidRPr="00642A8F">
              <w:rPr>
                <w:rFonts w:eastAsia="Times New Roman" w:cs="Times New Roman"/>
                <w:color w:val="000000"/>
                <w:sz w:val="18"/>
                <w:szCs w:val="18"/>
                <w:lang w:eastAsia="sk-SK"/>
              </w:rPr>
              <w:t>Spolufinancovanie k prostriedkom EÚ (štrukturálne operácie, poľnohospodárske fondy)</w:t>
            </w:r>
          </w:p>
        </w:tc>
        <w:tc>
          <w:tcPr>
            <w:tcW w:w="505" w:type="pct"/>
            <w:tcBorders>
              <w:top w:val="single" w:sz="4" w:space="0" w:color="auto"/>
              <w:left w:val="nil"/>
              <w:bottom w:val="nil"/>
              <w:right w:val="nil"/>
            </w:tcBorders>
            <w:shd w:val="clear" w:color="auto" w:fill="auto"/>
            <w:noWrap/>
            <w:vAlign w:val="center"/>
            <w:hideMark/>
          </w:tcPr>
          <w:p w14:paraId="6E3C970A" w14:textId="77777777" w:rsidR="00C009A2" w:rsidRPr="00642A8F" w:rsidRDefault="00C009A2" w:rsidP="00C009A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269 321</w:t>
            </w:r>
          </w:p>
        </w:tc>
        <w:tc>
          <w:tcPr>
            <w:tcW w:w="470" w:type="pct"/>
            <w:tcBorders>
              <w:top w:val="nil"/>
              <w:left w:val="nil"/>
              <w:bottom w:val="nil"/>
              <w:right w:val="nil"/>
            </w:tcBorders>
            <w:shd w:val="clear" w:color="auto" w:fill="auto"/>
            <w:noWrap/>
            <w:vAlign w:val="center"/>
            <w:hideMark/>
          </w:tcPr>
          <w:p w14:paraId="257B5B49" w14:textId="77777777" w:rsidR="00C009A2" w:rsidRPr="00642A8F" w:rsidRDefault="00C009A2" w:rsidP="00C009A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227 034</w:t>
            </w:r>
          </w:p>
        </w:tc>
        <w:tc>
          <w:tcPr>
            <w:tcW w:w="547" w:type="pct"/>
            <w:tcBorders>
              <w:top w:val="nil"/>
              <w:left w:val="nil"/>
              <w:bottom w:val="nil"/>
              <w:right w:val="nil"/>
            </w:tcBorders>
            <w:shd w:val="clear" w:color="auto" w:fill="auto"/>
            <w:noWrap/>
            <w:vAlign w:val="center"/>
            <w:hideMark/>
          </w:tcPr>
          <w:p w14:paraId="0869D4B7" w14:textId="77777777" w:rsidR="00C009A2" w:rsidRPr="00642A8F" w:rsidRDefault="00C009A2" w:rsidP="00C009A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213 792</w:t>
            </w:r>
          </w:p>
        </w:tc>
        <w:tc>
          <w:tcPr>
            <w:tcW w:w="625" w:type="pct"/>
            <w:tcBorders>
              <w:top w:val="nil"/>
              <w:left w:val="nil"/>
              <w:bottom w:val="nil"/>
              <w:right w:val="nil"/>
            </w:tcBorders>
            <w:shd w:val="clear" w:color="auto" w:fill="BFBFBF" w:themeFill="background1" w:themeFillShade="BF"/>
            <w:noWrap/>
            <w:vAlign w:val="center"/>
            <w:hideMark/>
          </w:tcPr>
          <w:p w14:paraId="5F12381C" w14:textId="77777777" w:rsidR="00C009A2" w:rsidRPr="00642A8F" w:rsidRDefault="00C009A2" w:rsidP="00C009A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311 327</w:t>
            </w:r>
          </w:p>
        </w:tc>
        <w:tc>
          <w:tcPr>
            <w:tcW w:w="548" w:type="pct"/>
            <w:tcBorders>
              <w:top w:val="nil"/>
              <w:left w:val="nil"/>
              <w:bottom w:val="nil"/>
              <w:right w:val="nil"/>
            </w:tcBorders>
            <w:shd w:val="clear" w:color="auto" w:fill="auto"/>
            <w:noWrap/>
            <w:vAlign w:val="center"/>
            <w:hideMark/>
          </w:tcPr>
          <w:p w14:paraId="58FF7CE3" w14:textId="77777777" w:rsidR="00C009A2" w:rsidRPr="00642A8F" w:rsidRDefault="00C009A2" w:rsidP="00C009A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97 535</w:t>
            </w:r>
          </w:p>
        </w:tc>
        <w:tc>
          <w:tcPr>
            <w:tcW w:w="388" w:type="pct"/>
            <w:tcBorders>
              <w:top w:val="single" w:sz="4" w:space="0" w:color="auto"/>
              <w:left w:val="nil"/>
              <w:bottom w:val="nil"/>
              <w:right w:val="nil"/>
            </w:tcBorders>
            <w:shd w:val="clear" w:color="auto" w:fill="auto"/>
            <w:noWrap/>
            <w:vAlign w:val="center"/>
            <w:hideMark/>
          </w:tcPr>
          <w:p w14:paraId="5C66EDD3" w14:textId="77777777" w:rsidR="00C009A2" w:rsidRPr="00642A8F" w:rsidRDefault="00C009A2" w:rsidP="00C009A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45,6</w:t>
            </w:r>
          </w:p>
        </w:tc>
      </w:tr>
      <w:tr w:rsidR="00C009A2" w:rsidRPr="00642A8F" w14:paraId="79050195" w14:textId="77777777" w:rsidTr="00353F0C">
        <w:trPr>
          <w:trHeight w:val="739"/>
        </w:trPr>
        <w:tc>
          <w:tcPr>
            <w:tcW w:w="1917" w:type="pct"/>
            <w:tcBorders>
              <w:top w:val="nil"/>
              <w:left w:val="nil"/>
              <w:bottom w:val="nil"/>
              <w:right w:val="nil"/>
            </w:tcBorders>
            <w:shd w:val="clear" w:color="auto" w:fill="auto"/>
            <w:vAlign w:val="center"/>
            <w:hideMark/>
          </w:tcPr>
          <w:p w14:paraId="72BD8AF9" w14:textId="77777777" w:rsidR="00C009A2" w:rsidRPr="00642A8F" w:rsidRDefault="00C009A2" w:rsidP="00C009A2">
            <w:pPr>
              <w:spacing w:after="0" w:line="240" w:lineRule="auto"/>
              <w:jc w:val="left"/>
              <w:rPr>
                <w:rFonts w:eastAsia="Times New Roman" w:cs="Times New Roman"/>
                <w:color w:val="000000"/>
                <w:sz w:val="18"/>
                <w:szCs w:val="18"/>
                <w:lang w:eastAsia="sk-SK"/>
              </w:rPr>
            </w:pPr>
            <w:r w:rsidRPr="00642A8F">
              <w:rPr>
                <w:rFonts w:eastAsia="Times New Roman" w:cs="Times New Roman"/>
                <w:color w:val="000000"/>
                <w:sz w:val="18"/>
                <w:szCs w:val="18"/>
                <w:lang w:eastAsia="sk-SK"/>
              </w:rPr>
              <w:t>Spolufinancovanie k zahraničným grantom z prostriedkov EÚ (EÚS, LIFE +)</w:t>
            </w:r>
          </w:p>
        </w:tc>
        <w:tc>
          <w:tcPr>
            <w:tcW w:w="505" w:type="pct"/>
            <w:tcBorders>
              <w:top w:val="nil"/>
              <w:left w:val="nil"/>
              <w:bottom w:val="nil"/>
              <w:right w:val="nil"/>
            </w:tcBorders>
            <w:shd w:val="clear" w:color="auto" w:fill="auto"/>
            <w:noWrap/>
            <w:vAlign w:val="center"/>
            <w:hideMark/>
          </w:tcPr>
          <w:p w14:paraId="6C8978A7" w14:textId="77777777" w:rsidR="00C009A2" w:rsidRPr="00642A8F" w:rsidRDefault="00C009A2" w:rsidP="00C009A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5 057</w:t>
            </w:r>
          </w:p>
        </w:tc>
        <w:tc>
          <w:tcPr>
            <w:tcW w:w="470" w:type="pct"/>
            <w:tcBorders>
              <w:top w:val="nil"/>
              <w:left w:val="nil"/>
              <w:bottom w:val="nil"/>
              <w:right w:val="nil"/>
            </w:tcBorders>
            <w:shd w:val="clear" w:color="auto" w:fill="auto"/>
            <w:noWrap/>
            <w:vAlign w:val="center"/>
            <w:hideMark/>
          </w:tcPr>
          <w:p w14:paraId="70E684CB" w14:textId="77777777" w:rsidR="00C009A2" w:rsidRPr="00642A8F" w:rsidRDefault="00C009A2" w:rsidP="00C009A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1 454</w:t>
            </w:r>
          </w:p>
        </w:tc>
        <w:tc>
          <w:tcPr>
            <w:tcW w:w="547" w:type="pct"/>
            <w:tcBorders>
              <w:top w:val="nil"/>
              <w:left w:val="nil"/>
              <w:bottom w:val="nil"/>
              <w:right w:val="nil"/>
            </w:tcBorders>
            <w:shd w:val="clear" w:color="auto" w:fill="auto"/>
            <w:noWrap/>
            <w:vAlign w:val="center"/>
            <w:hideMark/>
          </w:tcPr>
          <w:p w14:paraId="56814FC3" w14:textId="77777777" w:rsidR="00C009A2" w:rsidRPr="00642A8F" w:rsidRDefault="00C009A2" w:rsidP="00C009A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4 508</w:t>
            </w:r>
          </w:p>
        </w:tc>
        <w:tc>
          <w:tcPr>
            <w:tcW w:w="625" w:type="pct"/>
            <w:tcBorders>
              <w:top w:val="nil"/>
              <w:left w:val="nil"/>
              <w:bottom w:val="nil"/>
              <w:right w:val="nil"/>
            </w:tcBorders>
            <w:shd w:val="clear" w:color="auto" w:fill="BFBFBF" w:themeFill="background1" w:themeFillShade="BF"/>
            <w:noWrap/>
            <w:vAlign w:val="center"/>
            <w:hideMark/>
          </w:tcPr>
          <w:p w14:paraId="39DDDAF6" w14:textId="77777777" w:rsidR="00C009A2" w:rsidRPr="00642A8F" w:rsidRDefault="00C009A2" w:rsidP="00C009A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2 806</w:t>
            </w:r>
          </w:p>
        </w:tc>
        <w:tc>
          <w:tcPr>
            <w:tcW w:w="548" w:type="pct"/>
            <w:tcBorders>
              <w:top w:val="nil"/>
              <w:left w:val="nil"/>
              <w:bottom w:val="nil"/>
              <w:right w:val="nil"/>
            </w:tcBorders>
            <w:shd w:val="clear" w:color="auto" w:fill="auto"/>
            <w:noWrap/>
            <w:vAlign w:val="center"/>
            <w:hideMark/>
          </w:tcPr>
          <w:p w14:paraId="0F25D128" w14:textId="77777777" w:rsidR="00C009A2" w:rsidRPr="00642A8F" w:rsidRDefault="00C009A2" w:rsidP="00C009A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-1 702</w:t>
            </w:r>
          </w:p>
        </w:tc>
        <w:tc>
          <w:tcPr>
            <w:tcW w:w="388" w:type="pct"/>
            <w:tcBorders>
              <w:top w:val="nil"/>
              <w:left w:val="nil"/>
              <w:bottom w:val="nil"/>
              <w:right w:val="nil"/>
            </w:tcBorders>
            <w:shd w:val="clear" w:color="auto" w:fill="auto"/>
            <w:noWrap/>
            <w:vAlign w:val="center"/>
            <w:hideMark/>
          </w:tcPr>
          <w:p w14:paraId="38D5B171" w14:textId="77777777" w:rsidR="00C009A2" w:rsidRPr="00642A8F" w:rsidRDefault="00C009A2" w:rsidP="00C009A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-37,8</w:t>
            </w:r>
          </w:p>
        </w:tc>
      </w:tr>
      <w:tr w:rsidR="00C009A2" w:rsidRPr="00642A8F" w14:paraId="3DB765C2" w14:textId="77777777" w:rsidTr="00353F0C">
        <w:trPr>
          <w:trHeight w:val="739"/>
        </w:trPr>
        <w:tc>
          <w:tcPr>
            <w:tcW w:w="1917" w:type="pct"/>
            <w:tcBorders>
              <w:top w:val="nil"/>
              <w:left w:val="nil"/>
              <w:bottom w:val="nil"/>
              <w:right w:val="nil"/>
            </w:tcBorders>
            <w:shd w:val="clear" w:color="auto" w:fill="auto"/>
            <w:vAlign w:val="center"/>
            <w:hideMark/>
          </w:tcPr>
          <w:p w14:paraId="501AA08C" w14:textId="77777777" w:rsidR="00C009A2" w:rsidRPr="00642A8F" w:rsidRDefault="00C009A2" w:rsidP="00C009A2">
            <w:pPr>
              <w:spacing w:after="0" w:line="240" w:lineRule="auto"/>
              <w:jc w:val="left"/>
              <w:rPr>
                <w:rFonts w:eastAsia="Times New Roman" w:cs="Times New Roman"/>
                <w:color w:val="000000"/>
                <w:sz w:val="18"/>
                <w:szCs w:val="18"/>
                <w:lang w:eastAsia="sk-SK"/>
              </w:rPr>
            </w:pPr>
            <w:r w:rsidRPr="00642A8F">
              <w:rPr>
                <w:rFonts w:eastAsia="Times New Roman" w:cs="Times New Roman"/>
                <w:color w:val="000000"/>
                <w:sz w:val="18"/>
                <w:szCs w:val="18"/>
                <w:lang w:eastAsia="sk-SK"/>
              </w:rPr>
              <w:t>Spolufinancovanie k prostriedkom poskytnutým na základe medzinárodných zmlúv (EHP, NFM)</w:t>
            </w:r>
          </w:p>
        </w:tc>
        <w:tc>
          <w:tcPr>
            <w:tcW w:w="505" w:type="pct"/>
            <w:tcBorders>
              <w:top w:val="nil"/>
              <w:left w:val="nil"/>
              <w:bottom w:val="nil"/>
              <w:right w:val="nil"/>
            </w:tcBorders>
            <w:shd w:val="clear" w:color="auto" w:fill="auto"/>
            <w:noWrap/>
            <w:vAlign w:val="center"/>
            <w:hideMark/>
          </w:tcPr>
          <w:p w14:paraId="288DF899" w14:textId="77777777" w:rsidR="00C009A2" w:rsidRPr="00642A8F" w:rsidRDefault="00C009A2" w:rsidP="00C009A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1 735</w:t>
            </w:r>
          </w:p>
        </w:tc>
        <w:tc>
          <w:tcPr>
            <w:tcW w:w="470" w:type="pct"/>
            <w:tcBorders>
              <w:top w:val="nil"/>
              <w:left w:val="nil"/>
              <w:bottom w:val="nil"/>
              <w:right w:val="nil"/>
            </w:tcBorders>
            <w:shd w:val="clear" w:color="auto" w:fill="auto"/>
            <w:noWrap/>
            <w:vAlign w:val="center"/>
            <w:hideMark/>
          </w:tcPr>
          <w:p w14:paraId="6986C1F9" w14:textId="77777777" w:rsidR="00C009A2" w:rsidRPr="00642A8F" w:rsidRDefault="00C009A2" w:rsidP="00C009A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1 159</w:t>
            </w:r>
          </w:p>
        </w:tc>
        <w:tc>
          <w:tcPr>
            <w:tcW w:w="547" w:type="pct"/>
            <w:tcBorders>
              <w:top w:val="nil"/>
              <w:left w:val="nil"/>
              <w:bottom w:val="nil"/>
              <w:right w:val="nil"/>
            </w:tcBorders>
            <w:shd w:val="clear" w:color="auto" w:fill="auto"/>
            <w:noWrap/>
            <w:vAlign w:val="center"/>
            <w:hideMark/>
          </w:tcPr>
          <w:p w14:paraId="71CC56BB" w14:textId="77777777" w:rsidR="00C009A2" w:rsidRPr="00642A8F" w:rsidRDefault="00C009A2" w:rsidP="00C009A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2 317</w:t>
            </w:r>
          </w:p>
        </w:tc>
        <w:tc>
          <w:tcPr>
            <w:tcW w:w="625" w:type="pct"/>
            <w:tcBorders>
              <w:top w:val="nil"/>
              <w:left w:val="nil"/>
              <w:bottom w:val="nil"/>
              <w:right w:val="nil"/>
            </w:tcBorders>
            <w:shd w:val="clear" w:color="auto" w:fill="BFBFBF" w:themeFill="background1" w:themeFillShade="BF"/>
            <w:noWrap/>
            <w:vAlign w:val="center"/>
            <w:hideMark/>
          </w:tcPr>
          <w:p w14:paraId="472825A4" w14:textId="77777777" w:rsidR="00C009A2" w:rsidRPr="00642A8F" w:rsidRDefault="00C009A2" w:rsidP="00C009A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2 317</w:t>
            </w:r>
          </w:p>
        </w:tc>
        <w:tc>
          <w:tcPr>
            <w:tcW w:w="548" w:type="pct"/>
            <w:tcBorders>
              <w:top w:val="nil"/>
              <w:left w:val="nil"/>
              <w:bottom w:val="nil"/>
              <w:right w:val="nil"/>
            </w:tcBorders>
            <w:shd w:val="clear" w:color="auto" w:fill="auto"/>
            <w:noWrap/>
            <w:vAlign w:val="center"/>
            <w:hideMark/>
          </w:tcPr>
          <w:p w14:paraId="6A38D905" w14:textId="77777777" w:rsidR="00C009A2" w:rsidRPr="00642A8F" w:rsidRDefault="00C009A2" w:rsidP="00C009A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0</w:t>
            </w:r>
          </w:p>
        </w:tc>
        <w:tc>
          <w:tcPr>
            <w:tcW w:w="388" w:type="pct"/>
            <w:tcBorders>
              <w:top w:val="nil"/>
              <w:left w:val="nil"/>
              <w:bottom w:val="nil"/>
              <w:right w:val="nil"/>
            </w:tcBorders>
            <w:shd w:val="clear" w:color="auto" w:fill="auto"/>
            <w:noWrap/>
            <w:vAlign w:val="center"/>
            <w:hideMark/>
          </w:tcPr>
          <w:p w14:paraId="21EA89DB" w14:textId="77777777" w:rsidR="00C009A2" w:rsidRPr="00642A8F" w:rsidRDefault="00C009A2" w:rsidP="00C009A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0,0</w:t>
            </w:r>
          </w:p>
        </w:tc>
      </w:tr>
      <w:tr w:rsidR="00C009A2" w:rsidRPr="00642A8F" w14:paraId="60BFC75F" w14:textId="77777777" w:rsidTr="00353F0C">
        <w:trPr>
          <w:trHeight w:val="330"/>
        </w:trPr>
        <w:tc>
          <w:tcPr>
            <w:tcW w:w="1917" w:type="pct"/>
            <w:tcBorders>
              <w:top w:val="nil"/>
              <w:left w:val="nil"/>
              <w:bottom w:val="nil"/>
              <w:right w:val="nil"/>
            </w:tcBorders>
            <w:shd w:val="clear" w:color="auto" w:fill="auto"/>
            <w:vAlign w:val="center"/>
            <w:hideMark/>
          </w:tcPr>
          <w:p w14:paraId="3FC79D17" w14:textId="77777777" w:rsidR="00C009A2" w:rsidRPr="00642A8F" w:rsidRDefault="00C009A2" w:rsidP="00C009A2">
            <w:pPr>
              <w:spacing w:after="0" w:line="240" w:lineRule="auto"/>
              <w:jc w:val="left"/>
              <w:rPr>
                <w:rFonts w:eastAsia="Times New Roman" w:cs="Times New Roman"/>
                <w:b/>
                <w:bCs/>
                <w:color w:val="000000"/>
                <w:sz w:val="18"/>
                <w:szCs w:val="18"/>
                <w:lang w:eastAsia="sk-SK"/>
              </w:rPr>
            </w:pPr>
            <w:r w:rsidRPr="00642A8F">
              <w:rPr>
                <w:rFonts w:eastAsia="Times New Roman" w:cs="Times New Roman"/>
                <w:b/>
                <w:bCs/>
                <w:color w:val="000000"/>
                <w:sz w:val="18"/>
                <w:szCs w:val="18"/>
                <w:lang w:eastAsia="sk-SK"/>
              </w:rPr>
              <w:t>Spolu</w:t>
            </w:r>
          </w:p>
        </w:tc>
        <w:tc>
          <w:tcPr>
            <w:tcW w:w="505" w:type="pct"/>
            <w:tcBorders>
              <w:top w:val="nil"/>
              <w:left w:val="nil"/>
              <w:bottom w:val="nil"/>
              <w:right w:val="nil"/>
            </w:tcBorders>
            <w:shd w:val="clear" w:color="auto" w:fill="auto"/>
            <w:noWrap/>
            <w:vAlign w:val="center"/>
            <w:hideMark/>
          </w:tcPr>
          <w:p w14:paraId="67E25E7C" w14:textId="77777777" w:rsidR="00C009A2" w:rsidRPr="00642A8F" w:rsidRDefault="00C009A2" w:rsidP="00C009A2">
            <w:pPr>
              <w:spacing w:after="0" w:line="240" w:lineRule="auto"/>
              <w:jc w:val="right"/>
              <w:rPr>
                <w:rFonts w:eastAsia="Times New Roman" w:cs="Times New Roman"/>
                <w:b/>
                <w:bCs/>
                <w:color w:val="000000"/>
                <w:sz w:val="18"/>
                <w:szCs w:val="18"/>
                <w:lang w:eastAsia="sk-SK"/>
              </w:rPr>
            </w:pPr>
            <w:r w:rsidRPr="00642A8F">
              <w:rPr>
                <w:rFonts w:eastAsia="Times New Roman" w:cs="Times New Roman"/>
                <w:b/>
                <w:bCs/>
                <w:color w:val="000000"/>
                <w:sz w:val="18"/>
                <w:szCs w:val="18"/>
                <w:lang w:eastAsia="sk-SK"/>
              </w:rPr>
              <w:t>276 113</w:t>
            </w:r>
          </w:p>
        </w:tc>
        <w:tc>
          <w:tcPr>
            <w:tcW w:w="470" w:type="pct"/>
            <w:tcBorders>
              <w:top w:val="nil"/>
              <w:left w:val="nil"/>
              <w:bottom w:val="nil"/>
              <w:right w:val="nil"/>
            </w:tcBorders>
            <w:shd w:val="clear" w:color="auto" w:fill="auto"/>
            <w:noWrap/>
            <w:vAlign w:val="center"/>
            <w:hideMark/>
          </w:tcPr>
          <w:p w14:paraId="724FA0CC" w14:textId="77777777" w:rsidR="00C009A2" w:rsidRPr="00642A8F" w:rsidRDefault="00C009A2" w:rsidP="00C009A2">
            <w:pPr>
              <w:spacing w:after="0" w:line="240" w:lineRule="auto"/>
              <w:jc w:val="right"/>
              <w:rPr>
                <w:rFonts w:eastAsia="Times New Roman" w:cs="Times New Roman"/>
                <w:b/>
                <w:bCs/>
                <w:color w:val="000000"/>
                <w:sz w:val="18"/>
                <w:szCs w:val="18"/>
                <w:lang w:eastAsia="sk-SK"/>
              </w:rPr>
            </w:pPr>
            <w:r w:rsidRPr="00642A8F">
              <w:rPr>
                <w:rFonts w:eastAsia="Times New Roman" w:cs="Times New Roman"/>
                <w:b/>
                <w:bCs/>
                <w:color w:val="000000"/>
                <w:sz w:val="18"/>
                <w:szCs w:val="18"/>
                <w:lang w:eastAsia="sk-SK"/>
              </w:rPr>
              <w:t>229 647</w:t>
            </w:r>
          </w:p>
        </w:tc>
        <w:tc>
          <w:tcPr>
            <w:tcW w:w="547" w:type="pct"/>
            <w:tcBorders>
              <w:top w:val="nil"/>
              <w:left w:val="nil"/>
              <w:bottom w:val="nil"/>
              <w:right w:val="nil"/>
            </w:tcBorders>
            <w:shd w:val="clear" w:color="auto" w:fill="auto"/>
            <w:noWrap/>
            <w:vAlign w:val="center"/>
            <w:hideMark/>
          </w:tcPr>
          <w:p w14:paraId="73D8A592" w14:textId="77777777" w:rsidR="00C009A2" w:rsidRPr="00642A8F" w:rsidRDefault="00C009A2" w:rsidP="00C009A2">
            <w:pPr>
              <w:spacing w:after="0" w:line="240" w:lineRule="auto"/>
              <w:jc w:val="right"/>
              <w:rPr>
                <w:rFonts w:eastAsia="Times New Roman" w:cs="Times New Roman"/>
                <w:b/>
                <w:bCs/>
                <w:color w:val="000000"/>
                <w:sz w:val="18"/>
                <w:szCs w:val="18"/>
                <w:lang w:eastAsia="sk-SK"/>
              </w:rPr>
            </w:pPr>
            <w:r w:rsidRPr="00642A8F">
              <w:rPr>
                <w:rFonts w:eastAsia="Times New Roman" w:cs="Times New Roman"/>
                <w:b/>
                <w:bCs/>
                <w:color w:val="000000"/>
                <w:sz w:val="18"/>
                <w:szCs w:val="18"/>
                <w:lang w:eastAsia="sk-SK"/>
              </w:rPr>
              <w:t>220 617</w:t>
            </w:r>
          </w:p>
        </w:tc>
        <w:tc>
          <w:tcPr>
            <w:tcW w:w="625" w:type="pct"/>
            <w:tcBorders>
              <w:top w:val="nil"/>
              <w:left w:val="nil"/>
              <w:bottom w:val="nil"/>
              <w:right w:val="nil"/>
            </w:tcBorders>
            <w:shd w:val="clear" w:color="auto" w:fill="BFBFBF" w:themeFill="background1" w:themeFillShade="BF"/>
            <w:noWrap/>
            <w:vAlign w:val="center"/>
            <w:hideMark/>
          </w:tcPr>
          <w:p w14:paraId="5954CECB" w14:textId="77777777" w:rsidR="00C009A2" w:rsidRPr="00642A8F" w:rsidRDefault="00C009A2" w:rsidP="00C009A2">
            <w:pPr>
              <w:spacing w:after="0" w:line="240" w:lineRule="auto"/>
              <w:jc w:val="right"/>
              <w:rPr>
                <w:rFonts w:eastAsia="Times New Roman" w:cs="Times New Roman"/>
                <w:b/>
                <w:bCs/>
                <w:color w:val="000000"/>
                <w:sz w:val="18"/>
                <w:szCs w:val="18"/>
                <w:lang w:eastAsia="sk-SK"/>
              </w:rPr>
            </w:pPr>
            <w:r w:rsidRPr="00642A8F">
              <w:rPr>
                <w:rFonts w:eastAsia="Times New Roman" w:cs="Times New Roman"/>
                <w:b/>
                <w:bCs/>
                <w:color w:val="000000"/>
                <w:sz w:val="18"/>
                <w:szCs w:val="18"/>
                <w:lang w:eastAsia="sk-SK"/>
              </w:rPr>
              <w:t>316 450</w:t>
            </w:r>
          </w:p>
        </w:tc>
        <w:tc>
          <w:tcPr>
            <w:tcW w:w="548" w:type="pct"/>
            <w:tcBorders>
              <w:top w:val="nil"/>
              <w:left w:val="nil"/>
              <w:bottom w:val="nil"/>
              <w:right w:val="nil"/>
            </w:tcBorders>
            <w:shd w:val="clear" w:color="auto" w:fill="auto"/>
            <w:noWrap/>
            <w:vAlign w:val="center"/>
            <w:hideMark/>
          </w:tcPr>
          <w:p w14:paraId="258E2C39" w14:textId="77777777" w:rsidR="00C009A2" w:rsidRPr="00642A8F" w:rsidRDefault="00C009A2" w:rsidP="00C009A2">
            <w:pPr>
              <w:spacing w:after="0" w:line="240" w:lineRule="auto"/>
              <w:jc w:val="right"/>
              <w:rPr>
                <w:rFonts w:eastAsia="Times New Roman" w:cs="Times New Roman"/>
                <w:b/>
                <w:bCs/>
                <w:color w:val="000000"/>
                <w:sz w:val="18"/>
                <w:szCs w:val="18"/>
                <w:lang w:eastAsia="sk-SK"/>
              </w:rPr>
            </w:pPr>
            <w:r w:rsidRPr="00642A8F">
              <w:rPr>
                <w:rFonts w:eastAsia="Times New Roman" w:cs="Times New Roman"/>
                <w:b/>
                <w:bCs/>
                <w:color w:val="000000"/>
                <w:sz w:val="18"/>
                <w:szCs w:val="18"/>
                <w:lang w:eastAsia="sk-SK"/>
              </w:rPr>
              <w:t>95 833</w:t>
            </w:r>
          </w:p>
        </w:tc>
        <w:tc>
          <w:tcPr>
            <w:tcW w:w="388" w:type="pct"/>
            <w:tcBorders>
              <w:top w:val="nil"/>
              <w:left w:val="nil"/>
              <w:bottom w:val="nil"/>
              <w:right w:val="nil"/>
            </w:tcBorders>
            <w:shd w:val="clear" w:color="auto" w:fill="auto"/>
            <w:noWrap/>
            <w:vAlign w:val="center"/>
            <w:hideMark/>
          </w:tcPr>
          <w:p w14:paraId="5A433E74" w14:textId="77777777" w:rsidR="00C009A2" w:rsidRPr="00642A8F" w:rsidRDefault="00C009A2" w:rsidP="00C009A2">
            <w:pPr>
              <w:spacing w:after="0" w:line="240" w:lineRule="auto"/>
              <w:jc w:val="right"/>
              <w:rPr>
                <w:rFonts w:eastAsia="Times New Roman" w:cs="Times New Roman"/>
                <w:b/>
                <w:bCs/>
                <w:color w:val="000000"/>
                <w:sz w:val="18"/>
                <w:szCs w:val="18"/>
                <w:lang w:eastAsia="sk-SK"/>
              </w:rPr>
            </w:pPr>
            <w:r w:rsidRPr="00642A8F">
              <w:rPr>
                <w:rFonts w:eastAsia="Times New Roman" w:cs="Times New Roman"/>
                <w:b/>
                <w:bCs/>
                <w:color w:val="000000"/>
                <w:sz w:val="18"/>
                <w:szCs w:val="18"/>
                <w:lang w:eastAsia="sk-SK"/>
              </w:rPr>
              <w:t>43,4</w:t>
            </w:r>
          </w:p>
        </w:tc>
      </w:tr>
      <w:tr w:rsidR="00C009A2" w:rsidRPr="00642A8F" w14:paraId="41B32CB9" w14:textId="77777777" w:rsidTr="00353F0C">
        <w:trPr>
          <w:trHeight w:val="330"/>
        </w:trPr>
        <w:tc>
          <w:tcPr>
            <w:tcW w:w="1917" w:type="pct"/>
            <w:tcBorders>
              <w:top w:val="nil"/>
              <w:left w:val="nil"/>
              <w:bottom w:val="nil"/>
              <w:right w:val="nil"/>
            </w:tcBorders>
            <w:shd w:val="clear" w:color="auto" w:fill="auto"/>
            <w:vAlign w:val="center"/>
            <w:hideMark/>
          </w:tcPr>
          <w:p w14:paraId="3850828B" w14:textId="77777777" w:rsidR="00C009A2" w:rsidRPr="00642A8F" w:rsidRDefault="00C009A2" w:rsidP="00C009A2">
            <w:pPr>
              <w:spacing w:after="0" w:line="240" w:lineRule="auto"/>
              <w:jc w:val="left"/>
              <w:rPr>
                <w:rFonts w:eastAsia="Times New Roman" w:cs="Times New Roman"/>
                <w:color w:val="000000"/>
                <w:sz w:val="18"/>
                <w:szCs w:val="18"/>
                <w:lang w:eastAsia="sk-SK"/>
              </w:rPr>
            </w:pPr>
            <w:r w:rsidRPr="00642A8F">
              <w:rPr>
                <w:rFonts w:eastAsia="Times New Roman" w:cs="Times New Roman"/>
                <w:color w:val="000000"/>
                <w:sz w:val="18"/>
                <w:szCs w:val="18"/>
                <w:lang w:eastAsia="sk-SK"/>
              </w:rPr>
              <w:t>Vnútorné politiky – Fondy pre oblasť vnútorných záležitostí</w:t>
            </w:r>
          </w:p>
        </w:tc>
        <w:tc>
          <w:tcPr>
            <w:tcW w:w="505" w:type="pct"/>
            <w:tcBorders>
              <w:top w:val="nil"/>
              <w:left w:val="nil"/>
              <w:bottom w:val="nil"/>
              <w:right w:val="nil"/>
            </w:tcBorders>
            <w:shd w:val="clear" w:color="auto" w:fill="auto"/>
            <w:noWrap/>
            <w:vAlign w:val="center"/>
            <w:hideMark/>
          </w:tcPr>
          <w:p w14:paraId="03ACF214" w14:textId="77777777" w:rsidR="00C009A2" w:rsidRPr="00642A8F" w:rsidRDefault="00C009A2" w:rsidP="00C009A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919</w:t>
            </w:r>
          </w:p>
        </w:tc>
        <w:tc>
          <w:tcPr>
            <w:tcW w:w="470" w:type="pct"/>
            <w:tcBorders>
              <w:top w:val="nil"/>
              <w:left w:val="nil"/>
              <w:bottom w:val="nil"/>
              <w:right w:val="nil"/>
            </w:tcBorders>
            <w:shd w:val="clear" w:color="auto" w:fill="auto"/>
            <w:noWrap/>
            <w:vAlign w:val="center"/>
            <w:hideMark/>
          </w:tcPr>
          <w:p w14:paraId="1CCFAC1B" w14:textId="77777777" w:rsidR="00C009A2" w:rsidRPr="00642A8F" w:rsidRDefault="00C009A2" w:rsidP="00C009A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1 496</w:t>
            </w:r>
          </w:p>
        </w:tc>
        <w:tc>
          <w:tcPr>
            <w:tcW w:w="547" w:type="pct"/>
            <w:tcBorders>
              <w:top w:val="nil"/>
              <w:left w:val="nil"/>
              <w:bottom w:val="nil"/>
              <w:right w:val="nil"/>
            </w:tcBorders>
            <w:shd w:val="clear" w:color="auto" w:fill="auto"/>
            <w:noWrap/>
            <w:vAlign w:val="center"/>
            <w:hideMark/>
          </w:tcPr>
          <w:p w14:paraId="660A3C2E" w14:textId="77777777" w:rsidR="00C009A2" w:rsidRPr="00642A8F" w:rsidRDefault="00C009A2" w:rsidP="00C009A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948</w:t>
            </w:r>
          </w:p>
        </w:tc>
        <w:tc>
          <w:tcPr>
            <w:tcW w:w="625" w:type="pct"/>
            <w:tcBorders>
              <w:top w:val="nil"/>
              <w:left w:val="nil"/>
              <w:bottom w:val="nil"/>
              <w:right w:val="nil"/>
            </w:tcBorders>
            <w:shd w:val="clear" w:color="auto" w:fill="BFBFBF" w:themeFill="background1" w:themeFillShade="BF"/>
            <w:noWrap/>
            <w:vAlign w:val="center"/>
            <w:hideMark/>
          </w:tcPr>
          <w:p w14:paraId="31B3AFA4" w14:textId="77777777" w:rsidR="00C009A2" w:rsidRPr="00642A8F" w:rsidRDefault="00C009A2" w:rsidP="00C009A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9 624</w:t>
            </w:r>
          </w:p>
        </w:tc>
        <w:tc>
          <w:tcPr>
            <w:tcW w:w="548" w:type="pct"/>
            <w:tcBorders>
              <w:top w:val="nil"/>
              <w:left w:val="nil"/>
              <w:bottom w:val="nil"/>
              <w:right w:val="nil"/>
            </w:tcBorders>
            <w:shd w:val="clear" w:color="auto" w:fill="auto"/>
            <w:noWrap/>
            <w:vAlign w:val="center"/>
            <w:hideMark/>
          </w:tcPr>
          <w:p w14:paraId="5565F4E1" w14:textId="77777777" w:rsidR="00C009A2" w:rsidRPr="00642A8F" w:rsidRDefault="00C009A2" w:rsidP="00C009A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8 676</w:t>
            </w:r>
          </w:p>
        </w:tc>
        <w:tc>
          <w:tcPr>
            <w:tcW w:w="388" w:type="pct"/>
            <w:tcBorders>
              <w:top w:val="nil"/>
              <w:left w:val="nil"/>
              <w:bottom w:val="nil"/>
              <w:right w:val="nil"/>
            </w:tcBorders>
            <w:shd w:val="clear" w:color="auto" w:fill="auto"/>
            <w:noWrap/>
            <w:vAlign w:val="center"/>
            <w:hideMark/>
          </w:tcPr>
          <w:p w14:paraId="43702E76" w14:textId="77777777" w:rsidR="00C009A2" w:rsidRPr="00642A8F" w:rsidRDefault="00C009A2" w:rsidP="00C009A2">
            <w:pPr>
              <w:spacing w:after="0" w:line="240" w:lineRule="auto"/>
              <w:jc w:val="right"/>
              <w:rPr>
                <w:rFonts w:eastAsia="Times New Roman" w:cs="Times New Roman"/>
                <w:color w:val="000000"/>
                <w:sz w:val="18"/>
                <w:szCs w:val="18"/>
                <w:lang w:eastAsia="sk-SK"/>
              </w:rPr>
            </w:pPr>
            <w:r w:rsidRPr="00642A8F">
              <w:rPr>
                <w:rFonts w:eastAsia="Times New Roman" w:cs="Times New Roman"/>
                <w:color w:val="000000"/>
                <w:sz w:val="18"/>
                <w:szCs w:val="18"/>
                <w:lang w:eastAsia="sk-SK"/>
              </w:rPr>
              <w:t>915,2</w:t>
            </w:r>
          </w:p>
        </w:tc>
      </w:tr>
      <w:tr w:rsidR="00C009A2" w:rsidRPr="00642A8F" w14:paraId="5D837CC7" w14:textId="77777777" w:rsidTr="00353F0C">
        <w:trPr>
          <w:trHeight w:val="345"/>
        </w:trPr>
        <w:tc>
          <w:tcPr>
            <w:tcW w:w="1917" w:type="pct"/>
            <w:tcBorders>
              <w:top w:val="single" w:sz="4" w:space="0" w:color="auto"/>
              <w:left w:val="nil"/>
              <w:bottom w:val="single" w:sz="8" w:space="0" w:color="auto"/>
              <w:right w:val="nil"/>
            </w:tcBorders>
            <w:shd w:val="clear" w:color="000000" w:fill="FFFFFF"/>
            <w:vAlign w:val="center"/>
            <w:hideMark/>
          </w:tcPr>
          <w:p w14:paraId="11C79678" w14:textId="77777777" w:rsidR="00C009A2" w:rsidRPr="00642A8F" w:rsidRDefault="00C009A2" w:rsidP="00C009A2">
            <w:pPr>
              <w:spacing w:after="0" w:line="240" w:lineRule="auto"/>
              <w:jc w:val="left"/>
              <w:rPr>
                <w:rFonts w:eastAsia="Times New Roman" w:cs="Times New Roman"/>
                <w:b/>
                <w:bCs/>
                <w:color w:val="000000"/>
                <w:sz w:val="18"/>
                <w:szCs w:val="18"/>
                <w:lang w:eastAsia="sk-SK"/>
              </w:rPr>
            </w:pPr>
            <w:r w:rsidRPr="00642A8F">
              <w:rPr>
                <w:rFonts w:eastAsia="Times New Roman" w:cs="Times New Roman"/>
                <w:b/>
                <w:bCs/>
                <w:color w:val="000000"/>
                <w:sz w:val="18"/>
                <w:szCs w:val="18"/>
                <w:lang w:eastAsia="sk-SK"/>
              </w:rPr>
              <w:t>Spolu (vrátane vnútorných politík)</w:t>
            </w:r>
          </w:p>
        </w:tc>
        <w:tc>
          <w:tcPr>
            <w:tcW w:w="505" w:type="pct"/>
            <w:tcBorders>
              <w:top w:val="single" w:sz="4" w:space="0" w:color="auto"/>
              <w:left w:val="nil"/>
              <w:bottom w:val="single" w:sz="8" w:space="0" w:color="auto"/>
              <w:right w:val="nil"/>
            </w:tcBorders>
            <w:shd w:val="clear" w:color="000000" w:fill="FFFFFF"/>
            <w:noWrap/>
            <w:vAlign w:val="center"/>
            <w:hideMark/>
          </w:tcPr>
          <w:p w14:paraId="30E4243B" w14:textId="77777777" w:rsidR="00C009A2" w:rsidRPr="00642A8F" w:rsidRDefault="00C009A2" w:rsidP="00C009A2">
            <w:pPr>
              <w:spacing w:after="0" w:line="240" w:lineRule="auto"/>
              <w:jc w:val="right"/>
              <w:rPr>
                <w:rFonts w:eastAsia="Times New Roman" w:cs="Times New Roman"/>
                <w:b/>
                <w:bCs/>
                <w:color w:val="000000"/>
                <w:sz w:val="18"/>
                <w:szCs w:val="18"/>
                <w:lang w:eastAsia="sk-SK"/>
              </w:rPr>
            </w:pPr>
            <w:r w:rsidRPr="00642A8F">
              <w:rPr>
                <w:rFonts w:eastAsia="Times New Roman" w:cs="Times New Roman"/>
                <w:b/>
                <w:bCs/>
                <w:color w:val="000000"/>
                <w:sz w:val="18"/>
                <w:szCs w:val="18"/>
                <w:lang w:eastAsia="sk-SK"/>
              </w:rPr>
              <w:t>277 032</w:t>
            </w:r>
          </w:p>
        </w:tc>
        <w:tc>
          <w:tcPr>
            <w:tcW w:w="470" w:type="pct"/>
            <w:tcBorders>
              <w:top w:val="single" w:sz="4" w:space="0" w:color="auto"/>
              <w:left w:val="nil"/>
              <w:bottom w:val="single" w:sz="8" w:space="0" w:color="auto"/>
              <w:right w:val="nil"/>
            </w:tcBorders>
            <w:shd w:val="clear" w:color="000000" w:fill="FFFFFF"/>
            <w:noWrap/>
            <w:vAlign w:val="center"/>
            <w:hideMark/>
          </w:tcPr>
          <w:p w14:paraId="3B4EAC79" w14:textId="77777777" w:rsidR="00C009A2" w:rsidRPr="00642A8F" w:rsidRDefault="00C009A2" w:rsidP="00C009A2">
            <w:pPr>
              <w:spacing w:after="0" w:line="240" w:lineRule="auto"/>
              <w:jc w:val="right"/>
              <w:rPr>
                <w:rFonts w:eastAsia="Times New Roman" w:cs="Times New Roman"/>
                <w:b/>
                <w:bCs/>
                <w:color w:val="000000"/>
                <w:sz w:val="18"/>
                <w:szCs w:val="18"/>
                <w:lang w:eastAsia="sk-SK"/>
              </w:rPr>
            </w:pPr>
            <w:r w:rsidRPr="00642A8F">
              <w:rPr>
                <w:rFonts w:eastAsia="Times New Roman" w:cs="Times New Roman"/>
                <w:b/>
                <w:bCs/>
                <w:color w:val="000000"/>
                <w:sz w:val="18"/>
                <w:szCs w:val="18"/>
                <w:lang w:eastAsia="sk-SK"/>
              </w:rPr>
              <w:t>231 143</w:t>
            </w:r>
          </w:p>
        </w:tc>
        <w:tc>
          <w:tcPr>
            <w:tcW w:w="547" w:type="pct"/>
            <w:tcBorders>
              <w:top w:val="single" w:sz="4" w:space="0" w:color="auto"/>
              <w:left w:val="nil"/>
              <w:bottom w:val="single" w:sz="8" w:space="0" w:color="auto"/>
              <w:right w:val="nil"/>
            </w:tcBorders>
            <w:shd w:val="clear" w:color="000000" w:fill="FFFFFF"/>
            <w:noWrap/>
            <w:vAlign w:val="center"/>
            <w:hideMark/>
          </w:tcPr>
          <w:p w14:paraId="543B6AE8" w14:textId="77777777" w:rsidR="00C009A2" w:rsidRPr="00642A8F" w:rsidRDefault="00C009A2" w:rsidP="00C009A2">
            <w:pPr>
              <w:spacing w:after="0" w:line="240" w:lineRule="auto"/>
              <w:jc w:val="right"/>
              <w:rPr>
                <w:rFonts w:eastAsia="Times New Roman" w:cs="Times New Roman"/>
                <w:b/>
                <w:bCs/>
                <w:color w:val="000000"/>
                <w:sz w:val="18"/>
                <w:szCs w:val="18"/>
                <w:lang w:eastAsia="sk-SK"/>
              </w:rPr>
            </w:pPr>
            <w:r w:rsidRPr="00642A8F">
              <w:rPr>
                <w:rFonts w:eastAsia="Times New Roman" w:cs="Times New Roman"/>
                <w:b/>
                <w:bCs/>
                <w:color w:val="000000"/>
                <w:sz w:val="18"/>
                <w:szCs w:val="18"/>
                <w:lang w:eastAsia="sk-SK"/>
              </w:rPr>
              <w:t>221 565</w:t>
            </w:r>
          </w:p>
        </w:tc>
        <w:tc>
          <w:tcPr>
            <w:tcW w:w="625" w:type="pct"/>
            <w:tcBorders>
              <w:top w:val="single" w:sz="4" w:space="0" w:color="auto"/>
              <w:left w:val="nil"/>
              <w:bottom w:val="single" w:sz="8" w:space="0" w:color="auto"/>
              <w:right w:val="nil"/>
            </w:tcBorders>
            <w:shd w:val="clear" w:color="auto" w:fill="BFBFBF" w:themeFill="background1" w:themeFillShade="BF"/>
            <w:noWrap/>
            <w:vAlign w:val="center"/>
            <w:hideMark/>
          </w:tcPr>
          <w:p w14:paraId="06813507" w14:textId="77777777" w:rsidR="00C009A2" w:rsidRPr="00642A8F" w:rsidRDefault="00C009A2" w:rsidP="00C009A2">
            <w:pPr>
              <w:spacing w:after="0" w:line="240" w:lineRule="auto"/>
              <w:jc w:val="right"/>
              <w:rPr>
                <w:rFonts w:eastAsia="Times New Roman" w:cs="Times New Roman"/>
                <w:b/>
                <w:bCs/>
                <w:color w:val="000000"/>
                <w:sz w:val="18"/>
                <w:szCs w:val="18"/>
                <w:lang w:eastAsia="sk-SK"/>
              </w:rPr>
            </w:pPr>
            <w:r w:rsidRPr="00642A8F">
              <w:rPr>
                <w:rFonts w:eastAsia="Times New Roman" w:cs="Times New Roman"/>
                <w:b/>
                <w:bCs/>
                <w:color w:val="000000"/>
                <w:sz w:val="18"/>
                <w:szCs w:val="18"/>
                <w:lang w:eastAsia="sk-SK"/>
              </w:rPr>
              <w:t>326 074</w:t>
            </w:r>
          </w:p>
        </w:tc>
        <w:tc>
          <w:tcPr>
            <w:tcW w:w="548" w:type="pct"/>
            <w:tcBorders>
              <w:top w:val="single" w:sz="4" w:space="0" w:color="auto"/>
              <w:left w:val="nil"/>
              <w:bottom w:val="single" w:sz="8" w:space="0" w:color="auto"/>
              <w:right w:val="nil"/>
            </w:tcBorders>
            <w:shd w:val="clear" w:color="000000" w:fill="FFFFFF"/>
            <w:noWrap/>
            <w:vAlign w:val="center"/>
            <w:hideMark/>
          </w:tcPr>
          <w:p w14:paraId="25DC12DB" w14:textId="77777777" w:rsidR="00C009A2" w:rsidRPr="00642A8F" w:rsidRDefault="00C009A2" w:rsidP="00C009A2">
            <w:pPr>
              <w:spacing w:after="0" w:line="240" w:lineRule="auto"/>
              <w:jc w:val="right"/>
              <w:rPr>
                <w:rFonts w:eastAsia="Times New Roman" w:cs="Times New Roman"/>
                <w:b/>
                <w:bCs/>
                <w:color w:val="000000"/>
                <w:sz w:val="18"/>
                <w:szCs w:val="18"/>
                <w:lang w:eastAsia="sk-SK"/>
              </w:rPr>
            </w:pPr>
            <w:r w:rsidRPr="00642A8F">
              <w:rPr>
                <w:rFonts w:eastAsia="Times New Roman" w:cs="Times New Roman"/>
                <w:b/>
                <w:bCs/>
                <w:color w:val="000000"/>
                <w:sz w:val="18"/>
                <w:szCs w:val="18"/>
                <w:lang w:eastAsia="sk-SK"/>
              </w:rPr>
              <w:t>104 509</w:t>
            </w:r>
          </w:p>
        </w:tc>
        <w:tc>
          <w:tcPr>
            <w:tcW w:w="388" w:type="pct"/>
            <w:tcBorders>
              <w:top w:val="single" w:sz="4" w:space="0" w:color="auto"/>
              <w:left w:val="nil"/>
              <w:bottom w:val="single" w:sz="8" w:space="0" w:color="auto"/>
              <w:right w:val="nil"/>
            </w:tcBorders>
            <w:shd w:val="clear" w:color="000000" w:fill="FFFFFF"/>
            <w:noWrap/>
            <w:vAlign w:val="center"/>
            <w:hideMark/>
          </w:tcPr>
          <w:p w14:paraId="06CC0FB6" w14:textId="77777777" w:rsidR="00C009A2" w:rsidRPr="00642A8F" w:rsidRDefault="00C009A2" w:rsidP="00C009A2">
            <w:pPr>
              <w:spacing w:after="0" w:line="240" w:lineRule="auto"/>
              <w:jc w:val="right"/>
              <w:rPr>
                <w:rFonts w:eastAsia="Times New Roman" w:cs="Times New Roman"/>
                <w:b/>
                <w:bCs/>
                <w:color w:val="000000"/>
                <w:sz w:val="18"/>
                <w:szCs w:val="18"/>
                <w:lang w:eastAsia="sk-SK"/>
              </w:rPr>
            </w:pPr>
            <w:r w:rsidRPr="00642A8F">
              <w:rPr>
                <w:rFonts w:eastAsia="Times New Roman" w:cs="Times New Roman"/>
                <w:b/>
                <w:bCs/>
                <w:color w:val="000000"/>
                <w:sz w:val="18"/>
                <w:szCs w:val="18"/>
                <w:lang w:eastAsia="sk-SK"/>
              </w:rPr>
              <w:t>47,2</w:t>
            </w:r>
          </w:p>
        </w:tc>
      </w:tr>
    </w:tbl>
    <w:p w14:paraId="1856B8F5" w14:textId="77777777" w:rsidR="00C009A2" w:rsidRPr="00C009A2" w:rsidRDefault="00C009A2" w:rsidP="00C009A2">
      <w:pPr>
        <w:jc w:val="right"/>
        <w:rPr>
          <w:sz w:val="18"/>
          <w:szCs w:val="18"/>
        </w:rPr>
      </w:pPr>
      <w:r w:rsidRPr="00C009A2">
        <w:rPr>
          <w:sz w:val="18"/>
          <w:szCs w:val="18"/>
        </w:rPr>
        <w:tab/>
      </w:r>
      <w:r w:rsidRPr="00C009A2">
        <w:rPr>
          <w:sz w:val="18"/>
          <w:szCs w:val="18"/>
        </w:rPr>
        <w:tab/>
      </w:r>
      <w:r w:rsidRPr="00C009A2">
        <w:rPr>
          <w:sz w:val="18"/>
          <w:szCs w:val="18"/>
        </w:rPr>
        <w:tab/>
        <w:t xml:space="preserve">    Zdroj: MF SR</w:t>
      </w:r>
    </w:p>
    <w:p w14:paraId="4040C65E" w14:textId="68059A4E" w:rsidR="008254BE" w:rsidRDefault="008254BE" w:rsidP="00C34E95">
      <w:pPr>
        <w:pStyle w:val="Nadpis3"/>
      </w:pPr>
      <w:bookmarkStart w:id="74" w:name="_Toc6415655"/>
      <w:bookmarkStart w:id="75" w:name="_Toc7502847"/>
      <w:r>
        <w:t xml:space="preserve">Prostriedky poskytnuté SR používané prostredníctvom </w:t>
      </w:r>
      <w:r w:rsidR="006F14F4">
        <w:t>samostatných</w:t>
      </w:r>
      <w:r>
        <w:t xml:space="preserve"> účtov</w:t>
      </w:r>
      <w:bookmarkEnd w:id="74"/>
      <w:bookmarkEnd w:id="75"/>
    </w:p>
    <w:p w14:paraId="1006D67F" w14:textId="77777777" w:rsidR="00F75E6F" w:rsidRPr="00BF31D2" w:rsidRDefault="00F75E6F" w:rsidP="00F75E6F">
      <w:pPr>
        <w:rPr>
          <w:b/>
        </w:rPr>
      </w:pPr>
      <w:r w:rsidRPr="00BF31D2">
        <w:t xml:space="preserve">Časť finančných prostriedkov z rozpočtu EÚ a prostriedkov poskytnutých Slovenskej republike </w:t>
      </w:r>
      <w:r w:rsidRPr="00BF31D2">
        <w:br/>
        <w:t xml:space="preserve">na základe medzinárodných zmlúv, ktorými je Slovenská republika viazaná, používajú štátne rozpočtové organizácie </w:t>
      </w:r>
      <w:r w:rsidRPr="00BF31D2">
        <w:rPr>
          <w:b/>
        </w:rPr>
        <w:t xml:space="preserve">prostredníctvom </w:t>
      </w:r>
      <w:r>
        <w:rPr>
          <w:b/>
        </w:rPr>
        <w:t>samostatných</w:t>
      </w:r>
      <w:r w:rsidRPr="00BF31D2">
        <w:rPr>
          <w:b/>
        </w:rPr>
        <w:t xml:space="preserve"> účtov:</w:t>
      </w:r>
    </w:p>
    <w:p w14:paraId="715F9183" w14:textId="4CC80801" w:rsidR="00F75E6F" w:rsidRPr="00BF31D2" w:rsidRDefault="00F75E6F" w:rsidP="00F75E6F">
      <w:pPr>
        <w:shd w:val="clear" w:color="auto" w:fill="FFFFFF"/>
      </w:pPr>
      <w:r w:rsidRPr="00BF31D2">
        <w:t xml:space="preserve">V rámci programov </w:t>
      </w:r>
      <w:r w:rsidRPr="00BF31D2">
        <w:rPr>
          <w:b/>
          <w:i/>
        </w:rPr>
        <w:t>Európskej územnej spolupráce</w:t>
      </w:r>
      <w:r w:rsidRPr="00BF31D2">
        <w:t xml:space="preserve"> prijala Slovenská republika prostredníctvom certifikačného orgánu M</w:t>
      </w:r>
      <w:r w:rsidR="002E0E9B">
        <w:t>inisterstva financií</w:t>
      </w:r>
      <w:r w:rsidRPr="00BF31D2">
        <w:t xml:space="preserve"> SR príspevky EÚ vo výške 7 723 tis. eur a</w:t>
      </w:r>
      <w:r>
        <w:t xml:space="preserve"> </w:t>
      </w:r>
      <w:proofErr w:type="spellStart"/>
      <w:r w:rsidRPr="00BF31D2">
        <w:t>prispievajúcich</w:t>
      </w:r>
      <w:proofErr w:type="spellEnd"/>
      <w:r w:rsidRPr="00BF31D2">
        <w:t xml:space="preserve"> členských štátov EÚ vo výške 715 tis. eur na financovanie </w:t>
      </w:r>
      <w:r>
        <w:t>OP</w:t>
      </w:r>
      <w:r w:rsidRPr="00BF31D2">
        <w:t xml:space="preserve"> INTERACT III 2014-2020. Na financovanie programov bolo použitých 7 617 tis. eur za prostriedky EÚ a 1 344 tis. eur za spolufinancovanie z príspevkov členských štátov EÚ.</w:t>
      </w:r>
    </w:p>
    <w:p w14:paraId="7A5E4473" w14:textId="77777777" w:rsidR="00F75E6F" w:rsidRPr="003D27FC" w:rsidRDefault="00F75E6F" w:rsidP="00F75E6F">
      <w:r w:rsidRPr="003D27FC">
        <w:t xml:space="preserve">Z Úradu pre finančné mechanizmy v Bruseli boli Slovenskej republike v rámci programového obdobia 2009 - 2014 poukázané prostriedky z </w:t>
      </w:r>
      <w:r>
        <w:rPr>
          <w:b/>
          <w:i/>
        </w:rPr>
        <w:t xml:space="preserve">Finančného mechanizmu EHP a </w:t>
      </w:r>
      <w:r w:rsidRPr="003D27FC">
        <w:rPr>
          <w:b/>
          <w:i/>
        </w:rPr>
        <w:t>Nórskeho finančného mechanizmu</w:t>
      </w:r>
      <w:r w:rsidRPr="003D27FC">
        <w:rPr>
          <w:b/>
        </w:rPr>
        <w:t xml:space="preserve"> </w:t>
      </w:r>
      <w:r w:rsidRPr="003D27FC">
        <w:t>vo výške 9 tis. eur. Správcom program</w:t>
      </w:r>
      <w:r>
        <w:t>u boli prevedené prostriedky vo </w:t>
      </w:r>
      <w:r w:rsidRPr="003D27FC">
        <w:t xml:space="preserve">výške 9 tis. eur. </w:t>
      </w:r>
    </w:p>
    <w:p w14:paraId="0D74E558" w14:textId="77777777" w:rsidR="00F75E6F" w:rsidRPr="003D27FC" w:rsidRDefault="00F75E6F" w:rsidP="00F75E6F">
      <w:r w:rsidRPr="003D27FC">
        <w:t xml:space="preserve">Slovenskej republike boli v roku 2018 v rámci </w:t>
      </w:r>
      <w:r w:rsidRPr="003D27FC">
        <w:rPr>
          <w:b/>
          <w:i/>
        </w:rPr>
        <w:t>finančnej obálky</w:t>
      </w:r>
      <w:r w:rsidRPr="003D27FC">
        <w:t xml:space="preserve"> poskytnuté prostriedky</w:t>
      </w:r>
      <w:r>
        <w:t xml:space="preserve"> na </w:t>
      </w:r>
      <w:r w:rsidRPr="003D27FC">
        <w:t>úhradu cestovných výdavkov súvisiacich s účasťou zástupcov Slovenskej republiky na zasadaniach výborov a pracovných skupín Rady EÚ vo výške 563 tis. eur, finančné prostriedky na finančnú obálku, vrátane zdrojov z</w:t>
      </w:r>
      <w:r>
        <w:t> predchádzajúcich rokov, boli zo samostatného</w:t>
      </w:r>
      <w:r w:rsidRPr="003D27FC">
        <w:t xml:space="preserve"> účtu Ministerstva financií SR použité vo výške 757 tis. eur na úhradu oprávnených výdavkov zamestnancov ústredných orgánov štátnej správy a iných oprávnených inštitúcií.</w:t>
      </w:r>
    </w:p>
    <w:p w14:paraId="040A6B59" w14:textId="77777777" w:rsidR="008254BE" w:rsidRDefault="008254BE" w:rsidP="00C34E95">
      <w:pPr>
        <w:pStyle w:val="Nadpis3"/>
      </w:pPr>
      <w:bookmarkStart w:id="76" w:name="_Toc6415656"/>
      <w:bookmarkStart w:id="77" w:name="_Toc7502848"/>
      <w:r>
        <w:t>Zhrnutie čerpania záväzkov programových období po vstupe SR do EÚ</w:t>
      </w:r>
      <w:bookmarkEnd w:id="76"/>
      <w:bookmarkEnd w:id="77"/>
    </w:p>
    <w:p w14:paraId="1EC4F09A" w14:textId="4B24195F" w:rsidR="00F75E6F" w:rsidRPr="003D27FC" w:rsidRDefault="006C2586" w:rsidP="00F75E6F">
      <w:r>
        <w:t>Slovenská republika čerpala/čerpá</w:t>
      </w:r>
      <w:r w:rsidR="00F75E6F" w:rsidRPr="003D27FC">
        <w:t xml:space="preserve"> prostriedky z rozpočtu EÚ v rámci troch nadväzujúcich programových období:</w:t>
      </w:r>
    </w:p>
    <w:p w14:paraId="044F116D" w14:textId="77777777" w:rsidR="00F75E6F" w:rsidRPr="00204A79" w:rsidRDefault="00F75E6F" w:rsidP="00F75E6F">
      <w:r w:rsidRPr="00CA2D13">
        <w:rPr>
          <w:i/>
        </w:rPr>
        <w:t>V rámci 1. programového obdobia 2004 - 2006</w:t>
      </w:r>
      <w:r w:rsidRPr="00204A79">
        <w:t xml:space="preserve"> sa osobitnými programovými dokumentmi realizovali programy štrukturálnych fondov a Kohézneho fondu. Celkové čerpanie k 31.12.2018 za programy štrukturálnych fondov dosiahlo 1</w:t>
      </w:r>
      <w:r>
        <w:t> </w:t>
      </w:r>
      <w:r w:rsidRPr="00204A79">
        <w:t>155</w:t>
      </w:r>
      <w:r>
        <w:t> </w:t>
      </w:r>
      <w:r w:rsidRPr="00204A79">
        <w:t>881</w:t>
      </w:r>
      <w:r>
        <w:t> </w:t>
      </w:r>
      <w:r w:rsidRPr="00204A79">
        <w:t>tis. eur, čo predstavuje 98,9 % zo záväzku 2004 – 2006 a za programy Kohézneho fondu 405 035 tis. eur, čo predstavuje 100</w:t>
      </w:r>
      <w:r>
        <w:t xml:space="preserve"> </w:t>
      </w:r>
      <w:r w:rsidRPr="00204A79">
        <w:t xml:space="preserve">% záväzku. </w:t>
      </w:r>
      <w:r w:rsidRPr="00CA2D13">
        <w:rPr>
          <w:b/>
        </w:rPr>
        <w:t>Z pohľadu čerpania výdavkov a plnenia príjmov štátneho rozpočtu sa dané programové obdobie považuje za uzatvorené</w:t>
      </w:r>
      <w:r w:rsidRPr="00204A79">
        <w:t>.</w:t>
      </w:r>
    </w:p>
    <w:p w14:paraId="685C2F07" w14:textId="77777777" w:rsidR="00F75E6F" w:rsidRPr="000F0065" w:rsidRDefault="00F75E6F" w:rsidP="00F75E6F">
      <w:pPr>
        <w:rPr>
          <w:highlight w:val="yellow"/>
        </w:rPr>
      </w:pPr>
      <w:r w:rsidRPr="00CA2D13">
        <w:rPr>
          <w:i/>
        </w:rPr>
        <w:t>V rámci 2. programového obdobia 2007 – 2013</w:t>
      </w:r>
      <w:r w:rsidRPr="003D27FC">
        <w:t xml:space="preserve"> bolo k 31.12.2015 ukončené oprávnené obdobie pre realizáciu výdavkov na úrovni prijímateľov. </w:t>
      </w:r>
      <w:r w:rsidR="00E50B32">
        <w:t xml:space="preserve">V roku 2016 </w:t>
      </w:r>
      <w:r w:rsidRPr="003D27FC">
        <w:t xml:space="preserve">prebiehalo dočerpanie prostriedkov a zaslaním záverečnej dokumentácie k 31. marcu 2017 začal s EK proces uzatvárania tohto programového obdobia. </w:t>
      </w:r>
      <w:r>
        <w:t xml:space="preserve">Ku koncu roka 2018 bol s EK uzatvorený OP INTERACT II, ktorého čerpanie dosiahlo 28 733 tis. eur, čo predstavuje čerpanie na úrovni 98,0 %. </w:t>
      </w:r>
      <w:r w:rsidRPr="003D27FC">
        <w:t xml:space="preserve">Z celkového záväzku 2. programového obdobia 2007 - 2013 v rámci 14 operačných programov vyčerpala SR k 31.12.2018 prostriedky vo výške 11 251 106 tis. eur, čo predstavuje čerpanie na úrovni 96,8 % záväzku, pričom výsledné čerpanie bude známe po uzavretí obdobia zo strany EK. </w:t>
      </w:r>
    </w:p>
    <w:p w14:paraId="338514BB" w14:textId="77777777" w:rsidR="00F75E6F" w:rsidRPr="00F75E6F" w:rsidRDefault="00F75E6F" w:rsidP="00F75E6F">
      <w:r w:rsidRPr="00CA2D13">
        <w:rPr>
          <w:i/>
        </w:rPr>
        <w:t>V rámci 3. programového obdobia 2014 – 2020</w:t>
      </w:r>
      <w:r w:rsidRPr="006A616C">
        <w:t xml:space="preserve"> z celkového záväzku 11 operačných programov vyčerpala SR k 31.12.2018 prostriedky vo výške 2 758 809 tis. eur, čo predstavuje čerpanie na úrovni 19,8 % záväzku.</w:t>
      </w:r>
    </w:p>
    <w:p w14:paraId="1106A9B8" w14:textId="77777777" w:rsidR="003655FE" w:rsidRPr="004106CF" w:rsidRDefault="003655FE" w:rsidP="003655FE">
      <w:pPr>
        <w:rPr>
          <w:i/>
        </w:rPr>
      </w:pPr>
      <w:r w:rsidRPr="004106CF">
        <w:rPr>
          <w:i/>
        </w:rPr>
        <w:t>Plnenie príjmov z prostriedkov EÚ a čerpanie výdavkov z prostriedkov EÚ je uvedené v tabuľke č. 16. Čerpanie výdavkov na spolufinancovanie zo štátneho rozpočtu k prostriedkom EÚ, k zahraničným grantom z prostriedkov EÚ a k prostriedkom poskytnutým na základe medzinárodných zmlúv bez vnútorných politík EÚ je uvedené v tabuľke č. 17.</w:t>
      </w:r>
    </w:p>
    <w:p w14:paraId="13792713" w14:textId="77777777" w:rsidR="00BF4866" w:rsidRDefault="00BF4866">
      <w:pPr>
        <w:spacing w:after="160" w:line="259" w:lineRule="auto"/>
        <w:jc w:val="left"/>
        <w:rPr>
          <w:rFonts w:eastAsiaTheme="majorEastAsia" w:cstheme="majorBidi"/>
          <w:b/>
          <w:sz w:val="26"/>
          <w:szCs w:val="32"/>
        </w:rPr>
      </w:pPr>
      <w:r>
        <w:br w:type="page"/>
      </w:r>
    </w:p>
    <w:p w14:paraId="29DCAEEA" w14:textId="77777777" w:rsidR="006746AB" w:rsidRDefault="006746AB" w:rsidP="00ED135D">
      <w:pPr>
        <w:pStyle w:val="Nadpis1"/>
        <w:numPr>
          <w:ilvl w:val="0"/>
          <w:numId w:val="0"/>
        </w:numPr>
      </w:pPr>
    </w:p>
    <w:p w14:paraId="122F0487" w14:textId="77777777" w:rsidR="006746AB" w:rsidRDefault="006746AB" w:rsidP="00ED135D">
      <w:pPr>
        <w:pStyle w:val="Nadpis1"/>
        <w:numPr>
          <w:ilvl w:val="0"/>
          <w:numId w:val="0"/>
        </w:numPr>
      </w:pPr>
    </w:p>
    <w:p w14:paraId="30CD6764" w14:textId="77777777" w:rsidR="006746AB" w:rsidRDefault="006746AB" w:rsidP="00ED135D">
      <w:pPr>
        <w:pStyle w:val="Nadpis1"/>
        <w:numPr>
          <w:ilvl w:val="0"/>
          <w:numId w:val="0"/>
        </w:numPr>
      </w:pPr>
    </w:p>
    <w:p w14:paraId="53043195" w14:textId="77777777" w:rsidR="006746AB" w:rsidRDefault="006746AB" w:rsidP="00ED135D">
      <w:pPr>
        <w:pStyle w:val="Nadpis1"/>
        <w:numPr>
          <w:ilvl w:val="0"/>
          <w:numId w:val="0"/>
        </w:numPr>
      </w:pPr>
    </w:p>
    <w:p w14:paraId="62EEFB31" w14:textId="77777777" w:rsidR="006746AB" w:rsidRDefault="006746AB" w:rsidP="00ED135D">
      <w:pPr>
        <w:pStyle w:val="Nadpis1"/>
        <w:numPr>
          <w:ilvl w:val="0"/>
          <w:numId w:val="0"/>
        </w:numPr>
      </w:pPr>
    </w:p>
    <w:p w14:paraId="05276D62" w14:textId="77777777" w:rsidR="006746AB" w:rsidRDefault="006746AB" w:rsidP="00ED135D">
      <w:pPr>
        <w:pStyle w:val="Nadpis1"/>
        <w:numPr>
          <w:ilvl w:val="0"/>
          <w:numId w:val="0"/>
        </w:numPr>
      </w:pPr>
    </w:p>
    <w:p w14:paraId="549BEF43" w14:textId="77777777" w:rsidR="006746AB" w:rsidRDefault="006746AB" w:rsidP="00ED135D">
      <w:pPr>
        <w:pStyle w:val="Nadpis1"/>
        <w:numPr>
          <w:ilvl w:val="0"/>
          <w:numId w:val="0"/>
        </w:numPr>
      </w:pPr>
    </w:p>
    <w:p w14:paraId="7D36D30C" w14:textId="77777777" w:rsidR="006746AB" w:rsidRDefault="006746AB" w:rsidP="00ED135D">
      <w:pPr>
        <w:pStyle w:val="Nadpis1"/>
        <w:numPr>
          <w:ilvl w:val="0"/>
          <w:numId w:val="0"/>
        </w:numPr>
      </w:pPr>
    </w:p>
    <w:p w14:paraId="3B4B8146" w14:textId="77777777" w:rsidR="006746AB" w:rsidRDefault="006746AB" w:rsidP="00ED135D">
      <w:pPr>
        <w:pStyle w:val="Nadpis1"/>
        <w:numPr>
          <w:ilvl w:val="0"/>
          <w:numId w:val="0"/>
        </w:numPr>
      </w:pPr>
    </w:p>
    <w:p w14:paraId="5AAB3577" w14:textId="77777777" w:rsidR="006746AB" w:rsidRDefault="006746AB" w:rsidP="00ED135D">
      <w:pPr>
        <w:pStyle w:val="Nadpis1"/>
        <w:numPr>
          <w:ilvl w:val="0"/>
          <w:numId w:val="0"/>
        </w:numPr>
      </w:pPr>
    </w:p>
    <w:p w14:paraId="752F0AAB" w14:textId="77777777" w:rsidR="006746AB" w:rsidRDefault="006746AB" w:rsidP="00ED135D">
      <w:pPr>
        <w:pStyle w:val="Nadpis1"/>
        <w:numPr>
          <w:ilvl w:val="0"/>
          <w:numId w:val="0"/>
        </w:numPr>
      </w:pPr>
    </w:p>
    <w:p w14:paraId="28B9264D" w14:textId="77777777" w:rsidR="008254BE" w:rsidRPr="008254BE" w:rsidRDefault="008254BE" w:rsidP="00ED135D">
      <w:pPr>
        <w:pStyle w:val="Nadpis1"/>
        <w:numPr>
          <w:ilvl w:val="0"/>
          <w:numId w:val="0"/>
        </w:numPr>
      </w:pPr>
      <w:bookmarkStart w:id="78" w:name="_Toc6415657"/>
      <w:bookmarkStart w:id="79" w:name="_Toc7502849"/>
      <w:r>
        <w:t>Tabuľková príloha</w:t>
      </w:r>
      <w:bookmarkEnd w:id="78"/>
      <w:bookmarkEnd w:id="79"/>
    </w:p>
    <w:p w14:paraId="61FF2C44" w14:textId="77777777" w:rsidR="005F5B88" w:rsidRPr="005F5B88" w:rsidRDefault="005F5B88" w:rsidP="005F5B88"/>
    <w:p w14:paraId="155213CF" w14:textId="77777777" w:rsidR="005F5B88" w:rsidRDefault="005F5B88" w:rsidP="005F5B88"/>
    <w:p w14:paraId="08CE9D48" w14:textId="77777777" w:rsidR="00881BDB" w:rsidRDefault="00881BDB" w:rsidP="005F5B88"/>
    <w:p w14:paraId="797485A8" w14:textId="77777777" w:rsidR="00881BDB" w:rsidRDefault="00881BDB" w:rsidP="005F5B88"/>
    <w:p w14:paraId="06386835" w14:textId="77777777" w:rsidR="00881BDB" w:rsidRDefault="00881BDB" w:rsidP="005F5B88"/>
    <w:p w14:paraId="3D027B91" w14:textId="77777777" w:rsidR="00881BDB" w:rsidRDefault="00881BDB" w:rsidP="005F5B88"/>
    <w:p w14:paraId="234B3A00" w14:textId="77777777" w:rsidR="00881BDB" w:rsidRDefault="00881BDB" w:rsidP="005F5B88"/>
    <w:p w14:paraId="17FCE10D" w14:textId="77777777" w:rsidR="00881BDB" w:rsidRDefault="00881BDB" w:rsidP="005F5B88"/>
    <w:p w14:paraId="5B527B66" w14:textId="77777777" w:rsidR="00881BDB" w:rsidRDefault="00881BDB" w:rsidP="005F5B88"/>
    <w:sectPr w:rsidR="00881BDB" w:rsidSect="00DC3EBD">
      <w:footerReference w:type="even" r:id="rId15"/>
      <w:pgSz w:w="11906" w:h="16838"/>
      <w:pgMar w:top="1418" w:right="1418" w:bottom="1418" w:left="1418" w:header="709" w:footer="709"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E68CC" w14:textId="77777777" w:rsidR="00DD0108" w:rsidRDefault="00DD0108" w:rsidP="00881BDB">
      <w:pPr>
        <w:spacing w:after="0" w:line="240" w:lineRule="auto"/>
      </w:pPr>
      <w:r>
        <w:separator/>
      </w:r>
    </w:p>
  </w:endnote>
  <w:endnote w:type="continuationSeparator" w:id="0">
    <w:p w14:paraId="51C96CF7" w14:textId="77777777" w:rsidR="00DD0108" w:rsidRDefault="00DD0108" w:rsidP="00881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Dutch801 SWC">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NeueHaasGroteskText W02">
    <w:altName w:val="Calibri"/>
    <w:charset w:val="EE"/>
    <w:family w:val="swiss"/>
    <w:pitch w:val="variable"/>
    <w:sig w:usb0="00000007" w:usb1="4000204A" w:usb2="00000000" w:usb3="00000000" w:csb0="00000093"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500263"/>
      <w:docPartObj>
        <w:docPartGallery w:val="Page Numbers (Bottom of Page)"/>
        <w:docPartUnique/>
      </w:docPartObj>
    </w:sdtPr>
    <w:sdtContent>
      <w:p w14:paraId="3DC3DC9F" w14:textId="77777777" w:rsidR="00DD0108" w:rsidRDefault="00DD0108">
        <w:pPr>
          <w:pStyle w:val="Pta"/>
          <w:jc w:val="right"/>
        </w:pPr>
        <w:r>
          <w:fldChar w:fldCharType="begin"/>
        </w:r>
        <w:r>
          <w:instrText>PAGE   \* MERGEFORMAT</w:instrText>
        </w:r>
        <w:r>
          <w:fldChar w:fldCharType="separate"/>
        </w:r>
        <w:r>
          <w:rPr>
            <w:noProof/>
          </w:rPr>
          <w:t>2</w:t>
        </w:r>
        <w:r>
          <w:fldChar w:fldCharType="end"/>
        </w:r>
      </w:p>
    </w:sdtContent>
  </w:sdt>
  <w:p w14:paraId="1DF3A032" w14:textId="77777777" w:rsidR="00DD0108" w:rsidRDefault="00DD010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983695"/>
      <w:docPartObj>
        <w:docPartGallery w:val="Page Numbers (Bottom of Page)"/>
        <w:docPartUnique/>
      </w:docPartObj>
    </w:sdtPr>
    <w:sdtContent>
      <w:p w14:paraId="36993F2B" w14:textId="77777777" w:rsidR="00DD0108" w:rsidRDefault="00DD0108" w:rsidP="009F4CD0">
        <w:pPr>
          <w:pStyle w:val="Pta"/>
          <w:jc w:val="center"/>
        </w:pPr>
        <w:r>
          <w:fldChar w:fldCharType="begin"/>
        </w:r>
        <w:r>
          <w:instrText>PAGE   \* MERGEFORMAT</w:instrText>
        </w:r>
        <w:r>
          <w:fldChar w:fldCharType="separate"/>
        </w:r>
        <w:r w:rsidR="009E3EEF">
          <w:rPr>
            <w:noProof/>
          </w:rPr>
          <w:t>87</w:t>
        </w:r>
        <w:r>
          <w:fldChar w:fldCharType="end"/>
        </w:r>
      </w:p>
    </w:sdtContent>
  </w:sdt>
  <w:p w14:paraId="30191D74" w14:textId="77777777" w:rsidR="00DD0108" w:rsidRDefault="00DD0108">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4153417"/>
      <w:docPartObj>
        <w:docPartGallery w:val="Page Numbers (Bottom of Page)"/>
        <w:docPartUnique/>
      </w:docPartObj>
    </w:sdtPr>
    <w:sdtContent>
      <w:p w14:paraId="60814057" w14:textId="77777777" w:rsidR="00DD0108" w:rsidRDefault="00DD0108" w:rsidP="009F4CD0">
        <w:pPr>
          <w:pStyle w:val="Pta"/>
          <w:jc w:val="center"/>
        </w:pPr>
        <w:r>
          <w:fldChar w:fldCharType="begin"/>
        </w:r>
        <w:r>
          <w:instrText>PAGE   \* MERGEFORMAT</w:instrText>
        </w:r>
        <w:r>
          <w:fldChar w:fldCharType="separate"/>
        </w:r>
        <w:r w:rsidR="009E3EEF">
          <w:rPr>
            <w:noProof/>
          </w:rPr>
          <w:t>86</w:t>
        </w:r>
        <w:r>
          <w:fldChar w:fldCharType="end"/>
        </w:r>
      </w:p>
    </w:sdtContent>
  </w:sdt>
  <w:p w14:paraId="598E35E0" w14:textId="77777777" w:rsidR="00DD0108" w:rsidRDefault="00DD010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FB495" w14:textId="77777777" w:rsidR="00DD0108" w:rsidRDefault="00DD0108" w:rsidP="00881BDB">
      <w:pPr>
        <w:spacing w:after="0" w:line="240" w:lineRule="auto"/>
      </w:pPr>
      <w:r>
        <w:separator/>
      </w:r>
    </w:p>
  </w:footnote>
  <w:footnote w:type="continuationSeparator" w:id="0">
    <w:p w14:paraId="376119A7" w14:textId="77777777" w:rsidR="00DD0108" w:rsidRDefault="00DD0108" w:rsidP="00881BDB">
      <w:pPr>
        <w:spacing w:after="0" w:line="240" w:lineRule="auto"/>
      </w:pPr>
      <w:r>
        <w:continuationSeparator/>
      </w:r>
    </w:p>
  </w:footnote>
  <w:footnote w:id="1">
    <w:p w14:paraId="1855ACD1" w14:textId="581A130D" w:rsidR="00DD0108" w:rsidRPr="0042635A" w:rsidRDefault="00DD0108" w:rsidP="0042635A">
      <w:pPr>
        <w:pStyle w:val="Textpoznmkypodiarou"/>
        <w:tabs>
          <w:tab w:val="left" w:pos="0"/>
          <w:tab w:val="left" w:pos="1560"/>
        </w:tabs>
      </w:pPr>
      <w:r>
        <w:rPr>
          <w:rStyle w:val="Odkaznapoznmkupodiarou"/>
        </w:rPr>
        <w:footnoteRef/>
      </w:r>
      <w:r w:rsidRPr="0042635A">
        <w:rPr>
          <w:rStyle w:val="Hypertextovprepojenie"/>
          <w:color w:val="auto"/>
          <w:u w:val="none"/>
        </w:rPr>
        <w:t>https://www.finance.gov.sk/sk/financie/institut-financnej-politiky/ekonomicke-prognozy/makroekonomicke-prognozy/43-zasadnutie-vyboru-makroekonomicke-prognozy-september-2017/43-zasadnutie-vyboru-makroekonomicke-prognozy-september-2017.html</w:t>
      </w:r>
    </w:p>
  </w:footnote>
  <w:footnote w:id="2">
    <w:p w14:paraId="5743C4C2" w14:textId="77777777" w:rsidR="00DD0108" w:rsidRPr="00A43BEA" w:rsidRDefault="00DD0108" w:rsidP="005F6E5F">
      <w:pPr>
        <w:pStyle w:val="Textpoznmkypodiarou"/>
        <w:rPr>
          <w:rFonts w:cs="Times New Roman"/>
          <w:sz w:val="18"/>
          <w:szCs w:val="18"/>
        </w:rPr>
      </w:pPr>
      <w:r w:rsidRPr="00A43BEA">
        <w:rPr>
          <w:rStyle w:val="Odkaznapoznmkupodiarou"/>
          <w:rFonts w:cs="Times New Roman"/>
          <w:sz w:val="18"/>
          <w:szCs w:val="18"/>
        </w:rPr>
        <w:footnoteRef/>
      </w:r>
      <w:r w:rsidRPr="00A43BEA">
        <w:rPr>
          <w:rFonts w:cs="Times New Roman"/>
          <w:sz w:val="18"/>
          <w:szCs w:val="18"/>
        </w:rPr>
        <w:t xml:space="preserve"> Podľa konceptu národných účtov (ESA).</w:t>
      </w:r>
    </w:p>
  </w:footnote>
  <w:footnote w:id="3">
    <w:p w14:paraId="5DE0252F" w14:textId="28C6A61F" w:rsidR="00DD0108" w:rsidRPr="00A43BEA" w:rsidRDefault="00DD0108" w:rsidP="005F6E5F">
      <w:pPr>
        <w:pStyle w:val="Textpoznmkypodiarou"/>
        <w:rPr>
          <w:rFonts w:cs="Times New Roman"/>
          <w:sz w:val="18"/>
          <w:szCs w:val="18"/>
        </w:rPr>
      </w:pPr>
      <w:r w:rsidRPr="00A43BEA">
        <w:rPr>
          <w:rStyle w:val="Odkaznapoznmkupodiarou"/>
          <w:rFonts w:cs="Times New Roman"/>
          <w:sz w:val="18"/>
          <w:szCs w:val="18"/>
        </w:rPr>
        <w:footnoteRef/>
      </w:r>
      <w:r w:rsidRPr="00A43BEA">
        <w:rPr>
          <w:rFonts w:cs="Times New Roman"/>
          <w:sz w:val="18"/>
          <w:szCs w:val="18"/>
        </w:rPr>
        <w:t xml:space="preserve"> Výberového zisťovania pracovných síl (ŠÚ SR).</w:t>
      </w:r>
    </w:p>
  </w:footnote>
  <w:footnote w:id="4">
    <w:p w14:paraId="7AFF6CB0" w14:textId="67DFCB9A" w:rsidR="00DD0108" w:rsidRPr="00A43BEA" w:rsidRDefault="00DD0108" w:rsidP="005F6E5F">
      <w:pPr>
        <w:pStyle w:val="Textpoznmkypodiarou"/>
        <w:rPr>
          <w:rFonts w:cs="Times New Roman"/>
          <w:sz w:val="18"/>
          <w:szCs w:val="18"/>
        </w:rPr>
      </w:pPr>
      <w:r w:rsidRPr="00A43BEA">
        <w:rPr>
          <w:rStyle w:val="Odkaznapoznmkupodiarou"/>
          <w:rFonts w:cs="Times New Roman"/>
          <w:sz w:val="18"/>
          <w:szCs w:val="18"/>
        </w:rPr>
        <w:footnoteRef/>
      </w:r>
      <w:r w:rsidRPr="00A43BEA">
        <w:rPr>
          <w:rFonts w:cs="Times New Roman"/>
          <w:sz w:val="18"/>
          <w:szCs w:val="18"/>
        </w:rPr>
        <w:t xml:space="preserve"> Celoročný priemer.</w:t>
      </w:r>
    </w:p>
  </w:footnote>
  <w:footnote w:id="5">
    <w:p w14:paraId="0D4A1C47" w14:textId="20BE7242" w:rsidR="00DD0108" w:rsidRPr="00A43BEA" w:rsidRDefault="00DD0108" w:rsidP="006704DE">
      <w:pPr>
        <w:pStyle w:val="Textkomentra"/>
        <w:rPr>
          <w:sz w:val="18"/>
          <w:szCs w:val="18"/>
        </w:rPr>
      </w:pPr>
      <w:r w:rsidRPr="00A43BEA">
        <w:rPr>
          <w:rStyle w:val="Odkaznapoznmkupodiarou"/>
          <w:rFonts w:eastAsiaTheme="majorEastAsia"/>
          <w:sz w:val="18"/>
          <w:szCs w:val="18"/>
        </w:rPr>
        <w:footnoteRef/>
      </w:r>
      <w:r w:rsidRPr="00A43BEA">
        <w:rPr>
          <w:sz w:val="18"/>
          <w:szCs w:val="18"/>
        </w:rPr>
        <w:t xml:space="preserve"> Primárne výnosy sú platby vyplácané do zahraničia, resp. prijímané zo zahraničia za protihodnotu ako odmena výrobných faktorov (práce a kapitálu), t.</w:t>
      </w:r>
      <w:r>
        <w:rPr>
          <w:sz w:val="18"/>
          <w:szCs w:val="18"/>
        </w:rPr>
        <w:t xml:space="preserve"> </w:t>
      </w:r>
      <w:r w:rsidRPr="00A43BEA">
        <w:rPr>
          <w:sz w:val="18"/>
          <w:szCs w:val="18"/>
        </w:rPr>
        <w:t xml:space="preserve">j. mzdy zamestnancov ktorí nie sú rezidentmi na Slovensku, dividendy a úroky platené zahraničným osobám (a opačne). Sekundárne výnosy sú platby bez protihodnoty – </w:t>
      </w:r>
      <w:proofErr w:type="spellStart"/>
      <w:r w:rsidRPr="00A43BEA">
        <w:rPr>
          <w:sz w:val="18"/>
          <w:szCs w:val="18"/>
        </w:rPr>
        <w:t>remitencie</w:t>
      </w:r>
      <w:proofErr w:type="spellEnd"/>
      <w:r w:rsidRPr="00A43BEA">
        <w:rPr>
          <w:sz w:val="18"/>
          <w:szCs w:val="18"/>
        </w:rPr>
        <w:t xml:space="preserve"> (peniaze posielané „domov“), bežné transfery a pod.</w:t>
      </w:r>
    </w:p>
    <w:p w14:paraId="6F2B7568" w14:textId="77777777" w:rsidR="00DD0108" w:rsidRDefault="00DD0108" w:rsidP="006704DE">
      <w:pPr>
        <w:pStyle w:val="Textpoznmkypodiarou"/>
      </w:pPr>
    </w:p>
  </w:footnote>
  <w:footnote w:id="6">
    <w:p w14:paraId="0B56C586" w14:textId="6423B6D3" w:rsidR="00DD0108" w:rsidRDefault="00DD0108">
      <w:pPr>
        <w:pStyle w:val="Textpoznmkypodiarou"/>
      </w:pPr>
      <w:r>
        <w:rPr>
          <w:rStyle w:val="Odkaznapoznmkupodiarou"/>
        </w:rPr>
        <w:footnoteRef/>
      </w:r>
      <w:r>
        <w:t xml:space="preserve"> </w:t>
      </w:r>
      <w:r w:rsidRPr="008978E7">
        <w:rPr>
          <w:rStyle w:val="Siln"/>
          <w:rFonts w:cs="Helvetica"/>
          <w:b w:val="0"/>
          <w:color w:val="333333"/>
          <w:sz w:val="18"/>
          <w:szCs w:val="18"/>
        </w:rPr>
        <w:t>Nariadenie Rady (ES) č. 479/2009 z 25. mája 2009 o uplatňovaní Protokolu o postupe pri nadmernom schodku</w:t>
      </w:r>
      <w:r>
        <w:rPr>
          <w:rStyle w:val="Siln"/>
          <w:rFonts w:cs="Helvetica"/>
          <w:b w:val="0"/>
          <w:color w:val="333333"/>
          <w:sz w:val="18"/>
          <w:szCs w:val="18"/>
        </w:rPr>
        <w:t>.</w:t>
      </w:r>
    </w:p>
  </w:footnote>
  <w:footnote w:id="7">
    <w:p w14:paraId="5B70907B" w14:textId="77777777" w:rsidR="00DD0108" w:rsidRPr="00094791" w:rsidRDefault="00DD0108" w:rsidP="00614751">
      <w:pPr>
        <w:pStyle w:val="Textpoznmkypodiarou"/>
        <w:rPr>
          <w:sz w:val="18"/>
          <w:szCs w:val="18"/>
          <w:highlight w:val="yellow"/>
        </w:rPr>
      </w:pPr>
      <w:r w:rsidRPr="00E034FD">
        <w:rPr>
          <w:rStyle w:val="Odkaznapoznmkupodiarou"/>
          <w:rFonts w:eastAsiaTheme="majorEastAsia"/>
          <w:sz w:val="18"/>
          <w:szCs w:val="18"/>
        </w:rPr>
        <w:footnoteRef/>
      </w:r>
      <w:r w:rsidRPr="00E034FD">
        <w:rPr>
          <w:sz w:val="18"/>
          <w:szCs w:val="18"/>
        </w:rPr>
        <w:t xml:space="preserve"> Výnos DPFO z</w:t>
      </w:r>
      <w:r>
        <w:rPr>
          <w:sz w:val="18"/>
          <w:szCs w:val="18"/>
        </w:rPr>
        <w:t> </w:t>
      </w:r>
      <w:r w:rsidRPr="00E034FD">
        <w:rPr>
          <w:sz w:val="18"/>
          <w:szCs w:val="18"/>
        </w:rPr>
        <w:t>podnikania za</w:t>
      </w:r>
      <w:r>
        <w:rPr>
          <w:sz w:val="18"/>
          <w:szCs w:val="18"/>
        </w:rPr>
        <w:t> </w:t>
      </w:r>
      <w:r w:rsidRPr="00E034FD">
        <w:rPr>
          <w:sz w:val="18"/>
          <w:szCs w:val="18"/>
        </w:rPr>
        <w:t>rok 2018 je len odhad, pretože daňové priznania za</w:t>
      </w:r>
      <w:r>
        <w:rPr>
          <w:sz w:val="18"/>
          <w:szCs w:val="18"/>
        </w:rPr>
        <w:t> </w:t>
      </w:r>
      <w:r w:rsidRPr="00E034FD">
        <w:rPr>
          <w:sz w:val="18"/>
          <w:szCs w:val="18"/>
        </w:rPr>
        <w:t>rok 2018 sa podávajú v</w:t>
      </w:r>
      <w:r>
        <w:rPr>
          <w:sz w:val="18"/>
          <w:szCs w:val="18"/>
        </w:rPr>
        <w:t> </w:t>
      </w:r>
      <w:r w:rsidRPr="00E034FD">
        <w:rPr>
          <w:sz w:val="18"/>
          <w:szCs w:val="18"/>
        </w:rPr>
        <w:t>roku 2019 a</w:t>
      </w:r>
      <w:r>
        <w:rPr>
          <w:sz w:val="18"/>
          <w:szCs w:val="18"/>
        </w:rPr>
        <w:t> </w:t>
      </w:r>
      <w:r w:rsidRPr="00E034FD">
        <w:rPr>
          <w:sz w:val="18"/>
          <w:szCs w:val="18"/>
        </w:rPr>
        <w:t>skutočný výnos dane bude známy až na</w:t>
      </w:r>
      <w:r>
        <w:rPr>
          <w:sz w:val="18"/>
          <w:szCs w:val="18"/>
        </w:rPr>
        <w:t> </w:t>
      </w:r>
      <w:r w:rsidRPr="00E034FD">
        <w:rPr>
          <w:sz w:val="18"/>
          <w:szCs w:val="18"/>
        </w:rPr>
        <w:t>začiatku roka 2020.</w:t>
      </w:r>
    </w:p>
  </w:footnote>
  <w:footnote w:id="8">
    <w:p w14:paraId="08639D19" w14:textId="77777777" w:rsidR="00DD0108" w:rsidRPr="00094791" w:rsidRDefault="00DD0108" w:rsidP="00614751">
      <w:pPr>
        <w:pStyle w:val="Textpoznmkypodiarou"/>
        <w:rPr>
          <w:sz w:val="18"/>
          <w:szCs w:val="18"/>
          <w:highlight w:val="yellow"/>
        </w:rPr>
      </w:pPr>
      <w:r w:rsidRPr="00E034FD">
        <w:rPr>
          <w:rStyle w:val="Odkaznapoznmkupodiarou"/>
          <w:rFonts w:eastAsiaTheme="majorEastAsia"/>
          <w:sz w:val="18"/>
          <w:szCs w:val="18"/>
        </w:rPr>
        <w:footnoteRef/>
      </w:r>
      <w:r w:rsidRPr="00E034FD">
        <w:rPr>
          <w:sz w:val="18"/>
          <w:szCs w:val="18"/>
        </w:rPr>
        <w:t xml:space="preserve"> Výnos DPPO za</w:t>
      </w:r>
      <w:r>
        <w:rPr>
          <w:sz w:val="18"/>
          <w:szCs w:val="18"/>
        </w:rPr>
        <w:t> </w:t>
      </w:r>
      <w:r w:rsidRPr="00E034FD">
        <w:rPr>
          <w:sz w:val="18"/>
          <w:szCs w:val="18"/>
        </w:rPr>
        <w:t>rok 2018 je len odhad, pretože daňové priznania za</w:t>
      </w:r>
      <w:r>
        <w:rPr>
          <w:sz w:val="18"/>
          <w:szCs w:val="18"/>
        </w:rPr>
        <w:t> </w:t>
      </w:r>
      <w:r w:rsidRPr="00E034FD">
        <w:rPr>
          <w:sz w:val="18"/>
          <w:szCs w:val="18"/>
        </w:rPr>
        <w:t>rok</w:t>
      </w:r>
      <w:r>
        <w:rPr>
          <w:sz w:val="18"/>
          <w:szCs w:val="18"/>
        </w:rPr>
        <w:t xml:space="preserve"> 2018 sa podávajú v roku 2019 a </w:t>
      </w:r>
      <w:r w:rsidRPr="00E034FD">
        <w:rPr>
          <w:sz w:val="18"/>
          <w:szCs w:val="18"/>
        </w:rPr>
        <w:t>skutočný výnos dane bude známy až na</w:t>
      </w:r>
      <w:r>
        <w:rPr>
          <w:sz w:val="18"/>
          <w:szCs w:val="18"/>
        </w:rPr>
        <w:t> </w:t>
      </w:r>
      <w:r w:rsidRPr="00E034FD">
        <w:rPr>
          <w:sz w:val="18"/>
          <w:szCs w:val="18"/>
        </w:rPr>
        <w:t>začiatku roka 2020.</w:t>
      </w:r>
    </w:p>
  </w:footnote>
  <w:footnote w:id="9">
    <w:p w14:paraId="708E7676" w14:textId="77777777" w:rsidR="00DD0108" w:rsidRPr="00E034FD" w:rsidRDefault="00DD0108" w:rsidP="00614751">
      <w:pPr>
        <w:pStyle w:val="Textpoznmkypodiarou"/>
      </w:pPr>
      <w:r w:rsidRPr="00E034FD">
        <w:rPr>
          <w:rStyle w:val="Odkaznapoznmkupodiarou"/>
          <w:rFonts w:eastAsiaTheme="majorEastAsia"/>
          <w:sz w:val="18"/>
          <w:szCs w:val="18"/>
        </w:rPr>
        <w:footnoteRef/>
      </w:r>
      <w:r>
        <w:rPr>
          <w:sz w:val="18"/>
          <w:szCs w:val="18"/>
        </w:rPr>
        <w:t xml:space="preserve"> Výnos DPH za </w:t>
      </w:r>
      <w:r w:rsidRPr="00E034FD">
        <w:rPr>
          <w:sz w:val="18"/>
          <w:szCs w:val="18"/>
        </w:rPr>
        <w:t>rok 2018 je len odhad. Skutočnosť bude známa v apríli 2019.</w:t>
      </w:r>
    </w:p>
  </w:footnote>
  <w:footnote w:id="10">
    <w:p w14:paraId="16E902BD" w14:textId="694EA55A" w:rsidR="00DD0108" w:rsidRPr="007E06C0" w:rsidRDefault="00DD0108" w:rsidP="00614751">
      <w:pPr>
        <w:pStyle w:val="Textpoznmkypodiarou"/>
      </w:pPr>
      <w:r w:rsidRPr="00E034FD">
        <w:rPr>
          <w:rStyle w:val="Odkaznapoznmkupodiarou"/>
          <w:rFonts w:eastAsiaTheme="majorEastAsia"/>
          <w:sz w:val="18"/>
          <w:szCs w:val="18"/>
        </w:rPr>
        <w:footnoteRef/>
      </w:r>
      <w:r w:rsidRPr="00E034FD">
        <w:rPr>
          <w:sz w:val="18"/>
          <w:szCs w:val="18"/>
        </w:rPr>
        <w:t xml:space="preserve"> Výnos osobitného odvodu z regulovaných odvetví za</w:t>
      </w:r>
      <w:r>
        <w:rPr>
          <w:sz w:val="18"/>
          <w:szCs w:val="18"/>
        </w:rPr>
        <w:t> </w:t>
      </w:r>
      <w:r w:rsidRPr="00E034FD">
        <w:rPr>
          <w:sz w:val="18"/>
          <w:szCs w:val="18"/>
        </w:rPr>
        <w:t>rok 2018 je len odhad, pretože daňové priznania za</w:t>
      </w:r>
      <w:r>
        <w:rPr>
          <w:sz w:val="18"/>
          <w:szCs w:val="18"/>
        </w:rPr>
        <w:t> </w:t>
      </w:r>
      <w:r w:rsidRPr="00E034FD">
        <w:rPr>
          <w:sz w:val="18"/>
          <w:szCs w:val="18"/>
        </w:rPr>
        <w:t>rok 2018 sa podávajú v</w:t>
      </w:r>
      <w:r>
        <w:rPr>
          <w:sz w:val="18"/>
          <w:szCs w:val="18"/>
        </w:rPr>
        <w:t> roku 2019 a </w:t>
      </w:r>
      <w:r w:rsidRPr="00E034FD">
        <w:rPr>
          <w:sz w:val="18"/>
          <w:szCs w:val="18"/>
        </w:rPr>
        <w:t>skutočný výnos dane bude známy až na</w:t>
      </w:r>
      <w:r>
        <w:rPr>
          <w:sz w:val="18"/>
          <w:szCs w:val="18"/>
        </w:rPr>
        <w:t> </w:t>
      </w:r>
      <w:r w:rsidRPr="00E034FD">
        <w:rPr>
          <w:sz w:val="18"/>
          <w:szCs w:val="18"/>
        </w:rPr>
        <w:t>začiatku roka 2020.</w:t>
      </w:r>
    </w:p>
  </w:footnote>
  <w:footnote w:id="11">
    <w:p w14:paraId="549CFBAC" w14:textId="0A7B6004" w:rsidR="00DD0108" w:rsidRPr="008978E7" w:rsidRDefault="00DD0108">
      <w:pPr>
        <w:pStyle w:val="Textpoznmkypodiarou"/>
        <w:rPr>
          <w:sz w:val="18"/>
          <w:szCs w:val="18"/>
        </w:rPr>
      </w:pPr>
      <w:r w:rsidRPr="00A265D6">
        <w:rPr>
          <w:rStyle w:val="Odkaznapoznmkupodiarou"/>
          <w:sz w:val="18"/>
          <w:szCs w:val="18"/>
        </w:rPr>
        <w:footnoteRef/>
      </w:r>
      <w:r w:rsidRPr="00A265D6">
        <w:rPr>
          <w:sz w:val="18"/>
          <w:szCs w:val="18"/>
        </w:rPr>
        <w:t xml:space="preserve"> Išlo o pohľadávky na poistnom vzniknuté do 31.12.2016. Na úrovni verejnej správy sa príjem Sociálnej poisťovne</w:t>
      </w:r>
      <w:r>
        <w:rPr>
          <w:sz w:val="18"/>
          <w:szCs w:val="18"/>
        </w:rPr>
        <w:t xml:space="preserve"> z oddlžovania </w:t>
      </w:r>
      <w:proofErr w:type="spellStart"/>
      <w:r>
        <w:rPr>
          <w:sz w:val="18"/>
          <w:szCs w:val="18"/>
        </w:rPr>
        <w:t>vykonsolidoval</w:t>
      </w:r>
      <w:proofErr w:type="spellEnd"/>
      <w:r>
        <w:rPr>
          <w:sz w:val="18"/>
          <w:szCs w:val="18"/>
        </w:rPr>
        <w:t xml:space="preserve"> s výdavkom štátnych finančných aktív.</w:t>
      </w:r>
    </w:p>
  </w:footnote>
  <w:footnote w:id="12">
    <w:p w14:paraId="041ACF5A" w14:textId="77777777" w:rsidR="00DD0108" w:rsidRDefault="00DD0108" w:rsidP="00614751">
      <w:pPr>
        <w:pStyle w:val="Textpoznmkypodiarou"/>
      </w:pPr>
      <w:r>
        <w:rPr>
          <w:rStyle w:val="Odkaznapoznmkupodiarou"/>
        </w:rPr>
        <w:footnoteRef/>
      </w:r>
      <w:r>
        <w:t xml:space="preserve"> </w:t>
      </w:r>
      <w:r w:rsidRPr="00420E49">
        <w:rPr>
          <w:sz w:val="18"/>
          <w:szCs w:val="18"/>
        </w:rPr>
        <w:t>Systémová korekcia vzniká v dôsledku opakujúceho sa nedostatku zisteného v</w:t>
      </w:r>
      <w:r>
        <w:rPr>
          <w:sz w:val="18"/>
          <w:szCs w:val="18"/>
        </w:rPr>
        <w:t> </w:t>
      </w:r>
      <w:r w:rsidRPr="00420E49">
        <w:rPr>
          <w:sz w:val="18"/>
          <w:szCs w:val="18"/>
        </w:rPr>
        <w:t>rámci viacerých projektov, je dôsledkom závažného nedostatku účinného fungovania systémov riadenia a</w:t>
      </w:r>
      <w:r>
        <w:rPr>
          <w:sz w:val="18"/>
          <w:szCs w:val="18"/>
        </w:rPr>
        <w:t> </w:t>
      </w:r>
      <w:r w:rsidRPr="00420E49">
        <w:rPr>
          <w:sz w:val="18"/>
          <w:szCs w:val="18"/>
        </w:rPr>
        <w:t>kontroly, a</w:t>
      </w:r>
      <w:r>
        <w:rPr>
          <w:sz w:val="18"/>
          <w:szCs w:val="18"/>
        </w:rPr>
        <w:t> </w:t>
      </w:r>
      <w:r w:rsidRPr="00420E49">
        <w:rPr>
          <w:sz w:val="18"/>
          <w:szCs w:val="18"/>
        </w:rPr>
        <w:t>to vrátane nestanovenia vhodných postupov.</w:t>
      </w:r>
    </w:p>
  </w:footnote>
  <w:footnote w:id="13">
    <w:p w14:paraId="13915623" w14:textId="77777777" w:rsidR="00DD0108" w:rsidRDefault="00DD0108" w:rsidP="00614751">
      <w:pPr>
        <w:pStyle w:val="Textpoznmkypodiarou"/>
      </w:pPr>
      <w:r>
        <w:rPr>
          <w:rStyle w:val="Odkaznapoznmkupodiarou"/>
        </w:rPr>
        <w:footnoteRef/>
      </w:r>
      <w:r>
        <w:t xml:space="preserve"> </w:t>
      </w:r>
      <w:r w:rsidRPr="00420E49">
        <w:rPr>
          <w:sz w:val="18"/>
          <w:szCs w:val="18"/>
        </w:rPr>
        <w:t>Individuálna nezrovnalosť je zistený nedostatok (jedno</w:t>
      </w:r>
      <w:r>
        <w:rPr>
          <w:sz w:val="18"/>
          <w:szCs w:val="18"/>
        </w:rPr>
        <w:t>razová chyba), ktorý sa viaže k </w:t>
      </w:r>
      <w:r w:rsidRPr="00420E49">
        <w:rPr>
          <w:sz w:val="18"/>
          <w:szCs w:val="18"/>
        </w:rPr>
        <w:t>jednej operácii, resp. k jednému projektu a je nezávislý od</w:t>
      </w:r>
      <w:r>
        <w:rPr>
          <w:sz w:val="18"/>
          <w:szCs w:val="18"/>
        </w:rPr>
        <w:t> </w:t>
      </w:r>
      <w:r w:rsidRPr="00420E49">
        <w:rPr>
          <w:sz w:val="18"/>
          <w:szCs w:val="18"/>
        </w:rPr>
        <w:t>iných chýb alebo nedostatkov v</w:t>
      </w:r>
      <w:r>
        <w:rPr>
          <w:sz w:val="18"/>
          <w:szCs w:val="18"/>
        </w:rPr>
        <w:t> </w:t>
      </w:r>
      <w:r w:rsidRPr="00420E49">
        <w:rPr>
          <w:sz w:val="18"/>
          <w:szCs w:val="18"/>
        </w:rPr>
        <w:t>systéme riadenia a kontroly.</w:t>
      </w:r>
    </w:p>
  </w:footnote>
  <w:footnote w:id="14">
    <w:p w14:paraId="25690B2C" w14:textId="4BDF5991" w:rsidR="00DD0108" w:rsidRDefault="00DD0108">
      <w:pPr>
        <w:pStyle w:val="Textpoznmkypodiarou"/>
      </w:pPr>
      <w:r>
        <w:rPr>
          <w:rStyle w:val="Odkaznapoznmkupodiarou"/>
        </w:rPr>
        <w:footnoteRef/>
      </w:r>
      <w:r>
        <w:t xml:space="preserve"> </w:t>
      </w:r>
      <w:r w:rsidRPr="00EC358D">
        <w:rPr>
          <w:sz w:val="18"/>
          <w:szCs w:val="18"/>
        </w:rPr>
        <w:t xml:space="preserve">Vláda </w:t>
      </w:r>
      <w:r>
        <w:rPr>
          <w:sz w:val="18"/>
          <w:szCs w:val="18"/>
        </w:rPr>
        <w:t>SR</w:t>
      </w:r>
      <w:r w:rsidRPr="00EC358D">
        <w:rPr>
          <w:sz w:val="18"/>
          <w:szCs w:val="18"/>
        </w:rPr>
        <w:t xml:space="preserve"> schválila „Koncepci</w:t>
      </w:r>
      <w:r>
        <w:rPr>
          <w:sz w:val="18"/>
          <w:szCs w:val="18"/>
        </w:rPr>
        <w:t>u</w:t>
      </w:r>
      <w:r w:rsidRPr="00EC358D">
        <w:rPr>
          <w:sz w:val="18"/>
          <w:szCs w:val="18"/>
        </w:rPr>
        <w:t xml:space="preserve"> oddlženia zdravotníckych zariadení,“</w:t>
      </w:r>
      <w:r>
        <w:rPr>
          <w:sz w:val="18"/>
          <w:szCs w:val="18"/>
        </w:rPr>
        <w:t xml:space="preserve"> </w:t>
      </w:r>
      <w:r w:rsidRPr="00EC358D">
        <w:rPr>
          <w:sz w:val="18"/>
          <w:szCs w:val="18"/>
        </w:rPr>
        <w:t>na svojom rokovaní 13. septemb</w:t>
      </w:r>
      <w:r>
        <w:rPr>
          <w:sz w:val="18"/>
          <w:szCs w:val="18"/>
        </w:rPr>
        <w:t>ra 2017 uznesením</w:t>
      </w:r>
      <w:r w:rsidRPr="00EC358D">
        <w:rPr>
          <w:sz w:val="18"/>
          <w:szCs w:val="18"/>
        </w:rPr>
        <w:t xml:space="preserve"> č. 425/2017.</w:t>
      </w:r>
    </w:p>
  </w:footnote>
  <w:footnote w:id="15">
    <w:p w14:paraId="51A43225" w14:textId="6837CF1B" w:rsidR="00DD0108" w:rsidRDefault="00DD0108">
      <w:pPr>
        <w:pStyle w:val="Textpoznmkypodiarou"/>
      </w:pPr>
      <w:r>
        <w:rPr>
          <w:rStyle w:val="Odkaznapoznmkupodiarou"/>
        </w:rPr>
        <w:footnoteRef/>
      </w:r>
      <w:r>
        <w:t xml:space="preserve"> Revízia dlhu k 31.12.2017 o 1 388 tis. eur, ktorá sa týka revízie výšky zábezpek obchodných spoločností štátu. Pôvodná výška konsolidovaného dlhu verejnej správy k 31.12.2017 zverejnená v SVS 2017 bola 43 229 755 tis. eur.</w:t>
      </w:r>
    </w:p>
  </w:footnote>
  <w:footnote w:id="16">
    <w:p w14:paraId="49C59FBD" w14:textId="5EAB7F63" w:rsidR="00DD0108" w:rsidRDefault="00DD0108" w:rsidP="00ED135D">
      <w:pPr>
        <w:pStyle w:val="Textpoznmkypodiarou"/>
      </w:pPr>
      <w:r w:rsidRPr="00912632">
        <w:rPr>
          <w:rStyle w:val="Odkaznapoznmkupodiarou"/>
        </w:rPr>
        <w:footnoteRef/>
      </w:r>
      <w:r w:rsidRPr="00912632">
        <w:t xml:space="preserve"> </w:t>
      </w:r>
      <w:r w:rsidRPr="0098515B">
        <w:rPr>
          <w:sz w:val="18"/>
          <w:szCs w:val="18"/>
        </w:rPr>
        <w:t xml:space="preserve">Rozpočet verejnej správy na roky 2018 až 2020; </w:t>
      </w:r>
      <w:hyperlink r:id="rId1" w:history="1">
        <w:r w:rsidRPr="0098515B">
          <w:rPr>
            <w:rStyle w:val="Hypertextovprepojenie"/>
            <w:sz w:val="18"/>
            <w:szCs w:val="18"/>
          </w:rPr>
          <w:t>www.finance.gov.sk</w:t>
        </w:r>
      </w:hyperlink>
      <w:r w:rsidRPr="00912632">
        <w:t xml:space="preserve"> </w:t>
      </w:r>
    </w:p>
  </w:footnote>
  <w:footnote w:id="17">
    <w:p w14:paraId="62F05447" w14:textId="30509DD0" w:rsidR="00DD0108" w:rsidRPr="006E653F" w:rsidRDefault="00DD0108" w:rsidP="00E96173">
      <w:pPr>
        <w:spacing w:after="0" w:line="240" w:lineRule="auto"/>
        <w:rPr>
          <w:sz w:val="18"/>
          <w:szCs w:val="18"/>
        </w:rPr>
      </w:pPr>
      <w:r>
        <w:rPr>
          <w:rStyle w:val="Odkaznapoznmkupodiarou"/>
        </w:rPr>
        <w:footnoteRef/>
      </w:r>
      <w:r>
        <w:t xml:space="preserve"> </w:t>
      </w:r>
      <w:r w:rsidRPr="006E653F">
        <w:rPr>
          <w:sz w:val="18"/>
          <w:szCs w:val="18"/>
        </w:rPr>
        <w:t>V rámci bežných výdavkov na služby sa rozpočtujú zálohové platby na projekty EÚ a prostriedky štátneho rozpočtu na spolufinancovanie projektov v </w:t>
      </w:r>
      <w:r w:rsidRPr="00A265D6">
        <w:rPr>
          <w:sz w:val="18"/>
          <w:szCs w:val="18"/>
        </w:rPr>
        <w:t>súlade so Systémom finančného riadenia štrukturálnych fondov, Kohézneho fondu a Európskeho námorného a rybárskeho fondu na programové obdobie 2014-2020. Po schválení</w:t>
      </w:r>
      <w:r w:rsidRPr="006E653F">
        <w:rPr>
          <w:sz w:val="18"/>
          <w:szCs w:val="18"/>
        </w:rPr>
        <w:t xml:space="preserve"> projektov sa príslušné prostriedky vykazujú v čerpaní bežných alebo kapitálových výdavkov jednotlivých kapitol ŠR. </w:t>
      </w:r>
    </w:p>
    <w:p w14:paraId="3B5259CD" w14:textId="3834F6E4" w:rsidR="00DD0108" w:rsidRDefault="00DD0108">
      <w:pPr>
        <w:pStyle w:val="Textpoznmkypodiarou"/>
      </w:pPr>
    </w:p>
  </w:footnote>
  <w:footnote w:id="18">
    <w:p w14:paraId="450025D9" w14:textId="77777777" w:rsidR="00DD0108" w:rsidRDefault="00DD0108" w:rsidP="008472BD">
      <w:pPr>
        <w:pStyle w:val="Textpoznmkypodiarou"/>
      </w:pPr>
      <w:r w:rsidRPr="001F5B67">
        <w:rPr>
          <w:rStyle w:val="Odkaznapoznmkupodiarou"/>
          <w:sz w:val="18"/>
          <w:szCs w:val="18"/>
        </w:rPr>
        <w:footnoteRef/>
      </w:r>
      <w:r w:rsidRPr="001F5B67">
        <w:rPr>
          <w:sz w:val="18"/>
          <w:szCs w:val="18"/>
        </w:rPr>
        <w:t xml:space="preserve"> </w:t>
      </w:r>
      <w:r>
        <w:rPr>
          <w:sz w:val="18"/>
          <w:szCs w:val="18"/>
        </w:rPr>
        <w:t>Z</w:t>
      </w:r>
      <w:r w:rsidRPr="001F5B67">
        <w:rPr>
          <w:sz w:val="18"/>
          <w:szCs w:val="18"/>
        </w:rPr>
        <w:t>ákon č. 361/2014 Z. z. o dani z motorových vozidiel a</w:t>
      </w:r>
      <w:r>
        <w:rPr>
          <w:sz w:val="18"/>
          <w:szCs w:val="18"/>
        </w:rPr>
        <w:t xml:space="preserve"> </w:t>
      </w:r>
      <w:r w:rsidRPr="001F5B67">
        <w:rPr>
          <w:sz w:val="18"/>
          <w:szCs w:val="18"/>
        </w:rPr>
        <w:t>o zmene a</w:t>
      </w:r>
      <w:r>
        <w:rPr>
          <w:sz w:val="18"/>
          <w:szCs w:val="18"/>
        </w:rPr>
        <w:t xml:space="preserve"> </w:t>
      </w:r>
      <w:r w:rsidRPr="001F5B67">
        <w:rPr>
          <w:sz w:val="18"/>
          <w:szCs w:val="18"/>
        </w:rPr>
        <w:t>doplnení niektorých zákonov</w:t>
      </w:r>
    </w:p>
  </w:footnote>
  <w:footnote w:id="19">
    <w:p w14:paraId="6DF2E7CB" w14:textId="77777777" w:rsidR="00DD0108" w:rsidRPr="00816FBC" w:rsidRDefault="00DD0108" w:rsidP="00480B55">
      <w:pPr>
        <w:pStyle w:val="Textpoznmkypodiarou"/>
      </w:pPr>
      <w:r>
        <w:rPr>
          <w:rStyle w:val="Odkaznapoznmkupodiarou"/>
        </w:rPr>
        <w:footnoteRef/>
      </w:r>
      <w:r>
        <w:t xml:space="preserve"> </w:t>
      </w:r>
      <w:r w:rsidRPr="00816FBC">
        <w:rPr>
          <w:sz w:val="18"/>
          <w:szCs w:val="18"/>
        </w:rPr>
        <w:t>Vo FIN výkazoch príjmov a výdavkov štátneho rozpočtu je zaznamenaný výnos dane z príjmov fyzických osôb (DPFO) v štátnom rozpo</w:t>
      </w:r>
      <w:r>
        <w:rPr>
          <w:sz w:val="18"/>
          <w:szCs w:val="18"/>
        </w:rPr>
        <w:t>čte  vo výške 5 919 tis. eur</w:t>
      </w:r>
      <w:r w:rsidRPr="00816FBC">
        <w:rPr>
          <w:sz w:val="18"/>
          <w:szCs w:val="18"/>
        </w:rPr>
        <w:t xml:space="preserve"> a výnos zo sankcií </w:t>
      </w:r>
      <w:r>
        <w:rPr>
          <w:sz w:val="18"/>
          <w:szCs w:val="18"/>
        </w:rPr>
        <w:t>20 895 tis. eur</w:t>
      </w:r>
      <w:r w:rsidRPr="00816FBC">
        <w:rPr>
          <w:sz w:val="18"/>
          <w:szCs w:val="18"/>
        </w:rPr>
        <w:t>. Výnos DPFO bez sankcií je znížený o prevod dane územným samosprávam, ktorý už zahŕňa sankcie. A z toho dôvodu je výnos z DPFO na účte štátneho rozpočtu vo FIN výkaze podhodnotený</w:t>
      </w:r>
      <w:r>
        <w:rPr>
          <w:sz w:val="18"/>
          <w:szCs w:val="18"/>
        </w:rPr>
        <w:t>, a to</w:t>
      </w:r>
      <w:r w:rsidRPr="00816FBC">
        <w:rPr>
          <w:sz w:val="18"/>
          <w:szCs w:val="18"/>
        </w:rPr>
        <w:t xml:space="preserve"> o 4 691 tis. eur a sankcie sú o uvedenú sumu zároveň nadhodnotené. V tabuľke sú preto uvedené upravené výnosy DPFO a sankcií, pričom na celkové príjmy táto úprava vplyv nemá.</w:t>
      </w:r>
    </w:p>
    <w:p w14:paraId="3D1AF927" w14:textId="5F9D080C" w:rsidR="00DD0108" w:rsidRDefault="00DD0108">
      <w:pPr>
        <w:pStyle w:val="Textpoznmkypodiarou"/>
      </w:pPr>
    </w:p>
  </w:footnote>
  <w:footnote w:id="20">
    <w:p w14:paraId="1A487887" w14:textId="2C210F5A" w:rsidR="00DD0108" w:rsidRDefault="00DD0108" w:rsidP="00960A87">
      <w:pPr>
        <w:pStyle w:val="Textpoznmkypodiarou"/>
      </w:pPr>
      <w:r>
        <w:rPr>
          <w:rStyle w:val="Odkaznapoznmkupodiarou"/>
          <w:sz w:val="18"/>
          <w:szCs w:val="18"/>
        </w:rPr>
        <w:footnoteRef/>
      </w:r>
      <w:r>
        <w:rPr>
          <w:sz w:val="18"/>
          <w:szCs w:val="18"/>
        </w:rPr>
        <w:t xml:space="preserve"> Od roku 2012 je saldo príjmových a výdavkových transakcií vzťahujúcich sa k finančným operáciám ARDAL presunuté do výdavkovej rozpočtovej položky transfer rozpočtovej organizácii.</w:t>
      </w:r>
    </w:p>
  </w:footnote>
  <w:footnote w:id="21">
    <w:p w14:paraId="1242D0B6" w14:textId="51A98AFB" w:rsidR="00DD0108" w:rsidRDefault="00DD0108">
      <w:pPr>
        <w:pStyle w:val="Textpoznmkypodiarou"/>
      </w:pPr>
      <w:r>
        <w:rPr>
          <w:rStyle w:val="Odkaznapoznmkupodiarou"/>
        </w:rPr>
        <w:footnoteRef/>
      </w:r>
      <w:r>
        <w:t xml:space="preserve"> </w:t>
      </w:r>
      <w:r w:rsidRPr="00411F2A">
        <w:t>V zmysle zákona  č. 416/2001 Z. z.</w:t>
      </w:r>
      <w:r w:rsidRPr="00411F2A">
        <w:rPr>
          <w:rStyle w:val="h1a2"/>
          <w:sz w:val="20"/>
          <w:szCs w:val="20"/>
        </w:rPr>
        <w:t xml:space="preserve"> o prechode niektorých pôsobností z orgánov štátnej správy na obce a na vyššie územné celky.</w:t>
      </w:r>
    </w:p>
  </w:footnote>
  <w:footnote w:id="22">
    <w:p w14:paraId="645C29AD" w14:textId="3727323D" w:rsidR="00DD0108" w:rsidRDefault="00DD0108">
      <w:pPr>
        <w:pStyle w:val="Textpoznmkypodiarou"/>
      </w:pPr>
      <w:r>
        <w:rPr>
          <w:rStyle w:val="Odkaznapoznmkupodiarou"/>
        </w:rPr>
        <w:footnoteRef/>
      </w:r>
      <w:r>
        <w:t xml:space="preserve"> </w:t>
      </w:r>
      <w:r>
        <w:rPr>
          <w:color w:val="000000" w:themeColor="text1"/>
        </w:rPr>
        <w:t>Z</w:t>
      </w:r>
      <w:r w:rsidRPr="001F1F4E">
        <w:rPr>
          <w:color w:val="000000" w:themeColor="text1"/>
        </w:rPr>
        <w:t>ákona č. 597/2003 Z. z. o financovaní základných škôl, stredných škôl a školských zariadení v znení neskorších predpisov.</w:t>
      </w:r>
    </w:p>
  </w:footnote>
  <w:footnote w:id="23">
    <w:p w14:paraId="668CD624" w14:textId="01DEE96C" w:rsidR="00DD0108" w:rsidRPr="00B13BEC" w:rsidRDefault="00DD0108" w:rsidP="00F52A91">
      <w:pPr>
        <w:spacing w:after="0" w:line="240" w:lineRule="auto"/>
        <w:rPr>
          <w:sz w:val="20"/>
          <w:szCs w:val="20"/>
        </w:rPr>
      </w:pPr>
      <w:r>
        <w:rPr>
          <w:rStyle w:val="Odkaznapoznmkupodiarou"/>
        </w:rPr>
        <w:footnoteRef/>
      </w:r>
      <w:r>
        <w:t xml:space="preserve"> </w:t>
      </w:r>
      <w:r w:rsidRPr="00B13BEC">
        <w:rPr>
          <w:color w:val="000000"/>
          <w:sz w:val="20"/>
          <w:szCs w:val="20"/>
          <w:lang w:eastAsia="sk-SK"/>
        </w:rPr>
        <w:t xml:space="preserve">Napríklad </w:t>
      </w:r>
      <w:r>
        <w:rPr>
          <w:color w:val="000000"/>
          <w:sz w:val="20"/>
          <w:szCs w:val="20"/>
          <w:lang w:eastAsia="sk-SK"/>
        </w:rPr>
        <w:t xml:space="preserve">podľa </w:t>
      </w:r>
      <w:r w:rsidRPr="00B13BEC">
        <w:rPr>
          <w:color w:val="000000"/>
          <w:sz w:val="20"/>
          <w:szCs w:val="20"/>
          <w:lang w:eastAsia="sk-SK"/>
        </w:rPr>
        <w:t>zákon</w:t>
      </w:r>
      <w:r>
        <w:rPr>
          <w:color w:val="000000"/>
          <w:sz w:val="20"/>
          <w:szCs w:val="20"/>
          <w:lang w:eastAsia="sk-SK"/>
        </w:rPr>
        <w:t>a</w:t>
      </w:r>
      <w:r w:rsidRPr="00B13BEC">
        <w:rPr>
          <w:color w:val="000000"/>
          <w:sz w:val="20"/>
          <w:szCs w:val="20"/>
          <w:lang w:eastAsia="sk-SK"/>
        </w:rPr>
        <w:t xml:space="preserve"> č. 580/2004 Z. z. o zdravotnom poistení v znení neskorších predpisov, zákon</w:t>
      </w:r>
      <w:r>
        <w:rPr>
          <w:color w:val="000000"/>
          <w:sz w:val="20"/>
          <w:szCs w:val="20"/>
          <w:lang w:eastAsia="sk-SK"/>
        </w:rPr>
        <w:t>a</w:t>
      </w:r>
      <w:r w:rsidRPr="00B13BEC">
        <w:rPr>
          <w:color w:val="000000"/>
          <w:sz w:val="20"/>
          <w:szCs w:val="20"/>
          <w:lang w:eastAsia="sk-SK"/>
        </w:rPr>
        <w:t xml:space="preserve"> č. 461/2003 Z. z. o sociálnom poistení v znení neskorších predpisov</w:t>
      </w:r>
      <w:r>
        <w:rPr>
          <w:color w:val="000000"/>
          <w:sz w:val="20"/>
          <w:szCs w:val="20"/>
          <w:lang w:eastAsia="sk-SK"/>
        </w:rPr>
        <w:t>.</w:t>
      </w:r>
    </w:p>
    <w:p w14:paraId="20A20CD3" w14:textId="449A17B8" w:rsidR="00DD0108" w:rsidRDefault="00DD0108">
      <w:pPr>
        <w:pStyle w:val="Textpoznmkypodiarou"/>
      </w:pPr>
    </w:p>
  </w:footnote>
  <w:footnote w:id="24">
    <w:p w14:paraId="1A3F6DEE" w14:textId="721EB29E" w:rsidR="00DD0108" w:rsidRDefault="00DD0108" w:rsidP="00872F0C">
      <w:pPr>
        <w:pStyle w:val="Textpoznmkypodiarou"/>
      </w:pPr>
      <w:r>
        <w:rPr>
          <w:rStyle w:val="Odkaznapoznmkupodiarou"/>
        </w:rPr>
        <w:footnoteRef/>
      </w:r>
      <w:r>
        <w:t xml:space="preserve"> </w:t>
      </w:r>
      <w:r>
        <w:rPr>
          <w:sz w:val="18"/>
          <w:szCs w:val="18"/>
        </w:rPr>
        <w:t>V súlade s Nariadením Ministerstva vnútra SR č. 64/2017, o vybraných platových náležitostiach príslušníkov. Novelou tohto nariadenia účinnou od 1. júla 2017 sa rozšíril okruh policajtov, ktorým sa priznáva peňažný príspevok na bývanie.</w:t>
      </w:r>
    </w:p>
  </w:footnote>
  <w:footnote w:id="25">
    <w:p w14:paraId="73D5C0DF" w14:textId="31E2642F" w:rsidR="00DD0108" w:rsidRPr="00597493" w:rsidRDefault="00DD0108">
      <w:pPr>
        <w:pStyle w:val="Textpoznmkypodiarou"/>
        <w:rPr>
          <w:sz w:val="18"/>
          <w:szCs w:val="18"/>
        </w:rPr>
      </w:pPr>
      <w:r w:rsidRPr="00597493">
        <w:rPr>
          <w:rStyle w:val="Odkaznapoznmkupodiarou"/>
          <w:sz w:val="18"/>
          <w:szCs w:val="18"/>
        </w:rPr>
        <w:footnoteRef/>
      </w:r>
      <w:r w:rsidRPr="00597493">
        <w:rPr>
          <w:sz w:val="18"/>
          <w:szCs w:val="18"/>
        </w:rPr>
        <w:t xml:space="preserve"> </w:t>
      </w:r>
      <w:hyperlink r:id="rId2" w:history="1">
        <w:r w:rsidRPr="0054245E">
          <w:rPr>
            <w:rStyle w:val="Hypertextovprepojenie"/>
            <w:sz w:val="18"/>
            <w:szCs w:val="18"/>
          </w:rPr>
          <w:t>https://www.upsvr.gov.sk/statistiky/zoznam-najmenej-rozvinutych-okresov</w:t>
        </w:r>
      </w:hyperlink>
      <w:r>
        <w:rPr>
          <w:sz w:val="18"/>
          <w:szCs w:val="18"/>
        </w:rPr>
        <w:t xml:space="preserve"> </w:t>
      </w:r>
    </w:p>
  </w:footnote>
  <w:footnote w:id="26">
    <w:p w14:paraId="2371118B" w14:textId="77777777" w:rsidR="00DD0108" w:rsidRPr="001F75DF" w:rsidRDefault="00DD0108" w:rsidP="005717A4">
      <w:pPr>
        <w:pStyle w:val="Textpoznmkypodiarou"/>
        <w:rPr>
          <w:sz w:val="16"/>
          <w:szCs w:val="16"/>
        </w:rPr>
      </w:pPr>
      <w:r w:rsidRPr="001F75DF">
        <w:rPr>
          <w:rStyle w:val="Odkaznapoznmkupodiarou"/>
          <w:sz w:val="16"/>
          <w:szCs w:val="16"/>
        </w:rPr>
        <w:footnoteRef/>
      </w:r>
      <w:r w:rsidRPr="001F75DF">
        <w:rPr>
          <w:sz w:val="16"/>
          <w:szCs w:val="16"/>
        </w:rPr>
        <w:t xml:space="preserve"> Štátne finančné pasíva, ktorými sú najmä záväzky z vydaných štátnych dlhopisov a pokladničných poukážok, záväzky z prijatých vládnych</w:t>
      </w:r>
      <w:r>
        <w:rPr>
          <w:sz w:val="16"/>
          <w:szCs w:val="16"/>
        </w:rPr>
        <w:t xml:space="preserve"> úverov sú bližšie hodnotené v Súhrnnej účtovnej závierke, keďže ide o stavovú veličinu. Výdavky na splátky istín a úrokov z týchto záväzkov sú predmetom hotovostného plnenie štátneho rozpočtu opisovaného v tomto Štátnom záverečnom účte.</w:t>
      </w:r>
      <w:r w:rsidRPr="001F75DF">
        <w:rPr>
          <w:sz w:val="16"/>
          <w:szCs w:val="16"/>
        </w:rPr>
        <w:t xml:space="preserve"> </w:t>
      </w:r>
    </w:p>
  </w:footnote>
  <w:footnote w:id="27">
    <w:p w14:paraId="43BAC887" w14:textId="5B579B3C" w:rsidR="00DD0108" w:rsidRDefault="00DD0108" w:rsidP="005717A4">
      <w:pPr>
        <w:pStyle w:val="Textpoznmkypodiarou"/>
      </w:pPr>
      <w:r w:rsidRPr="00EF7A18">
        <w:rPr>
          <w:rStyle w:val="Odkaznapoznmkupodiarou"/>
          <w:rFonts w:eastAsiaTheme="majorEastAsia"/>
          <w:sz w:val="16"/>
          <w:szCs w:val="16"/>
        </w:rPr>
        <w:footnoteRef/>
      </w:r>
      <w:r w:rsidRPr="00EF7A18">
        <w:rPr>
          <w:sz w:val="16"/>
          <w:szCs w:val="16"/>
        </w:rPr>
        <w:t xml:space="preserve"> § 13 zákona č. 523/2004 Z. z. o rozpočtových pravidlách verejnej správy a o zmene a doplnení niektorých zákonov</w:t>
      </w:r>
      <w:r>
        <w:rPr>
          <w:sz w:val="16"/>
          <w:szCs w:val="16"/>
        </w:rPr>
        <w:t xml:space="preserve"> v </w:t>
      </w:r>
      <w:proofErr w:type="spellStart"/>
      <w:r>
        <w:rPr>
          <w:sz w:val="16"/>
          <w:szCs w:val="16"/>
        </w:rPr>
        <w:t>z.n.p</w:t>
      </w:r>
      <w:proofErr w:type="spellEnd"/>
      <w:r>
        <w:rPr>
          <w:sz w:val="16"/>
          <w:szCs w:val="16"/>
        </w:rPr>
        <w:t>.</w:t>
      </w:r>
    </w:p>
  </w:footnote>
  <w:footnote w:id="28">
    <w:p w14:paraId="6FABC45F" w14:textId="77777777" w:rsidR="00DD0108" w:rsidRPr="009F4CD0" w:rsidRDefault="00DD0108" w:rsidP="005717A4">
      <w:pPr>
        <w:pStyle w:val="Textpoznmkypodiarou"/>
        <w:rPr>
          <w:sz w:val="16"/>
          <w:szCs w:val="16"/>
        </w:rPr>
      </w:pPr>
      <w:r w:rsidRPr="00EF7A18">
        <w:rPr>
          <w:rStyle w:val="Odkaznapoznmkupodiarou"/>
          <w:rFonts w:eastAsiaTheme="majorEastAsia"/>
          <w:sz w:val="16"/>
          <w:szCs w:val="16"/>
        </w:rPr>
        <w:footnoteRef/>
      </w:r>
      <w:r w:rsidRPr="00EF7A18">
        <w:rPr>
          <w:sz w:val="16"/>
          <w:szCs w:val="16"/>
        </w:rPr>
        <w:t xml:space="preserve"> </w:t>
      </w:r>
      <w:r w:rsidRPr="009F4CD0">
        <w:rPr>
          <w:sz w:val="16"/>
          <w:szCs w:val="16"/>
        </w:rPr>
        <w:t>Zákon č. 384/2011 Z. z. o osobitnom odvode vybraných finančných inštitúcií a o doplnení niektorých zákonov v </w:t>
      </w:r>
      <w:proofErr w:type="spellStart"/>
      <w:r w:rsidRPr="009F4CD0">
        <w:rPr>
          <w:sz w:val="16"/>
          <w:szCs w:val="16"/>
        </w:rPr>
        <w:t>z.n.p</w:t>
      </w:r>
      <w:proofErr w:type="spellEnd"/>
      <w:r w:rsidRPr="009F4CD0">
        <w:rPr>
          <w:sz w:val="16"/>
          <w:szCs w:val="16"/>
        </w:rPr>
        <w:t>.</w:t>
      </w:r>
    </w:p>
  </w:footnote>
  <w:footnote w:id="29">
    <w:p w14:paraId="2B996ED8" w14:textId="77777777" w:rsidR="00DD0108" w:rsidRDefault="00DD0108" w:rsidP="005717A4">
      <w:pPr>
        <w:pStyle w:val="Textpoznmkypodiarou"/>
      </w:pPr>
      <w:r w:rsidRPr="009F4CD0">
        <w:rPr>
          <w:rStyle w:val="Odkaznapoznmkupodiarou"/>
          <w:rFonts w:eastAsiaTheme="majorEastAsia"/>
          <w:sz w:val="16"/>
          <w:szCs w:val="16"/>
        </w:rPr>
        <w:footnoteRef/>
      </w:r>
      <w:r w:rsidRPr="009F4CD0">
        <w:rPr>
          <w:sz w:val="16"/>
          <w:szCs w:val="16"/>
        </w:rPr>
        <w:t xml:space="preserve"> Zákon č. 235/2012 Z. z. o osobitnom odvode z podnikania v regulovaných odvetviach a o zmene a doplnení niektorých zákonov v </w:t>
      </w:r>
      <w:proofErr w:type="spellStart"/>
      <w:r w:rsidRPr="009F4CD0">
        <w:rPr>
          <w:sz w:val="16"/>
          <w:szCs w:val="16"/>
        </w:rPr>
        <w:t>z.n.p</w:t>
      </w:r>
      <w:proofErr w:type="spellEnd"/>
      <w:r w:rsidRPr="009F4CD0">
        <w:rPr>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F35EC"/>
    <w:multiLevelType w:val="hybridMultilevel"/>
    <w:tmpl w:val="B5AAD8B6"/>
    <w:lvl w:ilvl="0" w:tplc="0700F738">
      <w:start w:val="13"/>
      <w:numFmt w:val="bullet"/>
      <w:lvlText w:val="-"/>
      <w:lvlJc w:val="left"/>
      <w:pPr>
        <w:ind w:left="502"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09AF1F64"/>
    <w:multiLevelType w:val="hybridMultilevel"/>
    <w:tmpl w:val="5DC6EEC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19818AC"/>
    <w:multiLevelType w:val="hybridMultilevel"/>
    <w:tmpl w:val="882A478E"/>
    <w:lvl w:ilvl="0" w:tplc="0700F738">
      <w:start w:val="13"/>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80251A"/>
    <w:multiLevelType w:val="hybridMultilevel"/>
    <w:tmpl w:val="0F74550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926049F"/>
    <w:multiLevelType w:val="hybridMultilevel"/>
    <w:tmpl w:val="B7D037FA"/>
    <w:lvl w:ilvl="0" w:tplc="041B0005">
      <w:start w:val="1"/>
      <w:numFmt w:val="bullet"/>
      <w:lvlText w:val=""/>
      <w:lvlJc w:val="left"/>
      <w:pPr>
        <w:ind w:left="644"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CAC3A1E"/>
    <w:multiLevelType w:val="multilevel"/>
    <w:tmpl w:val="D8FAB112"/>
    <w:lvl w:ilvl="0">
      <w:start w:val="1"/>
      <w:numFmt w:val="decimal"/>
      <w:pStyle w:val="Nadpis1"/>
      <w:lvlText w:val="%1"/>
      <w:lvlJc w:val="left"/>
      <w:pPr>
        <w:ind w:left="440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1D811F48"/>
    <w:multiLevelType w:val="hybridMultilevel"/>
    <w:tmpl w:val="AA98145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12D6907"/>
    <w:multiLevelType w:val="hybridMultilevel"/>
    <w:tmpl w:val="E4B6CE32"/>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27176939"/>
    <w:multiLevelType w:val="hybridMultilevel"/>
    <w:tmpl w:val="F81850D2"/>
    <w:lvl w:ilvl="0" w:tplc="0700F738">
      <w:start w:val="13"/>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07D608E"/>
    <w:multiLevelType w:val="hybridMultilevel"/>
    <w:tmpl w:val="D06C4588"/>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38513FC9"/>
    <w:multiLevelType w:val="hybridMultilevel"/>
    <w:tmpl w:val="863E5E9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3A7436C6"/>
    <w:multiLevelType w:val="hybridMultilevel"/>
    <w:tmpl w:val="349CC3E4"/>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E1E4BBE"/>
    <w:multiLevelType w:val="hybridMultilevel"/>
    <w:tmpl w:val="21CE4998"/>
    <w:lvl w:ilvl="0" w:tplc="FFFFFFFF">
      <w:start w:val="1"/>
      <w:numFmt w:val="bullet"/>
      <w:lvlText w:val=""/>
      <w:lvlJc w:val="left"/>
      <w:pPr>
        <w:ind w:left="1287" w:hanging="360"/>
      </w:pPr>
      <w:rPr>
        <w:rFonts w:ascii="Symbol" w:hAnsi="Symbol" w:hint="default"/>
      </w:rPr>
    </w:lvl>
    <w:lvl w:ilvl="1" w:tplc="041B0005">
      <w:start w:val="1"/>
      <w:numFmt w:val="bullet"/>
      <w:lvlText w:val=""/>
      <w:lvlJc w:val="left"/>
      <w:pPr>
        <w:ind w:left="1353" w:hanging="360"/>
      </w:pPr>
      <w:rPr>
        <w:rFonts w:ascii="Wingdings" w:hAnsi="Wingdings" w:hint="default"/>
      </w:rPr>
    </w:lvl>
    <w:lvl w:ilvl="2" w:tplc="041B0005">
      <w:start w:val="1"/>
      <w:numFmt w:val="bullet"/>
      <w:lvlText w:val=""/>
      <w:lvlJc w:val="left"/>
      <w:pPr>
        <w:ind w:left="2727" w:hanging="360"/>
      </w:pPr>
      <w:rPr>
        <w:rFonts w:ascii="Wingdings" w:hAnsi="Wingdings" w:hint="default"/>
      </w:rPr>
    </w:lvl>
    <w:lvl w:ilvl="3" w:tplc="AB0C57A0">
      <w:start w:val="12"/>
      <w:numFmt w:val="bullet"/>
      <w:lvlText w:val="-"/>
      <w:lvlJc w:val="left"/>
      <w:pPr>
        <w:ind w:left="3447" w:hanging="360"/>
      </w:pPr>
      <w:rPr>
        <w:rFonts w:ascii="Times New Roman" w:eastAsia="Times New Roman" w:hAnsi="Times New Roman" w:hint="default"/>
      </w:rPr>
    </w:lvl>
    <w:lvl w:ilvl="4" w:tplc="041B0003" w:tentative="1">
      <w:start w:val="1"/>
      <w:numFmt w:val="bullet"/>
      <w:lvlText w:val="o"/>
      <w:lvlJc w:val="left"/>
      <w:pPr>
        <w:ind w:left="4167" w:hanging="360"/>
      </w:pPr>
      <w:rPr>
        <w:rFonts w:ascii="Courier New" w:hAnsi="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 w15:restartNumberingAfterBreak="0">
    <w:nsid w:val="3EA46160"/>
    <w:multiLevelType w:val="hybridMultilevel"/>
    <w:tmpl w:val="A894B8EC"/>
    <w:lvl w:ilvl="0" w:tplc="A36E3E12">
      <w:start w:val="3"/>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1277F1C"/>
    <w:multiLevelType w:val="hybridMultilevel"/>
    <w:tmpl w:val="C5E44DD8"/>
    <w:lvl w:ilvl="0" w:tplc="8DEC2BFC">
      <w:start w:val="883"/>
      <w:numFmt w:val="bullet"/>
      <w:lvlText w:val="-"/>
      <w:lvlJc w:val="left"/>
      <w:pPr>
        <w:ind w:left="760" w:hanging="360"/>
      </w:pPr>
      <w:rPr>
        <w:rFonts w:ascii="Arial Narrow" w:eastAsia="Times New Roman" w:hAnsi="Arial Narrow" w:cs="Times New Roman" w:hint="default"/>
      </w:rPr>
    </w:lvl>
    <w:lvl w:ilvl="1" w:tplc="041B0003" w:tentative="1">
      <w:start w:val="1"/>
      <w:numFmt w:val="bullet"/>
      <w:lvlText w:val="o"/>
      <w:lvlJc w:val="left"/>
      <w:pPr>
        <w:ind w:left="1480" w:hanging="360"/>
      </w:pPr>
      <w:rPr>
        <w:rFonts w:ascii="Courier New" w:hAnsi="Courier New" w:cs="Courier New" w:hint="default"/>
      </w:rPr>
    </w:lvl>
    <w:lvl w:ilvl="2" w:tplc="041B0005" w:tentative="1">
      <w:start w:val="1"/>
      <w:numFmt w:val="bullet"/>
      <w:lvlText w:val=""/>
      <w:lvlJc w:val="left"/>
      <w:pPr>
        <w:ind w:left="2200" w:hanging="360"/>
      </w:pPr>
      <w:rPr>
        <w:rFonts w:ascii="Wingdings" w:hAnsi="Wingdings" w:hint="default"/>
      </w:rPr>
    </w:lvl>
    <w:lvl w:ilvl="3" w:tplc="041B0001" w:tentative="1">
      <w:start w:val="1"/>
      <w:numFmt w:val="bullet"/>
      <w:lvlText w:val=""/>
      <w:lvlJc w:val="left"/>
      <w:pPr>
        <w:ind w:left="2920" w:hanging="360"/>
      </w:pPr>
      <w:rPr>
        <w:rFonts w:ascii="Symbol" w:hAnsi="Symbol" w:hint="default"/>
      </w:rPr>
    </w:lvl>
    <w:lvl w:ilvl="4" w:tplc="041B0003" w:tentative="1">
      <w:start w:val="1"/>
      <w:numFmt w:val="bullet"/>
      <w:lvlText w:val="o"/>
      <w:lvlJc w:val="left"/>
      <w:pPr>
        <w:ind w:left="3640" w:hanging="360"/>
      </w:pPr>
      <w:rPr>
        <w:rFonts w:ascii="Courier New" w:hAnsi="Courier New" w:cs="Courier New" w:hint="default"/>
      </w:rPr>
    </w:lvl>
    <w:lvl w:ilvl="5" w:tplc="041B0005" w:tentative="1">
      <w:start w:val="1"/>
      <w:numFmt w:val="bullet"/>
      <w:lvlText w:val=""/>
      <w:lvlJc w:val="left"/>
      <w:pPr>
        <w:ind w:left="4360" w:hanging="360"/>
      </w:pPr>
      <w:rPr>
        <w:rFonts w:ascii="Wingdings" w:hAnsi="Wingdings" w:hint="default"/>
      </w:rPr>
    </w:lvl>
    <w:lvl w:ilvl="6" w:tplc="041B0001" w:tentative="1">
      <w:start w:val="1"/>
      <w:numFmt w:val="bullet"/>
      <w:lvlText w:val=""/>
      <w:lvlJc w:val="left"/>
      <w:pPr>
        <w:ind w:left="5080" w:hanging="360"/>
      </w:pPr>
      <w:rPr>
        <w:rFonts w:ascii="Symbol" w:hAnsi="Symbol" w:hint="default"/>
      </w:rPr>
    </w:lvl>
    <w:lvl w:ilvl="7" w:tplc="041B0003" w:tentative="1">
      <w:start w:val="1"/>
      <w:numFmt w:val="bullet"/>
      <w:lvlText w:val="o"/>
      <w:lvlJc w:val="left"/>
      <w:pPr>
        <w:ind w:left="5800" w:hanging="360"/>
      </w:pPr>
      <w:rPr>
        <w:rFonts w:ascii="Courier New" w:hAnsi="Courier New" w:cs="Courier New" w:hint="default"/>
      </w:rPr>
    </w:lvl>
    <w:lvl w:ilvl="8" w:tplc="041B0005" w:tentative="1">
      <w:start w:val="1"/>
      <w:numFmt w:val="bullet"/>
      <w:lvlText w:val=""/>
      <w:lvlJc w:val="left"/>
      <w:pPr>
        <w:ind w:left="6520" w:hanging="360"/>
      </w:pPr>
      <w:rPr>
        <w:rFonts w:ascii="Wingdings" w:hAnsi="Wingdings" w:hint="default"/>
      </w:rPr>
    </w:lvl>
  </w:abstractNum>
  <w:abstractNum w:abstractNumId="15" w15:restartNumberingAfterBreak="0">
    <w:nsid w:val="53D42E79"/>
    <w:multiLevelType w:val="hybridMultilevel"/>
    <w:tmpl w:val="0DF82906"/>
    <w:lvl w:ilvl="0" w:tplc="E9EA3ADA">
      <w:start w:val="5"/>
      <w:numFmt w:val="bullet"/>
      <w:lvlText w:val="-"/>
      <w:lvlJc w:val="left"/>
      <w:pPr>
        <w:ind w:left="1068" w:hanging="360"/>
      </w:pPr>
      <w:rPr>
        <w:rFonts w:ascii="Calibri" w:eastAsia="Calibri" w:hAnsi="Calibri" w:cs="Times New Roman"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6" w15:restartNumberingAfterBreak="0">
    <w:nsid w:val="565826BB"/>
    <w:multiLevelType w:val="hybridMultilevel"/>
    <w:tmpl w:val="E3FE22E6"/>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5D280FDC"/>
    <w:multiLevelType w:val="hybridMultilevel"/>
    <w:tmpl w:val="5C06B272"/>
    <w:lvl w:ilvl="0" w:tplc="0700F738">
      <w:start w:val="13"/>
      <w:numFmt w:val="bullet"/>
      <w:lvlText w:val="-"/>
      <w:lvlJc w:val="left"/>
      <w:pPr>
        <w:ind w:left="1428" w:hanging="360"/>
      </w:pPr>
      <w:rPr>
        <w:rFonts w:ascii="Calibri" w:eastAsia="Calibri" w:hAnsi="Calibri"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8" w15:restartNumberingAfterBreak="0">
    <w:nsid w:val="5E041085"/>
    <w:multiLevelType w:val="multilevel"/>
    <w:tmpl w:val="227C4886"/>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FC55E4A"/>
    <w:multiLevelType w:val="hybridMultilevel"/>
    <w:tmpl w:val="B28C50EC"/>
    <w:lvl w:ilvl="0" w:tplc="11FAF0F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63296CFC"/>
    <w:multiLevelType w:val="multilevel"/>
    <w:tmpl w:val="9C68BA8A"/>
    <w:lvl w:ilvl="0">
      <w:start w:val="1"/>
      <w:numFmt w:val="decimal"/>
      <w:lvlText w:val="%1"/>
      <w:lvlJc w:val="left"/>
      <w:pPr>
        <w:ind w:left="8087"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950" w:hanging="720"/>
      </w:pPr>
      <w:rPr>
        <w:rFonts w:cs="Times New Roman"/>
      </w:rPr>
    </w:lvl>
    <w:lvl w:ilvl="3">
      <w:start w:val="1"/>
      <w:numFmt w:val="decimal"/>
      <w:lvlText w:val="%1.%2.%3.%4"/>
      <w:lvlJc w:val="left"/>
      <w:pPr>
        <w:ind w:left="9510"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1" w15:restartNumberingAfterBreak="0">
    <w:nsid w:val="664D5586"/>
    <w:multiLevelType w:val="hybridMultilevel"/>
    <w:tmpl w:val="A154BC5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A365A7E"/>
    <w:multiLevelType w:val="multilevel"/>
    <w:tmpl w:val="D16497FC"/>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6CB6461F"/>
    <w:multiLevelType w:val="hybridMultilevel"/>
    <w:tmpl w:val="0402317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E22678B"/>
    <w:multiLevelType w:val="hybridMultilevel"/>
    <w:tmpl w:val="39D2BF1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679511E"/>
    <w:multiLevelType w:val="hybridMultilevel"/>
    <w:tmpl w:val="23F61EEC"/>
    <w:lvl w:ilvl="0" w:tplc="24E6EF4E">
      <w:start w:val="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6" w15:restartNumberingAfterBreak="0">
    <w:nsid w:val="785775C6"/>
    <w:multiLevelType w:val="hybridMultilevel"/>
    <w:tmpl w:val="D8F82C0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18"/>
  </w:num>
  <w:num w:numId="5">
    <w:abstractNumId w:val="24"/>
  </w:num>
  <w:num w:numId="6">
    <w:abstractNumId w:val="13"/>
  </w:num>
  <w:num w:numId="7">
    <w:abstractNumId w:val="2"/>
  </w:num>
  <w:num w:numId="8">
    <w:abstractNumId w:val="8"/>
  </w:num>
  <w:num w:numId="9">
    <w:abstractNumId w:val="17"/>
  </w:num>
  <w:num w:numId="10">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5"/>
  </w:num>
  <w:num w:numId="13">
    <w:abstractNumId w:val="19"/>
  </w:num>
  <w:num w:numId="14">
    <w:abstractNumId w:val="16"/>
  </w:num>
  <w:num w:numId="15">
    <w:abstractNumId w:val="1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
  </w:num>
  <w:num w:numId="20">
    <w:abstractNumId w:val="25"/>
  </w:num>
  <w:num w:numId="21">
    <w:abstractNumId w:val="6"/>
  </w:num>
  <w:num w:numId="22">
    <w:abstractNumId w:val="26"/>
  </w:num>
  <w:num w:numId="23">
    <w:abstractNumId w:val="14"/>
  </w:num>
  <w:num w:numId="24">
    <w:abstractNumId w:val="23"/>
  </w:num>
  <w:num w:numId="25">
    <w:abstractNumId w:val="11"/>
  </w:num>
  <w:num w:numId="26">
    <w:abstractNumId w:val="21"/>
  </w:num>
  <w:num w:numId="27">
    <w:abstractNumId w:val="3"/>
  </w:num>
  <w:num w:numId="28">
    <w:abstractNumId w:val="7"/>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GrammaticalErrors/>
  <w:proofState w:spelling="clean"/>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EB4"/>
    <w:rsid w:val="000009AA"/>
    <w:rsid w:val="00004436"/>
    <w:rsid w:val="00006FC6"/>
    <w:rsid w:val="00011ABC"/>
    <w:rsid w:val="000156A6"/>
    <w:rsid w:val="00020746"/>
    <w:rsid w:val="00021DF5"/>
    <w:rsid w:val="00021EB3"/>
    <w:rsid w:val="00022082"/>
    <w:rsid w:val="0002242F"/>
    <w:rsid w:val="0002384D"/>
    <w:rsid w:val="00024990"/>
    <w:rsid w:val="00024D82"/>
    <w:rsid w:val="000265AB"/>
    <w:rsid w:val="00026608"/>
    <w:rsid w:val="00027919"/>
    <w:rsid w:val="00030868"/>
    <w:rsid w:val="000313E4"/>
    <w:rsid w:val="000337EE"/>
    <w:rsid w:val="0003538A"/>
    <w:rsid w:val="00040457"/>
    <w:rsid w:val="0004106B"/>
    <w:rsid w:val="0004373C"/>
    <w:rsid w:val="00044F35"/>
    <w:rsid w:val="00045828"/>
    <w:rsid w:val="00045BE3"/>
    <w:rsid w:val="00046082"/>
    <w:rsid w:val="00046382"/>
    <w:rsid w:val="00047F86"/>
    <w:rsid w:val="000503CE"/>
    <w:rsid w:val="0005259F"/>
    <w:rsid w:val="000535E8"/>
    <w:rsid w:val="00056CD8"/>
    <w:rsid w:val="00057121"/>
    <w:rsid w:val="0006055A"/>
    <w:rsid w:val="00062135"/>
    <w:rsid w:val="00063F2E"/>
    <w:rsid w:val="00064795"/>
    <w:rsid w:val="00064D2C"/>
    <w:rsid w:val="00065E4A"/>
    <w:rsid w:val="00066627"/>
    <w:rsid w:val="00071652"/>
    <w:rsid w:val="00072BE7"/>
    <w:rsid w:val="0007321A"/>
    <w:rsid w:val="000736E0"/>
    <w:rsid w:val="00073B7D"/>
    <w:rsid w:val="00074436"/>
    <w:rsid w:val="000747E2"/>
    <w:rsid w:val="00077D54"/>
    <w:rsid w:val="00077E5D"/>
    <w:rsid w:val="000801AF"/>
    <w:rsid w:val="000821EE"/>
    <w:rsid w:val="00083F62"/>
    <w:rsid w:val="00084D1A"/>
    <w:rsid w:val="0008539A"/>
    <w:rsid w:val="0008566D"/>
    <w:rsid w:val="000866C2"/>
    <w:rsid w:val="00090D49"/>
    <w:rsid w:val="00091942"/>
    <w:rsid w:val="000920F8"/>
    <w:rsid w:val="0009362B"/>
    <w:rsid w:val="00094327"/>
    <w:rsid w:val="000961B7"/>
    <w:rsid w:val="00096A96"/>
    <w:rsid w:val="000A08FC"/>
    <w:rsid w:val="000A37A5"/>
    <w:rsid w:val="000A3C84"/>
    <w:rsid w:val="000A3E55"/>
    <w:rsid w:val="000A6683"/>
    <w:rsid w:val="000A69B1"/>
    <w:rsid w:val="000B07EE"/>
    <w:rsid w:val="000B3FA7"/>
    <w:rsid w:val="000B4A89"/>
    <w:rsid w:val="000B75C0"/>
    <w:rsid w:val="000C03E3"/>
    <w:rsid w:val="000C0B4D"/>
    <w:rsid w:val="000C19A7"/>
    <w:rsid w:val="000C2605"/>
    <w:rsid w:val="000C2D17"/>
    <w:rsid w:val="000C5B4E"/>
    <w:rsid w:val="000C6109"/>
    <w:rsid w:val="000C71F6"/>
    <w:rsid w:val="000C74CA"/>
    <w:rsid w:val="000D0294"/>
    <w:rsid w:val="000D0C1A"/>
    <w:rsid w:val="000D18AA"/>
    <w:rsid w:val="000D4942"/>
    <w:rsid w:val="000D5D8D"/>
    <w:rsid w:val="000D731D"/>
    <w:rsid w:val="000E0E99"/>
    <w:rsid w:val="000E18B3"/>
    <w:rsid w:val="000E2643"/>
    <w:rsid w:val="000F07B6"/>
    <w:rsid w:val="000F3834"/>
    <w:rsid w:val="000F5B64"/>
    <w:rsid w:val="000F72B5"/>
    <w:rsid w:val="000F751F"/>
    <w:rsid w:val="000F7646"/>
    <w:rsid w:val="000F7DD7"/>
    <w:rsid w:val="0010106D"/>
    <w:rsid w:val="00102BBA"/>
    <w:rsid w:val="001049B6"/>
    <w:rsid w:val="00104B0B"/>
    <w:rsid w:val="0010567A"/>
    <w:rsid w:val="00105B67"/>
    <w:rsid w:val="00105BF8"/>
    <w:rsid w:val="00110CA4"/>
    <w:rsid w:val="00111D91"/>
    <w:rsid w:val="00111E27"/>
    <w:rsid w:val="00112E7C"/>
    <w:rsid w:val="00114152"/>
    <w:rsid w:val="00114612"/>
    <w:rsid w:val="001153B0"/>
    <w:rsid w:val="0011636A"/>
    <w:rsid w:val="00116BCD"/>
    <w:rsid w:val="00116EA0"/>
    <w:rsid w:val="001200B1"/>
    <w:rsid w:val="0012020C"/>
    <w:rsid w:val="001205FE"/>
    <w:rsid w:val="00120749"/>
    <w:rsid w:val="00122D00"/>
    <w:rsid w:val="00122D65"/>
    <w:rsid w:val="0012574B"/>
    <w:rsid w:val="001273F0"/>
    <w:rsid w:val="00127C08"/>
    <w:rsid w:val="00127DA4"/>
    <w:rsid w:val="0013027B"/>
    <w:rsid w:val="001311E9"/>
    <w:rsid w:val="00131246"/>
    <w:rsid w:val="00135126"/>
    <w:rsid w:val="00135AFC"/>
    <w:rsid w:val="00135D9E"/>
    <w:rsid w:val="00136C54"/>
    <w:rsid w:val="001376BA"/>
    <w:rsid w:val="00141083"/>
    <w:rsid w:val="001432A2"/>
    <w:rsid w:val="001436B3"/>
    <w:rsid w:val="00144775"/>
    <w:rsid w:val="00146229"/>
    <w:rsid w:val="00150B92"/>
    <w:rsid w:val="00153857"/>
    <w:rsid w:val="00154AB2"/>
    <w:rsid w:val="00161134"/>
    <w:rsid w:val="00164FE8"/>
    <w:rsid w:val="0017186F"/>
    <w:rsid w:val="00171ABF"/>
    <w:rsid w:val="00172AA1"/>
    <w:rsid w:val="0017407C"/>
    <w:rsid w:val="001747AE"/>
    <w:rsid w:val="001757A1"/>
    <w:rsid w:val="00176102"/>
    <w:rsid w:val="00176C4A"/>
    <w:rsid w:val="00177948"/>
    <w:rsid w:val="00184143"/>
    <w:rsid w:val="00185548"/>
    <w:rsid w:val="001859BD"/>
    <w:rsid w:val="00187F9D"/>
    <w:rsid w:val="00192270"/>
    <w:rsid w:val="001931A3"/>
    <w:rsid w:val="00195AB8"/>
    <w:rsid w:val="0019620A"/>
    <w:rsid w:val="00197430"/>
    <w:rsid w:val="0019788F"/>
    <w:rsid w:val="001A0EE8"/>
    <w:rsid w:val="001A14AF"/>
    <w:rsid w:val="001A333C"/>
    <w:rsid w:val="001A38B4"/>
    <w:rsid w:val="001A55BE"/>
    <w:rsid w:val="001A5BBF"/>
    <w:rsid w:val="001A66EA"/>
    <w:rsid w:val="001B072E"/>
    <w:rsid w:val="001B1225"/>
    <w:rsid w:val="001B148C"/>
    <w:rsid w:val="001B1FCB"/>
    <w:rsid w:val="001B382F"/>
    <w:rsid w:val="001B4083"/>
    <w:rsid w:val="001B774D"/>
    <w:rsid w:val="001B7A1A"/>
    <w:rsid w:val="001C0A69"/>
    <w:rsid w:val="001C0BCD"/>
    <w:rsid w:val="001C159F"/>
    <w:rsid w:val="001C2606"/>
    <w:rsid w:val="001C37AC"/>
    <w:rsid w:val="001C3AA5"/>
    <w:rsid w:val="001C47F8"/>
    <w:rsid w:val="001C4DF1"/>
    <w:rsid w:val="001C531B"/>
    <w:rsid w:val="001C6F9E"/>
    <w:rsid w:val="001D59C7"/>
    <w:rsid w:val="001D5F54"/>
    <w:rsid w:val="001D79DF"/>
    <w:rsid w:val="001E195E"/>
    <w:rsid w:val="001E1E5F"/>
    <w:rsid w:val="001E2155"/>
    <w:rsid w:val="001E493B"/>
    <w:rsid w:val="001E7237"/>
    <w:rsid w:val="001F0570"/>
    <w:rsid w:val="001F131C"/>
    <w:rsid w:val="001F20A6"/>
    <w:rsid w:val="001F21CC"/>
    <w:rsid w:val="001F2757"/>
    <w:rsid w:val="001F4330"/>
    <w:rsid w:val="001F469D"/>
    <w:rsid w:val="001F55C8"/>
    <w:rsid w:val="001F7AF8"/>
    <w:rsid w:val="00201CFC"/>
    <w:rsid w:val="00202B2E"/>
    <w:rsid w:val="002031C9"/>
    <w:rsid w:val="00203665"/>
    <w:rsid w:val="00207550"/>
    <w:rsid w:val="00207768"/>
    <w:rsid w:val="00207875"/>
    <w:rsid w:val="00210671"/>
    <w:rsid w:val="00211BE4"/>
    <w:rsid w:val="0021355F"/>
    <w:rsid w:val="00214802"/>
    <w:rsid w:val="00215466"/>
    <w:rsid w:val="002168AC"/>
    <w:rsid w:val="00216D4C"/>
    <w:rsid w:val="00223DE6"/>
    <w:rsid w:val="002253FA"/>
    <w:rsid w:val="002272DE"/>
    <w:rsid w:val="0023176D"/>
    <w:rsid w:val="00231D4D"/>
    <w:rsid w:val="002321A0"/>
    <w:rsid w:val="00233CD5"/>
    <w:rsid w:val="0023509E"/>
    <w:rsid w:val="00237058"/>
    <w:rsid w:val="002379D7"/>
    <w:rsid w:val="00242BE6"/>
    <w:rsid w:val="00244138"/>
    <w:rsid w:val="00246CF3"/>
    <w:rsid w:val="00250BFC"/>
    <w:rsid w:val="00263348"/>
    <w:rsid w:val="002739FA"/>
    <w:rsid w:val="0027509D"/>
    <w:rsid w:val="00276DC3"/>
    <w:rsid w:val="00280735"/>
    <w:rsid w:val="00284EB4"/>
    <w:rsid w:val="00285018"/>
    <w:rsid w:val="00285FC4"/>
    <w:rsid w:val="002874DF"/>
    <w:rsid w:val="00292A98"/>
    <w:rsid w:val="0029368D"/>
    <w:rsid w:val="00294F97"/>
    <w:rsid w:val="00295A10"/>
    <w:rsid w:val="002A3E52"/>
    <w:rsid w:val="002A452D"/>
    <w:rsid w:val="002A4D0B"/>
    <w:rsid w:val="002A4F8F"/>
    <w:rsid w:val="002A7F5E"/>
    <w:rsid w:val="002B100E"/>
    <w:rsid w:val="002B1164"/>
    <w:rsid w:val="002B427F"/>
    <w:rsid w:val="002B68D0"/>
    <w:rsid w:val="002B6E3F"/>
    <w:rsid w:val="002C09C6"/>
    <w:rsid w:val="002C0D06"/>
    <w:rsid w:val="002C5374"/>
    <w:rsid w:val="002C705A"/>
    <w:rsid w:val="002C758A"/>
    <w:rsid w:val="002D0CEA"/>
    <w:rsid w:val="002D0D67"/>
    <w:rsid w:val="002D224F"/>
    <w:rsid w:val="002D6BA3"/>
    <w:rsid w:val="002D7346"/>
    <w:rsid w:val="002E0DFC"/>
    <w:rsid w:val="002E0E9B"/>
    <w:rsid w:val="002E1BC0"/>
    <w:rsid w:val="002E30D8"/>
    <w:rsid w:val="002E36BC"/>
    <w:rsid w:val="002E53BB"/>
    <w:rsid w:val="002E591A"/>
    <w:rsid w:val="002E5BB3"/>
    <w:rsid w:val="002F202C"/>
    <w:rsid w:val="00301993"/>
    <w:rsid w:val="00303AB6"/>
    <w:rsid w:val="00304439"/>
    <w:rsid w:val="003044C3"/>
    <w:rsid w:val="00306A2A"/>
    <w:rsid w:val="00307928"/>
    <w:rsid w:val="00307A8E"/>
    <w:rsid w:val="0031292B"/>
    <w:rsid w:val="00313284"/>
    <w:rsid w:val="00313879"/>
    <w:rsid w:val="003203CF"/>
    <w:rsid w:val="003260AC"/>
    <w:rsid w:val="00326B2A"/>
    <w:rsid w:val="00326E42"/>
    <w:rsid w:val="0032743B"/>
    <w:rsid w:val="00327600"/>
    <w:rsid w:val="00331568"/>
    <w:rsid w:val="00335449"/>
    <w:rsid w:val="00337847"/>
    <w:rsid w:val="00340046"/>
    <w:rsid w:val="0034481B"/>
    <w:rsid w:val="003506AF"/>
    <w:rsid w:val="00350745"/>
    <w:rsid w:val="0035143E"/>
    <w:rsid w:val="00353072"/>
    <w:rsid w:val="00353F0C"/>
    <w:rsid w:val="003555C9"/>
    <w:rsid w:val="003559E4"/>
    <w:rsid w:val="003566E5"/>
    <w:rsid w:val="00361085"/>
    <w:rsid w:val="00362185"/>
    <w:rsid w:val="003633EA"/>
    <w:rsid w:val="00363F60"/>
    <w:rsid w:val="003655FE"/>
    <w:rsid w:val="00365D11"/>
    <w:rsid w:val="0036697B"/>
    <w:rsid w:val="00370208"/>
    <w:rsid w:val="00370401"/>
    <w:rsid w:val="00370CC4"/>
    <w:rsid w:val="003720FA"/>
    <w:rsid w:val="003721C9"/>
    <w:rsid w:val="00372C28"/>
    <w:rsid w:val="00373A75"/>
    <w:rsid w:val="003741D3"/>
    <w:rsid w:val="003754BC"/>
    <w:rsid w:val="003801EF"/>
    <w:rsid w:val="00381469"/>
    <w:rsid w:val="00381820"/>
    <w:rsid w:val="00383F10"/>
    <w:rsid w:val="003853C7"/>
    <w:rsid w:val="003855B7"/>
    <w:rsid w:val="003859C1"/>
    <w:rsid w:val="00387B36"/>
    <w:rsid w:val="00387BCC"/>
    <w:rsid w:val="003A03FC"/>
    <w:rsid w:val="003A0A95"/>
    <w:rsid w:val="003A16A8"/>
    <w:rsid w:val="003A21ED"/>
    <w:rsid w:val="003A3BAB"/>
    <w:rsid w:val="003A5900"/>
    <w:rsid w:val="003A61EF"/>
    <w:rsid w:val="003A648A"/>
    <w:rsid w:val="003B15E8"/>
    <w:rsid w:val="003B1754"/>
    <w:rsid w:val="003B307E"/>
    <w:rsid w:val="003B3FA1"/>
    <w:rsid w:val="003B4DC9"/>
    <w:rsid w:val="003B57EC"/>
    <w:rsid w:val="003B68F5"/>
    <w:rsid w:val="003C22B1"/>
    <w:rsid w:val="003C3ABB"/>
    <w:rsid w:val="003C3EA4"/>
    <w:rsid w:val="003C400C"/>
    <w:rsid w:val="003C440C"/>
    <w:rsid w:val="003C45AF"/>
    <w:rsid w:val="003C5315"/>
    <w:rsid w:val="003C5ADA"/>
    <w:rsid w:val="003C5D1E"/>
    <w:rsid w:val="003D27B0"/>
    <w:rsid w:val="003D5A59"/>
    <w:rsid w:val="003E01D2"/>
    <w:rsid w:val="003E10EA"/>
    <w:rsid w:val="003E1502"/>
    <w:rsid w:val="003E19FA"/>
    <w:rsid w:val="003E1F41"/>
    <w:rsid w:val="003E1F86"/>
    <w:rsid w:val="003E2C66"/>
    <w:rsid w:val="003E3E21"/>
    <w:rsid w:val="003E428F"/>
    <w:rsid w:val="003E4840"/>
    <w:rsid w:val="003E5812"/>
    <w:rsid w:val="003E5ACD"/>
    <w:rsid w:val="003E5DF8"/>
    <w:rsid w:val="003E6C13"/>
    <w:rsid w:val="003E7903"/>
    <w:rsid w:val="003F16BB"/>
    <w:rsid w:val="003F25F2"/>
    <w:rsid w:val="003F4E07"/>
    <w:rsid w:val="003F5846"/>
    <w:rsid w:val="003F5C26"/>
    <w:rsid w:val="003F5C9A"/>
    <w:rsid w:val="003F605E"/>
    <w:rsid w:val="004004A4"/>
    <w:rsid w:val="00400A6C"/>
    <w:rsid w:val="00402275"/>
    <w:rsid w:val="0040343C"/>
    <w:rsid w:val="00406EBD"/>
    <w:rsid w:val="0040791D"/>
    <w:rsid w:val="0041115C"/>
    <w:rsid w:val="00411EBB"/>
    <w:rsid w:val="00411F2A"/>
    <w:rsid w:val="00412666"/>
    <w:rsid w:val="00415038"/>
    <w:rsid w:val="00416834"/>
    <w:rsid w:val="004168DE"/>
    <w:rsid w:val="0041776E"/>
    <w:rsid w:val="0042118D"/>
    <w:rsid w:val="00422C0A"/>
    <w:rsid w:val="00423379"/>
    <w:rsid w:val="00423874"/>
    <w:rsid w:val="004240C3"/>
    <w:rsid w:val="0042635A"/>
    <w:rsid w:val="00426B17"/>
    <w:rsid w:val="0043153C"/>
    <w:rsid w:val="00431549"/>
    <w:rsid w:val="00432E24"/>
    <w:rsid w:val="0043380F"/>
    <w:rsid w:val="00433CB1"/>
    <w:rsid w:val="00437F0A"/>
    <w:rsid w:val="00443DF7"/>
    <w:rsid w:val="00444209"/>
    <w:rsid w:val="004466D9"/>
    <w:rsid w:val="00446775"/>
    <w:rsid w:val="00446D0C"/>
    <w:rsid w:val="004505D4"/>
    <w:rsid w:val="00450ECA"/>
    <w:rsid w:val="0045434A"/>
    <w:rsid w:val="00455BDF"/>
    <w:rsid w:val="004567F7"/>
    <w:rsid w:val="00456B40"/>
    <w:rsid w:val="00460216"/>
    <w:rsid w:val="004603BE"/>
    <w:rsid w:val="004604CA"/>
    <w:rsid w:val="00460AE0"/>
    <w:rsid w:val="00460FC4"/>
    <w:rsid w:val="0047038C"/>
    <w:rsid w:val="004706F8"/>
    <w:rsid w:val="00470D91"/>
    <w:rsid w:val="00473490"/>
    <w:rsid w:val="004759D4"/>
    <w:rsid w:val="00480B55"/>
    <w:rsid w:val="00481AFA"/>
    <w:rsid w:val="00484382"/>
    <w:rsid w:val="0048578C"/>
    <w:rsid w:val="00492F18"/>
    <w:rsid w:val="00497D9E"/>
    <w:rsid w:val="004A0D87"/>
    <w:rsid w:val="004A1839"/>
    <w:rsid w:val="004A24CE"/>
    <w:rsid w:val="004A3C53"/>
    <w:rsid w:val="004A5585"/>
    <w:rsid w:val="004A7EE5"/>
    <w:rsid w:val="004B0C23"/>
    <w:rsid w:val="004B0FC9"/>
    <w:rsid w:val="004B2AB6"/>
    <w:rsid w:val="004B49B1"/>
    <w:rsid w:val="004B4F61"/>
    <w:rsid w:val="004B6124"/>
    <w:rsid w:val="004B7FC9"/>
    <w:rsid w:val="004C1B2A"/>
    <w:rsid w:val="004C3436"/>
    <w:rsid w:val="004C3989"/>
    <w:rsid w:val="004D00A1"/>
    <w:rsid w:val="004D37B5"/>
    <w:rsid w:val="004D4D11"/>
    <w:rsid w:val="004D66A6"/>
    <w:rsid w:val="004E0C1A"/>
    <w:rsid w:val="004E0FD1"/>
    <w:rsid w:val="004E1DB3"/>
    <w:rsid w:val="004E38F6"/>
    <w:rsid w:val="004E3B7F"/>
    <w:rsid w:val="004F0026"/>
    <w:rsid w:val="004F1EFC"/>
    <w:rsid w:val="004F23A6"/>
    <w:rsid w:val="004F3CBA"/>
    <w:rsid w:val="004F6C3B"/>
    <w:rsid w:val="004F6EA0"/>
    <w:rsid w:val="004F7095"/>
    <w:rsid w:val="0050153F"/>
    <w:rsid w:val="00502FDD"/>
    <w:rsid w:val="0050402E"/>
    <w:rsid w:val="005133F0"/>
    <w:rsid w:val="00513B89"/>
    <w:rsid w:val="0051484D"/>
    <w:rsid w:val="005159A9"/>
    <w:rsid w:val="005209F3"/>
    <w:rsid w:val="00520A6F"/>
    <w:rsid w:val="00524DFB"/>
    <w:rsid w:val="005259F5"/>
    <w:rsid w:val="00525BB6"/>
    <w:rsid w:val="00530112"/>
    <w:rsid w:val="005301DF"/>
    <w:rsid w:val="00531E10"/>
    <w:rsid w:val="005347D5"/>
    <w:rsid w:val="00534CE2"/>
    <w:rsid w:val="005355F5"/>
    <w:rsid w:val="0053563F"/>
    <w:rsid w:val="005437C2"/>
    <w:rsid w:val="00544A74"/>
    <w:rsid w:val="005469A6"/>
    <w:rsid w:val="00550549"/>
    <w:rsid w:val="00550751"/>
    <w:rsid w:val="00550BF4"/>
    <w:rsid w:val="0055396F"/>
    <w:rsid w:val="00553F33"/>
    <w:rsid w:val="00554654"/>
    <w:rsid w:val="00557A9B"/>
    <w:rsid w:val="005613CD"/>
    <w:rsid w:val="005614B1"/>
    <w:rsid w:val="00563683"/>
    <w:rsid w:val="00563B26"/>
    <w:rsid w:val="00563E40"/>
    <w:rsid w:val="005641E0"/>
    <w:rsid w:val="00564260"/>
    <w:rsid w:val="00566D5A"/>
    <w:rsid w:val="00566F24"/>
    <w:rsid w:val="005717A4"/>
    <w:rsid w:val="00571BA7"/>
    <w:rsid w:val="00572F67"/>
    <w:rsid w:val="005763CE"/>
    <w:rsid w:val="00577A5E"/>
    <w:rsid w:val="00581791"/>
    <w:rsid w:val="00583E05"/>
    <w:rsid w:val="00592635"/>
    <w:rsid w:val="005943F0"/>
    <w:rsid w:val="00597493"/>
    <w:rsid w:val="005A029E"/>
    <w:rsid w:val="005A24A6"/>
    <w:rsid w:val="005A2F64"/>
    <w:rsid w:val="005A4506"/>
    <w:rsid w:val="005A48EE"/>
    <w:rsid w:val="005A7D71"/>
    <w:rsid w:val="005B135C"/>
    <w:rsid w:val="005B1A70"/>
    <w:rsid w:val="005B22E6"/>
    <w:rsid w:val="005B47EF"/>
    <w:rsid w:val="005B7877"/>
    <w:rsid w:val="005C01E4"/>
    <w:rsid w:val="005C1D11"/>
    <w:rsid w:val="005C251B"/>
    <w:rsid w:val="005C65B3"/>
    <w:rsid w:val="005C6EFC"/>
    <w:rsid w:val="005D1899"/>
    <w:rsid w:val="005D392B"/>
    <w:rsid w:val="005D5A2D"/>
    <w:rsid w:val="005D72CA"/>
    <w:rsid w:val="005E0D3F"/>
    <w:rsid w:val="005E484B"/>
    <w:rsid w:val="005E557B"/>
    <w:rsid w:val="005F5391"/>
    <w:rsid w:val="005F5B88"/>
    <w:rsid w:val="005F6042"/>
    <w:rsid w:val="005F60D7"/>
    <w:rsid w:val="005F6E5F"/>
    <w:rsid w:val="005F7A33"/>
    <w:rsid w:val="0060044C"/>
    <w:rsid w:val="00602BB9"/>
    <w:rsid w:val="00603353"/>
    <w:rsid w:val="00603CF3"/>
    <w:rsid w:val="00604735"/>
    <w:rsid w:val="00605987"/>
    <w:rsid w:val="00605DD4"/>
    <w:rsid w:val="006070B3"/>
    <w:rsid w:val="00607CED"/>
    <w:rsid w:val="00610C61"/>
    <w:rsid w:val="00614751"/>
    <w:rsid w:val="00617B38"/>
    <w:rsid w:val="00620255"/>
    <w:rsid w:val="00621823"/>
    <w:rsid w:val="0062185B"/>
    <w:rsid w:val="00622F2E"/>
    <w:rsid w:val="00623E6E"/>
    <w:rsid w:val="00624A0B"/>
    <w:rsid w:val="0062515C"/>
    <w:rsid w:val="00626B5B"/>
    <w:rsid w:val="00626E4F"/>
    <w:rsid w:val="00631F1A"/>
    <w:rsid w:val="00631F33"/>
    <w:rsid w:val="006335E0"/>
    <w:rsid w:val="0063411B"/>
    <w:rsid w:val="006349F7"/>
    <w:rsid w:val="00635B62"/>
    <w:rsid w:val="00636E18"/>
    <w:rsid w:val="00640A02"/>
    <w:rsid w:val="0064229B"/>
    <w:rsid w:val="0064267F"/>
    <w:rsid w:val="00642A8F"/>
    <w:rsid w:val="00643D58"/>
    <w:rsid w:val="00645CAE"/>
    <w:rsid w:val="00645E8D"/>
    <w:rsid w:val="0065101E"/>
    <w:rsid w:val="00651A6C"/>
    <w:rsid w:val="006552A0"/>
    <w:rsid w:val="0066223C"/>
    <w:rsid w:val="00662B40"/>
    <w:rsid w:val="00664B74"/>
    <w:rsid w:val="00665CC5"/>
    <w:rsid w:val="00666F4D"/>
    <w:rsid w:val="00670486"/>
    <w:rsid w:val="006704DE"/>
    <w:rsid w:val="00673E40"/>
    <w:rsid w:val="006746AB"/>
    <w:rsid w:val="00675C6B"/>
    <w:rsid w:val="006777E3"/>
    <w:rsid w:val="00677C03"/>
    <w:rsid w:val="00680064"/>
    <w:rsid w:val="006809DA"/>
    <w:rsid w:val="00680A79"/>
    <w:rsid w:val="00681CB9"/>
    <w:rsid w:val="00681EE0"/>
    <w:rsid w:val="00681FC0"/>
    <w:rsid w:val="00683A61"/>
    <w:rsid w:val="00684916"/>
    <w:rsid w:val="0068494F"/>
    <w:rsid w:val="00690B9D"/>
    <w:rsid w:val="006927F4"/>
    <w:rsid w:val="006933D7"/>
    <w:rsid w:val="006936FF"/>
    <w:rsid w:val="00694471"/>
    <w:rsid w:val="006968EA"/>
    <w:rsid w:val="006A0CAD"/>
    <w:rsid w:val="006A3891"/>
    <w:rsid w:val="006A58D2"/>
    <w:rsid w:val="006B037D"/>
    <w:rsid w:val="006B2361"/>
    <w:rsid w:val="006B23F4"/>
    <w:rsid w:val="006B3187"/>
    <w:rsid w:val="006B3718"/>
    <w:rsid w:val="006B3D51"/>
    <w:rsid w:val="006B625E"/>
    <w:rsid w:val="006C0026"/>
    <w:rsid w:val="006C0351"/>
    <w:rsid w:val="006C2586"/>
    <w:rsid w:val="006C3825"/>
    <w:rsid w:val="006C39C7"/>
    <w:rsid w:val="006C4401"/>
    <w:rsid w:val="006C496C"/>
    <w:rsid w:val="006C76D4"/>
    <w:rsid w:val="006D1CF4"/>
    <w:rsid w:val="006D2114"/>
    <w:rsid w:val="006D31E7"/>
    <w:rsid w:val="006D3AAD"/>
    <w:rsid w:val="006D499E"/>
    <w:rsid w:val="006D6BBF"/>
    <w:rsid w:val="006D748A"/>
    <w:rsid w:val="006E095B"/>
    <w:rsid w:val="006E1848"/>
    <w:rsid w:val="006E2D31"/>
    <w:rsid w:val="006E5382"/>
    <w:rsid w:val="006E5635"/>
    <w:rsid w:val="006E653F"/>
    <w:rsid w:val="006E6879"/>
    <w:rsid w:val="006E69E5"/>
    <w:rsid w:val="006E6CD9"/>
    <w:rsid w:val="006E7698"/>
    <w:rsid w:val="006E7C24"/>
    <w:rsid w:val="006E7E3B"/>
    <w:rsid w:val="006F14F4"/>
    <w:rsid w:val="006F6649"/>
    <w:rsid w:val="006F6DE5"/>
    <w:rsid w:val="007019D5"/>
    <w:rsid w:val="00701AC0"/>
    <w:rsid w:val="00702DCE"/>
    <w:rsid w:val="00703C11"/>
    <w:rsid w:val="00703CF8"/>
    <w:rsid w:val="00703D42"/>
    <w:rsid w:val="0070481D"/>
    <w:rsid w:val="00704E6C"/>
    <w:rsid w:val="007050A5"/>
    <w:rsid w:val="007059D3"/>
    <w:rsid w:val="00705B33"/>
    <w:rsid w:val="00706A90"/>
    <w:rsid w:val="007071ED"/>
    <w:rsid w:val="007104C7"/>
    <w:rsid w:val="00711B8C"/>
    <w:rsid w:val="00712803"/>
    <w:rsid w:val="0071379D"/>
    <w:rsid w:val="00714545"/>
    <w:rsid w:val="00715186"/>
    <w:rsid w:val="0072044C"/>
    <w:rsid w:val="0072189B"/>
    <w:rsid w:val="00722558"/>
    <w:rsid w:val="007228CC"/>
    <w:rsid w:val="00723C0C"/>
    <w:rsid w:val="0072513C"/>
    <w:rsid w:val="00725AC6"/>
    <w:rsid w:val="00727D27"/>
    <w:rsid w:val="007340D7"/>
    <w:rsid w:val="00736CEA"/>
    <w:rsid w:val="00737156"/>
    <w:rsid w:val="00741CF5"/>
    <w:rsid w:val="00743099"/>
    <w:rsid w:val="007436E5"/>
    <w:rsid w:val="00750B9E"/>
    <w:rsid w:val="0075264E"/>
    <w:rsid w:val="00754596"/>
    <w:rsid w:val="00755E65"/>
    <w:rsid w:val="0075657F"/>
    <w:rsid w:val="00756AF4"/>
    <w:rsid w:val="00757547"/>
    <w:rsid w:val="00760283"/>
    <w:rsid w:val="00762324"/>
    <w:rsid w:val="007639FE"/>
    <w:rsid w:val="00764998"/>
    <w:rsid w:val="00765190"/>
    <w:rsid w:val="00767F2D"/>
    <w:rsid w:val="00770D06"/>
    <w:rsid w:val="007733FC"/>
    <w:rsid w:val="0077470F"/>
    <w:rsid w:val="00775872"/>
    <w:rsid w:val="00780083"/>
    <w:rsid w:val="00780543"/>
    <w:rsid w:val="007807BC"/>
    <w:rsid w:val="00780CA6"/>
    <w:rsid w:val="00781447"/>
    <w:rsid w:val="00782989"/>
    <w:rsid w:val="00787919"/>
    <w:rsid w:val="00791849"/>
    <w:rsid w:val="007918CD"/>
    <w:rsid w:val="00791C06"/>
    <w:rsid w:val="00791FCC"/>
    <w:rsid w:val="00792BAC"/>
    <w:rsid w:val="00794339"/>
    <w:rsid w:val="007945E8"/>
    <w:rsid w:val="0079471B"/>
    <w:rsid w:val="00795AAA"/>
    <w:rsid w:val="00795CF7"/>
    <w:rsid w:val="00795E45"/>
    <w:rsid w:val="00796B6C"/>
    <w:rsid w:val="007977C9"/>
    <w:rsid w:val="007A0434"/>
    <w:rsid w:val="007A083F"/>
    <w:rsid w:val="007A3048"/>
    <w:rsid w:val="007A426F"/>
    <w:rsid w:val="007A5A77"/>
    <w:rsid w:val="007A5DB1"/>
    <w:rsid w:val="007A778D"/>
    <w:rsid w:val="007B1D9C"/>
    <w:rsid w:val="007B273C"/>
    <w:rsid w:val="007B2C2E"/>
    <w:rsid w:val="007B3789"/>
    <w:rsid w:val="007B38F3"/>
    <w:rsid w:val="007B3F20"/>
    <w:rsid w:val="007B7135"/>
    <w:rsid w:val="007B7F5E"/>
    <w:rsid w:val="007C0A7A"/>
    <w:rsid w:val="007C1B5E"/>
    <w:rsid w:val="007C36E8"/>
    <w:rsid w:val="007C54A2"/>
    <w:rsid w:val="007C6B3E"/>
    <w:rsid w:val="007C7FB5"/>
    <w:rsid w:val="007D0832"/>
    <w:rsid w:val="007D17DD"/>
    <w:rsid w:val="007D65C4"/>
    <w:rsid w:val="007D7833"/>
    <w:rsid w:val="007D7EF7"/>
    <w:rsid w:val="007E0108"/>
    <w:rsid w:val="007E1679"/>
    <w:rsid w:val="007E22C9"/>
    <w:rsid w:val="007E48CF"/>
    <w:rsid w:val="007E5EA0"/>
    <w:rsid w:val="007E662D"/>
    <w:rsid w:val="007F70E9"/>
    <w:rsid w:val="007F723B"/>
    <w:rsid w:val="007F7853"/>
    <w:rsid w:val="00801FE5"/>
    <w:rsid w:val="00804119"/>
    <w:rsid w:val="008056FF"/>
    <w:rsid w:val="00806114"/>
    <w:rsid w:val="0080699E"/>
    <w:rsid w:val="00814529"/>
    <w:rsid w:val="008172DD"/>
    <w:rsid w:val="008203D5"/>
    <w:rsid w:val="0082069F"/>
    <w:rsid w:val="008216E2"/>
    <w:rsid w:val="00825080"/>
    <w:rsid w:val="008254BE"/>
    <w:rsid w:val="00830255"/>
    <w:rsid w:val="008317E9"/>
    <w:rsid w:val="008317F7"/>
    <w:rsid w:val="00831D1A"/>
    <w:rsid w:val="00833763"/>
    <w:rsid w:val="00833971"/>
    <w:rsid w:val="00834371"/>
    <w:rsid w:val="00834E51"/>
    <w:rsid w:val="00846579"/>
    <w:rsid w:val="008472BD"/>
    <w:rsid w:val="00847B6D"/>
    <w:rsid w:val="00847E13"/>
    <w:rsid w:val="00850506"/>
    <w:rsid w:val="00850A2C"/>
    <w:rsid w:val="00850E03"/>
    <w:rsid w:val="00851B15"/>
    <w:rsid w:val="00860048"/>
    <w:rsid w:val="00861AB8"/>
    <w:rsid w:val="00863D3D"/>
    <w:rsid w:val="00865E34"/>
    <w:rsid w:val="00867CCC"/>
    <w:rsid w:val="00870500"/>
    <w:rsid w:val="0087122F"/>
    <w:rsid w:val="008720AB"/>
    <w:rsid w:val="00872D79"/>
    <w:rsid w:val="00872F0C"/>
    <w:rsid w:val="00873ED9"/>
    <w:rsid w:val="00873FAD"/>
    <w:rsid w:val="0087468A"/>
    <w:rsid w:val="008757D1"/>
    <w:rsid w:val="008769E0"/>
    <w:rsid w:val="0087703A"/>
    <w:rsid w:val="008771F8"/>
    <w:rsid w:val="008772BC"/>
    <w:rsid w:val="00880F52"/>
    <w:rsid w:val="00881BDB"/>
    <w:rsid w:val="00882FA3"/>
    <w:rsid w:val="00883866"/>
    <w:rsid w:val="00883D61"/>
    <w:rsid w:val="0088441B"/>
    <w:rsid w:val="00887302"/>
    <w:rsid w:val="0088737D"/>
    <w:rsid w:val="00887DCB"/>
    <w:rsid w:val="008901EE"/>
    <w:rsid w:val="00890D7C"/>
    <w:rsid w:val="00892FC5"/>
    <w:rsid w:val="00893D44"/>
    <w:rsid w:val="008945E6"/>
    <w:rsid w:val="008978E7"/>
    <w:rsid w:val="00897E25"/>
    <w:rsid w:val="008A0537"/>
    <w:rsid w:val="008A1376"/>
    <w:rsid w:val="008A22A4"/>
    <w:rsid w:val="008A585A"/>
    <w:rsid w:val="008A62B6"/>
    <w:rsid w:val="008B0541"/>
    <w:rsid w:val="008B237B"/>
    <w:rsid w:val="008B2D48"/>
    <w:rsid w:val="008B3F75"/>
    <w:rsid w:val="008B7B85"/>
    <w:rsid w:val="008B7F70"/>
    <w:rsid w:val="008C040F"/>
    <w:rsid w:val="008C0B60"/>
    <w:rsid w:val="008C14DE"/>
    <w:rsid w:val="008C2638"/>
    <w:rsid w:val="008C55DF"/>
    <w:rsid w:val="008C5966"/>
    <w:rsid w:val="008C70AA"/>
    <w:rsid w:val="008D18AA"/>
    <w:rsid w:val="008D4660"/>
    <w:rsid w:val="008D5E90"/>
    <w:rsid w:val="008D7367"/>
    <w:rsid w:val="008D75E2"/>
    <w:rsid w:val="008D79D4"/>
    <w:rsid w:val="008E083F"/>
    <w:rsid w:val="008E0DFD"/>
    <w:rsid w:val="008E1F10"/>
    <w:rsid w:val="008E202B"/>
    <w:rsid w:val="008E2137"/>
    <w:rsid w:val="008E272D"/>
    <w:rsid w:val="008E27C6"/>
    <w:rsid w:val="008E2E44"/>
    <w:rsid w:val="008E3B15"/>
    <w:rsid w:val="008E6BE7"/>
    <w:rsid w:val="008E6D5E"/>
    <w:rsid w:val="008E7D36"/>
    <w:rsid w:val="008F02EC"/>
    <w:rsid w:val="008F0C64"/>
    <w:rsid w:val="008F219F"/>
    <w:rsid w:val="008F3B5D"/>
    <w:rsid w:val="008F513A"/>
    <w:rsid w:val="008F75C2"/>
    <w:rsid w:val="00904A6C"/>
    <w:rsid w:val="009051A6"/>
    <w:rsid w:val="00911698"/>
    <w:rsid w:val="009117B0"/>
    <w:rsid w:val="00911EB7"/>
    <w:rsid w:val="00911F47"/>
    <w:rsid w:val="00911FBE"/>
    <w:rsid w:val="00912E50"/>
    <w:rsid w:val="00914618"/>
    <w:rsid w:val="00916D7C"/>
    <w:rsid w:val="00921942"/>
    <w:rsid w:val="0092254B"/>
    <w:rsid w:val="00922C86"/>
    <w:rsid w:val="0092407C"/>
    <w:rsid w:val="0092442E"/>
    <w:rsid w:val="0092508E"/>
    <w:rsid w:val="009256E8"/>
    <w:rsid w:val="00931F7D"/>
    <w:rsid w:val="00931FAA"/>
    <w:rsid w:val="00932C82"/>
    <w:rsid w:val="00933769"/>
    <w:rsid w:val="00933B07"/>
    <w:rsid w:val="00934EB1"/>
    <w:rsid w:val="00935CD2"/>
    <w:rsid w:val="00936A96"/>
    <w:rsid w:val="00942955"/>
    <w:rsid w:val="00943D69"/>
    <w:rsid w:val="00944014"/>
    <w:rsid w:val="00954EA5"/>
    <w:rsid w:val="00955229"/>
    <w:rsid w:val="00955C2F"/>
    <w:rsid w:val="00956BDB"/>
    <w:rsid w:val="00956C56"/>
    <w:rsid w:val="00956FEF"/>
    <w:rsid w:val="00960A87"/>
    <w:rsid w:val="00963E0F"/>
    <w:rsid w:val="009641BC"/>
    <w:rsid w:val="00966462"/>
    <w:rsid w:val="00970AF9"/>
    <w:rsid w:val="00971C63"/>
    <w:rsid w:val="00971CC6"/>
    <w:rsid w:val="00981019"/>
    <w:rsid w:val="0098453F"/>
    <w:rsid w:val="0098515B"/>
    <w:rsid w:val="009904D9"/>
    <w:rsid w:val="00991D99"/>
    <w:rsid w:val="0099295D"/>
    <w:rsid w:val="009973C7"/>
    <w:rsid w:val="009A3A58"/>
    <w:rsid w:val="009A5E72"/>
    <w:rsid w:val="009B05B3"/>
    <w:rsid w:val="009B0F0B"/>
    <w:rsid w:val="009B2C0E"/>
    <w:rsid w:val="009B2EC0"/>
    <w:rsid w:val="009B48B5"/>
    <w:rsid w:val="009B5822"/>
    <w:rsid w:val="009B6D33"/>
    <w:rsid w:val="009C0D1E"/>
    <w:rsid w:val="009C2CF5"/>
    <w:rsid w:val="009C351B"/>
    <w:rsid w:val="009C424C"/>
    <w:rsid w:val="009C67C9"/>
    <w:rsid w:val="009C703E"/>
    <w:rsid w:val="009C79A9"/>
    <w:rsid w:val="009D0E19"/>
    <w:rsid w:val="009D48BA"/>
    <w:rsid w:val="009D79F5"/>
    <w:rsid w:val="009E1846"/>
    <w:rsid w:val="009E2E54"/>
    <w:rsid w:val="009E3910"/>
    <w:rsid w:val="009E3EEF"/>
    <w:rsid w:val="009E404B"/>
    <w:rsid w:val="009E4C72"/>
    <w:rsid w:val="009E6B93"/>
    <w:rsid w:val="009E7884"/>
    <w:rsid w:val="009F0E95"/>
    <w:rsid w:val="009F4CD0"/>
    <w:rsid w:val="009F566E"/>
    <w:rsid w:val="009F7FF6"/>
    <w:rsid w:val="00A0658E"/>
    <w:rsid w:val="00A10B2A"/>
    <w:rsid w:val="00A13E42"/>
    <w:rsid w:val="00A13FDC"/>
    <w:rsid w:val="00A1647A"/>
    <w:rsid w:val="00A208E5"/>
    <w:rsid w:val="00A21294"/>
    <w:rsid w:val="00A22355"/>
    <w:rsid w:val="00A236F5"/>
    <w:rsid w:val="00A2490F"/>
    <w:rsid w:val="00A252D7"/>
    <w:rsid w:val="00A265D6"/>
    <w:rsid w:val="00A303F6"/>
    <w:rsid w:val="00A30E61"/>
    <w:rsid w:val="00A313BD"/>
    <w:rsid w:val="00A328FB"/>
    <w:rsid w:val="00A32910"/>
    <w:rsid w:val="00A34E1A"/>
    <w:rsid w:val="00A42AD5"/>
    <w:rsid w:val="00A43BEA"/>
    <w:rsid w:val="00A4418A"/>
    <w:rsid w:val="00A44746"/>
    <w:rsid w:val="00A447A8"/>
    <w:rsid w:val="00A45C24"/>
    <w:rsid w:val="00A47930"/>
    <w:rsid w:val="00A50103"/>
    <w:rsid w:val="00A50582"/>
    <w:rsid w:val="00A50A25"/>
    <w:rsid w:val="00A55096"/>
    <w:rsid w:val="00A555B3"/>
    <w:rsid w:val="00A56E80"/>
    <w:rsid w:val="00A57EE4"/>
    <w:rsid w:val="00A61343"/>
    <w:rsid w:val="00A656BB"/>
    <w:rsid w:val="00A67914"/>
    <w:rsid w:val="00A71FEE"/>
    <w:rsid w:val="00A7238A"/>
    <w:rsid w:val="00A7421E"/>
    <w:rsid w:val="00A74FD5"/>
    <w:rsid w:val="00A77A4A"/>
    <w:rsid w:val="00A77F29"/>
    <w:rsid w:val="00A80AAF"/>
    <w:rsid w:val="00A8128C"/>
    <w:rsid w:val="00A83DC7"/>
    <w:rsid w:val="00A83FD8"/>
    <w:rsid w:val="00A84A20"/>
    <w:rsid w:val="00A869E6"/>
    <w:rsid w:val="00A872F0"/>
    <w:rsid w:val="00A878F4"/>
    <w:rsid w:val="00A87E55"/>
    <w:rsid w:val="00A92E0A"/>
    <w:rsid w:val="00AA08D4"/>
    <w:rsid w:val="00AA0B6D"/>
    <w:rsid w:val="00AA0DBC"/>
    <w:rsid w:val="00AA1EB9"/>
    <w:rsid w:val="00AA3241"/>
    <w:rsid w:val="00AA32B4"/>
    <w:rsid w:val="00AA43DB"/>
    <w:rsid w:val="00AA4DCF"/>
    <w:rsid w:val="00AA7E19"/>
    <w:rsid w:val="00AB0898"/>
    <w:rsid w:val="00AB0C4A"/>
    <w:rsid w:val="00AB176E"/>
    <w:rsid w:val="00AB2491"/>
    <w:rsid w:val="00AB2F9D"/>
    <w:rsid w:val="00AB3F63"/>
    <w:rsid w:val="00AB7C7E"/>
    <w:rsid w:val="00AC174C"/>
    <w:rsid w:val="00AC465E"/>
    <w:rsid w:val="00AD6CF6"/>
    <w:rsid w:val="00AD7B6E"/>
    <w:rsid w:val="00AE2893"/>
    <w:rsid w:val="00AE3137"/>
    <w:rsid w:val="00AE34EE"/>
    <w:rsid w:val="00AF065B"/>
    <w:rsid w:val="00AF4BE6"/>
    <w:rsid w:val="00AF53F9"/>
    <w:rsid w:val="00AF58B9"/>
    <w:rsid w:val="00AF58F9"/>
    <w:rsid w:val="00AF6706"/>
    <w:rsid w:val="00AF67C8"/>
    <w:rsid w:val="00B012D6"/>
    <w:rsid w:val="00B0344E"/>
    <w:rsid w:val="00B0429F"/>
    <w:rsid w:val="00B050BC"/>
    <w:rsid w:val="00B07C92"/>
    <w:rsid w:val="00B10BCC"/>
    <w:rsid w:val="00B1398A"/>
    <w:rsid w:val="00B13BEC"/>
    <w:rsid w:val="00B21EE1"/>
    <w:rsid w:val="00B21FF0"/>
    <w:rsid w:val="00B25DF7"/>
    <w:rsid w:val="00B27B57"/>
    <w:rsid w:val="00B31223"/>
    <w:rsid w:val="00B313B6"/>
    <w:rsid w:val="00B319C9"/>
    <w:rsid w:val="00B3489C"/>
    <w:rsid w:val="00B36DAC"/>
    <w:rsid w:val="00B36E22"/>
    <w:rsid w:val="00B36EB3"/>
    <w:rsid w:val="00B3763F"/>
    <w:rsid w:val="00B42968"/>
    <w:rsid w:val="00B44585"/>
    <w:rsid w:val="00B44B76"/>
    <w:rsid w:val="00B465D8"/>
    <w:rsid w:val="00B50B4C"/>
    <w:rsid w:val="00B518A1"/>
    <w:rsid w:val="00B52E1B"/>
    <w:rsid w:val="00B56006"/>
    <w:rsid w:val="00B56A72"/>
    <w:rsid w:val="00B56DEB"/>
    <w:rsid w:val="00B573FA"/>
    <w:rsid w:val="00B61C4B"/>
    <w:rsid w:val="00B622D1"/>
    <w:rsid w:val="00B63B26"/>
    <w:rsid w:val="00B70436"/>
    <w:rsid w:val="00B71526"/>
    <w:rsid w:val="00B71F88"/>
    <w:rsid w:val="00B72C90"/>
    <w:rsid w:val="00B73402"/>
    <w:rsid w:val="00B73898"/>
    <w:rsid w:val="00B7729C"/>
    <w:rsid w:val="00B77625"/>
    <w:rsid w:val="00B77A90"/>
    <w:rsid w:val="00B77CDE"/>
    <w:rsid w:val="00B77CE8"/>
    <w:rsid w:val="00B81041"/>
    <w:rsid w:val="00B8145B"/>
    <w:rsid w:val="00B831FA"/>
    <w:rsid w:val="00B84957"/>
    <w:rsid w:val="00B86748"/>
    <w:rsid w:val="00B871F3"/>
    <w:rsid w:val="00B874DC"/>
    <w:rsid w:val="00B900B3"/>
    <w:rsid w:val="00B905B3"/>
    <w:rsid w:val="00B910B0"/>
    <w:rsid w:val="00B912F9"/>
    <w:rsid w:val="00B9138A"/>
    <w:rsid w:val="00B91C5C"/>
    <w:rsid w:val="00B92F77"/>
    <w:rsid w:val="00B92FF9"/>
    <w:rsid w:val="00B933CE"/>
    <w:rsid w:val="00B938AC"/>
    <w:rsid w:val="00B93A5F"/>
    <w:rsid w:val="00B94D28"/>
    <w:rsid w:val="00B9572C"/>
    <w:rsid w:val="00B96228"/>
    <w:rsid w:val="00BA12C0"/>
    <w:rsid w:val="00BA7D90"/>
    <w:rsid w:val="00BB09F8"/>
    <w:rsid w:val="00BB26F9"/>
    <w:rsid w:val="00BB3915"/>
    <w:rsid w:val="00BB5166"/>
    <w:rsid w:val="00BB6208"/>
    <w:rsid w:val="00BB6715"/>
    <w:rsid w:val="00BB7E4F"/>
    <w:rsid w:val="00BC2708"/>
    <w:rsid w:val="00BC3049"/>
    <w:rsid w:val="00BC4157"/>
    <w:rsid w:val="00BC626F"/>
    <w:rsid w:val="00BC71DB"/>
    <w:rsid w:val="00BD0032"/>
    <w:rsid w:val="00BD02D9"/>
    <w:rsid w:val="00BD240E"/>
    <w:rsid w:val="00BE095B"/>
    <w:rsid w:val="00BE0F79"/>
    <w:rsid w:val="00BE191B"/>
    <w:rsid w:val="00BE272D"/>
    <w:rsid w:val="00BE4C33"/>
    <w:rsid w:val="00BE63AE"/>
    <w:rsid w:val="00BE65B1"/>
    <w:rsid w:val="00BF0355"/>
    <w:rsid w:val="00BF1387"/>
    <w:rsid w:val="00BF1990"/>
    <w:rsid w:val="00BF4866"/>
    <w:rsid w:val="00BF4B27"/>
    <w:rsid w:val="00BF5D19"/>
    <w:rsid w:val="00BF6FCF"/>
    <w:rsid w:val="00BF7976"/>
    <w:rsid w:val="00C009A2"/>
    <w:rsid w:val="00C00E65"/>
    <w:rsid w:val="00C01921"/>
    <w:rsid w:val="00C0259E"/>
    <w:rsid w:val="00C12647"/>
    <w:rsid w:val="00C14555"/>
    <w:rsid w:val="00C15DD8"/>
    <w:rsid w:val="00C173C5"/>
    <w:rsid w:val="00C22128"/>
    <w:rsid w:val="00C23BDA"/>
    <w:rsid w:val="00C253F8"/>
    <w:rsid w:val="00C254DF"/>
    <w:rsid w:val="00C31056"/>
    <w:rsid w:val="00C33790"/>
    <w:rsid w:val="00C34E95"/>
    <w:rsid w:val="00C350CE"/>
    <w:rsid w:val="00C36507"/>
    <w:rsid w:val="00C370DF"/>
    <w:rsid w:val="00C37509"/>
    <w:rsid w:val="00C37597"/>
    <w:rsid w:val="00C37B3A"/>
    <w:rsid w:val="00C420F3"/>
    <w:rsid w:val="00C42FE9"/>
    <w:rsid w:val="00C5091D"/>
    <w:rsid w:val="00C53138"/>
    <w:rsid w:val="00C565F3"/>
    <w:rsid w:val="00C566E3"/>
    <w:rsid w:val="00C56741"/>
    <w:rsid w:val="00C568F0"/>
    <w:rsid w:val="00C57293"/>
    <w:rsid w:val="00C574C1"/>
    <w:rsid w:val="00C57FB2"/>
    <w:rsid w:val="00C6204D"/>
    <w:rsid w:val="00C620FF"/>
    <w:rsid w:val="00C64D79"/>
    <w:rsid w:val="00C65E25"/>
    <w:rsid w:val="00C71EBE"/>
    <w:rsid w:val="00C72B71"/>
    <w:rsid w:val="00C7303B"/>
    <w:rsid w:val="00C7509B"/>
    <w:rsid w:val="00C8173C"/>
    <w:rsid w:val="00C840B4"/>
    <w:rsid w:val="00C84627"/>
    <w:rsid w:val="00C85020"/>
    <w:rsid w:val="00C86013"/>
    <w:rsid w:val="00C87100"/>
    <w:rsid w:val="00C91667"/>
    <w:rsid w:val="00C922BD"/>
    <w:rsid w:val="00C92682"/>
    <w:rsid w:val="00C9381A"/>
    <w:rsid w:val="00C94250"/>
    <w:rsid w:val="00C945BC"/>
    <w:rsid w:val="00C96910"/>
    <w:rsid w:val="00C97AF7"/>
    <w:rsid w:val="00CA0809"/>
    <w:rsid w:val="00CA0835"/>
    <w:rsid w:val="00CA106E"/>
    <w:rsid w:val="00CA27C6"/>
    <w:rsid w:val="00CA2D13"/>
    <w:rsid w:val="00CA3ABE"/>
    <w:rsid w:val="00CA5E2F"/>
    <w:rsid w:val="00CA7B8B"/>
    <w:rsid w:val="00CA7DCB"/>
    <w:rsid w:val="00CB43A9"/>
    <w:rsid w:val="00CB6968"/>
    <w:rsid w:val="00CB7BF2"/>
    <w:rsid w:val="00CC0072"/>
    <w:rsid w:val="00CC1964"/>
    <w:rsid w:val="00CC2AE1"/>
    <w:rsid w:val="00CC444F"/>
    <w:rsid w:val="00CC5633"/>
    <w:rsid w:val="00CC5ED2"/>
    <w:rsid w:val="00CC62B4"/>
    <w:rsid w:val="00CC6D25"/>
    <w:rsid w:val="00CD077D"/>
    <w:rsid w:val="00CD1E8D"/>
    <w:rsid w:val="00CD260F"/>
    <w:rsid w:val="00CD42EC"/>
    <w:rsid w:val="00CD5FC1"/>
    <w:rsid w:val="00CE18D3"/>
    <w:rsid w:val="00CE4290"/>
    <w:rsid w:val="00CE4ED5"/>
    <w:rsid w:val="00CE5F98"/>
    <w:rsid w:val="00CE6178"/>
    <w:rsid w:val="00CE6BD5"/>
    <w:rsid w:val="00CE6D28"/>
    <w:rsid w:val="00CE73C2"/>
    <w:rsid w:val="00CF0B68"/>
    <w:rsid w:val="00CF419B"/>
    <w:rsid w:val="00CF5584"/>
    <w:rsid w:val="00CF5BE2"/>
    <w:rsid w:val="00CF64DA"/>
    <w:rsid w:val="00CF6502"/>
    <w:rsid w:val="00D003A5"/>
    <w:rsid w:val="00D00F1A"/>
    <w:rsid w:val="00D04C2C"/>
    <w:rsid w:val="00D05093"/>
    <w:rsid w:val="00D059F9"/>
    <w:rsid w:val="00D1154D"/>
    <w:rsid w:val="00D11F55"/>
    <w:rsid w:val="00D120D9"/>
    <w:rsid w:val="00D13819"/>
    <w:rsid w:val="00D13A4A"/>
    <w:rsid w:val="00D166E3"/>
    <w:rsid w:val="00D1782A"/>
    <w:rsid w:val="00D20476"/>
    <w:rsid w:val="00D21587"/>
    <w:rsid w:val="00D2172A"/>
    <w:rsid w:val="00D2263A"/>
    <w:rsid w:val="00D24024"/>
    <w:rsid w:val="00D253A4"/>
    <w:rsid w:val="00D265F5"/>
    <w:rsid w:val="00D314BB"/>
    <w:rsid w:val="00D335CA"/>
    <w:rsid w:val="00D351AB"/>
    <w:rsid w:val="00D35BBE"/>
    <w:rsid w:val="00D36579"/>
    <w:rsid w:val="00D40CDE"/>
    <w:rsid w:val="00D42F2A"/>
    <w:rsid w:val="00D43B14"/>
    <w:rsid w:val="00D45A9A"/>
    <w:rsid w:val="00D4620A"/>
    <w:rsid w:val="00D46EC6"/>
    <w:rsid w:val="00D52F29"/>
    <w:rsid w:val="00D56D11"/>
    <w:rsid w:val="00D570C8"/>
    <w:rsid w:val="00D572CA"/>
    <w:rsid w:val="00D57FF9"/>
    <w:rsid w:val="00D61F13"/>
    <w:rsid w:val="00D643CE"/>
    <w:rsid w:val="00D6622C"/>
    <w:rsid w:val="00D71C66"/>
    <w:rsid w:val="00D7452C"/>
    <w:rsid w:val="00D74893"/>
    <w:rsid w:val="00D74A23"/>
    <w:rsid w:val="00D8124D"/>
    <w:rsid w:val="00D82CA8"/>
    <w:rsid w:val="00D82E5B"/>
    <w:rsid w:val="00D8751E"/>
    <w:rsid w:val="00D922C9"/>
    <w:rsid w:val="00D935EF"/>
    <w:rsid w:val="00D93D55"/>
    <w:rsid w:val="00D953FE"/>
    <w:rsid w:val="00DA25FA"/>
    <w:rsid w:val="00DA28BE"/>
    <w:rsid w:val="00DA2A65"/>
    <w:rsid w:val="00DA6082"/>
    <w:rsid w:val="00DA7E33"/>
    <w:rsid w:val="00DB2343"/>
    <w:rsid w:val="00DB3511"/>
    <w:rsid w:val="00DB4D6A"/>
    <w:rsid w:val="00DB5113"/>
    <w:rsid w:val="00DB720E"/>
    <w:rsid w:val="00DC03E6"/>
    <w:rsid w:val="00DC0589"/>
    <w:rsid w:val="00DC1A1A"/>
    <w:rsid w:val="00DC2482"/>
    <w:rsid w:val="00DC2846"/>
    <w:rsid w:val="00DC2F84"/>
    <w:rsid w:val="00DC3EBD"/>
    <w:rsid w:val="00DC45D0"/>
    <w:rsid w:val="00DC4EEE"/>
    <w:rsid w:val="00DC6D03"/>
    <w:rsid w:val="00DC7CDE"/>
    <w:rsid w:val="00DD0108"/>
    <w:rsid w:val="00DD088F"/>
    <w:rsid w:val="00DD15A3"/>
    <w:rsid w:val="00DD2218"/>
    <w:rsid w:val="00DD32E3"/>
    <w:rsid w:val="00DD5D4A"/>
    <w:rsid w:val="00DD7034"/>
    <w:rsid w:val="00DD7A66"/>
    <w:rsid w:val="00DE2A01"/>
    <w:rsid w:val="00DE31EF"/>
    <w:rsid w:val="00DE34E3"/>
    <w:rsid w:val="00DE765D"/>
    <w:rsid w:val="00DF1AD2"/>
    <w:rsid w:val="00DF2AC9"/>
    <w:rsid w:val="00DF3416"/>
    <w:rsid w:val="00DF3562"/>
    <w:rsid w:val="00DF58B0"/>
    <w:rsid w:val="00DF5AE8"/>
    <w:rsid w:val="00DF61A8"/>
    <w:rsid w:val="00DF6828"/>
    <w:rsid w:val="00DF7798"/>
    <w:rsid w:val="00E01630"/>
    <w:rsid w:val="00E042D6"/>
    <w:rsid w:val="00E12309"/>
    <w:rsid w:val="00E12EA6"/>
    <w:rsid w:val="00E1552F"/>
    <w:rsid w:val="00E21498"/>
    <w:rsid w:val="00E22584"/>
    <w:rsid w:val="00E226B4"/>
    <w:rsid w:val="00E23024"/>
    <w:rsid w:val="00E23B5F"/>
    <w:rsid w:val="00E245DD"/>
    <w:rsid w:val="00E25157"/>
    <w:rsid w:val="00E25D99"/>
    <w:rsid w:val="00E317C3"/>
    <w:rsid w:val="00E33214"/>
    <w:rsid w:val="00E33868"/>
    <w:rsid w:val="00E3655B"/>
    <w:rsid w:val="00E4097C"/>
    <w:rsid w:val="00E41CEC"/>
    <w:rsid w:val="00E42893"/>
    <w:rsid w:val="00E43BB2"/>
    <w:rsid w:val="00E43D52"/>
    <w:rsid w:val="00E443FB"/>
    <w:rsid w:val="00E44943"/>
    <w:rsid w:val="00E46A5C"/>
    <w:rsid w:val="00E5051B"/>
    <w:rsid w:val="00E50B32"/>
    <w:rsid w:val="00E55D38"/>
    <w:rsid w:val="00E62410"/>
    <w:rsid w:val="00E627BB"/>
    <w:rsid w:val="00E62ABF"/>
    <w:rsid w:val="00E6344C"/>
    <w:rsid w:val="00E640BC"/>
    <w:rsid w:val="00E65D14"/>
    <w:rsid w:val="00E66ADE"/>
    <w:rsid w:val="00E66FB4"/>
    <w:rsid w:val="00E67726"/>
    <w:rsid w:val="00E71234"/>
    <w:rsid w:val="00E72F8B"/>
    <w:rsid w:val="00E73114"/>
    <w:rsid w:val="00E73897"/>
    <w:rsid w:val="00E7453B"/>
    <w:rsid w:val="00E7627F"/>
    <w:rsid w:val="00E7738F"/>
    <w:rsid w:val="00E77B31"/>
    <w:rsid w:val="00E80718"/>
    <w:rsid w:val="00E832E2"/>
    <w:rsid w:val="00E85D3F"/>
    <w:rsid w:val="00E8651C"/>
    <w:rsid w:val="00E86CF0"/>
    <w:rsid w:val="00E87117"/>
    <w:rsid w:val="00E90A4D"/>
    <w:rsid w:val="00E91EE6"/>
    <w:rsid w:val="00E9399B"/>
    <w:rsid w:val="00E94054"/>
    <w:rsid w:val="00E95469"/>
    <w:rsid w:val="00E96173"/>
    <w:rsid w:val="00E96286"/>
    <w:rsid w:val="00E97642"/>
    <w:rsid w:val="00EA08EF"/>
    <w:rsid w:val="00EA2261"/>
    <w:rsid w:val="00EA2CD5"/>
    <w:rsid w:val="00EA3540"/>
    <w:rsid w:val="00EA4EC2"/>
    <w:rsid w:val="00EA5675"/>
    <w:rsid w:val="00EA5901"/>
    <w:rsid w:val="00EA75EF"/>
    <w:rsid w:val="00EC1909"/>
    <w:rsid w:val="00EC2583"/>
    <w:rsid w:val="00EC2B04"/>
    <w:rsid w:val="00EC358D"/>
    <w:rsid w:val="00EC623B"/>
    <w:rsid w:val="00EC7566"/>
    <w:rsid w:val="00ED0F55"/>
    <w:rsid w:val="00ED10AA"/>
    <w:rsid w:val="00ED135D"/>
    <w:rsid w:val="00ED2943"/>
    <w:rsid w:val="00ED35DC"/>
    <w:rsid w:val="00ED4D98"/>
    <w:rsid w:val="00ED5FB3"/>
    <w:rsid w:val="00EE19AB"/>
    <w:rsid w:val="00EE2535"/>
    <w:rsid w:val="00EE2C76"/>
    <w:rsid w:val="00EE2ED8"/>
    <w:rsid w:val="00EE41D4"/>
    <w:rsid w:val="00EE41EF"/>
    <w:rsid w:val="00EE41F9"/>
    <w:rsid w:val="00EE615D"/>
    <w:rsid w:val="00EE70B2"/>
    <w:rsid w:val="00EE7216"/>
    <w:rsid w:val="00EF013C"/>
    <w:rsid w:val="00EF01AD"/>
    <w:rsid w:val="00EF0B8E"/>
    <w:rsid w:val="00EF1D89"/>
    <w:rsid w:val="00EF372B"/>
    <w:rsid w:val="00EF411A"/>
    <w:rsid w:val="00EF45AE"/>
    <w:rsid w:val="00EF469D"/>
    <w:rsid w:val="00EF4EC3"/>
    <w:rsid w:val="00EF60B1"/>
    <w:rsid w:val="00F011A1"/>
    <w:rsid w:val="00F01693"/>
    <w:rsid w:val="00F057AA"/>
    <w:rsid w:val="00F0639F"/>
    <w:rsid w:val="00F07DDF"/>
    <w:rsid w:val="00F10825"/>
    <w:rsid w:val="00F113DA"/>
    <w:rsid w:val="00F138A0"/>
    <w:rsid w:val="00F14247"/>
    <w:rsid w:val="00F149D2"/>
    <w:rsid w:val="00F165E6"/>
    <w:rsid w:val="00F16F20"/>
    <w:rsid w:val="00F17E79"/>
    <w:rsid w:val="00F200D7"/>
    <w:rsid w:val="00F21EBF"/>
    <w:rsid w:val="00F22E19"/>
    <w:rsid w:val="00F251A1"/>
    <w:rsid w:val="00F25438"/>
    <w:rsid w:val="00F25D04"/>
    <w:rsid w:val="00F263D1"/>
    <w:rsid w:val="00F30250"/>
    <w:rsid w:val="00F30CD1"/>
    <w:rsid w:val="00F32C92"/>
    <w:rsid w:val="00F37B0F"/>
    <w:rsid w:val="00F37F1B"/>
    <w:rsid w:val="00F409EF"/>
    <w:rsid w:val="00F4119C"/>
    <w:rsid w:val="00F41CD6"/>
    <w:rsid w:val="00F44E65"/>
    <w:rsid w:val="00F45C50"/>
    <w:rsid w:val="00F5156C"/>
    <w:rsid w:val="00F52A91"/>
    <w:rsid w:val="00F55BF5"/>
    <w:rsid w:val="00F56C03"/>
    <w:rsid w:val="00F61AED"/>
    <w:rsid w:val="00F61D9C"/>
    <w:rsid w:val="00F63F1C"/>
    <w:rsid w:val="00F647BE"/>
    <w:rsid w:val="00F648FB"/>
    <w:rsid w:val="00F64E5B"/>
    <w:rsid w:val="00F67656"/>
    <w:rsid w:val="00F7014B"/>
    <w:rsid w:val="00F70CF4"/>
    <w:rsid w:val="00F75E6F"/>
    <w:rsid w:val="00F7753E"/>
    <w:rsid w:val="00F805C2"/>
    <w:rsid w:val="00F81D8D"/>
    <w:rsid w:val="00F82871"/>
    <w:rsid w:val="00F8377D"/>
    <w:rsid w:val="00F83BC3"/>
    <w:rsid w:val="00F847A3"/>
    <w:rsid w:val="00F84AAF"/>
    <w:rsid w:val="00F904F8"/>
    <w:rsid w:val="00F91121"/>
    <w:rsid w:val="00F93545"/>
    <w:rsid w:val="00F93905"/>
    <w:rsid w:val="00F93DBE"/>
    <w:rsid w:val="00F94C4D"/>
    <w:rsid w:val="00F95476"/>
    <w:rsid w:val="00F955A2"/>
    <w:rsid w:val="00F95C2E"/>
    <w:rsid w:val="00F96B84"/>
    <w:rsid w:val="00F96E9F"/>
    <w:rsid w:val="00FA01A0"/>
    <w:rsid w:val="00FA0777"/>
    <w:rsid w:val="00FA1A9C"/>
    <w:rsid w:val="00FA1DA9"/>
    <w:rsid w:val="00FA367A"/>
    <w:rsid w:val="00FA433C"/>
    <w:rsid w:val="00FA4349"/>
    <w:rsid w:val="00FA5033"/>
    <w:rsid w:val="00FA6037"/>
    <w:rsid w:val="00FA6ECC"/>
    <w:rsid w:val="00FA739E"/>
    <w:rsid w:val="00FB3580"/>
    <w:rsid w:val="00FB3886"/>
    <w:rsid w:val="00FB4470"/>
    <w:rsid w:val="00FB55C2"/>
    <w:rsid w:val="00FB6FE9"/>
    <w:rsid w:val="00FC0C5E"/>
    <w:rsid w:val="00FC34D1"/>
    <w:rsid w:val="00FC37F8"/>
    <w:rsid w:val="00FC3877"/>
    <w:rsid w:val="00FD06FB"/>
    <w:rsid w:val="00FD1BDD"/>
    <w:rsid w:val="00FD1EBD"/>
    <w:rsid w:val="00FD219C"/>
    <w:rsid w:val="00FD3E40"/>
    <w:rsid w:val="00FD412A"/>
    <w:rsid w:val="00FD41C1"/>
    <w:rsid w:val="00FD6BDC"/>
    <w:rsid w:val="00FE0833"/>
    <w:rsid w:val="00FE0A2F"/>
    <w:rsid w:val="00FE205C"/>
    <w:rsid w:val="00FE5D1D"/>
    <w:rsid w:val="00FF0031"/>
    <w:rsid w:val="00FF0041"/>
    <w:rsid w:val="00FF1A40"/>
    <w:rsid w:val="00FF1D2A"/>
    <w:rsid w:val="00FF326D"/>
    <w:rsid w:val="00FF36A7"/>
    <w:rsid w:val="00FF53B4"/>
    <w:rsid w:val="00FF5F2E"/>
    <w:rsid w:val="00FF6E28"/>
    <w:rsid w:val="00FF6E50"/>
    <w:rsid w:val="00FF6F83"/>
    <w:rsid w:val="00FF72B2"/>
    <w:rsid w:val="00FF75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3A2647"/>
  <w15:chartTrackingRefBased/>
  <w15:docId w15:val="{DA9E0E9B-7C18-430A-B284-85B52E97F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E41EF"/>
    <w:pPr>
      <w:spacing w:after="120" w:line="336" w:lineRule="auto"/>
      <w:jc w:val="both"/>
    </w:pPr>
    <w:rPr>
      <w:rFonts w:ascii="Times New Roman" w:hAnsi="Times New Roman"/>
    </w:rPr>
  </w:style>
  <w:style w:type="paragraph" w:styleId="Nadpis1">
    <w:name w:val="heading 1"/>
    <w:basedOn w:val="Normlny"/>
    <w:next w:val="Normlny"/>
    <w:link w:val="Nadpis1Char"/>
    <w:uiPriority w:val="9"/>
    <w:qFormat/>
    <w:rsid w:val="00ED135D"/>
    <w:pPr>
      <w:keepNext/>
      <w:numPr>
        <w:numId w:val="1"/>
      </w:numPr>
      <w:spacing w:before="120"/>
      <w:jc w:val="center"/>
      <w:outlineLvl w:val="0"/>
    </w:pPr>
    <w:rPr>
      <w:rFonts w:eastAsiaTheme="majorEastAsia" w:cstheme="majorBidi"/>
      <w:b/>
      <w:sz w:val="26"/>
      <w:szCs w:val="32"/>
    </w:rPr>
  </w:style>
  <w:style w:type="paragraph" w:styleId="Nadpis2">
    <w:name w:val="heading 2"/>
    <w:basedOn w:val="Normlny"/>
    <w:next w:val="Normlny"/>
    <w:link w:val="Nadpis2Char"/>
    <w:uiPriority w:val="9"/>
    <w:unhideWhenUsed/>
    <w:qFormat/>
    <w:rsid w:val="00112E7C"/>
    <w:pPr>
      <w:keepNext/>
      <w:numPr>
        <w:ilvl w:val="1"/>
        <w:numId w:val="1"/>
      </w:numPr>
      <w:spacing w:before="120"/>
      <w:ind w:left="578" w:hanging="578"/>
      <w:jc w:val="center"/>
      <w:outlineLvl w:val="1"/>
    </w:pPr>
    <w:rPr>
      <w:rFonts w:eastAsiaTheme="majorEastAsia" w:cstheme="majorBidi"/>
      <w:b/>
      <w:sz w:val="24"/>
      <w:szCs w:val="26"/>
    </w:rPr>
  </w:style>
  <w:style w:type="paragraph" w:styleId="Nadpis3">
    <w:name w:val="heading 3"/>
    <w:basedOn w:val="Normlny"/>
    <w:next w:val="Normlny"/>
    <w:link w:val="Nadpis3Char"/>
    <w:uiPriority w:val="9"/>
    <w:unhideWhenUsed/>
    <w:qFormat/>
    <w:rsid w:val="00861AB8"/>
    <w:pPr>
      <w:keepNext/>
      <w:keepLines/>
      <w:numPr>
        <w:ilvl w:val="2"/>
        <w:numId w:val="1"/>
      </w:numPr>
      <w:spacing w:before="120"/>
      <w:ind w:left="0" w:firstLine="0"/>
      <w:jc w:val="center"/>
      <w:outlineLvl w:val="2"/>
    </w:pPr>
    <w:rPr>
      <w:rFonts w:eastAsiaTheme="majorEastAsia" w:cstheme="majorBidi"/>
      <w:b/>
      <w:szCs w:val="24"/>
    </w:rPr>
  </w:style>
  <w:style w:type="paragraph" w:styleId="Nadpis4">
    <w:name w:val="heading 4"/>
    <w:basedOn w:val="Normlny"/>
    <w:next w:val="Normlny"/>
    <w:link w:val="Nadpis4Char"/>
    <w:uiPriority w:val="9"/>
    <w:unhideWhenUsed/>
    <w:qFormat/>
    <w:rsid w:val="00F61D9C"/>
    <w:pPr>
      <w:keepNext/>
      <w:keepLines/>
      <w:numPr>
        <w:ilvl w:val="3"/>
        <w:numId w:val="1"/>
      </w:numPr>
      <w:spacing w:before="120"/>
      <w:ind w:left="862" w:hanging="862"/>
      <w:jc w:val="center"/>
      <w:outlineLvl w:val="3"/>
    </w:pPr>
    <w:rPr>
      <w:rFonts w:eastAsiaTheme="majorEastAsia" w:cstheme="majorBidi"/>
      <w:b/>
      <w:iCs/>
    </w:rPr>
  </w:style>
  <w:style w:type="paragraph" w:styleId="Nadpis5">
    <w:name w:val="heading 5"/>
    <w:basedOn w:val="Normlny"/>
    <w:next w:val="Normlny"/>
    <w:link w:val="Nadpis5Char"/>
    <w:uiPriority w:val="9"/>
    <w:semiHidden/>
    <w:unhideWhenUsed/>
    <w:qFormat/>
    <w:rsid w:val="005F5B8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semiHidden/>
    <w:unhideWhenUsed/>
    <w:qFormat/>
    <w:rsid w:val="005F5B8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semiHidden/>
    <w:unhideWhenUsed/>
    <w:qFormat/>
    <w:rsid w:val="005F5B8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9"/>
    <w:semiHidden/>
    <w:unhideWhenUsed/>
    <w:qFormat/>
    <w:rsid w:val="005F5B8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5F5B8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D135D"/>
    <w:rPr>
      <w:rFonts w:ascii="Times New Roman" w:eastAsiaTheme="majorEastAsia" w:hAnsi="Times New Roman" w:cstheme="majorBidi"/>
      <w:b/>
      <w:sz w:val="26"/>
      <w:szCs w:val="32"/>
    </w:rPr>
  </w:style>
  <w:style w:type="character" w:customStyle="1" w:styleId="Nadpis2Char">
    <w:name w:val="Nadpis 2 Char"/>
    <w:basedOn w:val="Predvolenpsmoodseku"/>
    <w:link w:val="Nadpis2"/>
    <w:uiPriority w:val="9"/>
    <w:rsid w:val="00112E7C"/>
    <w:rPr>
      <w:rFonts w:ascii="Times New Roman" w:eastAsiaTheme="majorEastAsia" w:hAnsi="Times New Roman" w:cstheme="majorBidi"/>
      <w:b/>
      <w:sz w:val="24"/>
      <w:szCs w:val="26"/>
    </w:rPr>
  </w:style>
  <w:style w:type="character" w:customStyle="1" w:styleId="Nadpis3Char">
    <w:name w:val="Nadpis 3 Char"/>
    <w:basedOn w:val="Predvolenpsmoodseku"/>
    <w:link w:val="Nadpis3"/>
    <w:uiPriority w:val="9"/>
    <w:rsid w:val="00861AB8"/>
    <w:rPr>
      <w:rFonts w:ascii="Times New Roman" w:eastAsiaTheme="majorEastAsia" w:hAnsi="Times New Roman" w:cstheme="majorBidi"/>
      <w:b/>
      <w:szCs w:val="24"/>
    </w:rPr>
  </w:style>
  <w:style w:type="character" w:customStyle="1" w:styleId="Nadpis4Char">
    <w:name w:val="Nadpis 4 Char"/>
    <w:basedOn w:val="Predvolenpsmoodseku"/>
    <w:link w:val="Nadpis4"/>
    <w:uiPriority w:val="9"/>
    <w:rsid w:val="00F61D9C"/>
    <w:rPr>
      <w:rFonts w:ascii="Times New Roman" w:eastAsiaTheme="majorEastAsia" w:hAnsi="Times New Roman" w:cstheme="majorBidi"/>
      <w:b/>
      <w:iCs/>
    </w:rPr>
  </w:style>
  <w:style w:type="character" w:customStyle="1" w:styleId="Nadpis5Char">
    <w:name w:val="Nadpis 5 Char"/>
    <w:basedOn w:val="Predvolenpsmoodseku"/>
    <w:link w:val="Nadpis5"/>
    <w:uiPriority w:val="9"/>
    <w:semiHidden/>
    <w:rsid w:val="005F5B88"/>
    <w:rPr>
      <w:rFonts w:asciiTheme="majorHAnsi" w:eastAsiaTheme="majorEastAsia" w:hAnsiTheme="majorHAnsi" w:cstheme="majorBidi"/>
      <w:color w:val="2E74B5" w:themeColor="accent1" w:themeShade="BF"/>
    </w:rPr>
  </w:style>
  <w:style w:type="character" w:customStyle="1" w:styleId="Nadpis6Char">
    <w:name w:val="Nadpis 6 Char"/>
    <w:basedOn w:val="Predvolenpsmoodseku"/>
    <w:link w:val="Nadpis6"/>
    <w:uiPriority w:val="9"/>
    <w:semiHidden/>
    <w:rsid w:val="005F5B88"/>
    <w:rPr>
      <w:rFonts w:asciiTheme="majorHAnsi" w:eastAsiaTheme="majorEastAsia" w:hAnsiTheme="majorHAnsi" w:cstheme="majorBidi"/>
      <w:color w:val="1F4D78" w:themeColor="accent1" w:themeShade="7F"/>
    </w:rPr>
  </w:style>
  <w:style w:type="character" w:customStyle="1" w:styleId="Nadpis7Char">
    <w:name w:val="Nadpis 7 Char"/>
    <w:basedOn w:val="Predvolenpsmoodseku"/>
    <w:link w:val="Nadpis7"/>
    <w:uiPriority w:val="9"/>
    <w:semiHidden/>
    <w:rsid w:val="005F5B88"/>
    <w:rPr>
      <w:rFonts w:asciiTheme="majorHAnsi" w:eastAsiaTheme="majorEastAsia" w:hAnsiTheme="majorHAnsi" w:cstheme="majorBidi"/>
      <w:i/>
      <w:iCs/>
      <w:color w:val="1F4D78" w:themeColor="accent1" w:themeShade="7F"/>
    </w:rPr>
  </w:style>
  <w:style w:type="character" w:customStyle="1" w:styleId="Nadpis8Char">
    <w:name w:val="Nadpis 8 Char"/>
    <w:basedOn w:val="Predvolenpsmoodseku"/>
    <w:link w:val="Nadpis8"/>
    <w:uiPriority w:val="9"/>
    <w:semiHidden/>
    <w:rsid w:val="005F5B8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5F5B88"/>
    <w:rPr>
      <w:rFonts w:asciiTheme="majorHAnsi" w:eastAsiaTheme="majorEastAsia" w:hAnsiTheme="majorHAnsi" w:cstheme="majorBidi"/>
      <w:i/>
      <w:iCs/>
      <w:color w:val="272727" w:themeColor="text1" w:themeTint="D8"/>
      <w:sz w:val="21"/>
      <w:szCs w:val="21"/>
    </w:rPr>
  </w:style>
  <w:style w:type="paragraph" w:styleId="Hlavika">
    <w:name w:val="header"/>
    <w:basedOn w:val="Normlny"/>
    <w:link w:val="HlavikaChar"/>
    <w:uiPriority w:val="99"/>
    <w:unhideWhenUsed/>
    <w:rsid w:val="00881BD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81BDB"/>
    <w:rPr>
      <w:rFonts w:ascii="Times New Roman" w:hAnsi="Times New Roman"/>
    </w:rPr>
  </w:style>
  <w:style w:type="paragraph" w:styleId="Pta">
    <w:name w:val="footer"/>
    <w:basedOn w:val="Normlny"/>
    <w:link w:val="PtaChar"/>
    <w:uiPriority w:val="99"/>
    <w:unhideWhenUsed/>
    <w:rsid w:val="00881BDB"/>
    <w:pPr>
      <w:tabs>
        <w:tab w:val="center" w:pos="4536"/>
        <w:tab w:val="right" w:pos="9072"/>
      </w:tabs>
      <w:spacing w:after="0" w:line="240" w:lineRule="auto"/>
    </w:pPr>
  </w:style>
  <w:style w:type="character" w:customStyle="1" w:styleId="PtaChar">
    <w:name w:val="Päta Char"/>
    <w:basedOn w:val="Predvolenpsmoodseku"/>
    <w:link w:val="Pta"/>
    <w:uiPriority w:val="99"/>
    <w:rsid w:val="00881BDB"/>
    <w:rPr>
      <w:rFonts w:ascii="Times New Roman" w:hAnsi="Times New Roman"/>
    </w:rPr>
  </w:style>
  <w:style w:type="paragraph" w:styleId="Obsah1">
    <w:name w:val="toc 1"/>
    <w:basedOn w:val="Normlny"/>
    <w:next w:val="Normlny"/>
    <w:autoRedefine/>
    <w:uiPriority w:val="39"/>
    <w:unhideWhenUsed/>
    <w:rsid w:val="008A585A"/>
    <w:pPr>
      <w:tabs>
        <w:tab w:val="left" w:pos="332"/>
        <w:tab w:val="right" w:pos="8493"/>
      </w:tabs>
      <w:spacing w:before="120" w:line="288" w:lineRule="auto"/>
      <w:jc w:val="left"/>
    </w:pPr>
    <w:rPr>
      <w:b/>
      <w:bCs/>
      <w:noProof/>
      <w:sz w:val="20"/>
    </w:rPr>
  </w:style>
  <w:style w:type="paragraph" w:styleId="Obsah2">
    <w:name w:val="toc 2"/>
    <w:basedOn w:val="Normlny"/>
    <w:next w:val="Normlny"/>
    <w:autoRedefine/>
    <w:uiPriority w:val="39"/>
    <w:unhideWhenUsed/>
    <w:rsid w:val="00C37597"/>
    <w:pPr>
      <w:tabs>
        <w:tab w:val="left" w:pos="502"/>
        <w:tab w:val="right" w:pos="8493"/>
      </w:tabs>
      <w:spacing w:after="0"/>
      <w:jc w:val="left"/>
    </w:pPr>
    <w:rPr>
      <w:b/>
      <w:bCs/>
      <w:noProof/>
      <w:sz w:val="20"/>
    </w:rPr>
  </w:style>
  <w:style w:type="paragraph" w:styleId="Obsah3">
    <w:name w:val="toc 3"/>
    <w:basedOn w:val="Normlny"/>
    <w:next w:val="Normlny"/>
    <w:autoRedefine/>
    <w:uiPriority w:val="39"/>
    <w:unhideWhenUsed/>
    <w:rsid w:val="0021355F"/>
    <w:pPr>
      <w:spacing w:after="0"/>
      <w:jc w:val="left"/>
    </w:pPr>
    <w:rPr>
      <w:rFonts w:asciiTheme="minorHAnsi" w:hAnsiTheme="minorHAnsi"/>
      <w:smallCaps/>
    </w:rPr>
  </w:style>
  <w:style w:type="character" w:styleId="Hypertextovprepojenie">
    <w:name w:val="Hyperlink"/>
    <w:basedOn w:val="Predvolenpsmoodseku"/>
    <w:uiPriority w:val="99"/>
    <w:unhideWhenUsed/>
    <w:rsid w:val="0021355F"/>
    <w:rPr>
      <w:color w:val="0563C1" w:themeColor="hyperlink"/>
      <w:u w:val="single"/>
    </w:rPr>
  </w:style>
  <w:style w:type="paragraph" w:styleId="Obsah4">
    <w:name w:val="toc 4"/>
    <w:basedOn w:val="Normlny"/>
    <w:next w:val="Normlny"/>
    <w:autoRedefine/>
    <w:uiPriority w:val="39"/>
    <w:unhideWhenUsed/>
    <w:rsid w:val="007D65C4"/>
    <w:pPr>
      <w:spacing w:after="0"/>
      <w:jc w:val="left"/>
    </w:pPr>
    <w:rPr>
      <w:rFonts w:asciiTheme="minorHAnsi" w:hAnsiTheme="minorHAnsi"/>
    </w:rPr>
  </w:style>
  <w:style w:type="paragraph" w:styleId="Obsah5">
    <w:name w:val="toc 5"/>
    <w:basedOn w:val="Normlny"/>
    <w:next w:val="Normlny"/>
    <w:autoRedefine/>
    <w:uiPriority w:val="39"/>
    <w:unhideWhenUsed/>
    <w:rsid w:val="007D65C4"/>
    <w:pPr>
      <w:spacing w:after="0"/>
      <w:jc w:val="left"/>
    </w:pPr>
    <w:rPr>
      <w:rFonts w:asciiTheme="minorHAnsi" w:hAnsiTheme="minorHAnsi"/>
    </w:rPr>
  </w:style>
  <w:style w:type="paragraph" w:styleId="Obsah6">
    <w:name w:val="toc 6"/>
    <w:basedOn w:val="Normlny"/>
    <w:next w:val="Normlny"/>
    <w:autoRedefine/>
    <w:uiPriority w:val="39"/>
    <w:unhideWhenUsed/>
    <w:rsid w:val="007D65C4"/>
    <w:pPr>
      <w:spacing w:after="0"/>
      <w:jc w:val="left"/>
    </w:pPr>
    <w:rPr>
      <w:rFonts w:asciiTheme="minorHAnsi" w:hAnsiTheme="minorHAnsi"/>
    </w:rPr>
  </w:style>
  <w:style w:type="paragraph" w:styleId="Obsah7">
    <w:name w:val="toc 7"/>
    <w:basedOn w:val="Normlny"/>
    <w:next w:val="Normlny"/>
    <w:autoRedefine/>
    <w:uiPriority w:val="39"/>
    <w:unhideWhenUsed/>
    <w:rsid w:val="007D65C4"/>
    <w:pPr>
      <w:spacing w:after="0"/>
      <w:jc w:val="left"/>
    </w:pPr>
    <w:rPr>
      <w:rFonts w:asciiTheme="minorHAnsi" w:hAnsiTheme="minorHAnsi"/>
    </w:rPr>
  </w:style>
  <w:style w:type="paragraph" w:styleId="Obsah8">
    <w:name w:val="toc 8"/>
    <w:basedOn w:val="Normlny"/>
    <w:next w:val="Normlny"/>
    <w:autoRedefine/>
    <w:uiPriority w:val="39"/>
    <w:unhideWhenUsed/>
    <w:rsid w:val="007D65C4"/>
    <w:pPr>
      <w:spacing w:after="0"/>
      <w:jc w:val="left"/>
    </w:pPr>
    <w:rPr>
      <w:rFonts w:asciiTheme="minorHAnsi" w:hAnsiTheme="minorHAnsi"/>
    </w:rPr>
  </w:style>
  <w:style w:type="paragraph" w:styleId="Obsah9">
    <w:name w:val="toc 9"/>
    <w:basedOn w:val="Normlny"/>
    <w:next w:val="Normlny"/>
    <w:autoRedefine/>
    <w:uiPriority w:val="39"/>
    <w:unhideWhenUsed/>
    <w:rsid w:val="007D65C4"/>
    <w:pPr>
      <w:spacing w:after="0"/>
      <w:jc w:val="left"/>
    </w:pPr>
    <w:rPr>
      <w:rFonts w:asciiTheme="minorHAnsi" w:hAnsiTheme="minorHAnsi"/>
    </w:rPr>
  </w:style>
  <w:style w:type="character" w:customStyle="1" w:styleId="st1">
    <w:name w:val="st1"/>
    <w:basedOn w:val="Predvolenpsmoodseku"/>
    <w:rsid w:val="00743099"/>
  </w:style>
  <w:style w:type="character" w:customStyle="1" w:styleId="awspan1">
    <w:name w:val="awspan1"/>
    <w:basedOn w:val="Predvolenpsmoodseku"/>
    <w:rsid w:val="00743099"/>
    <w:rPr>
      <w:color w:val="000000"/>
      <w:sz w:val="24"/>
      <w:szCs w:val="24"/>
    </w:rPr>
  </w:style>
  <w:style w:type="paragraph" w:styleId="Odsekzoznamu">
    <w:name w:val="List Paragraph"/>
    <w:basedOn w:val="Normlny"/>
    <w:uiPriority w:val="34"/>
    <w:qFormat/>
    <w:rsid w:val="00530112"/>
    <w:pPr>
      <w:spacing w:after="0" w:line="240" w:lineRule="auto"/>
      <w:ind w:left="720"/>
      <w:contextualSpacing/>
      <w:jc w:val="left"/>
    </w:pPr>
    <w:rPr>
      <w:rFonts w:ascii="Calibri" w:hAnsi="Calibri" w:cs="Times New Roman"/>
    </w:rPr>
  </w:style>
  <w:style w:type="paragraph" w:styleId="Textpoznmkypodiarou">
    <w:name w:val="footnote text"/>
    <w:aliases w:val="Footnote Text Char2,Footnote Text Char1 Char,Footnote Text Char2 Char Char,Footnote Text Char1 Char Char Char,Footnote Text Char2 Char Char Char Char,Footnote Text Char Char1 Char Char Char Char,Footnote Text Char1,f"/>
    <w:basedOn w:val="Normlny"/>
    <w:link w:val="TextpoznmkypodiarouChar"/>
    <w:uiPriority w:val="99"/>
    <w:unhideWhenUsed/>
    <w:qFormat/>
    <w:rsid w:val="00237058"/>
    <w:pPr>
      <w:spacing w:after="0" w:line="240" w:lineRule="auto"/>
    </w:pPr>
    <w:rPr>
      <w:sz w:val="20"/>
      <w:szCs w:val="20"/>
    </w:rPr>
  </w:style>
  <w:style w:type="character" w:customStyle="1" w:styleId="TextpoznmkypodiarouChar">
    <w:name w:val="Text poznámky pod čiarou Char"/>
    <w:aliases w:val="Footnote Text Char2 Char,Footnote Text Char1 Char Char,Footnote Text Char2 Char Char Char,Footnote Text Char1 Char Char Char Char,Footnote Text Char2 Char Char Char Char Char,Footnote Text Char1 Char1,f Char"/>
    <w:basedOn w:val="Predvolenpsmoodseku"/>
    <w:link w:val="Textpoznmkypodiarou"/>
    <w:uiPriority w:val="99"/>
    <w:rsid w:val="00237058"/>
    <w:rPr>
      <w:rFonts w:ascii="Times New Roman" w:hAnsi="Times New Roman"/>
      <w:sz w:val="20"/>
      <w:szCs w:val="20"/>
    </w:rPr>
  </w:style>
  <w:style w:type="character" w:styleId="Odkaznapoznmkupodiarou">
    <w:name w:val="footnote reference"/>
    <w:aliases w:val="16 Point,Superscript 6 Point,Footnote Reference Number,Footnote Reference_LVL6,Footnote Reference_LVL61,Footnote Reference_LVL62,Footnote Reference_LVL63,Footnote Reference_LVL64,Footnote call,BVI fnr,SUPERS,Footnote symbol"/>
    <w:basedOn w:val="Predvolenpsmoodseku"/>
    <w:uiPriority w:val="99"/>
    <w:unhideWhenUsed/>
    <w:qFormat/>
    <w:rsid w:val="00237058"/>
    <w:rPr>
      <w:vertAlign w:val="superscript"/>
    </w:rPr>
  </w:style>
  <w:style w:type="paragraph" w:customStyle="1" w:styleId="Zkladntext1">
    <w:name w:val="Základný text1"/>
    <w:rsid w:val="00F057AA"/>
    <w:pPr>
      <w:spacing w:after="0" w:line="240" w:lineRule="auto"/>
    </w:pPr>
    <w:rPr>
      <w:rFonts w:ascii="Dutch801 SWC" w:eastAsia="Times New Roman" w:hAnsi="Dutch801 SWC" w:cs="Times New Roman"/>
      <w:color w:val="000000"/>
      <w:sz w:val="24"/>
      <w:szCs w:val="20"/>
      <w:lang w:val="en-US" w:eastAsia="sk-SK"/>
    </w:rPr>
  </w:style>
  <w:style w:type="character" w:styleId="Odkaznakomentr">
    <w:name w:val="annotation reference"/>
    <w:basedOn w:val="Predvolenpsmoodseku"/>
    <w:uiPriority w:val="99"/>
    <w:semiHidden/>
    <w:unhideWhenUsed/>
    <w:rsid w:val="005717A4"/>
    <w:rPr>
      <w:sz w:val="16"/>
      <w:szCs w:val="16"/>
    </w:rPr>
  </w:style>
  <w:style w:type="paragraph" w:styleId="Textkomentra">
    <w:name w:val="annotation text"/>
    <w:basedOn w:val="Normlny"/>
    <w:link w:val="TextkomentraChar"/>
    <w:uiPriority w:val="99"/>
    <w:unhideWhenUsed/>
    <w:rsid w:val="005717A4"/>
    <w:pPr>
      <w:spacing w:line="240" w:lineRule="auto"/>
    </w:pPr>
    <w:rPr>
      <w:rFonts w:eastAsia="Times New Roman" w:cs="Times New Roman"/>
      <w:sz w:val="20"/>
      <w:szCs w:val="20"/>
    </w:rPr>
  </w:style>
  <w:style w:type="character" w:customStyle="1" w:styleId="TextkomentraChar">
    <w:name w:val="Text komentára Char"/>
    <w:basedOn w:val="Predvolenpsmoodseku"/>
    <w:link w:val="Textkomentra"/>
    <w:uiPriority w:val="99"/>
    <w:rsid w:val="005717A4"/>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5434A"/>
    <w:pPr>
      <w:spacing w:after="0" w:line="240" w:lineRule="auto"/>
    </w:pPr>
    <w:rPr>
      <w:rFonts w:ascii="Segoe UI" w:hAnsi="Segoe UI"/>
      <w:sz w:val="18"/>
      <w:szCs w:val="18"/>
    </w:rPr>
  </w:style>
  <w:style w:type="character" w:customStyle="1" w:styleId="TextbublinyChar">
    <w:name w:val="Text bubliny Char"/>
    <w:basedOn w:val="Predvolenpsmoodseku"/>
    <w:link w:val="Textbubliny"/>
    <w:uiPriority w:val="99"/>
    <w:semiHidden/>
    <w:rsid w:val="0045434A"/>
    <w:rPr>
      <w:rFonts w:ascii="Segoe UI" w:hAnsi="Segoe UI"/>
      <w:sz w:val="18"/>
      <w:szCs w:val="18"/>
    </w:rPr>
  </w:style>
  <w:style w:type="paragraph" w:customStyle="1" w:styleId="Zkladntext">
    <w:name w:val="Základní text"/>
    <w:rsid w:val="00ED135D"/>
    <w:pPr>
      <w:widowControl w:val="0"/>
      <w:spacing w:after="0" w:line="240" w:lineRule="auto"/>
    </w:pPr>
    <w:rPr>
      <w:rFonts w:ascii="Times New Roman" w:eastAsia="Times New Roman" w:hAnsi="Times New Roman" w:cs="Times New Roman"/>
      <w:color w:val="000000"/>
      <w:sz w:val="26"/>
      <w:szCs w:val="20"/>
      <w:lang w:eastAsia="sk-SK"/>
    </w:rPr>
  </w:style>
  <w:style w:type="paragraph" w:styleId="Zkladntext0">
    <w:name w:val="Body Text"/>
    <w:basedOn w:val="Normlny"/>
    <w:link w:val="ZkladntextChar"/>
    <w:rsid w:val="005F6E5F"/>
    <w:pPr>
      <w:spacing w:after="0" w:line="240" w:lineRule="auto"/>
    </w:pPr>
    <w:rPr>
      <w:rFonts w:eastAsia="Times New Roman" w:cs="Times New Roman"/>
      <w:sz w:val="24"/>
      <w:szCs w:val="20"/>
      <w:lang w:eastAsia="sk-SK"/>
    </w:rPr>
  </w:style>
  <w:style w:type="character" w:customStyle="1" w:styleId="ZkladntextChar">
    <w:name w:val="Základný text Char"/>
    <w:basedOn w:val="Predvolenpsmoodseku"/>
    <w:link w:val="Zkladntext0"/>
    <w:rsid w:val="005F6E5F"/>
    <w:rPr>
      <w:rFonts w:ascii="Times New Roman" w:eastAsia="Times New Roman" w:hAnsi="Times New Roman" w:cs="Times New Roman"/>
      <w:sz w:val="24"/>
      <w:szCs w:val="20"/>
      <w:lang w:eastAsia="sk-SK"/>
    </w:rPr>
  </w:style>
  <w:style w:type="paragraph" w:styleId="Revzia">
    <w:name w:val="Revision"/>
    <w:hidden/>
    <w:uiPriority w:val="99"/>
    <w:semiHidden/>
    <w:rsid w:val="00F61D9C"/>
    <w:pPr>
      <w:spacing w:after="0" w:line="240" w:lineRule="auto"/>
    </w:pPr>
    <w:rPr>
      <w:rFonts w:ascii="Times New Roman" w:hAnsi="Times New Roman"/>
    </w:rPr>
  </w:style>
  <w:style w:type="character" w:customStyle="1" w:styleId="ZarkazkladnhotextuChar">
    <w:name w:val="Zarážka základného textu Char"/>
    <w:basedOn w:val="Predvolenpsmoodseku"/>
    <w:link w:val="Zarkazkladnhotextu"/>
    <w:uiPriority w:val="99"/>
    <w:semiHidden/>
    <w:rsid w:val="008F75C2"/>
    <w:rPr>
      <w:rFonts w:ascii="Times New Roman" w:hAnsi="Times New Roman" w:cs="Times New Roman"/>
      <w:sz w:val="24"/>
      <w:szCs w:val="24"/>
      <w:lang w:eastAsia="sk-SK"/>
    </w:rPr>
  </w:style>
  <w:style w:type="paragraph" w:styleId="Zarkazkladnhotextu">
    <w:name w:val="Body Text Indent"/>
    <w:basedOn w:val="Normlny"/>
    <w:link w:val="ZarkazkladnhotextuChar"/>
    <w:uiPriority w:val="99"/>
    <w:semiHidden/>
    <w:unhideWhenUsed/>
    <w:rsid w:val="008F75C2"/>
    <w:pPr>
      <w:spacing w:after="0" w:line="240" w:lineRule="auto"/>
      <w:ind w:firstLine="708"/>
      <w:jc w:val="left"/>
    </w:pPr>
    <w:rPr>
      <w:rFonts w:cs="Times New Roman"/>
      <w:sz w:val="24"/>
      <w:szCs w:val="24"/>
      <w:lang w:eastAsia="sk-SK"/>
    </w:rPr>
  </w:style>
  <w:style w:type="paragraph" w:styleId="Bezriadkovania">
    <w:name w:val="No Spacing"/>
    <w:uiPriority w:val="1"/>
    <w:qFormat/>
    <w:rsid w:val="00872F0C"/>
    <w:pPr>
      <w:spacing w:after="0" w:line="240" w:lineRule="auto"/>
      <w:jc w:val="both"/>
    </w:pPr>
    <w:rPr>
      <w:rFonts w:ascii="Times New Roman" w:eastAsia="Times New Roman" w:hAnsi="Times New Roman" w:cs="Times New Roman"/>
      <w:szCs w:val="36"/>
    </w:rPr>
  </w:style>
  <w:style w:type="paragraph" w:customStyle="1" w:styleId="textCharCharCharChar">
    <w:name w:val="text Char Char Char Char"/>
    <w:basedOn w:val="Normlny"/>
    <w:link w:val="textCharCharCharCharChar"/>
    <w:rsid w:val="00872F0C"/>
    <w:pPr>
      <w:spacing w:line="240" w:lineRule="auto"/>
      <w:ind w:firstLine="510"/>
    </w:pPr>
    <w:rPr>
      <w:rFonts w:eastAsia="Batang" w:cs="Times New Roman"/>
      <w:color w:val="000000"/>
      <w:szCs w:val="24"/>
      <w:lang w:eastAsia="sk-SK"/>
    </w:rPr>
  </w:style>
  <w:style w:type="character" w:customStyle="1" w:styleId="textCharCharCharCharChar">
    <w:name w:val="text Char Char Char Char Char"/>
    <w:link w:val="textCharCharCharChar"/>
    <w:rsid w:val="00872F0C"/>
    <w:rPr>
      <w:rFonts w:ascii="Times New Roman" w:eastAsia="Batang" w:hAnsi="Times New Roman" w:cs="Times New Roman"/>
      <w:color w:val="000000"/>
      <w:szCs w:val="24"/>
      <w:lang w:eastAsia="sk-SK"/>
    </w:rPr>
  </w:style>
  <w:style w:type="character" w:styleId="Siln">
    <w:name w:val="Strong"/>
    <w:basedOn w:val="Predvolenpsmoodseku"/>
    <w:uiPriority w:val="22"/>
    <w:qFormat/>
    <w:rsid w:val="00872F0C"/>
    <w:rPr>
      <w:b/>
      <w:bCs/>
    </w:rPr>
  </w:style>
  <w:style w:type="paragraph" w:customStyle="1" w:styleId="default">
    <w:name w:val="default"/>
    <w:basedOn w:val="Normlny"/>
    <w:rsid w:val="00614751"/>
    <w:pPr>
      <w:autoSpaceDE w:val="0"/>
      <w:autoSpaceDN w:val="0"/>
      <w:spacing w:after="0" w:line="240" w:lineRule="auto"/>
      <w:jc w:val="left"/>
    </w:pPr>
    <w:rPr>
      <w:rFonts w:eastAsia="Times New Roman" w:cs="Times New Roman"/>
      <w:color w:val="000000"/>
      <w:sz w:val="24"/>
      <w:szCs w:val="24"/>
      <w:lang w:eastAsia="sk-SK"/>
    </w:rPr>
  </w:style>
  <w:style w:type="character" w:styleId="PouitHypertextovPrepojenie">
    <w:name w:val="FollowedHyperlink"/>
    <w:basedOn w:val="Predvolenpsmoodseku"/>
    <w:uiPriority w:val="99"/>
    <w:semiHidden/>
    <w:unhideWhenUsed/>
    <w:rsid w:val="00614751"/>
    <w:rPr>
      <w:color w:val="954F72" w:themeColor="followedHyperlink"/>
      <w:u w:val="single"/>
    </w:rPr>
  </w:style>
  <w:style w:type="paragraph" w:styleId="Predmetkomentra">
    <w:name w:val="annotation subject"/>
    <w:basedOn w:val="Textkomentra"/>
    <w:next w:val="Textkomentra"/>
    <w:link w:val="PredmetkomentraChar"/>
    <w:uiPriority w:val="99"/>
    <w:semiHidden/>
    <w:unhideWhenUsed/>
    <w:rsid w:val="00E5051B"/>
    <w:rPr>
      <w:rFonts w:eastAsiaTheme="minorHAnsi" w:cstheme="minorBidi"/>
      <w:b/>
      <w:bCs/>
    </w:rPr>
  </w:style>
  <w:style w:type="character" w:customStyle="1" w:styleId="PredmetkomentraChar">
    <w:name w:val="Predmet komentára Char"/>
    <w:basedOn w:val="TextkomentraChar"/>
    <w:link w:val="Predmetkomentra"/>
    <w:uiPriority w:val="99"/>
    <w:semiHidden/>
    <w:rsid w:val="00E5051B"/>
    <w:rPr>
      <w:rFonts w:ascii="Times New Roman" w:eastAsia="Times New Roman" w:hAnsi="Times New Roman" w:cs="Times New Roman"/>
      <w:b/>
      <w:bCs/>
      <w:sz w:val="20"/>
      <w:szCs w:val="20"/>
    </w:rPr>
  </w:style>
  <w:style w:type="character" w:customStyle="1" w:styleId="h1a2">
    <w:name w:val="h1a2"/>
    <w:basedOn w:val="Predvolenpsmoodseku"/>
    <w:rsid w:val="00BD02D9"/>
    <w:rPr>
      <w:vanish w:val="0"/>
      <w:webHidden w:val="0"/>
      <w:sz w:val="24"/>
      <w:szCs w:val="24"/>
      <w:specVanish w:val="0"/>
    </w:rPr>
  </w:style>
  <w:style w:type="paragraph" w:styleId="Hlavikaobsahu">
    <w:name w:val="TOC Heading"/>
    <w:basedOn w:val="Nadpis1"/>
    <w:next w:val="Normlny"/>
    <w:uiPriority w:val="39"/>
    <w:unhideWhenUsed/>
    <w:qFormat/>
    <w:rsid w:val="00BB3915"/>
    <w:pPr>
      <w:keepLines/>
      <w:numPr>
        <w:numId w:val="0"/>
      </w:numPr>
      <w:spacing w:before="240" w:after="0" w:line="259" w:lineRule="auto"/>
      <w:jc w:val="left"/>
      <w:outlineLvl w:val="9"/>
    </w:pPr>
    <w:rPr>
      <w:rFonts w:asciiTheme="majorHAnsi" w:hAnsiTheme="majorHAnsi"/>
      <w:b w:val="0"/>
      <w:color w:val="2E74B5" w:themeColor="accent1" w:themeShade="BF"/>
      <w:sz w:val="3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85660">
      <w:bodyDiv w:val="1"/>
      <w:marLeft w:val="0"/>
      <w:marRight w:val="0"/>
      <w:marTop w:val="0"/>
      <w:marBottom w:val="0"/>
      <w:divBdr>
        <w:top w:val="none" w:sz="0" w:space="0" w:color="auto"/>
        <w:left w:val="none" w:sz="0" w:space="0" w:color="auto"/>
        <w:bottom w:val="none" w:sz="0" w:space="0" w:color="auto"/>
        <w:right w:val="none" w:sz="0" w:space="0" w:color="auto"/>
      </w:divBdr>
    </w:div>
    <w:div w:id="103547509">
      <w:bodyDiv w:val="1"/>
      <w:marLeft w:val="0"/>
      <w:marRight w:val="0"/>
      <w:marTop w:val="0"/>
      <w:marBottom w:val="0"/>
      <w:divBdr>
        <w:top w:val="none" w:sz="0" w:space="0" w:color="auto"/>
        <w:left w:val="none" w:sz="0" w:space="0" w:color="auto"/>
        <w:bottom w:val="none" w:sz="0" w:space="0" w:color="auto"/>
        <w:right w:val="none" w:sz="0" w:space="0" w:color="auto"/>
      </w:divBdr>
      <w:divsChild>
        <w:div w:id="562831429">
          <w:marLeft w:val="0"/>
          <w:marRight w:val="0"/>
          <w:marTop w:val="0"/>
          <w:marBottom w:val="0"/>
          <w:divBdr>
            <w:top w:val="none" w:sz="0" w:space="0" w:color="auto"/>
            <w:left w:val="none" w:sz="0" w:space="0" w:color="auto"/>
            <w:bottom w:val="none" w:sz="0" w:space="0" w:color="auto"/>
            <w:right w:val="none" w:sz="0" w:space="0" w:color="auto"/>
          </w:divBdr>
          <w:divsChild>
            <w:div w:id="88487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37814">
      <w:bodyDiv w:val="1"/>
      <w:marLeft w:val="0"/>
      <w:marRight w:val="0"/>
      <w:marTop w:val="0"/>
      <w:marBottom w:val="0"/>
      <w:divBdr>
        <w:top w:val="none" w:sz="0" w:space="0" w:color="auto"/>
        <w:left w:val="none" w:sz="0" w:space="0" w:color="auto"/>
        <w:bottom w:val="none" w:sz="0" w:space="0" w:color="auto"/>
        <w:right w:val="none" w:sz="0" w:space="0" w:color="auto"/>
      </w:divBdr>
    </w:div>
    <w:div w:id="282075293">
      <w:bodyDiv w:val="1"/>
      <w:marLeft w:val="0"/>
      <w:marRight w:val="0"/>
      <w:marTop w:val="0"/>
      <w:marBottom w:val="0"/>
      <w:divBdr>
        <w:top w:val="none" w:sz="0" w:space="0" w:color="auto"/>
        <w:left w:val="none" w:sz="0" w:space="0" w:color="auto"/>
        <w:bottom w:val="none" w:sz="0" w:space="0" w:color="auto"/>
        <w:right w:val="none" w:sz="0" w:space="0" w:color="auto"/>
      </w:divBdr>
    </w:div>
    <w:div w:id="398406455">
      <w:bodyDiv w:val="1"/>
      <w:marLeft w:val="0"/>
      <w:marRight w:val="0"/>
      <w:marTop w:val="0"/>
      <w:marBottom w:val="0"/>
      <w:divBdr>
        <w:top w:val="none" w:sz="0" w:space="0" w:color="auto"/>
        <w:left w:val="none" w:sz="0" w:space="0" w:color="auto"/>
        <w:bottom w:val="none" w:sz="0" w:space="0" w:color="auto"/>
        <w:right w:val="none" w:sz="0" w:space="0" w:color="auto"/>
      </w:divBdr>
    </w:div>
    <w:div w:id="607978284">
      <w:bodyDiv w:val="1"/>
      <w:marLeft w:val="0"/>
      <w:marRight w:val="0"/>
      <w:marTop w:val="0"/>
      <w:marBottom w:val="0"/>
      <w:divBdr>
        <w:top w:val="none" w:sz="0" w:space="0" w:color="auto"/>
        <w:left w:val="none" w:sz="0" w:space="0" w:color="auto"/>
        <w:bottom w:val="none" w:sz="0" w:space="0" w:color="auto"/>
        <w:right w:val="none" w:sz="0" w:space="0" w:color="auto"/>
      </w:divBdr>
    </w:div>
    <w:div w:id="672996393">
      <w:bodyDiv w:val="1"/>
      <w:marLeft w:val="0"/>
      <w:marRight w:val="0"/>
      <w:marTop w:val="0"/>
      <w:marBottom w:val="0"/>
      <w:divBdr>
        <w:top w:val="none" w:sz="0" w:space="0" w:color="auto"/>
        <w:left w:val="none" w:sz="0" w:space="0" w:color="auto"/>
        <w:bottom w:val="none" w:sz="0" w:space="0" w:color="auto"/>
        <w:right w:val="none" w:sz="0" w:space="0" w:color="auto"/>
      </w:divBdr>
    </w:div>
    <w:div w:id="745540572">
      <w:bodyDiv w:val="1"/>
      <w:marLeft w:val="0"/>
      <w:marRight w:val="0"/>
      <w:marTop w:val="0"/>
      <w:marBottom w:val="0"/>
      <w:divBdr>
        <w:top w:val="none" w:sz="0" w:space="0" w:color="auto"/>
        <w:left w:val="none" w:sz="0" w:space="0" w:color="auto"/>
        <w:bottom w:val="none" w:sz="0" w:space="0" w:color="auto"/>
        <w:right w:val="none" w:sz="0" w:space="0" w:color="auto"/>
      </w:divBdr>
    </w:div>
    <w:div w:id="828054206">
      <w:bodyDiv w:val="1"/>
      <w:marLeft w:val="0"/>
      <w:marRight w:val="0"/>
      <w:marTop w:val="0"/>
      <w:marBottom w:val="0"/>
      <w:divBdr>
        <w:top w:val="none" w:sz="0" w:space="0" w:color="auto"/>
        <w:left w:val="none" w:sz="0" w:space="0" w:color="auto"/>
        <w:bottom w:val="none" w:sz="0" w:space="0" w:color="auto"/>
        <w:right w:val="none" w:sz="0" w:space="0" w:color="auto"/>
      </w:divBdr>
    </w:div>
    <w:div w:id="842276737">
      <w:bodyDiv w:val="1"/>
      <w:marLeft w:val="0"/>
      <w:marRight w:val="0"/>
      <w:marTop w:val="0"/>
      <w:marBottom w:val="0"/>
      <w:divBdr>
        <w:top w:val="none" w:sz="0" w:space="0" w:color="auto"/>
        <w:left w:val="none" w:sz="0" w:space="0" w:color="auto"/>
        <w:bottom w:val="none" w:sz="0" w:space="0" w:color="auto"/>
        <w:right w:val="none" w:sz="0" w:space="0" w:color="auto"/>
      </w:divBdr>
    </w:div>
    <w:div w:id="843937752">
      <w:bodyDiv w:val="1"/>
      <w:marLeft w:val="0"/>
      <w:marRight w:val="0"/>
      <w:marTop w:val="0"/>
      <w:marBottom w:val="0"/>
      <w:divBdr>
        <w:top w:val="none" w:sz="0" w:space="0" w:color="auto"/>
        <w:left w:val="none" w:sz="0" w:space="0" w:color="auto"/>
        <w:bottom w:val="none" w:sz="0" w:space="0" w:color="auto"/>
        <w:right w:val="none" w:sz="0" w:space="0" w:color="auto"/>
      </w:divBdr>
    </w:div>
    <w:div w:id="930705010">
      <w:bodyDiv w:val="1"/>
      <w:marLeft w:val="0"/>
      <w:marRight w:val="0"/>
      <w:marTop w:val="0"/>
      <w:marBottom w:val="0"/>
      <w:divBdr>
        <w:top w:val="none" w:sz="0" w:space="0" w:color="auto"/>
        <w:left w:val="none" w:sz="0" w:space="0" w:color="auto"/>
        <w:bottom w:val="none" w:sz="0" w:space="0" w:color="auto"/>
        <w:right w:val="none" w:sz="0" w:space="0" w:color="auto"/>
      </w:divBdr>
    </w:div>
    <w:div w:id="999192318">
      <w:bodyDiv w:val="1"/>
      <w:marLeft w:val="0"/>
      <w:marRight w:val="0"/>
      <w:marTop w:val="0"/>
      <w:marBottom w:val="0"/>
      <w:divBdr>
        <w:top w:val="none" w:sz="0" w:space="0" w:color="auto"/>
        <w:left w:val="none" w:sz="0" w:space="0" w:color="auto"/>
        <w:bottom w:val="none" w:sz="0" w:space="0" w:color="auto"/>
        <w:right w:val="none" w:sz="0" w:space="0" w:color="auto"/>
      </w:divBdr>
    </w:div>
    <w:div w:id="1100636161">
      <w:bodyDiv w:val="1"/>
      <w:marLeft w:val="0"/>
      <w:marRight w:val="0"/>
      <w:marTop w:val="0"/>
      <w:marBottom w:val="0"/>
      <w:divBdr>
        <w:top w:val="none" w:sz="0" w:space="0" w:color="auto"/>
        <w:left w:val="none" w:sz="0" w:space="0" w:color="auto"/>
        <w:bottom w:val="none" w:sz="0" w:space="0" w:color="auto"/>
        <w:right w:val="none" w:sz="0" w:space="0" w:color="auto"/>
      </w:divBdr>
    </w:div>
    <w:div w:id="1122964428">
      <w:bodyDiv w:val="1"/>
      <w:marLeft w:val="0"/>
      <w:marRight w:val="0"/>
      <w:marTop w:val="0"/>
      <w:marBottom w:val="0"/>
      <w:divBdr>
        <w:top w:val="none" w:sz="0" w:space="0" w:color="auto"/>
        <w:left w:val="none" w:sz="0" w:space="0" w:color="auto"/>
        <w:bottom w:val="none" w:sz="0" w:space="0" w:color="auto"/>
        <w:right w:val="none" w:sz="0" w:space="0" w:color="auto"/>
      </w:divBdr>
    </w:div>
    <w:div w:id="1137844169">
      <w:bodyDiv w:val="1"/>
      <w:marLeft w:val="0"/>
      <w:marRight w:val="0"/>
      <w:marTop w:val="0"/>
      <w:marBottom w:val="0"/>
      <w:divBdr>
        <w:top w:val="none" w:sz="0" w:space="0" w:color="auto"/>
        <w:left w:val="none" w:sz="0" w:space="0" w:color="auto"/>
        <w:bottom w:val="none" w:sz="0" w:space="0" w:color="auto"/>
        <w:right w:val="none" w:sz="0" w:space="0" w:color="auto"/>
      </w:divBdr>
    </w:div>
    <w:div w:id="1155531707">
      <w:bodyDiv w:val="1"/>
      <w:marLeft w:val="0"/>
      <w:marRight w:val="0"/>
      <w:marTop w:val="0"/>
      <w:marBottom w:val="0"/>
      <w:divBdr>
        <w:top w:val="none" w:sz="0" w:space="0" w:color="auto"/>
        <w:left w:val="none" w:sz="0" w:space="0" w:color="auto"/>
        <w:bottom w:val="none" w:sz="0" w:space="0" w:color="auto"/>
        <w:right w:val="none" w:sz="0" w:space="0" w:color="auto"/>
      </w:divBdr>
    </w:div>
    <w:div w:id="1283154203">
      <w:bodyDiv w:val="1"/>
      <w:marLeft w:val="0"/>
      <w:marRight w:val="0"/>
      <w:marTop w:val="0"/>
      <w:marBottom w:val="0"/>
      <w:divBdr>
        <w:top w:val="none" w:sz="0" w:space="0" w:color="auto"/>
        <w:left w:val="none" w:sz="0" w:space="0" w:color="auto"/>
        <w:bottom w:val="none" w:sz="0" w:space="0" w:color="auto"/>
        <w:right w:val="none" w:sz="0" w:space="0" w:color="auto"/>
      </w:divBdr>
    </w:div>
    <w:div w:id="1370226883">
      <w:bodyDiv w:val="1"/>
      <w:marLeft w:val="0"/>
      <w:marRight w:val="0"/>
      <w:marTop w:val="0"/>
      <w:marBottom w:val="0"/>
      <w:divBdr>
        <w:top w:val="none" w:sz="0" w:space="0" w:color="auto"/>
        <w:left w:val="none" w:sz="0" w:space="0" w:color="auto"/>
        <w:bottom w:val="none" w:sz="0" w:space="0" w:color="auto"/>
        <w:right w:val="none" w:sz="0" w:space="0" w:color="auto"/>
      </w:divBdr>
    </w:div>
    <w:div w:id="1380780124">
      <w:bodyDiv w:val="1"/>
      <w:marLeft w:val="0"/>
      <w:marRight w:val="0"/>
      <w:marTop w:val="0"/>
      <w:marBottom w:val="0"/>
      <w:divBdr>
        <w:top w:val="none" w:sz="0" w:space="0" w:color="auto"/>
        <w:left w:val="none" w:sz="0" w:space="0" w:color="auto"/>
        <w:bottom w:val="none" w:sz="0" w:space="0" w:color="auto"/>
        <w:right w:val="none" w:sz="0" w:space="0" w:color="auto"/>
      </w:divBdr>
    </w:div>
    <w:div w:id="1384645267">
      <w:bodyDiv w:val="1"/>
      <w:marLeft w:val="0"/>
      <w:marRight w:val="0"/>
      <w:marTop w:val="0"/>
      <w:marBottom w:val="0"/>
      <w:divBdr>
        <w:top w:val="none" w:sz="0" w:space="0" w:color="auto"/>
        <w:left w:val="none" w:sz="0" w:space="0" w:color="auto"/>
        <w:bottom w:val="none" w:sz="0" w:space="0" w:color="auto"/>
        <w:right w:val="none" w:sz="0" w:space="0" w:color="auto"/>
      </w:divBdr>
    </w:div>
    <w:div w:id="1415738975">
      <w:bodyDiv w:val="1"/>
      <w:marLeft w:val="0"/>
      <w:marRight w:val="0"/>
      <w:marTop w:val="0"/>
      <w:marBottom w:val="0"/>
      <w:divBdr>
        <w:top w:val="none" w:sz="0" w:space="0" w:color="auto"/>
        <w:left w:val="none" w:sz="0" w:space="0" w:color="auto"/>
        <w:bottom w:val="none" w:sz="0" w:space="0" w:color="auto"/>
        <w:right w:val="none" w:sz="0" w:space="0" w:color="auto"/>
      </w:divBdr>
    </w:div>
    <w:div w:id="1427848696">
      <w:bodyDiv w:val="1"/>
      <w:marLeft w:val="0"/>
      <w:marRight w:val="0"/>
      <w:marTop w:val="0"/>
      <w:marBottom w:val="0"/>
      <w:divBdr>
        <w:top w:val="none" w:sz="0" w:space="0" w:color="auto"/>
        <w:left w:val="none" w:sz="0" w:space="0" w:color="auto"/>
        <w:bottom w:val="none" w:sz="0" w:space="0" w:color="auto"/>
        <w:right w:val="none" w:sz="0" w:space="0" w:color="auto"/>
      </w:divBdr>
    </w:div>
    <w:div w:id="1462530602">
      <w:bodyDiv w:val="1"/>
      <w:marLeft w:val="0"/>
      <w:marRight w:val="0"/>
      <w:marTop w:val="0"/>
      <w:marBottom w:val="0"/>
      <w:divBdr>
        <w:top w:val="none" w:sz="0" w:space="0" w:color="auto"/>
        <w:left w:val="none" w:sz="0" w:space="0" w:color="auto"/>
        <w:bottom w:val="none" w:sz="0" w:space="0" w:color="auto"/>
        <w:right w:val="none" w:sz="0" w:space="0" w:color="auto"/>
      </w:divBdr>
    </w:div>
    <w:div w:id="1572036786">
      <w:bodyDiv w:val="1"/>
      <w:marLeft w:val="0"/>
      <w:marRight w:val="0"/>
      <w:marTop w:val="0"/>
      <w:marBottom w:val="0"/>
      <w:divBdr>
        <w:top w:val="none" w:sz="0" w:space="0" w:color="auto"/>
        <w:left w:val="none" w:sz="0" w:space="0" w:color="auto"/>
        <w:bottom w:val="none" w:sz="0" w:space="0" w:color="auto"/>
        <w:right w:val="none" w:sz="0" w:space="0" w:color="auto"/>
      </w:divBdr>
    </w:div>
    <w:div w:id="1729264926">
      <w:bodyDiv w:val="1"/>
      <w:marLeft w:val="0"/>
      <w:marRight w:val="0"/>
      <w:marTop w:val="0"/>
      <w:marBottom w:val="0"/>
      <w:divBdr>
        <w:top w:val="none" w:sz="0" w:space="0" w:color="auto"/>
        <w:left w:val="none" w:sz="0" w:space="0" w:color="auto"/>
        <w:bottom w:val="none" w:sz="0" w:space="0" w:color="auto"/>
        <w:right w:val="none" w:sz="0" w:space="0" w:color="auto"/>
      </w:divBdr>
    </w:div>
    <w:div w:id="1945573048">
      <w:bodyDiv w:val="1"/>
      <w:marLeft w:val="0"/>
      <w:marRight w:val="0"/>
      <w:marTop w:val="0"/>
      <w:marBottom w:val="0"/>
      <w:divBdr>
        <w:top w:val="none" w:sz="0" w:space="0" w:color="auto"/>
        <w:left w:val="none" w:sz="0" w:space="0" w:color="auto"/>
        <w:bottom w:val="none" w:sz="0" w:space="0" w:color="auto"/>
        <w:right w:val="none" w:sz="0" w:space="0" w:color="auto"/>
      </w:divBdr>
    </w:div>
    <w:div w:id="1959605522">
      <w:bodyDiv w:val="1"/>
      <w:marLeft w:val="0"/>
      <w:marRight w:val="0"/>
      <w:marTop w:val="0"/>
      <w:marBottom w:val="0"/>
      <w:divBdr>
        <w:top w:val="none" w:sz="0" w:space="0" w:color="auto"/>
        <w:left w:val="none" w:sz="0" w:space="0" w:color="auto"/>
        <w:bottom w:val="none" w:sz="0" w:space="0" w:color="auto"/>
        <w:right w:val="none" w:sz="0" w:space="0" w:color="auto"/>
      </w:divBdr>
    </w:div>
    <w:div w:id="197921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5.xml"/></Relationships>
</file>

<file path=word/_rels/footnotes.xml.rels><?xml version="1.0" encoding="UTF-8" standalone="yes"?>
<Relationships xmlns="http://schemas.openxmlformats.org/package/2006/relationships"><Relationship Id="rId2" Type="http://schemas.openxmlformats.org/officeDocument/2006/relationships/hyperlink" Target="https://www.upsvr.gov.sk/statistiky/zoznam-najmenej-rozvinutych-okresov" TargetMode="External"/><Relationship Id="rId1" Type="http://schemas.openxmlformats.org/officeDocument/2006/relationships/hyperlink" Target="http://www.finance.gov.sk"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mf.mfsr.sk\DfsRoot\ADRESARE\IFP_NEW\3_MAKRO\3_7_Materialy\3_7_8_SZU\SZU%20za%202018\kap1_grafy.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mf.mfsr.sk\DfsRoot\ADRESARE\IFP_NEW\3_MAKRO\3_7_Materialy\3_7_8_SZU\SZU%20za%202018\kap1_grafy.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file:///\\mf.mfsr.sk\DfsRoot\ADRESARE\IFP_NEW\3_MAKRO\3_7_Materialy\3_7_8_SZU\SZU%20za%202018\kap1_grafy.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mf.mfsr.sk\DfsRoot\ADRESARE\IFP_NEW\3_MAKRO\3_7_Materialy\3_7_8_SZU\SZU%20za%202018\kap1_grafy.xlsx"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file:///\\mf.mfsr.sk\DfsRoot\ADRESARE\IFP_NEW\3_MAKRO\3_7_Materialy\3_7_8_SZU\SZU%20za%202018\kap1_grafy.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3"/>
          <c:order val="0"/>
          <c:tx>
            <c:strRef>
              <c:f>HDP!$A$5</c:f>
              <c:strCache>
                <c:ptCount val="1"/>
                <c:pt idx="0">
                  <c:v>štatistická diskrepancia</c:v>
                </c:pt>
              </c:strCache>
            </c:strRef>
          </c:tx>
          <c:spPr>
            <a:solidFill>
              <a:srgbClr val="7C7C7C"/>
            </a:solidFill>
          </c:spPr>
          <c:invertIfNegative val="0"/>
          <c:cat>
            <c:numRef>
              <c:f>HDP!$D$1:$K$1</c:f>
              <c:numCache>
                <c:formatCode>General</c:formatCode>
                <c:ptCount val="8"/>
                <c:pt idx="0">
                  <c:v>2011</c:v>
                </c:pt>
                <c:pt idx="1">
                  <c:v>2012</c:v>
                </c:pt>
                <c:pt idx="2">
                  <c:v>2013</c:v>
                </c:pt>
                <c:pt idx="3">
                  <c:v>2014</c:v>
                </c:pt>
                <c:pt idx="4">
                  <c:v>2015</c:v>
                </c:pt>
                <c:pt idx="5">
                  <c:v>2016</c:v>
                </c:pt>
                <c:pt idx="6">
                  <c:v>2017</c:v>
                </c:pt>
                <c:pt idx="7">
                  <c:v>2018</c:v>
                </c:pt>
              </c:numCache>
            </c:numRef>
          </c:cat>
          <c:val>
            <c:numRef>
              <c:f>HDP!$D$5:$K$5</c:f>
              <c:numCache>
                <c:formatCode>0.0</c:formatCode>
                <c:ptCount val="8"/>
                <c:pt idx="0">
                  <c:v>-5.3834341607371298E-15</c:v>
                </c:pt>
                <c:pt idx="1">
                  <c:v>0.11595173387822838</c:v>
                </c:pt>
                <c:pt idx="2">
                  <c:v>-0.11753582226975955</c:v>
                </c:pt>
                <c:pt idx="3">
                  <c:v>-0.10545193992439496</c:v>
                </c:pt>
                <c:pt idx="4">
                  <c:v>-0.15180636308118245</c:v>
                </c:pt>
                <c:pt idx="5">
                  <c:v>-9.0796126070184641E-2</c:v>
                </c:pt>
                <c:pt idx="6">
                  <c:v>-0.10987634093724348</c:v>
                </c:pt>
                <c:pt idx="7">
                  <c:v>0.26199025929248493</c:v>
                </c:pt>
              </c:numCache>
            </c:numRef>
          </c:val>
        </c:ser>
        <c:ser>
          <c:idx val="1"/>
          <c:order val="2"/>
          <c:tx>
            <c:strRef>
              <c:f>HDP!$A$3</c:f>
              <c:strCache>
                <c:ptCount val="1"/>
                <c:pt idx="0">
                  <c:v>domáci dopyt</c:v>
                </c:pt>
              </c:strCache>
            </c:strRef>
          </c:tx>
          <c:spPr>
            <a:solidFill>
              <a:srgbClr val="2C9ADC"/>
            </a:solidFill>
          </c:spPr>
          <c:invertIfNegative val="0"/>
          <c:cat>
            <c:numRef>
              <c:f>HDP!$D$1:$K$1</c:f>
              <c:numCache>
                <c:formatCode>General</c:formatCode>
                <c:ptCount val="8"/>
                <c:pt idx="0">
                  <c:v>2011</c:v>
                </c:pt>
                <c:pt idx="1">
                  <c:v>2012</c:v>
                </c:pt>
                <c:pt idx="2">
                  <c:v>2013</c:v>
                </c:pt>
                <c:pt idx="3">
                  <c:v>2014</c:v>
                </c:pt>
                <c:pt idx="4">
                  <c:v>2015</c:v>
                </c:pt>
                <c:pt idx="5">
                  <c:v>2016</c:v>
                </c:pt>
                <c:pt idx="6">
                  <c:v>2017</c:v>
                </c:pt>
                <c:pt idx="7">
                  <c:v>2018</c:v>
                </c:pt>
              </c:numCache>
            </c:numRef>
          </c:cat>
          <c:val>
            <c:numRef>
              <c:f>HDP!$D$3:$K$3</c:f>
              <c:numCache>
                <c:formatCode>0.0</c:formatCode>
                <c:ptCount val="8"/>
                <c:pt idx="0">
                  <c:v>1.1535828428036534</c:v>
                </c:pt>
                <c:pt idx="1">
                  <c:v>-4.0917134088668465</c:v>
                </c:pt>
                <c:pt idx="2">
                  <c:v>0.34160564947780198</c:v>
                </c:pt>
                <c:pt idx="3">
                  <c:v>3.3587269379243585</c:v>
                </c:pt>
                <c:pt idx="4">
                  <c:v>5.8030004462904605</c:v>
                </c:pt>
                <c:pt idx="5">
                  <c:v>1.041786860880086</c:v>
                </c:pt>
                <c:pt idx="6">
                  <c:v>2.3762339952700446</c:v>
                </c:pt>
                <c:pt idx="7">
                  <c:v>3.9554976975817011</c:v>
                </c:pt>
              </c:numCache>
            </c:numRef>
          </c:val>
        </c:ser>
        <c:ser>
          <c:idx val="2"/>
          <c:order val="3"/>
          <c:tx>
            <c:strRef>
              <c:f>HDP!$A$4</c:f>
              <c:strCache>
                <c:ptCount val="1"/>
                <c:pt idx="0">
                  <c:v>zahraničný dopyt</c:v>
                </c:pt>
              </c:strCache>
            </c:strRef>
          </c:tx>
          <c:spPr>
            <a:solidFill>
              <a:srgbClr val="555555"/>
            </a:solidFill>
          </c:spPr>
          <c:invertIfNegative val="0"/>
          <c:cat>
            <c:numRef>
              <c:f>HDP!$D$1:$K$1</c:f>
              <c:numCache>
                <c:formatCode>General</c:formatCode>
                <c:ptCount val="8"/>
                <c:pt idx="0">
                  <c:v>2011</c:v>
                </c:pt>
                <c:pt idx="1">
                  <c:v>2012</c:v>
                </c:pt>
                <c:pt idx="2">
                  <c:v>2013</c:v>
                </c:pt>
                <c:pt idx="3">
                  <c:v>2014</c:v>
                </c:pt>
                <c:pt idx="4">
                  <c:v>2015</c:v>
                </c:pt>
                <c:pt idx="5">
                  <c:v>2016</c:v>
                </c:pt>
                <c:pt idx="6">
                  <c:v>2017</c:v>
                </c:pt>
                <c:pt idx="7">
                  <c:v>2018</c:v>
                </c:pt>
              </c:numCache>
            </c:numRef>
          </c:cat>
          <c:val>
            <c:numRef>
              <c:f>HDP!$D$4:$K$4</c:f>
              <c:numCache>
                <c:formatCode>0.0</c:formatCode>
                <c:ptCount val="8"/>
                <c:pt idx="0">
                  <c:v>1.6655166747739356</c:v>
                </c:pt>
                <c:pt idx="1">
                  <c:v>5.6329103621827246</c:v>
                </c:pt>
                <c:pt idx="2">
                  <c:v>1.2665766106120377</c:v>
                </c:pt>
                <c:pt idx="3">
                  <c:v>-0.50293998111364391</c:v>
                </c:pt>
                <c:pt idx="4">
                  <c:v>-1.4763208859437764</c:v>
                </c:pt>
                <c:pt idx="5">
                  <c:v>2.1744193699097489</c:v>
                </c:pt>
                <c:pt idx="6">
                  <c:v>0.92198340020181679</c:v>
                </c:pt>
                <c:pt idx="7">
                  <c:v>-0.10843837437203165</c:v>
                </c:pt>
              </c:numCache>
            </c:numRef>
          </c:val>
        </c:ser>
        <c:dLbls>
          <c:showLegendKey val="0"/>
          <c:showVal val="0"/>
          <c:showCatName val="0"/>
          <c:showSerName val="0"/>
          <c:showPercent val="0"/>
          <c:showBubbleSize val="0"/>
        </c:dLbls>
        <c:gapWidth val="150"/>
        <c:overlap val="100"/>
        <c:axId val="537117456"/>
        <c:axId val="537117848"/>
      </c:barChart>
      <c:lineChart>
        <c:grouping val="standard"/>
        <c:varyColors val="0"/>
        <c:ser>
          <c:idx val="0"/>
          <c:order val="1"/>
          <c:tx>
            <c:strRef>
              <c:f>HDP!$A$2</c:f>
              <c:strCache>
                <c:ptCount val="1"/>
                <c:pt idx="0">
                  <c:v>rast HDP</c:v>
                </c:pt>
              </c:strCache>
            </c:strRef>
          </c:tx>
          <c:spPr>
            <a:ln>
              <a:solidFill>
                <a:schemeClr val="tx1"/>
              </a:solidFill>
            </a:ln>
          </c:spPr>
          <c:marker>
            <c:symbol val="none"/>
          </c:marker>
          <c:dLbls>
            <c:dLbl>
              <c:idx val="1"/>
              <c:layout>
                <c:manualLayout>
                  <c:x val="-5.9300718557721309E-2"/>
                  <c:y val="-0.279345629741487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5.9300718557721267E-2"/>
                  <c:y val="-0.1514917484629489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baseline="0">
                    <a:latin typeface="Times New Roman" panose="02020603050405020304" pitchFamily="18" charset="0"/>
                  </a:defRPr>
                </a:pPr>
                <a:endParaRPr lang="sk-SK"/>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a:noFill/>
                    </a:ln>
                  </c:spPr>
                </c15:leaderLines>
              </c:ext>
            </c:extLst>
          </c:dLbls>
          <c:cat>
            <c:numRef>
              <c:f>HDP!$D$1:$K$1</c:f>
              <c:numCache>
                <c:formatCode>General</c:formatCode>
                <c:ptCount val="8"/>
                <c:pt idx="0">
                  <c:v>2011</c:v>
                </c:pt>
                <c:pt idx="1">
                  <c:v>2012</c:v>
                </c:pt>
                <c:pt idx="2">
                  <c:v>2013</c:v>
                </c:pt>
                <c:pt idx="3">
                  <c:v>2014</c:v>
                </c:pt>
                <c:pt idx="4">
                  <c:v>2015</c:v>
                </c:pt>
                <c:pt idx="5">
                  <c:v>2016</c:v>
                </c:pt>
                <c:pt idx="6">
                  <c:v>2017</c:v>
                </c:pt>
                <c:pt idx="7">
                  <c:v>2018</c:v>
                </c:pt>
              </c:numCache>
            </c:numRef>
          </c:cat>
          <c:val>
            <c:numRef>
              <c:f>HDP!$D$2:$K$2</c:f>
              <c:numCache>
                <c:formatCode>0.0</c:formatCode>
                <c:ptCount val="8"/>
                <c:pt idx="0">
                  <c:v>2.8190995175775568</c:v>
                </c:pt>
                <c:pt idx="1">
                  <c:v>1.6571486871941221</c:v>
                </c:pt>
                <c:pt idx="2">
                  <c:v>1.4906464378200801</c:v>
                </c:pt>
                <c:pt idx="3">
                  <c:v>2.7503350168863445</c:v>
                </c:pt>
                <c:pt idx="4">
                  <c:v>4.174873197265482</c:v>
                </c:pt>
                <c:pt idx="5">
                  <c:v>3.1254101047196503</c:v>
                </c:pt>
                <c:pt idx="6">
                  <c:v>3.188341054534618</c:v>
                </c:pt>
                <c:pt idx="7">
                  <c:v>4.1090495825021538</c:v>
                </c:pt>
              </c:numCache>
            </c:numRef>
          </c:val>
          <c:smooth val="0"/>
        </c:ser>
        <c:dLbls>
          <c:showLegendKey val="0"/>
          <c:showVal val="0"/>
          <c:showCatName val="0"/>
          <c:showSerName val="0"/>
          <c:showPercent val="0"/>
          <c:showBubbleSize val="0"/>
        </c:dLbls>
        <c:marker val="1"/>
        <c:smooth val="0"/>
        <c:axId val="537117456"/>
        <c:axId val="537117848"/>
      </c:lineChart>
      <c:catAx>
        <c:axId val="537117456"/>
        <c:scaling>
          <c:orientation val="minMax"/>
        </c:scaling>
        <c:delete val="0"/>
        <c:axPos val="b"/>
        <c:numFmt formatCode="General" sourceLinked="1"/>
        <c:majorTickMark val="out"/>
        <c:minorTickMark val="none"/>
        <c:tickLblPos val="low"/>
        <c:txPr>
          <a:bodyPr/>
          <a:lstStyle/>
          <a:p>
            <a:pPr>
              <a:defRPr baseline="0">
                <a:latin typeface="Times New Roman" panose="02020603050405020304" pitchFamily="18" charset="0"/>
              </a:defRPr>
            </a:pPr>
            <a:endParaRPr lang="sk-SK"/>
          </a:p>
        </c:txPr>
        <c:crossAx val="537117848"/>
        <c:crosses val="autoZero"/>
        <c:auto val="1"/>
        <c:lblAlgn val="ctr"/>
        <c:lblOffset val="100"/>
        <c:noMultiLvlLbl val="0"/>
      </c:catAx>
      <c:valAx>
        <c:axId val="537117848"/>
        <c:scaling>
          <c:orientation val="minMax"/>
        </c:scaling>
        <c:delete val="0"/>
        <c:axPos val="l"/>
        <c:majorGridlines>
          <c:spPr>
            <a:ln>
              <a:prstDash val="sysDash"/>
            </a:ln>
          </c:spPr>
        </c:majorGridlines>
        <c:numFmt formatCode="0.0" sourceLinked="0"/>
        <c:majorTickMark val="out"/>
        <c:minorTickMark val="none"/>
        <c:tickLblPos val="nextTo"/>
        <c:txPr>
          <a:bodyPr/>
          <a:lstStyle/>
          <a:p>
            <a:pPr>
              <a:defRPr baseline="0">
                <a:latin typeface="Times New Roman" panose="02020603050405020304" pitchFamily="18" charset="0"/>
              </a:defRPr>
            </a:pPr>
            <a:endParaRPr lang="sk-SK"/>
          </a:p>
        </c:txPr>
        <c:crossAx val="537117456"/>
        <c:crosses val="autoZero"/>
        <c:crossBetween val="between"/>
      </c:valAx>
    </c:plotArea>
    <c:legend>
      <c:legendPos val="r"/>
      <c:layout>
        <c:manualLayout>
          <c:xMode val="edge"/>
          <c:yMode val="edge"/>
          <c:x val="0.2157194612968461"/>
          <c:y val="0.60578051031292324"/>
          <c:w val="0.78078774579407084"/>
          <c:h val="0.27245388846942076"/>
        </c:manualLayout>
      </c:layout>
      <c:overlay val="1"/>
      <c:txPr>
        <a:bodyPr/>
        <a:lstStyle/>
        <a:p>
          <a:pPr>
            <a:defRPr baseline="0">
              <a:latin typeface="Times New Roman" panose="02020603050405020304" pitchFamily="18" charset="0"/>
            </a:defRPr>
          </a:pPr>
          <a:endParaRPr lang="sk-SK"/>
        </a:p>
      </c:txPr>
    </c:legend>
    <c:plotVisOnly val="1"/>
    <c:dispBlanksAs val="gap"/>
    <c:showDLblsOverMax val="0"/>
  </c:chart>
  <c:spPr>
    <a:ln>
      <a:noFill/>
    </a:ln>
  </c:spPr>
  <c:txPr>
    <a:bodyPr/>
    <a:lstStyle/>
    <a:p>
      <a:pPr>
        <a:defRPr sz="800">
          <a:latin typeface="Arial Narrow" panose="020B0606020202030204" pitchFamily="34" charset="0"/>
        </a:defRPr>
      </a:pPr>
      <a:endParaRPr lang="sk-SK"/>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3099679777191692E-2"/>
          <c:y val="4.8823828544190706E-2"/>
          <c:w val="0.89093095636884034"/>
          <c:h val="0.85748137319626516"/>
        </c:manualLayout>
      </c:layout>
      <c:barChart>
        <c:barDir val="col"/>
        <c:grouping val="stacked"/>
        <c:varyColors val="0"/>
        <c:ser>
          <c:idx val="5"/>
          <c:order val="0"/>
          <c:tx>
            <c:strRef>
              <c:f>trh_prace!$A$19</c:f>
              <c:strCache>
                <c:ptCount val="1"/>
                <c:pt idx="0">
                  <c:v>Poľnohospodárstvo</c:v>
                </c:pt>
              </c:strCache>
            </c:strRef>
          </c:tx>
          <c:spPr>
            <a:solidFill>
              <a:srgbClr val="2C9ADC"/>
            </a:solidFill>
          </c:spPr>
          <c:invertIfNegative val="0"/>
          <c:cat>
            <c:strRef>
              <c:f>trh_prace!$BZ$2:$CG$2</c:f>
              <c:strCache>
                <c:ptCount val="8"/>
                <c:pt idx="0">
                  <c:v>2017Q1</c:v>
                </c:pt>
                <c:pt idx="1">
                  <c:v>2017Q2</c:v>
                </c:pt>
                <c:pt idx="2">
                  <c:v>2017Q3</c:v>
                </c:pt>
                <c:pt idx="3">
                  <c:v>2017Q4</c:v>
                </c:pt>
                <c:pt idx="4">
                  <c:v>2018Q1</c:v>
                </c:pt>
                <c:pt idx="5">
                  <c:v>2018Q2</c:v>
                </c:pt>
                <c:pt idx="6">
                  <c:v>2018Q3</c:v>
                </c:pt>
                <c:pt idx="7">
                  <c:v>2018Q4</c:v>
                </c:pt>
              </c:strCache>
            </c:strRef>
          </c:cat>
          <c:val>
            <c:numRef>
              <c:f>trh_prace!$O$19:$V$19</c:f>
              <c:numCache>
                <c:formatCode>0.0</c:formatCode>
                <c:ptCount val="8"/>
                <c:pt idx="0">
                  <c:v>4.8696571098737838E-2</c:v>
                </c:pt>
                <c:pt idx="1">
                  <c:v>-6.1541438117600593E-2</c:v>
                </c:pt>
                <c:pt idx="2">
                  <c:v>-1.403114313053307E-2</c:v>
                </c:pt>
                <c:pt idx="3">
                  <c:v>-9.2562694163047174E-3</c:v>
                </c:pt>
                <c:pt idx="4">
                  <c:v>-3.4420159109961802E-2</c:v>
                </c:pt>
                <c:pt idx="5">
                  <c:v>2.1139861322490498E-4</c:v>
                </c:pt>
                <c:pt idx="6">
                  <c:v>-2.2220824686077899E-2</c:v>
                </c:pt>
                <c:pt idx="7">
                  <c:v>-2.0066557559105379E-2</c:v>
                </c:pt>
              </c:numCache>
            </c:numRef>
          </c:val>
        </c:ser>
        <c:ser>
          <c:idx val="8"/>
          <c:order val="1"/>
          <c:tx>
            <c:strRef>
              <c:f>trh_prace!$A$20</c:f>
              <c:strCache>
                <c:ptCount val="1"/>
                <c:pt idx="0">
                  <c:v>Priemysel</c:v>
                </c:pt>
              </c:strCache>
            </c:strRef>
          </c:tx>
          <c:spPr>
            <a:solidFill>
              <a:srgbClr val="4F81BD">
                <a:lumMod val="20000"/>
                <a:lumOff val="80000"/>
              </a:srgbClr>
            </a:solidFill>
            <a:ln>
              <a:noFill/>
            </a:ln>
          </c:spPr>
          <c:invertIfNegative val="0"/>
          <c:cat>
            <c:strRef>
              <c:f>trh_prace!$BZ$2:$CG$2</c:f>
              <c:strCache>
                <c:ptCount val="8"/>
                <c:pt idx="0">
                  <c:v>2017Q1</c:v>
                </c:pt>
                <c:pt idx="1">
                  <c:v>2017Q2</c:v>
                </c:pt>
                <c:pt idx="2">
                  <c:v>2017Q3</c:v>
                </c:pt>
                <c:pt idx="3">
                  <c:v>2017Q4</c:v>
                </c:pt>
                <c:pt idx="4">
                  <c:v>2018Q1</c:v>
                </c:pt>
                <c:pt idx="5">
                  <c:v>2018Q2</c:v>
                </c:pt>
                <c:pt idx="6">
                  <c:v>2018Q3</c:v>
                </c:pt>
                <c:pt idx="7">
                  <c:v>2018Q4</c:v>
                </c:pt>
              </c:strCache>
            </c:strRef>
          </c:cat>
          <c:val>
            <c:numRef>
              <c:f>trh_prace!$O$20:$V$20</c:f>
              <c:numCache>
                <c:formatCode>0.0</c:formatCode>
                <c:ptCount val="8"/>
                <c:pt idx="0">
                  <c:v>0.72626336430964189</c:v>
                </c:pt>
                <c:pt idx="1">
                  <c:v>1.0249564567333482</c:v>
                </c:pt>
                <c:pt idx="2">
                  <c:v>0.90696107752314092</c:v>
                </c:pt>
                <c:pt idx="3">
                  <c:v>0.81689776770347122</c:v>
                </c:pt>
                <c:pt idx="4">
                  <c:v>0.8224111962030225</c:v>
                </c:pt>
                <c:pt idx="5">
                  <c:v>0.54084221207508532</c:v>
                </c:pt>
                <c:pt idx="6">
                  <c:v>0.49866884682305129</c:v>
                </c:pt>
                <c:pt idx="7">
                  <c:v>0.37730134420904521</c:v>
                </c:pt>
              </c:numCache>
            </c:numRef>
          </c:val>
        </c:ser>
        <c:ser>
          <c:idx val="0"/>
          <c:order val="2"/>
          <c:tx>
            <c:strRef>
              <c:f>trh_prace!$A$21</c:f>
              <c:strCache>
                <c:ptCount val="1"/>
                <c:pt idx="0">
                  <c:v>Trhové služby</c:v>
                </c:pt>
              </c:strCache>
            </c:strRef>
          </c:tx>
          <c:spPr>
            <a:solidFill>
              <a:srgbClr val="1F497D"/>
            </a:solidFill>
          </c:spPr>
          <c:invertIfNegative val="0"/>
          <c:cat>
            <c:strRef>
              <c:f>trh_prace!$BZ$2:$CG$2</c:f>
              <c:strCache>
                <c:ptCount val="8"/>
                <c:pt idx="0">
                  <c:v>2017Q1</c:v>
                </c:pt>
                <c:pt idx="1">
                  <c:v>2017Q2</c:v>
                </c:pt>
                <c:pt idx="2">
                  <c:v>2017Q3</c:v>
                </c:pt>
                <c:pt idx="3">
                  <c:v>2017Q4</c:v>
                </c:pt>
                <c:pt idx="4">
                  <c:v>2018Q1</c:v>
                </c:pt>
                <c:pt idx="5">
                  <c:v>2018Q2</c:v>
                </c:pt>
                <c:pt idx="6">
                  <c:v>2018Q3</c:v>
                </c:pt>
                <c:pt idx="7">
                  <c:v>2018Q4</c:v>
                </c:pt>
              </c:strCache>
            </c:strRef>
          </c:cat>
          <c:val>
            <c:numRef>
              <c:f>trh_prace!$O$21:$V$21</c:f>
              <c:numCache>
                <c:formatCode>0.0</c:formatCode>
                <c:ptCount val="8"/>
                <c:pt idx="0">
                  <c:v>0.94637884101289249</c:v>
                </c:pt>
                <c:pt idx="1">
                  <c:v>0.90727195226285762</c:v>
                </c:pt>
                <c:pt idx="2">
                  <c:v>0.96741942819872817</c:v>
                </c:pt>
                <c:pt idx="3">
                  <c:v>0.86633563062280816</c:v>
                </c:pt>
                <c:pt idx="4">
                  <c:v>0.80541464120827155</c:v>
                </c:pt>
                <c:pt idx="5">
                  <c:v>0.98532893624217133</c:v>
                </c:pt>
                <c:pt idx="6">
                  <c:v>1.0184684401400392</c:v>
                </c:pt>
                <c:pt idx="7">
                  <c:v>0.88755927665274226</c:v>
                </c:pt>
              </c:numCache>
            </c:numRef>
          </c:val>
        </c:ser>
        <c:ser>
          <c:idx val="1"/>
          <c:order val="3"/>
          <c:tx>
            <c:strRef>
              <c:f>trh_prace!$A$22</c:f>
              <c:strCache>
                <c:ptCount val="1"/>
                <c:pt idx="0">
                  <c:v>Verejný sektor</c:v>
                </c:pt>
              </c:strCache>
            </c:strRef>
          </c:tx>
          <c:invertIfNegative val="0"/>
          <c:cat>
            <c:strRef>
              <c:f>trh_prace!$BZ$2:$CG$2</c:f>
              <c:strCache>
                <c:ptCount val="8"/>
                <c:pt idx="0">
                  <c:v>2017Q1</c:v>
                </c:pt>
                <c:pt idx="1">
                  <c:v>2017Q2</c:v>
                </c:pt>
                <c:pt idx="2">
                  <c:v>2017Q3</c:v>
                </c:pt>
                <c:pt idx="3">
                  <c:v>2017Q4</c:v>
                </c:pt>
                <c:pt idx="4">
                  <c:v>2018Q1</c:v>
                </c:pt>
                <c:pt idx="5">
                  <c:v>2018Q2</c:v>
                </c:pt>
                <c:pt idx="6">
                  <c:v>2018Q3</c:v>
                </c:pt>
                <c:pt idx="7">
                  <c:v>2018Q4</c:v>
                </c:pt>
              </c:strCache>
            </c:strRef>
          </c:cat>
          <c:val>
            <c:numRef>
              <c:f>trh_prace!$O$22:$V$22</c:f>
              <c:numCache>
                <c:formatCode>0.0</c:formatCode>
                <c:ptCount val="8"/>
                <c:pt idx="0">
                  <c:v>0.23947203674607737</c:v>
                </c:pt>
                <c:pt idx="1">
                  <c:v>0.16510380205163946</c:v>
                </c:pt>
                <c:pt idx="2">
                  <c:v>0.26710662381518219</c:v>
                </c:pt>
                <c:pt idx="3">
                  <c:v>0.35826454759236759</c:v>
                </c:pt>
                <c:pt idx="4">
                  <c:v>0.36286363766419327</c:v>
                </c:pt>
                <c:pt idx="5">
                  <c:v>0.3144342973110078</c:v>
                </c:pt>
                <c:pt idx="6">
                  <c:v>0.17751504098274901</c:v>
                </c:pt>
                <c:pt idx="7">
                  <c:v>0.20208400169710486</c:v>
                </c:pt>
              </c:numCache>
            </c:numRef>
          </c:val>
        </c:ser>
        <c:ser>
          <c:idx val="2"/>
          <c:order val="4"/>
          <c:tx>
            <c:strRef>
              <c:f>trh_prace!$A$23</c:f>
              <c:strCache>
                <c:ptCount val="1"/>
                <c:pt idx="0">
                  <c:v>Stavebníctvo</c:v>
                </c:pt>
              </c:strCache>
            </c:strRef>
          </c:tx>
          <c:spPr>
            <a:solidFill>
              <a:srgbClr val="555555"/>
            </a:solidFill>
          </c:spPr>
          <c:invertIfNegative val="0"/>
          <c:cat>
            <c:strRef>
              <c:f>trh_prace!$BZ$2:$CG$2</c:f>
              <c:strCache>
                <c:ptCount val="8"/>
                <c:pt idx="0">
                  <c:v>2017Q1</c:v>
                </c:pt>
                <c:pt idx="1">
                  <c:v>2017Q2</c:v>
                </c:pt>
                <c:pt idx="2">
                  <c:v>2017Q3</c:v>
                </c:pt>
                <c:pt idx="3">
                  <c:v>2017Q4</c:v>
                </c:pt>
                <c:pt idx="4">
                  <c:v>2018Q1</c:v>
                </c:pt>
                <c:pt idx="5">
                  <c:v>2018Q2</c:v>
                </c:pt>
                <c:pt idx="6">
                  <c:v>2018Q3</c:v>
                </c:pt>
                <c:pt idx="7">
                  <c:v>2018Q4</c:v>
                </c:pt>
              </c:strCache>
            </c:strRef>
          </c:cat>
          <c:val>
            <c:numRef>
              <c:f>trh_prace!$O$23:$V$23</c:f>
              <c:numCache>
                <c:formatCode>0.0</c:formatCode>
                <c:ptCount val="8"/>
                <c:pt idx="0">
                  <c:v>0.12546887343076657</c:v>
                </c:pt>
                <c:pt idx="1">
                  <c:v>0.11004041005168191</c:v>
                </c:pt>
                <c:pt idx="2">
                  <c:v>0.21621691203288465</c:v>
                </c:pt>
                <c:pt idx="3">
                  <c:v>0.21425917639676875</c:v>
                </c:pt>
                <c:pt idx="4">
                  <c:v>0.27929012478802434</c:v>
                </c:pt>
                <c:pt idx="5">
                  <c:v>0.30838829697277115</c:v>
                </c:pt>
                <c:pt idx="6">
                  <c:v>0.25562333605852916</c:v>
                </c:pt>
                <c:pt idx="7">
                  <c:v>0.28089008741259364</c:v>
                </c:pt>
              </c:numCache>
            </c:numRef>
          </c:val>
        </c:ser>
        <c:dLbls>
          <c:showLegendKey val="0"/>
          <c:showVal val="0"/>
          <c:showCatName val="0"/>
          <c:showSerName val="0"/>
          <c:showPercent val="0"/>
          <c:showBubbleSize val="0"/>
        </c:dLbls>
        <c:gapWidth val="150"/>
        <c:overlap val="100"/>
        <c:axId val="537118632"/>
        <c:axId val="537119024"/>
      </c:barChart>
      <c:lineChart>
        <c:grouping val="standard"/>
        <c:varyColors val="0"/>
        <c:ser>
          <c:idx val="3"/>
          <c:order val="5"/>
          <c:tx>
            <c:strRef>
              <c:f>trh_prace!$A$7</c:f>
              <c:strCache>
                <c:ptCount val="1"/>
                <c:pt idx="0">
                  <c:v>Hospodárstvo spolu</c:v>
                </c:pt>
              </c:strCache>
            </c:strRef>
          </c:tx>
          <c:marker>
            <c:symbol val="none"/>
          </c:marker>
          <c:cat>
            <c:numRef>
              <c:f>trh_prace!$K$6:$R$6</c:f>
              <c:numCache>
                <c:formatCode>mmm/yyyy</c:formatCode>
                <c:ptCount val="8"/>
                <c:pt idx="0">
                  <c:v>42430</c:v>
                </c:pt>
                <c:pt idx="1">
                  <c:v>42522</c:v>
                </c:pt>
                <c:pt idx="2">
                  <c:v>42614</c:v>
                </c:pt>
                <c:pt idx="3">
                  <c:v>42705</c:v>
                </c:pt>
                <c:pt idx="4">
                  <c:v>42795</c:v>
                </c:pt>
                <c:pt idx="5">
                  <c:v>42887</c:v>
                </c:pt>
                <c:pt idx="6">
                  <c:v>42979</c:v>
                </c:pt>
                <c:pt idx="7">
                  <c:v>43070</c:v>
                </c:pt>
              </c:numCache>
            </c:numRef>
          </c:cat>
          <c:val>
            <c:numRef>
              <c:f>trh_prace!$O$24:$V$24</c:f>
              <c:numCache>
                <c:formatCode>0.00</c:formatCode>
                <c:ptCount val="8"/>
                <c:pt idx="0">
                  <c:v>2.0862796865981164</c:v>
                </c:pt>
                <c:pt idx="1">
                  <c:v>2.1458311829819268</c:v>
                </c:pt>
                <c:pt idx="2">
                  <c:v>2.3436728984394026</c:v>
                </c:pt>
                <c:pt idx="3">
                  <c:v>2.2465008528991111</c:v>
                </c:pt>
                <c:pt idx="4">
                  <c:v>2.23555944075355</c:v>
                </c:pt>
                <c:pt idx="5">
                  <c:v>2.1492051412142605</c:v>
                </c:pt>
                <c:pt idx="6">
                  <c:v>1.9280548393182908</c:v>
                </c:pt>
                <c:pt idx="7">
                  <c:v>1.7277681524123807</c:v>
                </c:pt>
              </c:numCache>
            </c:numRef>
          </c:val>
          <c:smooth val="0"/>
        </c:ser>
        <c:dLbls>
          <c:showLegendKey val="0"/>
          <c:showVal val="0"/>
          <c:showCatName val="0"/>
          <c:showSerName val="0"/>
          <c:showPercent val="0"/>
          <c:showBubbleSize val="0"/>
        </c:dLbls>
        <c:marker val="1"/>
        <c:smooth val="0"/>
        <c:axId val="537118632"/>
        <c:axId val="537119024"/>
      </c:lineChart>
      <c:catAx>
        <c:axId val="537118632"/>
        <c:scaling>
          <c:orientation val="minMax"/>
        </c:scaling>
        <c:delete val="0"/>
        <c:axPos val="b"/>
        <c:numFmt formatCode="General" sourceLinked="1"/>
        <c:majorTickMark val="out"/>
        <c:minorTickMark val="none"/>
        <c:tickLblPos val="low"/>
        <c:txPr>
          <a:bodyPr/>
          <a:lstStyle/>
          <a:p>
            <a:pPr>
              <a:defRPr sz="740" baseline="0">
                <a:latin typeface="Times New Roman" panose="02020603050405020304" pitchFamily="18" charset="0"/>
              </a:defRPr>
            </a:pPr>
            <a:endParaRPr lang="sk-SK"/>
          </a:p>
        </c:txPr>
        <c:crossAx val="537119024"/>
        <c:crosses val="autoZero"/>
        <c:auto val="1"/>
        <c:lblAlgn val="ctr"/>
        <c:lblOffset val="100"/>
        <c:noMultiLvlLbl val="0"/>
      </c:catAx>
      <c:valAx>
        <c:axId val="537119024"/>
        <c:scaling>
          <c:orientation val="minMax"/>
          <c:max val="3.5"/>
        </c:scaling>
        <c:delete val="0"/>
        <c:axPos val="l"/>
        <c:majorGridlines>
          <c:spPr>
            <a:ln>
              <a:solidFill>
                <a:schemeClr val="bg1">
                  <a:lumMod val="75000"/>
                </a:schemeClr>
              </a:solidFill>
              <a:prstDash val="dash"/>
            </a:ln>
          </c:spPr>
        </c:majorGridlines>
        <c:numFmt formatCode="#,##0.0" sourceLinked="0"/>
        <c:majorTickMark val="out"/>
        <c:minorTickMark val="none"/>
        <c:tickLblPos val="nextTo"/>
        <c:txPr>
          <a:bodyPr/>
          <a:lstStyle/>
          <a:p>
            <a:pPr>
              <a:defRPr baseline="0">
                <a:latin typeface="Times New Roman" panose="02020603050405020304" pitchFamily="18" charset="0"/>
              </a:defRPr>
            </a:pPr>
            <a:endParaRPr lang="sk-SK"/>
          </a:p>
        </c:txPr>
        <c:crossAx val="537118632"/>
        <c:crosses val="autoZero"/>
        <c:crossBetween val="between"/>
      </c:valAx>
    </c:plotArea>
    <c:legend>
      <c:legendPos val="r"/>
      <c:layout>
        <c:manualLayout>
          <c:xMode val="edge"/>
          <c:yMode val="edge"/>
          <c:x val="5.0351603784675653E-2"/>
          <c:y val="3.9135571971029355E-2"/>
          <c:w val="0.87376888960114918"/>
          <c:h val="0.15576369088223313"/>
        </c:manualLayout>
      </c:layout>
      <c:overlay val="0"/>
      <c:txPr>
        <a:bodyPr/>
        <a:lstStyle/>
        <a:p>
          <a:pPr>
            <a:defRPr baseline="0">
              <a:latin typeface="Times New Roman" panose="02020603050405020304" pitchFamily="18" charset="0"/>
            </a:defRPr>
          </a:pPr>
          <a:endParaRPr lang="sk-SK"/>
        </a:p>
      </c:txPr>
    </c:legend>
    <c:plotVisOnly val="1"/>
    <c:dispBlanksAs val="gap"/>
    <c:showDLblsOverMax val="0"/>
  </c:chart>
  <c:spPr>
    <a:ln>
      <a:noFill/>
    </a:ln>
  </c:spPr>
  <c:txPr>
    <a:bodyPr/>
    <a:lstStyle/>
    <a:p>
      <a:pPr>
        <a:defRPr sz="800">
          <a:latin typeface="Arial Narrow" panose="020B0606020202030204" pitchFamily="34" charset="0"/>
        </a:defRPr>
      </a:pPr>
      <a:endParaRPr lang="sk-SK"/>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863768358742392E-2"/>
          <c:y val="8.4437714516454654E-2"/>
          <c:w val="0.91819511922711794"/>
          <c:h val="0.72658193006773042"/>
        </c:manualLayout>
      </c:layout>
      <c:lineChart>
        <c:grouping val="standard"/>
        <c:varyColors val="0"/>
        <c:ser>
          <c:idx val="3"/>
          <c:order val="0"/>
          <c:tx>
            <c:strRef>
              <c:f>trh_prace!$A$32</c:f>
              <c:strCache>
                <c:ptCount val="1"/>
                <c:pt idx="0">
                  <c:v>Rast nominálnej produktivity práce</c:v>
                </c:pt>
              </c:strCache>
            </c:strRef>
          </c:tx>
          <c:spPr>
            <a:ln w="19050">
              <a:solidFill>
                <a:srgbClr val="2C9ADC"/>
              </a:solidFill>
              <a:prstDash val="solid"/>
            </a:ln>
          </c:spPr>
          <c:marker>
            <c:symbol val="none"/>
          </c:marker>
          <c:cat>
            <c:strRef>
              <c:f>trh_prace!$BZ$2:$CG$2</c:f>
              <c:strCache>
                <c:ptCount val="8"/>
                <c:pt idx="0">
                  <c:v>2017Q1</c:v>
                </c:pt>
                <c:pt idx="1">
                  <c:v>2017Q2</c:v>
                </c:pt>
                <c:pt idx="2">
                  <c:v>2017Q3</c:v>
                </c:pt>
                <c:pt idx="3">
                  <c:v>2017Q4</c:v>
                </c:pt>
                <c:pt idx="4">
                  <c:v>2018Q1</c:v>
                </c:pt>
                <c:pt idx="5">
                  <c:v>2018Q2</c:v>
                </c:pt>
                <c:pt idx="6">
                  <c:v>2018Q3</c:v>
                </c:pt>
                <c:pt idx="7">
                  <c:v>2018Q4</c:v>
                </c:pt>
              </c:strCache>
            </c:strRef>
          </c:cat>
          <c:val>
            <c:numRef>
              <c:f>trh_prace!$AA$34:$AH$34</c:f>
              <c:numCache>
                <c:formatCode>0.0</c:formatCode>
                <c:ptCount val="8"/>
                <c:pt idx="0">
                  <c:v>1.4205125322210188</c:v>
                </c:pt>
                <c:pt idx="1">
                  <c:v>1.8802865192314444</c:v>
                </c:pt>
                <c:pt idx="2">
                  <c:v>2.1962167854544745</c:v>
                </c:pt>
                <c:pt idx="3">
                  <c:v>3.2194863659036788</c:v>
                </c:pt>
                <c:pt idx="4">
                  <c:v>3.5191357627852193</c:v>
                </c:pt>
                <c:pt idx="5">
                  <c:v>4.7923574070993569</c:v>
                </c:pt>
                <c:pt idx="6">
                  <c:v>5.0166568935730904</c:v>
                </c:pt>
                <c:pt idx="7">
                  <c:v>3.4871978205190723</c:v>
                </c:pt>
              </c:numCache>
            </c:numRef>
          </c:val>
          <c:smooth val="0"/>
        </c:ser>
        <c:ser>
          <c:idx val="5"/>
          <c:order val="1"/>
          <c:tx>
            <c:strRef>
              <c:f>trh_prace!$A$31</c:f>
              <c:strCache>
                <c:ptCount val="1"/>
                <c:pt idx="0">
                  <c:v>Rast nominálnej mzdy</c:v>
                </c:pt>
              </c:strCache>
            </c:strRef>
          </c:tx>
          <c:spPr>
            <a:ln w="19050">
              <a:solidFill>
                <a:sysClr val="windowText" lastClr="000000"/>
              </a:solidFill>
              <a:prstDash val="solid"/>
            </a:ln>
          </c:spPr>
          <c:marker>
            <c:symbol val="none"/>
          </c:marker>
          <c:cat>
            <c:strRef>
              <c:f>trh_prace!$BZ$2:$CG$2</c:f>
              <c:strCache>
                <c:ptCount val="8"/>
                <c:pt idx="0">
                  <c:v>2017Q1</c:v>
                </c:pt>
                <c:pt idx="1">
                  <c:v>2017Q2</c:v>
                </c:pt>
                <c:pt idx="2">
                  <c:v>2017Q3</c:v>
                </c:pt>
                <c:pt idx="3">
                  <c:v>2017Q4</c:v>
                </c:pt>
                <c:pt idx="4">
                  <c:v>2018Q1</c:v>
                </c:pt>
                <c:pt idx="5">
                  <c:v>2018Q2</c:v>
                </c:pt>
                <c:pt idx="6">
                  <c:v>2018Q3</c:v>
                </c:pt>
                <c:pt idx="7">
                  <c:v>2018Q4</c:v>
                </c:pt>
              </c:strCache>
            </c:strRef>
          </c:cat>
          <c:val>
            <c:numRef>
              <c:f>trh_prace!$AA$33:$AH$33</c:f>
              <c:numCache>
                <c:formatCode>0.0</c:formatCode>
                <c:ptCount val="8"/>
                <c:pt idx="0">
                  <c:v>3.460207612456756</c:v>
                </c:pt>
                <c:pt idx="1">
                  <c:v>4.7724750277469585</c:v>
                </c:pt>
                <c:pt idx="2">
                  <c:v>5.1743532058492692</c:v>
                </c:pt>
                <c:pt idx="3">
                  <c:v>5.1515151515151514</c:v>
                </c:pt>
                <c:pt idx="4">
                  <c:v>6.4659977703455995</c:v>
                </c:pt>
                <c:pt idx="5">
                  <c:v>6.3559322033898358</c:v>
                </c:pt>
                <c:pt idx="6">
                  <c:v>6.0962566844919852</c:v>
                </c:pt>
                <c:pt idx="7">
                  <c:v>5.7636887608069065</c:v>
                </c:pt>
              </c:numCache>
            </c:numRef>
          </c:val>
          <c:smooth val="0"/>
        </c:ser>
        <c:dLbls>
          <c:showLegendKey val="0"/>
          <c:showVal val="0"/>
          <c:showCatName val="0"/>
          <c:showSerName val="0"/>
          <c:showPercent val="0"/>
          <c:showBubbleSize val="0"/>
        </c:dLbls>
        <c:smooth val="0"/>
        <c:axId val="537119808"/>
        <c:axId val="537120200"/>
      </c:lineChart>
      <c:catAx>
        <c:axId val="537119808"/>
        <c:scaling>
          <c:orientation val="minMax"/>
        </c:scaling>
        <c:delete val="0"/>
        <c:axPos val="b"/>
        <c:numFmt formatCode="General" sourceLinked="0"/>
        <c:majorTickMark val="out"/>
        <c:minorTickMark val="none"/>
        <c:tickLblPos val="low"/>
        <c:txPr>
          <a:bodyPr rot="-5400000" vert="horz"/>
          <a:lstStyle/>
          <a:p>
            <a:pPr>
              <a:defRPr/>
            </a:pPr>
            <a:endParaRPr lang="sk-SK"/>
          </a:p>
        </c:txPr>
        <c:crossAx val="537120200"/>
        <c:crosses val="autoZero"/>
        <c:auto val="1"/>
        <c:lblAlgn val="ctr"/>
        <c:lblOffset val="100"/>
        <c:noMultiLvlLbl val="0"/>
      </c:catAx>
      <c:valAx>
        <c:axId val="537120200"/>
        <c:scaling>
          <c:orientation val="minMax"/>
        </c:scaling>
        <c:delete val="0"/>
        <c:axPos val="l"/>
        <c:majorGridlines>
          <c:spPr>
            <a:ln>
              <a:solidFill>
                <a:schemeClr val="bg1">
                  <a:lumMod val="75000"/>
                </a:schemeClr>
              </a:solidFill>
              <a:prstDash val="sysDash"/>
            </a:ln>
          </c:spPr>
        </c:majorGridlines>
        <c:numFmt formatCode="#,##0.0" sourceLinked="0"/>
        <c:majorTickMark val="out"/>
        <c:minorTickMark val="none"/>
        <c:tickLblPos val="nextTo"/>
        <c:txPr>
          <a:bodyPr rot="0" vert="horz"/>
          <a:lstStyle/>
          <a:p>
            <a:pPr>
              <a:defRPr baseline="0">
                <a:latin typeface="Times New Roman" panose="02020603050405020304" pitchFamily="18" charset="0"/>
              </a:defRPr>
            </a:pPr>
            <a:endParaRPr lang="sk-SK"/>
          </a:p>
        </c:txPr>
        <c:crossAx val="537119808"/>
        <c:crosses val="autoZero"/>
        <c:crossBetween val="between"/>
      </c:valAx>
    </c:plotArea>
    <c:legend>
      <c:legendPos val="l"/>
      <c:layout>
        <c:manualLayout>
          <c:xMode val="edge"/>
          <c:yMode val="edge"/>
          <c:x val="0.19119850187265913"/>
          <c:y val="0.60863055039468383"/>
          <c:w val="0.75851897726267359"/>
          <c:h val="0.16083399687398628"/>
        </c:manualLayout>
      </c:layout>
      <c:overlay val="1"/>
    </c:legend>
    <c:plotVisOnly val="1"/>
    <c:dispBlanksAs val="gap"/>
    <c:showDLblsOverMax val="0"/>
  </c:chart>
  <c:spPr>
    <a:ln>
      <a:noFill/>
    </a:ln>
  </c:spPr>
  <c:txPr>
    <a:bodyPr/>
    <a:lstStyle/>
    <a:p>
      <a:pPr>
        <a:defRPr sz="740" b="0" i="0" u="none" strike="noStrike" baseline="0">
          <a:solidFill>
            <a:srgbClr val="000000"/>
          </a:solidFill>
          <a:latin typeface="Arial Narrow" panose="020B0606020202030204" pitchFamily="34" charset="0"/>
          <a:ea typeface="Calibri"/>
          <a:cs typeface="Calibri"/>
        </a:defRPr>
      </a:pPr>
      <a:endParaRPr lang="sk-SK"/>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1"/>
          <c:tx>
            <c:strRef>
              <c:f>inflacia!$A$3</c:f>
              <c:strCache>
                <c:ptCount val="1"/>
                <c:pt idx="0">
                  <c:v>Čistá inflácia</c:v>
                </c:pt>
              </c:strCache>
            </c:strRef>
          </c:tx>
          <c:spPr>
            <a:solidFill>
              <a:srgbClr val="2C9ADC"/>
            </a:solidFill>
            <a:ln>
              <a:noFill/>
            </a:ln>
            <a:effectLst/>
          </c:spPr>
          <c:invertIfNegative val="0"/>
          <c:cat>
            <c:numRef>
              <c:f>inflacia!$N$1:$AK$1</c:f>
              <c:numCache>
                <c:formatCode>mmm\-yy</c:formatCode>
                <c:ptCount val="24"/>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numCache>
            </c:numRef>
          </c:cat>
          <c:val>
            <c:numRef>
              <c:f>inflacia!$N$3:$AK$3</c:f>
              <c:numCache>
                <c:formatCode>General</c:formatCode>
                <c:ptCount val="24"/>
                <c:pt idx="0">
                  <c:v>0.79475293055152807</c:v>
                </c:pt>
                <c:pt idx="1">
                  <c:v>0.90564868830290768</c:v>
                </c:pt>
                <c:pt idx="2">
                  <c:v>0.93330399235373407</c:v>
                </c:pt>
                <c:pt idx="3">
                  <c:v>0.74980343780115166</c:v>
                </c:pt>
                <c:pt idx="4">
                  <c:v>0.83714254981204406</c:v>
                </c:pt>
                <c:pt idx="5">
                  <c:v>0.7077296638540127</c:v>
                </c:pt>
                <c:pt idx="6">
                  <c:v>0.86102342597311621</c:v>
                </c:pt>
                <c:pt idx="7">
                  <c:v>0.94411024380681019</c:v>
                </c:pt>
                <c:pt idx="8">
                  <c:v>0.93373592094421209</c:v>
                </c:pt>
                <c:pt idx="9">
                  <c:v>0.87157923158845207</c:v>
                </c:pt>
                <c:pt idx="10">
                  <c:v>1.0136362556044296</c:v>
                </c:pt>
                <c:pt idx="11">
                  <c:v>0.95352335623043594</c:v>
                </c:pt>
                <c:pt idx="12">
                  <c:v>1.0518705037406331</c:v>
                </c:pt>
                <c:pt idx="13">
                  <c:v>1.1524610121688799</c:v>
                </c:pt>
                <c:pt idx="14">
                  <c:v>1.2374527684336054</c:v>
                </c:pt>
                <c:pt idx="15">
                  <c:v>1.6775275305184185</c:v>
                </c:pt>
                <c:pt idx="16">
                  <c:v>1.5944329912315627</c:v>
                </c:pt>
                <c:pt idx="17">
                  <c:v>1.719799655022604</c:v>
                </c:pt>
                <c:pt idx="18">
                  <c:v>1.7331746450406906</c:v>
                </c:pt>
                <c:pt idx="19">
                  <c:v>1.925771779541537</c:v>
                </c:pt>
                <c:pt idx="20">
                  <c:v>1.7625910321499252</c:v>
                </c:pt>
                <c:pt idx="21">
                  <c:v>1.7784646977774292</c:v>
                </c:pt>
                <c:pt idx="22">
                  <c:v>1.5996549065469099</c:v>
                </c:pt>
                <c:pt idx="23">
                  <c:v>1.2934939546388393</c:v>
                </c:pt>
              </c:numCache>
            </c:numRef>
          </c:val>
        </c:ser>
        <c:ser>
          <c:idx val="2"/>
          <c:order val="2"/>
          <c:tx>
            <c:strRef>
              <c:f>inflacia!$A$4</c:f>
              <c:strCache>
                <c:ptCount val="1"/>
                <c:pt idx="0">
                  <c:v>Ceny potravín</c:v>
                </c:pt>
              </c:strCache>
            </c:strRef>
          </c:tx>
          <c:spPr>
            <a:solidFill>
              <a:srgbClr val="555555"/>
            </a:solidFill>
            <a:ln>
              <a:noFill/>
            </a:ln>
            <a:effectLst/>
          </c:spPr>
          <c:invertIfNegative val="0"/>
          <c:cat>
            <c:numRef>
              <c:f>inflacia!$N$1:$AK$1</c:f>
              <c:numCache>
                <c:formatCode>mmm\-yy</c:formatCode>
                <c:ptCount val="24"/>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numCache>
            </c:numRef>
          </c:cat>
          <c:val>
            <c:numRef>
              <c:f>inflacia!$N$4:$AK$4</c:f>
              <c:numCache>
                <c:formatCode>General</c:formatCode>
                <c:ptCount val="24"/>
                <c:pt idx="0">
                  <c:v>0.26803517452203279</c:v>
                </c:pt>
                <c:pt idx="1">
                  <c:v>0.47020378054317608</c:v>
                </c:pt>
                <c:pt idx="2">
                  <c:v>0.38309964607795199</c:v>
                </c:pt>
                <c:pt idx="3">
                  <c:v>0.39953044236381496</c:v>
                </c:pt>
                <c:pt idx="4">
                  <c:v>0.60844694154050394</c:v>
                </c:pt>
                <c:pt idx="5">
                  <c:v>0.62077633489305128</c:v>
                </c:pt>
                <c:pt idx="6">
                  <c:v>0.73270191121319739</c:v>
                </c:pt>
                <c:pt idx="7">
                  <c:v>0.78617736356261836</c:v>
                </c:pt>
                <c:pt idx="8">
                  <c:v>0.89559407977641048</c:v>
                </c:pt>
                <c:pt idx="9">
                  <c:v>1.0921889980670474</c:v>
                </c:pt>
                <c:pt idx="10">
                  <c:v>1.1688788321207841</c:v>
                </c:pt>
                <c:pt idx="11">
                  <c:v>1.1523599811095255</c:v>
                </c:pt>
                <c:pt idx="12">
                  <c:v>1.1461724318253041</c:v>
                </c:pt>
                <c:pt idx="13">
                  <c:v>0.76862165797722326</c:v>
                </c:pt>
                <c:pt idx="14">
                  <c:v>0.94986656205941933</c:v>
                </c:pt>
                <c:pt idx="15">
                  <c:v>0.95722445766196951</c:v>
                </c:pt>
                <c:pt idx="16">
                  <c:v>0.80329679757795325</c:v>
                </c:pt>
                <c:pt idx="17">
                  <c:v>0.83983909376731891</c:v>
                </c:pt>
                <c:pt idx="18">
                  <c:v>0.61622246493220612</c:v>
                </c:pt>
                <c:pt idx="19">
                  <c:v>0.62813556645890412</c:v>
                </c:pt>
                <c:pt idx="20">
                  <c:v>0.64147071146714774</c:v>
                </c:pt>
                <c:pt idx="21">
                  <c:v>0.40489728120688218</c:v>
                </c:pt>
                <c:pt idx="22">
                  <c:v>0.17280403544677622</c:v>
                </c:pt>
                <c:pt idx="23">
                  <c:v>0.16108770261414121</c:v>
                </c:pt>
              </c:numCache>
            </c:numRef>
          </c:val>
        </c:ser>
        <c:ser>
          <c:idx val="3"/>
          <c:order val="3"/>
          <c:tx>
            <c:strRef>
              <c:f>inflacia!$A$5</c:f>
              <c:strCache>
                <c:ptCount val="1"/>
                <c:pt idx="0">
                  <c:v>Regulované ceny</c:v>
                </c:pt>
              </c:strCache>
            </c:strRef>
          </c:tx>
          <c:spPr>
            <a:solidFill>
              <a:srgbClr val="C6D9F1"/>
            </a:solidFill>
            <a:ln>
              <a:noFill/>
            </a:ln>
            <a:effectLst/>
          </c:spPr>
          <c:invertIfNegative val="0"/>
          <c:cat>
            <c:numRef>
              <c:f>inflacia!$N$1:$AK$1</c:f>
              <c:numCache>
                <c:formatCode>mmm\-yy</c:formatCode>
                <c:ptCount val="24"/>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numCache>
            </c:numRef>
          </c:cat>
          <c:val>
            <c:numRef>
              <c:f>inflacia!$N$5:$AK$5</c:f>
              <c:numCache>
                <c:formatCode>General</c:formatCode>
                <c:ptCount val="24"/>
                <c:pt idx="0">
                  <c:v>-0.338428899638192</c:v>
                </c:pt>
                <c:pt idx="1">
                  <c:v>-0.40380954722508922</c:v>
                </c:pt>
                <c:pt idx="2">
                  <c:v>-0.45757528815727022</c:v>
                </c:pt>
                <c:pt idx="3">
                  <c:v>-0.47313199191590832</c:v>
                </c:pt>
                <c:pt idx="4">
                  <c:v>-0.47390257257185991</c:v>
                </c:pt>
                <c:pt idx="5">
                  <c:v>-0.47222630074611233</c:v>
                </c:pt>
                <c:pt idx="6">
                  <c:v>-0.29895783736762155</c:v>
                </c:pt>
                <c:pt idx="7">
                  <c:v>-0.30059090273811456</c:v>
                </c:pt>
                <c:pt idx="8">
                  <c:v>-0.29375405593061643</c:v>
                </c:pt>
                <c:pt idx="9">
                  <c:v>-0.33369954331217649</c:v>
                </c:pt>
                <c:pt idx="10">
                  <c:v>-0.3444612593077222</c:v>
                </c:pt>
                <c:pt idx="11">
                  <c:v>-0.34443302940612125</c:v>
                </c:pt>
                <c:pt idx="12">
                  <c:v>0.16047392040628458</c:v>
                </c:pt>
                <c:pt idx="13">
                  <c:v>0.15118309197849902</c:v>
                </c:pt>
                <c:pt idx="14">
                  <c:v>0.20026164306077371</c:v>
                </c:pt>
                <c:pt idx="15">
                  <c:v>0.20575146684489415</c:v>
                </c:pt>
                <c:pt idx="16">
                  <c:v>0.20728114784557641</c:v>
                </c:pt>
                <c:pt idx="17">
                  <c:v>0.20493514895475731</c:v>
                </c:pt>
                <c:pt idx="18">
                  <c:v>0.21096323158196464</c:v>
                </c:pt>
                <c:pt idx="19">
                  <c:v>0.24031804494164261</c:v>
                </c:pt>
                <c:pt idx="20">
                  <c:v>0.27716596724852882</c:v>
                </c:pt>
                <c:pt idx="21">
                  <c:v>0.27924918651181274</c:v>
                </c:pt>
                <c:pt idx="22">
                  <c:v>0.29324448560780308</c:v>
                </c:pt>
                <c:pt idx="23">
                  <c:v>0.48072653660883624</c:v>
                </c:pt>
              </c:numCache>
            </c:numRef>
          </c:val>
        </c:ser>
        <c:ser>
          <c:idx val="4"/>
          <c:order val="4"/>
          <c:tx>
            <c:strRef>
              <c:f>inflacia!$A$6</c:f>
              <c:strCache>
                <c:ptCount val="1"/>
                <c:pt idx="0">
                  <c:v>Zmena nepriamych daní</c:v>
                </c:pt>
              </c:strCache>
            </c:strRef>
          </c:tx>
          <c:spPr>
            <a:solidFill>
              <a:schemeClr val="bg1">
                <a:lumMod val="75000"/>
              </a:schemeClr>
            </a:solidFill>
            <a:ln>
              <a:noFill/>
            </a:ln>
            <a:effectLst/>
          </c:spPr>
          <c:invertIfNegative val="0"/>
          <c:cat>
            <c:numRef>
              <c:f>inflacia!$N$1:$AK$1</c:f>
              <c:numCache>
                <c:formatCode>mmm\-yy</c:formatCode>
                <c:ptCount val="24"/>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numCache>
            </c:numRef>
          </c:cat>
          <c:val>
            <c:numRef>
              <c:f>inflacia!$N$6:$AK$6</c:f>
              <c:numCache>
                <c:formatCode>General</c:formatCode>
                <c:ptCount val="24"/>
                <c:pt idx="0">
                  <c:v>0</c:v>
                </c:pt>
                <c:pt idx="1">
                  <c:v>0.1</c:v>
                </c:pt>
                <c:pt idx="2">
                  <c:v>0.1</c:v>
                </c:pt>
                <c:pt idx="3">
                  <c:v>0.1</c:v>
                </c:pt>
                <c:pt idx="4">
                  <c:v>0.1</c:v>
                </c:pt>
                <c:pt idx="5">
                  <c:v>0.1</c:v>
                </c:pt>
                <c:pt idx="6">
                  <c:v>0.1</c:v>
                </c:pt>
                <c:pt idx="7">
                  <c:v>0.1</c:v>
                </c:pt>
                <c:pt idx="8">
                  <c:v>0.1</c:v>
                </c:pt>
                <c:pt idx="9">
                  <c:v>0.1</c:v>
                </c:pt>
                <c:pt idx="10">
                  <c:v>0.1</c:v>
                </c:pt>
                <c:pt idx="11">
                  <c:v>0.1</c:v>
                </c:pt>
                <c:pt idx="12">
                  <c:v>0.1</c:v>
                </c:pt>
                <c:pt idx="13">
                  <c:v>0</c:v>
                </c:pt>
                <c:pt idx="14">
                  <c:v>0</c:v>
                </c:pt>
                <c:pt idx="15">
                  <c:v>0</c:v>
                </c:pt>
                <c:pt idx="16">
                  <c:v>0</c:v>
                </c:pt>
                <c:pt idx="17">
                  <c:v>0</c:v>
                </c:pt>
                <c:pt idx="18">
                  <c:v>0</c:v>
                </c:pt>
                <c:pt idx="19">
                  <c:v>0</c:v>
                </c:pt>
                <c:pt idx="20">
                  <c:v>0</c:v>
                </c:pt>
                <c:pt idx="21">
                  <c:v>0</c:v>
                </c:pt>
                <c:pt idx="22">
                  <c:v>0</c:v>
                </c:pt>
                <c:pt idx="23">
                  <c:v>0</c:v>
                </c:pt>
              </c:numCache>
            </c:numRef>
          </c:val>
        </c:ser>
        <c:dLbls>
          <c:showLegendKey val="0"/>
          <c:showVal val="0"/>
          <c:showCatName val="0"/>
          <c:showSerName val="0"/>
          <c:showPercent val="0"/>
          <c:showBubbleSize val="0"/>
        </c:dLbls>
        <c:gapWidth val="150"/>
        <c:overlap val="100"/>
        <c:axId val="541052248"/>
        <c:axId val="541052640"/>
      </c:barChart>
      <c:lineChart>
        <c:grouping val="standard"/>
        <c:varyColors val="0"/>
        <c:ser>
          <c:idx val="0"/>
          <c:order val="0"/>
          <c:tx>
            <c:strRef>
              <c:f>inflacia!$A$2</c:f>
              <c:strCache>
                <c:ptCount val="1"/>
                <c:pt idx="0">
                  <c:v>Celková inflácia</c:v>
                </c:pt>
              </c:strCache>
            </c:strRef>
          </c:tx>
          <c:spPr>
            <a:ln w="19050" cap="rnd">
              <a:solidFill>
                <a:schemeClr val="tx1"/>
              </a:solidFill>
              <a:round/>
            </a:ln>
            <a:effectLst/>
          </c:spPr>
          <c:marker>
            <c:symbol val="none"/>
          </c:marker>
          <c:cat>
            <c:numRef>
              <c:f>inflacia!$N$1:$AK$1</c:f>
              <c:numCache>
                <c:formatCode>mmm\-yy</c:formatCode>
                <c:ptCount val="24"/>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numCache>
            </c:numRef>
          </c:cat>
          <c:val>
            <c:numRef>
              <c:f>inflacia!$N$2:$AK$2</c:f>
              <c:numCache>
                <c:formatCode>General</c:formatCode>
                <c:ptCount val="24"/>
                <c:pt idx="0">
                  <c:v>0.7243592054353688</c:v>
                </c:pt>
                <c:pt idx="1">
                  <c:v>1.0720429216209946</c:v>
                </c:pt>
                <c:pt idx="2">
                  <c:v>0.95882835027441571</c:v>
                </c:pt>
                <c:pt idx="3">
                  <c:v>0.77620188824905834</c:v>
                </c:pt>
                <c:pt idx="4">
                  <c:v>1.0716869187806881</c:v>
                </c:pt>
                <c:pt idx="5">
                  <c:v>0.95627969800095169</c:v>
                </c:pt>
                <c:pt idx="6">
                  <c:v>1.3947674998186921</c:v>
                </c:pt>
                <c:pt idx="7">
                  <c:v>1.5296967046313141</c:v>
                </c:pt>
                <c:pt idx="8">
                  <c:v>1.6355759447900062</c:v>
                </c:pt>
                <c:pt idx="9">
                  <c:v>1.730068686343323</c:v>
                </c:pt>
                <c:pt idx="10">
                  <c:v>1.9380538284174915</c:v>
                </c:pt>
                <c:pt idx="11">
                  <c:v>1.8614503079338405</c:v>
                </c:pt>
                <c:pt idx="12">
                  <c:v>2.4585168559722219</c:v>
                </c:pt>
                <c:pt idx="13">
                  <c:v>2.0722657621246023</c:v>
                </c:pt>
                <c:pt idx="14">
                  <c:v>2.3875809735537983</c:v>
                </c:pt>
                <c:pt idx="15">
                  <c:v>2.8405034550252819</c:v>
                </c:pt>
                <c:pt idx="16">
                  <c:v>2.6050109366550922</c:v>
                </c:pt>
                <c:pt idx="17">
                  <c:v>2.7645738977446803</c:v>
                </c:pt>
                <c:pt idx="18">
                  <c:v>2.5603603415548615</c:v>
                </c:pt>
                <c:pt idx="19">
                  <c:v>2.794225390942084</c:v>
                </c:pt>
                <c:pt idx="20">
                  <c:v>2.6812277108656017</c:v>
                </c:pt>
                <c:pt idx="21">
                  <c:v>2.4626111654961242</c:v>
                </c:pt>
                <c:pt idx="22">
                  <c:v>2.065703427601489</c:v>
                </c:pt>
                <c:pt idx="23">
                  <c:v>1.9353081938618169</c:v>
                </c:pt>
              </c:numCache>
            </c:numRef>
          </c:val>
          <c:smooth val="0"/>
        </c:ser>
        <c:dLbls>
          <c:showLegendKey val="0"/>
          <c:showVal val="0"/>
          <c:showCatName val="0"/>
          <c:showSerName val="0"/>
          <c:showPercent val="0"/>
          <c:showBubbleSize val="0"/>
        </c:dLbls>
        <c:marker val="1"/>
        <c:smooth val="0"/>
        <c:axId val="541052248"/>
        <c:axId val="541052640"/>
      </c:lineChart>
      <c:dateAx>
        <c:axId val="541052248"/>
        <c:scaling>
          <c:orientation val="minMax"/>
        </c:scaling>
        <c:delete val="0"/>
        <c:axPos val="b"/>
        <c:numFmt formatCode="mmm\-yy"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30" b="0" i="0" u="none" strike="noStrike" kern="1200" baseline="0">
                <a:solidFill>
                  <a:schemeClr val="tx1">
                    <a:lumMod val="65000"/>
                    <a:lumOff val="35000"/>
                  </a:schemeClr>
                </a:solidFill>
                <a:latin typeface="Times New Roman" panose="02020603050405020304" pitchFamily="18" charset="0"/>
                <a:ea typeface="+mn-ea"/>
                <a:cs typeface="+mn-cs"/>
              </a:defRPr>
            </a:pPr>
            <a:endParaRPr lang="sk-SK"/>
          </a:p>
        </c:txPr>
        <c:crossAx val="541052640"/>
        <c:crosses val="autoZero"/>
        <c:auto val="1"/>
        <c:lblOffset val="100"/>
        <c:baseTimeUnit val="months"/>
      </c:dateAx>
      <c:valAx>
        <c:axId val="541052640"/>
        <c:scaling>
          <c:orientation val="minMax"/>
          <c:max val="4"/>
        </c:scaling>
        <c:delete val="0"/>
        <c:axPos val="l"/>
        <c:majorGridlines>
          <c:spPr>
            <a:ln w="9525" cap="flat" cmpd="sng" algn="ctr">
              <a:solidFill>
                <a:schemeClr val="bg1">
                  <a:lumMod val="75000"/>
                </a:schemeClr>
              </a:solidFill>
              <a:prstDash val="dash"/>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830" b="0" i="0" u="none" strike="noStrike" kern="1200" baseline="0">
                <a:solidFill>
                  <a:schemeClr val="tx1">
                    <a:lumMod val="65000"/>
                    <a:lumOff val="35000"/>
                  </a:schemeClr>
                </a:solidFill>
                <a:latin typeface="Times New Roman" panose="02020603050405020304" pitchFamily="18" charset="0"/>
                <a:ea typeface="+mn-ea"/>
                <a:cs typeface="+mn-cs"/>
              </a:defRPr>
            </a:pPr>
            <a:endParaRPr lang="sk-SK"/>
          </a:p>
        </c:txPr>
        <c:crossAx val="541052248"/>
        <c:crosses val="autoZero"/>
        <c:crossBetween val="between"/>
      </c:valAx>
      <c:spPr>
        <a:noFill/>
        <a:ln>
          <a:noFill/>
        </a:ln>
        <a:effectLst/>
      </c:spPr>
    </c:plotArea>
    <c:legend>
      <c:legendPos val="tr"/>
      <c:layout>
        <c:manualLayout>
          <c:xMode val="edge"/>
          <c:yMode val="edge"/>
          <c:x val="3.5796625834425437E-2"/>
          <c:y val="5.4032152230971145E-2"/>
          <c:w val="0.6659876793751297"/>
          <c:h val="0.30026574803149608"/>
        </c:manualLayout>
      </c:layout>
      <c:overlay val="1"/>
      <c:spPr>
        <a:noFill/>
        <a:ln>
          <a:noFill/>
        </a:ln>
        <a:effectLst/>
      </c:spPr>
      <c:txPr>
        <a:bodyPr rot="0" spcFirstLastPara="1" vertOverflow="ellipsis" vert="horz" wrap="square" anchor="ctr" anchorCtr="1"/>
        <a:lstStyle/>
        <a:p>
          <a:pPr>
            <a:defRPr sz="830" b="0" i="0" u="none" strike="noStrike" kern="1200" baseline="0">
              <a:solidFill>
                <a:schemeClr val="tx1">
                  <a:lumMod val="65000"/>
                  <a:lumOff val="35000"/>
                </a:schemeClr>
              </a:solidFill>
              <a:latin typeface="Times New Roman" panose="02020603050405020304" pitchFamily="18" charset="0"/>
              <a:ea typeface="+mn-ea"/>
              <a:cs typeface="+mn-cs"/>
            </a:defRPr>
          </a:pPr>
          <a:endParaRPr lang="sk-SK"/>
        </a:p>
      </c:txPr>
    </c:legend>
    <c:plotVisOnly val="1"/>
    <c:dispBlanksAs val="gap"/>
    <c:showDLblsOverMax val="0"/>
  </c:chart>
  <c:spPr>
    <a:solidFill>
      <a:schemeClr val="bg1"/>
    </a:solidFill>
    <a:ln w="9525" cap="flat" cmpd="sng" algn="ctr">
      <a:noFill/>
      <a:round/>
    </a:ln>
    <a:effectLst/>
  </c:spPr>
  <c:txPr>
    <a:bodyPr/>
    <a:lstStyle/>
    <a:p>
      <a:pPr>
        <a:defRPr sz="900">
          <a:latin typeface="Arial Narrow" panose="020B0606020202030204" pitchFamily="34" charset="0"/>
        </a:defRPr>
      </a:pPr>
      <a:endParaRPr lang="sk-SK"/>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3099679777191692E-2"/>
          <c:y val="8.5242482034935022E-2"/>
          <c:w val="0.89093095636884034"/>
          <c:h val="0.49142430590671576"/>
        </c:manualLayout>
      </c:layout>
      <c:barChart>
        <c:barDir val="col"/>
        <c:grouping val="stacked"/>
        <c:varyColors val="0"/>
        <c:ser>
          <c:idx val="5"/>
          <c:order val="0"/>
          <c:tx>
            <c:strRef>
              <c:f>'BÚ PB'!$A$3</c:f>
              <c:strCache>
                <c:ptCount val="1"/>
                <c:pt idx="0">
                  <c:v>Tovary</c:v>
                </c:pt>
              </c:strCache>
            </c:strRef>
          </c:tx>
          <c:spPr>
            <a:solidFill>
              <a:srgbClr val="2C9ADC"/>
            </a:solidFill>
          </c:spPr>
          <c:invertIfNegative val="0"/>
          <c:cat>
            <c:numRef>
              <c:f>'BÚ PB'!$D$1:$L$1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'BÚ PB'!$D$3:$L$3</c:f>
              <c:numCache>
                <c:formatCode>0.0</c:formatCode>
                <c:ptCount val="9"/>
                <c:pt idx="0">
                  <c:v>-0.11822475052807667</c:v>
                </c:pt>
                <c:pt idx="1">
                  <c:v>-5.0875067407307628E-2</c:v>
                </c:pt>
                <c:pt idx="2">
                  <c:v>3.4465754503583175</c:v>
                </c:pt>
                <c:pt idx="3">
                  <c:v>3.9201499098714336</c:v>
                </c:pt>
                <c:pt idx="4">
                  <c:v>3.6243494065268003</c:v>
                </c:pt>
                <c:pt idx="5">
                  <c:v>1.3256686773507074</c:v>
                </c:pt>
                <c:pt idx="6">
                  <c:v>2.0155751208112882</c:v>
                </c:pt>
                <c:pt idx="7">
                  <c:v>0.8130127651955511</c:v>
                </c:pt>
                <c:pt idx="8">
                  <c:v>5.3627251823408481E-2</c:v>
                </c:pt>
              </c:numCache>
            </c:numRef>
          </c:val>
        </c:ser>
        <c:ser>
          <c:idx val="8"/>
          <c:order val="1"/>
          <c:tx>
            <c:strRef>
              <c:f>'BÚ PB'!$A$4</c:f>
              <c:strCache>
                <c:ptCount val="1"/>
                <c:pt idx="0">
                  <c:v>Služby</c:v>
                </c:pt>
              </c:strCache>
            </c:strRef>
          </c:tx>
          <c:spPr>
            <a:solidFill>
              <a:schemeClr val="tx2">
                <a:lumMod val="20000"/>
                <a:lumOff val="80000"/>
              </a:schemeClr>
            </a:solidFill>
            <a:ln>
              <a:noFill/>
            </a:ln>
          </c:spPr>
          <c:invertIfNegative val="0"/>
          <c:cat>
            <c:numRef>
              <c:f>'BÚ PB'!$D$1:$L$1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'BÚ PB'!$D$4:$L$4</c:f>
              <c:numCache>
                <c:formatCode>0.0</c:formatCode>
                <c:ptCount val="9"/>
                <c:pt idx="0">
                  <c:v>-0.96383356661557085</c:v>
                </c:pt>
                <c:pt idx="1">
                  <c:v>-0.38170244448584251</c:v>
                </c:pt>
                <c:pt idx="2">
                  <c:v>0.57961027556257627</c:v>
                </c:pt>
                <c:pt idx="3">
                  <c:v>0.65237127830166075</c:v>
                </c:pt>
                <c:pt idx="4">
                  <c:v>0.23100947249236189</c:v>
                </c:pt>
                <c:pt idx="5">
                  <c:v>0.22808877570238215</c:v>
                </c:pt>
                <c:pt idx="6">
                  <c:v>0.57739524598216285</c:v>
                </c:pt>
                <c:pt idx="7">
                  <c:v>1.0370534290171225</c:v>
                </c:pt>
                <c:pt idx="8">
                  <c:v>0.85718921669268777</c:v>
                </c:pt>
              </c:numCache>
            </c:numRef>
          </c:val>
        </c:ser>
        <c:ser>
          <c:idx val="0"/>
          <c:order val="2"/>
          <c:tx>
            <c:strRef>
              <c:f>'BÚ PB'!$A$5</c:f>
              <c:strCache>
                <c:ptCount val="1"/>
                <c:pt idx="0">
                  <c:v>Primárne výnosy</c:v>
                </c:pt>
              </c:strCache>
            </c:strRef>
          </c:tx>
          <c:invertIfNegative val="0"/>
          <c:cat>
            <c:numRef>
              <c:f>'BÚ PB'!$D$1:$L$1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'BÚ PB'!$D$5:$L$5</c:f>
              <c:numCache>
                <c:formatCode>0.0</c:formatCode>
                <c:ptCount val="9"/>
                <c:pt idx="0">
                  <c:v>-2.7911182536768968</c:v>
                </c:pt>
                <c:pt idx="1">
                  <c:v>-3.4059278403946527</c:v>
                </c:pt>
                <c:pt idx="2">
                  <c:v>-1.664023344777622</c:v>
                </c:pt>
                <c:pt idx="3">
                  <c:v>-0.67065680804646455</c:v>
                </c:pt>
                <c:pt idx="4">
                  <c:v>-0.98608546766945815</c:v>
                </c:pt>
                <c:pt idx="5">
                  <c:v>-1.726370156162933</c:v>
                </c:pt>
                <c:pt idx="6">
                  <c:v>-3.070015504043873</c:v>
                </c:pt>
                <c:pt idx="7">
                  <c:v>-2.3303591825762524</c:v>
                </c:pt>
                <c:pt idx="8">
                  <c:v>-2.038330252758775</c:v>
                </c:pt>
              </c:numCache>
            </c:numRef>
          </c:val>
        </c:ser>
        <c:ser>
          <c:idx val="1"/>
          <c:order val="3"/>
          <c:tx>
            <c:strRef>
              <c:f>'BÚ PB'!$A$6</c:f>
              <c:strCache>
                <c:ptCount val="1"/>
                <c:pt idx="0">
                  <c:v>Sekundárne výnosy</c:v>
                </c:pt>
              </c:strCache>
            </c:strRef>
          </c:tx>
          <c:invertIfNegative val="0"/>
          <c:cat>
            <c:numRef>
              <c:f>'BÚ PB'!$D$1:$L$1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'BÚ PB'!$D$6:$L$6</c:f>
              <c:numCache>
                <c:formatCode>0.0</c:formatCode>
                <c:ptCount val="9"/>
                <c:pt idx="0">
                  <c:v>-0.83770748539065409</c:v>
                </c:pt>
                <c:pt idx="1">
                  <c:v>-1.1128313016719724</c:v>
                </c:pt>
                <c:pt idx="2">
                  <c:v>-1.4217821513061768</c:v>
                </c:pt>
                <c:pt idx="3">
                  <c:v>-2.0425876921834321</c:v>
                </c:pt>
                <c:pt idx="4">
                  <c:v>-1.725372821649477</c:v>
                </c:pt>
                <c:pt idx="5">
                  <c:v>-1.5553055019847419</c:v>
                </c:pt>
                <c:pt idx="6">
                  <c:v>-1.6853578530135276</c:v>
                </c:pt>
                <c:pt idx="7">
                  <c:v>-1.5112395895886701</c:v>
                </c:pt>
                <c:pt idx="8">
                  <c:v>-1.3722566120307949</c:v>
                </c:pt>
              </c:numCache>
            </c:numRef>
          </c:val>
        </c:ser>
        <c:dLbls>
          <c:showLegendKey val="0"/>
          <c:showVal val="0"/>
          <c:showCatName val="0"/>
          <c:showSerName val="0"/>
          <c:showPercent val="0"/>
          <c:showBubbleSize val="0"/>
        </c:dLbls>
        <c:gapWidth val="150"/>
        <c:overlap val="100"/>
        <c:axId val="541053032"/>
        <c:axId val="541053424"/>
      </c:barChart>
      <c:lineChart>
        <c:grouping val="standard"/>
        <c:varyColors val="0"/>
        <c:ser>
          <c:idx val="3"/>
          <c:order val="4"/>
          <c:tx>
            <c:strRef>
              <c:f>'BÚ PB'!$A$2</c:f>
              <c:strCache>
                <c:ptCount val="1"/>
                <c:pt idx="0">
                  <c:v>BÚ PB</c:v>
                </c:pt>
              </c:strCache>
            </c:strRef>
          </c:tx>
          <c:spPr>
            <a:ln w="19050">
              <a:solidFill>
                <a:sysClr val="windowText" lastClr="000000"/>
              </a:solidFill>
            </a:ln>
          </c:spPr>
          <c:marker>
            <c:symbol val="none"/>
          </c:marker>
          <c:val>
            <c:numRef>
              <c:f>'BÚ PB'!$D$2:$L$2</c:f>
              <c:numCache>
                <c:formatCode>0.0</c:formatCode>
                <c:ptCount val="9"/>
                <c:pt idx="0">
                  <c:v>-4.7108840562111984</c:v>
                </c:pt>
                <c:pt idx="1">
                  <c:v>-4.9513366539597747</c:v>
                </c:pt>
                <c:pt idx="2">
                  <c:v>0.94038022983709502</c:v>
                </c:pt>
                <c:pt idx="3">
                  <c:v>1.8592766879431979</c:v>
                </c:pt>
                <c:pt idx="4">
                  <c:v>1.1439005897002272</c:v>
                </c:pt>
                <c:pt idx="5">
                  <c:v>-1.7279182050945856</c:v>
                </c:pt>
                <c:pt idx="6">
                  <c:v>-2.1624029902639497</c:v>
                </c:pt>
                <c:pt idx="7">
                  <c:v>-1.9915325779522481</c:v>
                </c:pt>
                <c:pt idx="8">
                  <c:v>-2.499770396273473</c:v>
                </c:pt>
              </c:numCache>
            </c:numRef>
          </c:val>
          <c:smooth val="0"/>
        </c:ser>
        <c:dLbls>
          <c:showLegendKey val="0"/>
          <c:showVal val="0"/>
          <c:showCatName val="0"/>
          <c:showSerName val="0"/>
          <c:showPercent val="0"/>
          <c:showBubbleSize val="0"/>
        </c:dLbls>
        <c:marker val="1"/>
        <c:smooth val="0"/>
        <c:axId val="541053032"/>
        <c:axId val="541053424"/>
      </c:lineChart>
      <c:catAx>
        <c:axId val="541053032"/>
        <c:scaling>
          <c:orientation val="minMax"/>
        </c:scaling>
        <c:delete val="0"/>
        <c:axPos val="b"/>
        <c:numFmt formatCode="General" sourceLinked="1"/>
        <c:majorTickMark val="out"/>
        <c:minorTickMark val="none"/>
        <c:tickLblPos val="low"/>
        <c:txPr>
          <a:bodyPr/>
          <a:lstStyle/>
          <a:p>
            <a:pPr>
              <a:defRPr sz="830" baseline="0">
                <a:latin typeface="Times New Roman" panose="02020603050405020304" pitchFamily="18" charset="0"/>
              </a:defRPr>
            </a:pPr>
            <a:endParaRPr lang="sk-SK"/>
          </a:p>
        </c:txPr>
        <c:crossAx val="541053424"/>
        <c:crosses val="autoZero"/>
        <c:auto val="1"/>
        <c:lblAlgn val="ctr"/>
        <c:lblOffset val="100"/>
        <c:noMultiLvlLbl val="0"/>
      </c:catAx>
      <c:valAx>
        <c:axId val="541053424"/>
        <c:scaling>
          <c:orientation val="minMax"/>
          <c:max val="8"/>
          <c:min val="-6"/>
        </c:scaling>
        <c:delete val="0"/>
        <c:axPos val="l"/>
        <c:majorGridlines>
          <c:spPr>
            <a:ln>
              <a:solidFill>
                <a:schemeClr val="bg1">
                  <a:lumMod val="75000"/>
                </a:schemeClr>
              </a:solidFill>
              <a:prstDash val="dash"/>
            </a:ln>
          </c:spPr>
        </c:majorGridlines>
        <c:numFmt formatCode="0.0" sourceLinked="0"/>
        <c:majorTickMark val="out"/>
        <c:minorTickMark val="none"/>
        <c:tickLblPos val="nextTo"/>
        <c:txPr>
          <a:bodyPr/>
          <a:lstStyle/>
          <a:p>
            <a:pPr>
              <a:defRPr sz="830" baseline="0">
                <a:latin typeface="Times New Roman" panose="02020603050405020304" pitchFamily="18" charset="0"/>
              </a:defRPr>
            </a:pPr>
            <a:endParaRPr lang="sk-SK"/>
          </a:p>
        </c:txPr>
        <c:crossAx val="541053032"/>
        <c:crosses val="autoZero"/>
        <c:crossBetween val="between"/>
      </c:valAx>
    </c:plotArea>
    <c:legend>
      <c:legendPos val="b"/>
      <c:layout>
        <c:manualLayout>
          <c:xMode val="edge"/>
          <c:yMode val="edge"/>
          <c:x val="5.7451772901010958E-2"/>
          <c:y val="0.75165595126297291"/>
          <c:w val="0.9104445974671419"/>
          <c:h val="0.2116468010306051"/>
        </c:manualLayout>
      </c:layout>
      <c:overlay val="0"/>
      <c:txPr>
        <a:bodyPr/>
        <a:lstStyle/>
        <a:p>
          <a:pPr>
            <a:defRPr sz="730" baseline="0">
              <a:latin typeface="Times New Roman" panose="02020603050405020304" pitchFamily="18" charset="0"/>
            </a:defRPr>
          </a:pPr>
          <a:endParaRPr lang="sk-SK"/>
        </a:p>
      </c:txPr>
    </c:legend>
    <c:plotVisOnly val="1"/>
    <c:dispBlanksAs val="gap"/>
    <c:showDLblsOverMax val="0"/>
  </c:chart>
  <c:spPr>
    <a:ln>
      <a:noFill/>
    </a:ln>
  </c:spPr>
  <c:txPr>
    <a:bodyPr/>
    <a:lstStyle/>
    <a:p>
      <a:pPr>
        <a:defRPr>
          <a:latin typeface="Arial Narrow" pitchFamily="34" charset="0"/>
        </a:defRPr>
      </a:pPr>
      <a:endParaRPr lang="sk-SK"/>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864F9-2FC1-4017-BF5F-5826C84DE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99</Pages>
  <Words>38264</Words>
  <Characters>218106</Characters>
  <Application>Microsoft Office Word</Application>
  <DocSecurity>0</DocSecurity>
  <Lines>1817</Lines>
  <Paragraphs>511</Paragraphs>
  <ScaleCrop>false</ScaleCrop>
  <HeadingPairs>
    <vt:vector size="2" baseType="variant">
      <vt:variant>
        <vt:lpstr>Názov</vt:lpstr>
      </vt:variant>
      <vt:variant>
        <vt:i4>1</vt:i4>
      </vt:variant>
    </vt:vector>
  </HeadingPairs>
  <TitlesOfParts>
    <vt:vector size="1" baseType="lpstr">
      <vt:lpstr/>
    </vt:vector>
  </TitlesOfParts>
  <Company>MF SR</Company>
  <LinksUpToDate>false</LinksUpToDate>
  <CharactersWithSpaces>255859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Suttova Jana</dc:creator>
  <cp:keywords/>
  <dc:description/>
  <cp:lastModifiedBy>Ivanek Peter</cp:lastModifiedBy>
  <cp:revision>22</cp:revision>
  <cp:lastPrinted>2019-04-30T05:41:00Z</cp:lastPrinted>
  <dcterms:created xsi:type="dcterms:W3CDTF">2019-04-29T10:25:00Z</dcterms:created>
  <dcterms:modified xsi:type="dcterms:W3CDTF">2019-05-07T13:06:00Z</dcterms:modified>
</cp:coreProperties>
</file>