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0" w:type="auto"/>
        <w:tblLook w:val="01E0"/>
      </w:tblPr>
      <w:tblGrid>
        <w:gridCol w:w="8897"/>
      </w:tblGrid>
      <w:tr w:rsidTr="001A3BAE">
        <w:tblPrEx>
          <w:tblW w:w="0" w:type="auto"/>
          <w:tblLook w:val="01E0"/>
        </w:tblPrEx>
        <w:tc>
          <w:tcPr>
            <w:tcW w:w="8897" w:type="dxa"/>
            <w:shd w:val="clear" w:color="auto" w:fill="auto"/>
          </w:tcPr>
          <w:p w:rsidR="00AD3B28" w:rsidP="00CF7A63">
            <w:pPr>
              <w:pStyle w:val="Default"/>
              <w:spacing w:line="276" w:lineRule="auto"/>
              <w:rPr>
                <w:b/>
                <w:bCs/>
              </w:rPr>
            </w:pPr>
          </w:p>
          <w:p w:rsidR="00CE3E65" w:rsidRPr="001A49C8" w:rsidP="00CF7A63">
            <w:pPr>
              <w:spacing w:line="276" w:lineRule="auto"/>
              <w:jc w:val="center"/>
              <w:rPr>
                <w:b/>
              </w:rPr>
            </w:pPr>
            <w:r w:rsidRPr="001A49C8" w:rsidR="00070932">
              <w:rPr>
                <w:b/>
              </w:rPr>
              <w:t>Návrh na vyslanie príslušníkov ozbrojených síl Slovenskej republiky v rámci Posilnenej predsunutej prítomnosti NATO do Lotyšskej republiky, Litovskej republiky, Estónskej republiky a Poľskej republiky</w:t>
            </w:r>
          </w:p>
          <w:p w:rsidR="00070932" w:rsidRPr="001A49C8" w:rsidP="00CF7A63">
            <w:pPr>
              <w:spacing w:line="276" w:lineRule="auto"/>
              <w:jc w:val="center"/>
              <w:rPr>
                <w:b/>
              </w:rPr>
            </w:pPr>
          </w:p>
          <w:p w:rsidR="00070932" w:rsidRPr="001A49C8" w:rsidP="00CF7A63">
            <w:pPr>
              <w:spacing w:line="276" w:lineRule="auto"/>
              <w:jc w:val="center"/>
              <w:rPr>
                <w:b/>
              </w:rPr>
            </w:pPr>
          </w:p>
          <w:p w:rsidR="001A3BAE" w:rsidRPr="001A49C8" w:rsidP="00863EEB">
            <w:pPr>
              <w:pStyle w:val="NormalWeb"/>
              <w:numPr>
                <w:ilvl w:val="0"/>
                <w:numId w:val="19"/>
              </w:numPr>
              <w:spacing w:beforeAutospacing="0" w:afterAutospacing="0" w:line="276" w:lineRule="auto"/>
              <w:jc w:val="both"/>
              <w:rPr>
                <w:u w:val="single"/>
              </w:rPr>
            </w:pPr>
            <w:r w:rsidRPr="001A49C8">
              <w:rPr>
                <w:u w:val="single"/>
              </w:rPr>
              <w:t>Politické aspekty a medzinárodné súvislosti návrhu</w:t>
            </w:r>
          </w:p>
          <w:p w:rsidR="009066BC" w:rsidRPr="001A49C8" w:rsidP="00CF7A63">
            <w:pPr>
              <w:spacing w:after="120" w:line="276" w:lineRule="auto"/>
              <w:ind w:firstLine="708"/>
              <w:jc w:val="both"/>
            </w:pPr>
            <w:r w:rsidRPr="001A49C8" w:rsidR="007A2004">
              <w:t>Bezpečnostné hrozby</w:t>
            </w:r>
            <w:r w:rsidRPr="001A49C8">
              <w:t xml:space="preserve">, ktorým dnes </w:t>
            </w:r>
            <w:r w:rsidRPr="001A49C8" w:rsidR="007A2004">
              <w:t xml:space="preserve">členské štáty </w:t>
            </w:r>
            <w:r w:rsidRPr="001A49C8" w:rsidR="00120473">
              <w:t>Organizácie Severoatlantickej zmluvy (ďalej len „</w:t>
            </w:r>
            <w:r w:rsidRPr="001A49C8" w:rsidR="007A2004">
              <w:t>NATO</w:t>
            </w:r>
            <w:r w:rsidRPr="001A49C8" w:rsidR="00120473">
              <w:t>“)</w:t>
            </w:r>
            <w:r w:rsidRPr="001A49C8" w:rsidR="007A2004">
              <w:t xml:space="preserve"> čelia</w:t>
            </w:r>
            <w:r w:rsidRPr="001A49C8">
              <w:t xml:space="preserve">, kladú vysoké nároky na ich komplexné </w:t>
            </w:r>
            <w:r w:rsidRPr="001A49C8" w:rsidR="007A2004">
              <w:t>riešenie</w:t>
            </w:r>
            <w:r w:rsidRPr="001A49C8">
              <w:t xml:space="preserve">. Svojím charakterom si vyžadujú spájať úsilie viacerých </w:t>
            </w:r>
            <w:r w:rsidRPr="001A49C8" w:rsidR="007A2004">
              <w:t>štátov NATO</w:t>
            </w:r>
            <w:r w:rsidRPr="001A49C8">
              <w:t xml:space="preserve">, </w:t>
            </w:r>
            <w:r w:rsidRPr="001A49C8" w:rsidR="007A2004">
              <w:t xml:space="preserve">keďže </w:t>
            </w:r>
            <w:r w:rsidRPr="001A49C8">
              <w:t>žiadn</w:t>
            </w:r>
            <w:r w:rsidRPr="001A49C8" w:rsidR="007A2004">
              <w:t>y</w:t>
            </w:r>
            <w:r w:rsidRPr="001A49C8">
              <w:t xml:space="preserve"> z</w:t>
            </w:r>
            <w:r w:rsidRPr="001A49C8" w:rsidR="007A2004">
              <w:t> týchto štátov</w:t>
            </w:r>
            <w:r w:rsidRPr="001A49C8">
              <w:t xml:space="preserve"> nemá dnes schopnosť čeliť týmto </w:t>
            </w:r>
            <w:r w:rsidRPr="001A49C8" w:rsidR="007A2004">
              <w:t>hrozbám</w:t>
            </w:r>
            <w:r w:rsidRPr="001A49C8">
              <w:t xml:space="preserve"> </w:t>
            </w:r>
            <w:r w:rsidRPr="001A49C8" w:rsidR="007A2004">
              <w:t>samostatne</w:t>
            </w:r>
            <w:r w:rsidRPr="001A49C8">
              <w:t xml:space="preserve">. Z pohľadu </w:t>
            </w:r>
            <w:r w:rsidRPr="001A49C8" w:rsidR="00120473">
              <w:t>NATO</w:t>
            </w:r>
            <w:r w:rsidRPr="001A49C8">
              <w:t xml:space="preserve">, teda aj Slovenskej republiky (ďalej len „SR“) ako jej plnohodnotného člena, </w:t>
            </w:r>
            <w:r w:rsidRPr="001A49C8" w:rsidR="007A2004">
              <w:t xml:space="preserve">je preto príprava na </w:t>
            </w:r>
            <w:r w:rsidRPr="001A49C8">
              <w:t xml:space="preserve"> kolektívn</w:t>
            </w:r>
            <w:r w:rsidRPr="001A49C8" w:rsidR="007A2004">
              <w:t>u</w:t>
            </w:r>
            <w:r w:rsidRPr="001A49C8">
              <w:t xml:space="preserve"> obran</w:t>
            </w:r>
            <w:r w:rsidRPr="001A49C8" w:rsidR="007A2004">
              <w:t>u</w:t>
            </w:r>
            <w:r w:rsidRPr="001A49C8">
              <w:t xml:space="preserve"> </w:t>
            </w:r>
            <w:r w:rsidRPr="001A49C8" w:rsidR="007A2004">
              <w:t xml:space="preserve">v súčasnosti </w:t>
            </w:r>
            <w:r w:rsidRPr="001A49C8">
              <w:t>kľúčovou úlohou</w:t>
            </w:r>
            <w:r w:rsidRPr="001A49C8" w:rsidR="009639DD">
              <w:t>.</w:t>
            </w:r>
            <w:r w:rsidRPr="001A49C8">
              <w:t xml:space="preserve"> </w:t>
            </w:r>
          </w:p>
          <w:p w:rsidR="009066BC" w:rsidRPr="001A49C8" w:rsidP="00CF7A63">
            <w:pPr>
              <w:spacing w:after="120" w:line="276" w:lineRule="auto"/>
              <w:ind w:firstLine="708"/>
              <w:jc w:val="both"/>
            </w:pPr>
            <w:r w:rsidRPr="001A49C8">
              <w:t xml:space="preserve">Základným princípom je pritom predchádzanie </w:t>
            </w:r>
            <w:r w:rsidRPr="001A49C8">
              <w:t xml:space="preserve">ozbrojenému konfliktu a s tým súvisiaca ochrana a uistenie </w:t>
            </w:r>
            <w:r w:rsidRPr="001A49C8" w:rsidR="007A2004">
              <w:t>členských štátov NATO</w:t>
            </w:r>
            <w:r w:rsidRPr="001A49C8">
              <w:t xml:space="preserve">, ako aj ochrana hodnôt, na ktorých </w:t>
            </w:r>
            <w:r w:rsidRPr="001A49C8" w:rsidR="007A2004">
              <w:t>je táto organizácia zriadená, t. j.</w:t>
            </w:r>
            <w:r w:rsidRPr="001A49C8">
              <w:t xml:space="preserve"> sloboda jednotlivca, demokracia, ľudské práva a vláda zákona.</w:t>
            </w:r>
          </w:p>
          <w:p w:rsidR="009066BC" w:rsidRPr="00BE2D23" w:rsidP="00CF7A63">
            <w:pPr>
              <w:spacing w:after="120" w:line="276" w:lineRule="auto"/>
              <w:ind w:firstLine="708"/>
              <w:jc w:val="both"/>
              <w:rPr>
                <w:color w:val="000000"/>
              </w:rPr>
            </w:pPr>
            <w:r w:rsidRPr="001A49C8">
              <w:t xml:space="preserve">Za jeden zo základných elementov obrannej </w:t>
            </w:r>
            <w:r w:rsidRPr="001A49C8">
              <w:t xml:space="preserve">stratégie </w:t>
            </w:r>
            <w:r w:rsidRPr="001A49C8" w:rsidR="007A2004">
              <w:t xml:space="preserve">NATO </w:t>
            </w:r>
            <w:r w:rsidRPr="001A49C8">
              <w:t xml:space="preserve">sa považuje </w:t>
            </w:r>
            <w:r w:rsidRPr="001A49C8" w:rsidR="009639DD">
              <w:t>aspekt</w:t>
            </w:r>
            <w:r w:rsidRPr="001A49C8" w:rsidR="007A2004">
              <w:t xml:space="preserve"> </w:t>
            </w:r>
            <w:r w:rsidRPr="001A49C8">
              <w:t>odstrašeni</w:t>
            </w:r>
            <w:r w:rsidRPr="001A49C8" w:rsidR="007A2004">
              <w:t>a</w:t>
            </w:r>
            <w:r w:rsidRPr="001A49C8">
              <w:t xml:space="preserve">. </w:t>
            </w:r>
            <w:r w:rsidRPr="001A49C8" w:rsidR="007A2004">
              <w:t>Základom</w:t>
            </w:r>
            <w:r w:rsidRPr="001A49C8">
              <w:t xml:space="preserve"> politiky odstrašenia </w:t>
            </w:r>
            <w:r w:rsidRPr="001A49C8" w:rsidR="007A2004">
              <w:t xml:space="preserve">NATO </w:t>
            </w:r>
            <w:r w:rsidRPr="001A49C8">
              <w:t>je Akčný plán pripravenosti (RAP)</w:t>
            </w:r>
            <w:r w:rsidRPr="001A49C8" w:rsidR="007A2004">
              <w:t>, ktorý bol</w:t>
            </w:r>
            <w:r w:rsidRPr="001A49C8">
              <w:t xml:space="preserve"> schválený na summite NATO vo Walese v roku 2014. Jeho cieľom bolo </w:t>
            </w:r>
            <w:r w:rsidRPr="001A49C8" w:rsidR="007A2004">
              <w:t>zabezpečiť</w:t>
            </w:r>
            <w:r w:rsidRPr="001A49C8">
              <w:t xml:space="preserve"> pripravenosť NATO reagovať rýchlo a účinne na </w:t>
            </w:r>
            <w:r w:rsidRPr="001A49C8" w:rsidR="00565128">
              <w:t>prípad</w:t>
            </w:r>
            <w:r w:rsidRPr="001A49C8" w:rsidR="00565128">
              <w:t>né</w:t>
            </w:r>
            <w:r w:rsidRPr="001A49C8">
              <w:t xml:space="preserve"> bezpečnostné hrozby</w:t>
            </w:r>
            <w:r w:rsidRPr="001A49C8" w:rsidR="00565128">
              <w:t>.</w:t>
            </w:r>
            <w:r w:rsidRPr="001A49C8">
              <w:t xml:space="preserve"> Ide o najvýznamnejšie posilnenie kolektívnej obrany NATO od konca </w:t>
            </w:r>
            <w:r w:rsidRPr="001A49C8" w:rsidR="00565128">
              <w:t>s</w:t>
            </w:r>
            <w:r w:rsidRPr="001A49C8">
              <w:t>tudenej vojny. Na základe RAP bola následne počas summitu NATO vo Varšave v júli 2016 schválená posilnená zostava obrany a odstrašenia, ktorá má poskytnúť NATO široké spektrum možností na obranu územia</w:t>
            </w:r>
            <w:r w:rsidRPr="001A49C8" w:rsidR="00565128">
              <w:t xml:space="preserve"> členských štátov NATO</w:t>
            </w:r>
            <w:r w:rsidRPr="001A49C8">
              <w:t xml:space="preserve">, </w:t>
            </w:r>
            <w:r w:rsidRPr="001A49C8" w:rsidR="00565128">
              <w:t xml:space="preserve">ich </w:t>
            </w:r>
            <w:r w:rsidRPr="001A49C8">
              <w:t xml:space="preserve">obyvateľstva, vzdušného priestoru a námorných </w:t>
            </w:r>
            <w:r w:rsidRPr="00F50835" w:rsidR="00AF0E6C">
              <w:rPr>
                <w:color w:val="000000"/>
              </w:rPr>
              <w:t>ciest</w:t>
            </w:r>
            <w:r w:rsidRPr="00F50835" w:rsidR="004D1D12">
              <w:rPr>
                <w:color w:val="000000"/>
              </w:rPr>
              <w:t xml:space="preserve"> a koridorov</w:t>
            </w:r>
            <w:r w:rsidRPr="00F50835" w:rsidR="00AF0E6C">
              <w:rPr>
                <w:color w:val="000000"/>
              </w:rPr>
              <w:t xml:space="preserve"> </w:t>
            </w:r>
            <w:r w:rsidRPr="001A49C8" w:rsidR="009639DD">
              <w:t>a to</w:t>
            </w:r>
            <w:r w:rsidRPr="001A49C8">
              <w:t xml:space="preserve"> pred akýmkoľvek ohrozením z akéhokoľvek smeru. </w:t>
            </w:r>
            <w:r w:rsidRPr="001A49C8" w:rsidR="009639DD">
              <w:t>T</w:t>
            </w:r>
            <w:r w:rsidRPr="001A49C8">
              <w:t>éma posilnenia obrany a</w:t>
            </w:r>
            <w:r w:rsidRPr="001A49C8" w:rsidR="009639DD">
              <w:t> </w:t>
            </w:r>
            <w:r w:rsidRPr="001A49C8">
              <w:t>odstrašenia</w:t>
            </w:r>
            <w:r w:rsidRPr="001A49C8" w:rsidR="009639DD">
              <w:t xml:space="preserve"> patrila medzi kľúčové témy summitu vo V</w:t>
            </w:r>
            <w:r w:rsidRPr="001A49C8" w:rsidR="009639DD">
              <w:t>aršave</w:t>
            </w:r>
            <w:r w:rsidRPr="001A49C8">
              <w:t xml:space="preserve">. </w:t>
            </w:r>
            <w:r w:rsidRPr="001A49C8" w:rsidR="00565128">
              <w:t>V súlade s tým členské štáty NATO</w:t>
            </w:r>
            <w:r w:rsidRPr="001A49C8">
              <w:t xml:space="preserve"> prijali </w:t>
            </w:r>
            <w:r w:rsidRPr="001A49C8" w:rsidR="00A314DB">
              <w:t>súhrn</w:t>
            </w:r>
            <w:r w:rsidRPr="001A49C8">
              <w:t xml:space="preserve"> opatrení na posilnenie kolektívnej obrany, </w:t>
            </w:r>
            <w:r w:rsidRPr="001A49C8" w:rsidR="00565128">
              <w:t xml:space="preserve">so zameraním sa </w:t>
            </w:r>
            <w:r w:rsidRPr="001A49C8">
              <w:t xml:space="preserve">na </w:t>
            </w:r>
            <w:r w:rsidR="00724C52">
              <w:t xml:space="preserve">tzv. </w:t>
            </w:r>
            <w:r w:rsidRPr="001A49C8" w:rsidR="00565128">
              <w:t>východné krídlo.</w:t>
            </w:r>
            <w:r w:rsidRPr="001A49C8">
              <w:t xml:space="preserve"> Najzásadnejším rozhodnutím v oblasti posilnenia kolektívnej obrany bolo schválenie </w:t>
            </w:r>
            <w:r w:rsidRPr="00F50835" w:rsidR="00FD0E70">
              <w:rPr>
                <w:color w:val="000000"/>
              </w:rPr>
              <w:t>P</w:t>
            </w:r>
            <w:r w:rsidRPr="00F50835">
              <w:rPr>
                <w:color w:val="000000"/>
              </w:rPr>
              <w:t>o</w:t>
            </w:r>
            <w:r w:rsidRPr="001A49C8">
              <w:t>silnenej predsunutej prítomnost</w:t>
            </w:r>
            <w:r w:rsidRPr="001A49C8">
              <w:t>i (</w:t>
            </w:r>
            <w:r w:rsidRPr="001A49C8">
              <w:rPr>
                <w:i/>
                <w:iCs/>
              </w:rPr>
              <w:t xml:space="preserve">enhanced Forward Presence – </w:t>
            </w:r>
            <w:r w:rsidRPr="00F50835" w:rsidR="00FD0E70">
              <w:rPr>
                <w:color w:val="000000"/>
              </w:rPr>
              <w:t>ďalej len „eFP“</w:t>
            </w:r>
            <w:r w:rsidRPr="00F50835">
              <w:rPr>
                <w:i/>
                <w:iCs/>
                <w:color w:val="000000"/>
              </w:rPr>
              <w:t>)</w:t>
            </w:r>
            <w:r w:rsidRPr="001A49C8">
              <w:rPr>
                <w:i/>
                <w:iCs/>
              </w:rPr>
              <w:t xml:space="preserve"> </w:t>
            </w:r>
            <w:r w:rsidRPr="001A49C8">
              <w:t xml:space="preserve">NATO v Poľsku, Litve, Lotyšsku a Estónsku </w:t>
            </w:r>
            <w:r w:rsidRPr="001A49C8" w:rsidR="00565128">
              <w:t xml:space="preserve">formou </w:t>
            </w:r>
            <w:r w:rsidRPr="001A49C8">
              <w:t>rozmiestnen</w:t>
            </w:r>
            <w:r w:rsidRPr="001A49C8" w:rsidR="00565128">
              <w:t>ia</w:t>
            </w:r>
            <w:r w:rsidRPr="001A49C8">
              <w:t xml:space="preserve"> jednej </w:t>
            </w:r>
            <w:r w:rsidRPr="00F50835" w:rsidR="00AF0E6C">
              <w:rPr>
                <w:color w:val="000000"/>
              </w:rPr>
              <w:t xml:space="preserve">mnohonárodnej práporovej </w:t>
            </w:r>
            <w:r w:rsidRPr="00F50835">
              <w:rPr>
                <w:color w:val="000000"/>
              </w:rPr>
              <w:t xml:space="preserve">skupiny v každom z uvedených štátov. </w:t>
            </w:r>
            <w:r w:rsidR="00753951">
              <w:rPr>
                <w:color w:val="000000"/>
              </w:rPr>
              <w:t>Ide o aktivitu, ktorou členské štáty NATO potvrdzujú, že prípadný útok na je</w:t>
            </w:r>
            <w:r w:rsidR="00753951">
              <w:rPr>
                <w:color w:val="000000"/>
              </w:rPr>
              <w:t>d</w:t>
            </w:r>
            <w:r w:rsidR="0013095D">
              <w:rPr>
                <w:color w:val="000000"/>
              </w:rPr>
              <w:t>e</w:t>
            </w:r>
            <w:r w:rsidR="00753951">
              <w:rPr>
                <w:color w:val="000000"/>
              </w:rPr>
              <w:t>n</w:t>
            </w:r>
            <w:r w:rsidR="0013095D">
              <w:rPr>
                <w:color w:val="000000"/>
              </w:rPr>
              <w:t xml:space="preserve"> </w:t>
            </w:r>
            <w:r w:rsidR="00753951">
              <w:rPr>
                <w:color w:val="000000"/>
              </w:rPr>
              <w:t>z nich bude považovaný za útok na všetk</w:t>
            </w:r>
            <w:r w:rsidR="0013095D">
              <w:rPr>
                <w:color w:val="000000"/>
              </w:rPr>
              <w:t>y</w:t>
            </w:r>
            <w:r w:rsidR="00753951">
              <w:rPr>
                <w:color w:val="000000"/>
              </w:rPr>
              <w:t>. Bojové skupiny eFP tvoria mnohonárodné sily s neustálou prítomnosťou, vedené tzv. rámcovými krajinami a ostatnými prispievajúcimi spojencami na dobrovoľnej, rotačnej a udržateľnej báze, ktoré sú schopné zabezpečovať úlohy v zhode a koordinovane s ozbrojenými silami štátov Pobaltia a Poľskej republiky</w:t>
            </w:r>
            <w:r w:rsidR="0013095D">
              <w:rPr>
                <w:color w:val="000000"/>
              </w:rPr>
              <w:t>, a to</w:t>
            </w:r>
            <w:r w:rsidR="00753951">
              <w:rPr>
                <w:color w:val="000000"/>
              </w:rPr>
              <w:t xml:space="preserve"> s reálne uskutočniteľnou stratégiou ich posilnenia v prípade vzniku hrozby</w:t>
            </w:r>
            <w:r w:rsidRPr="00BE2D23" w:rsidR="00AF0E6C">
              <w:rPr>
                <w:rFonts w:ascii="Open Sans" w:hAnsi="Open Sans" w:cs="Arial"/>
                <w:color w:val="000000"/>
              </w:rPr>
              <w:t>.</w:t>
            </w:r>
          </w:p>
          <w:p w:rsidR="00F03E1A" w:rsidP="00F03E1A">
            <w:pPr>
              <w:spacing w:after="120" w:line="276" w:lineRule="auto"/>
              <w:jc w:val="both"/>
            </w:pPr>
            <w:r w:rsidRPr="001A49C8" w:rsidR="009066BC">
              <w:tab/>
              <w:t xml:space="preserve">Hlavy štátov a vlád členských krajín NATO na </w:t>
            </w:r>
            <w:r w:rsidRPr="001A49C8" w:rsidR="00120473">
              <w:t xml:space="preserve">svojom </w:t>
            </w:r>
            <w:r w:rsidRPr="001A49C8" w:rsidR="009066BC">
              <w:t xml:space="preserve">zasadnutí v máji 2017 v Bruseli schválili správu o výdavkoch na obranu a zdieľaní nákladov na chod Aliancie, ktorá predpokladá aj o výraznejšiu účasť v operáciách, misiách a iných aktivitách NATO, napr. </w:t>
            </w:r>
            <w:r w:rsidRPr="001A49C8" w:rsidR="00565128">
              <w:t xml:space="preserve">v súvislosti s </w:t>
            </w:r>
            <w:r w:rsidRPr="001A49C8" w:rsidR="009066BC">
              <w:t>opatrenia</w:t>
            </w:r>
            <w:r w:rsidRPr="001A49C8" w:rsidR="00565128">
              <w:t>mi</w:t>
            </w:r>
            <w:r w:rsidRPr="001A49C8" w:rsidR="009066BC">
              <w:t xml:space="preserve"> na uistenie spojencov (</w:t>
            </w:r>
            <w:r w:rsidRPr="001A49C8" w:rsidR="009066BC">
              <w:rPr>
                <w:i/>
              </w:rPr>
              <w:t>Assurance Measures</w:t>
            </w:r>
            <w:r w:rsidRPr="001A49C8" w:rsidR="009066BC">
              <w:t>)</w:t>
            </w:r>
            <w:r w:rsidRPr="001A49C8" w:rsidR="00565128">
              <w:t xml:space="preserve"> a</w:t>
            </w:r>
            <w:r w:rsidRPr="001A49C8" w:rsidR="009066BC">
              <w:t xml:space="preserve"> </w:t>
            </w:r>
            <w:r w:rsidR="0064495A">
              <w:t>P</w:t>
            </w:r>
            <w:r w:rsidRPr="001A49C8" w:rsidR="009066BC">
              <w:t>osilnenej</w:t>
            </w:r>
            <w:r w:rsidRPr="001A49C8" w:rsidR="009066BC">
              <w:t xml:space="preserve"> predsunut</w:t>
            </w:r>
            <w:r w:rsidRPr="001A49C8" w:rsidR="00565128">
              <w:t>ej</w:t>
            </w:r>
            <w:r w:rsidRPr="001A49C8" w:rsidR="009066BC">
              <w:t xml:space="preserve"> prítomnosti (</w:t>
            </w:r>
            <w:r w:rsidRPr="001A49C8" w:rsidR="009066BC">
              <w:rPr>
                <w:i/>
              </w:rPr>
              <w:t xml:space="preserve">enhanced Forward Presence, </w:t>
            </w:r>
            <w:r w:rsidRPr="001A49C8" w:rsidR="009066BC">
              <w:t xml:space="preserve"> </w:t>
            </w:r>
            <w:r w:rsidRPr="001A49C8" w:rsidR="009066BC">
              <w:rPr>
                <w:i/>
              </w:rPr>
              <w:t>tailored Forward Presence</w:t>
            </w:r>
            <w:r w:rsidR="0064495A">
              <w:rPr>
                <w:i/>
              </w:rPr>
              <w:t xml:space="preserve"> – ďalej len „eFP“)</w:t>
            </w:r>
            <w:r w:rsidRPr="001A49C8" w:rsidR="00565128">
              <w:t>.</w:t>
            </w:r>
            <w:r w:rsidRPr="001A49C8" w:rsidR="009066BC">
              <w:t xml:space="preserve"> Prezident S</w:t>
            </w:r>
            <w:r w:rsidRPr="001A49C8" w:rsidR="00A314DB">
              <w:t>R</w:t>
            </w:r>
            <w:r w:rsidRPr="001A49C8" w:rsidR="009066BC">
              <w:t xml:space="preserve"> na tomto </w:t>
            </w:r>
            <w:r w:rsidRPr="001A49C8" w:rsidR="00565128">
              <w:t>zasadnutí de</w:t>
            </w:r>
            <w:r w:rsidRPr="001A49C8" w:rsidR="009066BC">
              <w:t xml:space="preserve">klaroval ponuku </w:t>
            </w:r>
            <w:r w:rsidRPr="001A49C8" w:rsidR="00565128">
              <w:t xml:space="preserve">príspevku </w:t>
            </w:r>
            <w:r w:rsidRPr="001A49C8" w:rsidR="009066BC">
              <w:t>S</w:t>
            </w:r>
            <w:r w:rsidRPr="001A49C8" w:rsidR="00A314DB">
              <w:t>R</w:t>
            </w:r>
            <w:r w:rsidRPr="001A49C8" w:rsidR="009066BC">
              <w:t xml:space="preserve"> do </w:t>
            </w:r>
            <w:r w:rsidR="0064495A">
              <w:t>eFP</w:t>
            </w:r>
            <w:r w:rsidRPr="001A49C8" w:rsidR="009066BC">
              <w:t xml:space="preserve"> </w:t>
            </w:r>
            <w:r w:rsidRPr="001A49C8" w:rsidR="009066BC">
              <w:rPr>
                <w:iCs/>
              </w:rPr>
              <w:t>do</w:t>
            </w:r>
            <w:r w:rsidRPr="001A49C8" w:rsidR="009066BC">
              <w:t xml:space="preserve">  </w:t>
            </w:r>
            <w:r w:rsidRPr="001A49C8" w:rsidR="00565128">
              <w:t xml:space="preserve">štátov Pobaltia </w:t>
            </w:r>
            <w:r w:rsidR="0064495A">
              <w:t xml:space="preserve">a Poľskej republiky </w:t>
            </w:r>
            <w:r w:rsidRPr="001A49C8" w:rsidR="00565128">
              <w:t xml:space="preserve">s dislokáciou v </w:t>
            </w:r>
            <w:r w:rsidRPr="001A49C8" w:rsidR="009066BC">
              <w:t>Lotyšskej republik</w:t>
            </w:r>
            <w:r w:rsidRPr="001A49C8" w:rsidR="00565128">
              <w:t>e</w:t>
            </w:r>
            <w:r w:rsidRPr="001A49C8" w:rsidR="009066BC">
              <w:t xml:space="preserve"> v sektore </w:t>
            </w:r>
            <w:r w:rsidRPr="001A49C8" w:rsidR="009066BC">
              <w:t>zodpovednosti Kanady</w:t>
            </w:r>
            <w:r w:rsidRPr="001A49C8" w:rsidR="00565128">
              <w:t>, a to</w:t>
            </w:r>
            <w:r w:rsidRPr="001A49C8" w:rsidR="009066BC">
              <w:t xml:space="preserve"> s cieľom demonštrovať súdržnosť NATO a odhodlanosť podieľať sa na eliminácii prípadných hrozieb. </w:t>
            </w:r>
            <w:r w:rsidR="0064495A">
              <w:t>V súlade s tým bol v roku 2018 vyslaný do eFP s dislokáciou v Lotyšskej republike príspevok ozbrojených síl SR s ukončením jeho pôso</w:t>
            </w:r>
            <w:r w:rsidR="0064495A">
              <w:t>benia v</w:t>
            </w:r>
            <w:r>
              <w:t> 30. júna 2019.</w:t>
            </w:r>
          </w:p>
          <w:p w:rsidR="0064495A" w:rsidP="00F03E1A">
            <w:pPr>
              <w:spacing w:after="120" w:line="276" w:lineRule="auto"/>
              <w:jc w:val="both"/>
            </w:pPr>
            <w:r w:rsidR="00F03E1A">
              <w:t xml:space="preserve">           </w:t>
            </w:r>
            <w:r>
              <w:t>Počas</w:t>
            </w:r>
            <w:r w:rsidRPr="008F52F9">
              <w:t xml:space="preserve"> </w:t>
            </w:r>
            <w:r>
              <w:t xml:space="preserve">stretnutia hláv štátov a vlád v Bruseli v júli 2018 členské štáty NATO postupne oznámili predĺženie a navýšenie kontingentov, ako aj príspevky od ďalších krajín, ktoré v štátoch Pobaltia a v Poľskej republike začali pôsobiť od roku 2019. </w:t>
            </w:r>
            <w:r w:rsidR="00753951">
              <w:t>Na rokovaní predseda vlády Kanady potvrdil zámer kanadských ozbrojených síl plniť úlohu vedúcej krajiny bojovej skupiny eFP umiestnenej v Lotyšskej republike až do marca 2023.</w:t>
            </w:r>
          </w:p>
          <w:p w:rsidR="0064495A" w:rsidRPr="00330EB2" w:rsidP="0064495A">
            <w:pPr>
              <w:spacing w:after="120" w:line="276" w:lineRule="auto"/>
              <w:ind w:firstLine="708"/>
              <w:jc w:val="both"/>
              <w:rPr>
                <w:i/>
                <w:iCs/>
              </w:rPr>
            </w:pPr>
            <w:r>
              <w:t>Prezident Slovenskej republiky, Andrej Kiska, na tomto stretnutí hláv štátov a vlád deklaroval rozhodnutie nepretržite pokračovať v príspevku do eFP</w:t>
            </w:r>
            <w:r>
              <w:rPr>
                <w:i/>
                <w:iCs/>
              </w:rPr>
              <w:t xml:space="preserve"> </w:t>
            </w:r>
            <w:r>
              <w:t>aj po jú</w:t>
            </w:r>
            <w:r w:rsidR="00F03E1A">
              <w:t>n</w:t>
            </w:r>
            <w:r>
              <w:t>i 2019. C</w:t>
            </w:r>
            <w:r w:rsidRPr="008F52F9">
              <w:t>ieľom</w:t>
            </w:r>
            <w:r>
              <w:t xml:space="preserve"> je aj naďalej spolu s ostatnými spojencami</w:t>
            </w:r>
            <w:r w:rsidRPr="008F52F9">
              <w:t xml:space="preserve"> demonštrovať </w:t>
            </w:r>
            <w:r>
              <w:t>jednotu</w:t>
            </w:r>
            <w:r w:rsidRPr="008F52F9">
              <w:t xml:space="preserve"> NATO a odhodlanosť podieľať sa na eliminácii prípadných hrozieb</w:t>
            </w:r>
            <w:r>
              <w:t xml:space="preserve"> a zároveň zabezpečiť interoperabilitu a vycvičenosť našich ozbrojených síl. </w:t>
            </w:r>
          </w:p>
          <w:p w:rsidR="005C3158" w:rsidRPr="001A49C8" w:rsidP="00CF7A63">
            <w:pPr>
              <w:spacing w:line="276" w:lineRule="auto"/>
              <w:ind w:firstLine="708"/>
              <w:jc w:val="both"/>
              <w:rPr>
                <w:color w:val="000000"/>
              </w:rPr>
            </w:pPr>
            <w:r w:rsidRPr="001A49C8">
              <w:rPr>
                <w:color w:val="000000"/>
              </w:rPr>
              <w:t xml:space="preserve"> </w:t>
            </w:r>
          </w:p>
          <w:p w:rsidR="003C2DFF" w:rsidRPr="001A49C8" w:rsidP="00863EEB">
            <w:pPr>
              <w:pStyle w:val="NormalWeb"/>
              <w:numPr>
                <w:ilvl w:val="0"/>
                <w:numId w:val="19"/>
              </w:numPr>
              <w:spacing w:before="0" w:beforeAutospacing="0" w:after="200" w:afterAutospacing="0" w:line="276" w:lineRule="auto"/>
              <w:jc w:val="both"/>
              <w:rPr>
                <w:u w:val="single"/>
              </w:rPr>
            </w:pPr>
            <w:r w:rsidRPr="001A49C8" w:rsidR="001A3BAE">
              <w:rPr>
                <w:u w:val="single"/>
              </w:rPr>
              <w:t xml:space="preserve">Vojensko-odborné aspekty návrhu </w:t>
            </w:r>
          </w:p>
          <w:p w:rsidR="00D81693" w:rsidRPr="001A49C8" w:rsidP="00CF7A63">
            <w:pPr>
              <w:pStyle w:val="NormalWeb"/>
              <w:spacing w:before="0" w:beforeAutospacing="0" w:after="200" w:afterAutospacing="0" w:line="276" w:lineRule="auto"/>
              <w:jc w:val="both"/>
              <w:rPr>
                <w:color w:val="000000"/>
              </w:rPr>
            </w:pPr>
            <w:r w:rsidRPr="001A49C8" w:rsidR="00565128">
              <w:rPr>
                <w:color w:val="000000"/>
              </w:rPr>
              <w:t xml:space="preserve">             </w:t>
            </w:r>
            <w:r w:rsidRPr="001A49C8">
              <w:rPr>
                <w:color w:val="000000"/>
              </w:rPr>
              <w:t xml:space="preserve">Účasť </w:t>
            </w:r>
            <w:r w:rsidRPr="001A49C8" w:rsidR="00565128">
              <w:rPr>
                <w:color w:val="000000"/>
              </w:rPr>
              <w:t xml:space="preserve">príslušníkov ozbrojených síl </w:t>
            </w:r>
            <w:r w:rsidRPr="001A49C8" w:rsidR="006142B9">
              <w:rPr>
                <w:color w:val="000000"/>
              </w:rPr>
              <w:t>členských štátov NATO</w:t>
            </w:r>
            <w:r w:rsidRPr="001A49C8">
              <w:rPr>
                <w:color w:val="000000"/>
              </w:rPr>
              <w:t xml:space="preserve"> v rámci eFP je vyjadrením </w:t>
            </w:r>
            <w:r w:rsidRPr="001A49C8" w:rsidR="006142B9">
              <w:rPr>
                <w:color w:val="000000"/>
              </w:rPr>
              <w:t>súdržnosti</w:t>
            </w:r>
            <w:r w:rsidR="00D81FED">
              <w:rPr>
                <w:color w:val="000000"/>
              </w:rPr>
              <w:t xml:space="preserve"> týchto štátov</w:t>
            </w:r>
            <w:r w:rsidRPr="001A49C8" w:rsidR="006142B9">
              <w:rPr>
                <w:color w:val="000000"/>
              </w:rPr>
              <w:t xml:space="preserve"> a</w:t>
            </w:r>
            <w:r w:rsidR="00D81FED">
              <w:rPr>
                <w:color w:val="000000"/>
              </w:rPr>
              <w:t xml:space="preserve"> zároveň </w:t>
            </w:r>
            <w:r w:rsidRPr="001A49C8">
              <w:rPr>
                <w:color w:val="000000"/>
              </w:rPr>
              <w:t>deklarovaním ich pripravenosti plniť záväzky</w:t>
            </w:r>
            <w:r w:rsidRPr="001A49C8" w:rsidR="006142B9">
              <w:rPr>
                <w:color w:val="000000"/>
              </w:rPr>
              <w:t>,</w:t>
            </w:r>
            <w:r w:rsidRPr="001A49C8">
              <w:rPr>
                <w:color w:val="000000"/>
              </w:rPr>
              <w:t xml:space="preserve"> ktoré im  z členstva v</w:t>
            </w:r>
            <w:r w:rsidRPr="001A49C8" w:rsidR="006142B9">
              <w:rPr>
                <w:color w:val="000000"/>
              </w:rPr>
              <w:t> NATO vyplývajú.</w:t>
            </w:r>
            <w:r w:rsidRPr="001A49C8">
              <w:rPr>
                <w:color w:val="000000"/>
              </w:rPr>
              <w:t xml:space="preserve"> </w:t>
            </w:r>
            <w:r w:rsidRPr="001A49C8" w:rsidR="007A409C">
              <w:rPr>
                <w:color w:val="000000"/>
              </w:rPr>
              <w:t xml:space="preserve">     </w:t>
            </w:r>
            <w:r w:rsidRPr="001A49C8" w:rsidR="005C3158">
              <w:rPr>
                <w:color w:val="000000"/>
              </w:rPr>
              <w:t xml:space="preserve">       </w:t>
            </w:r>
          </w:p>
          <w:p w:rsidR="00017229" w:rsidP="00017229">
            <w:pPr>
              <w:pStyle w:val="NormalWeb"/>
              <w:spacing w:before="0" w:beforeAutospacing="0" w:after="200" w:afterAutospacing="0" w:line="276" w:lineRule="auto"/>
              <w:jc w:val="both"/>
              <w:rPr>
                <w:color w:val="000000"/>
              </w:rPr>
            </w:pPr>
            <w:r w:rsidRPr="001A49C8" w:rsidR="006142B9">
              <w:rPr>
                <w:color w:val="000000"/>
              </w:rPr>
              <w:t xml:space="preserve">             </w:t>
            </w:r>
            <w:r w:rsidR="006D5107">
              <w:rPr>
                <w:color w:val="000000"/>
              </w:rPr>
              <w:t xml:space="preserve">Ozbrojené sily SR v súčasnosti pôsobia v rámci </w:t>
            </w:r>
            <w:r w:rsidR="00F03E1A">
              <w:rPr>
                <w:color w:val="000000"/>
              </w:rPr>
              <w:t xml:space="preserve">eFP </w:t>
            </w:r>
            <w:r w:rsidR="006D5107">
              <w:rPr>
                <w:color w:val="000000"/>
              </w:rPr>
              <w:t>na základe platného uznesenia Národnej rady SR</w:t>
            </w:r>
            <w:r w:rsidR="004D3438">
              <w:rPr>
                <w:color w:val="000000"/>
              </w:rPr>
              <w:t xml:space="preserve"> č. 1164</w:t>
            </w:r>
            <w:r w:rsidR="006D5107">
              <w:rPr>
                <w:color w:val="000000"/>
              </w:rPr>
              <w:t xml:space="preserve"> zo dňa 16. mája 2018 v počte do 152</w:t>
            </w:r>
            <w:r>
              <w:rPr>
                <w:color w:val="000000"/>
              </w:rPr>
              <w:t xml:space="preserve"> príslušníkov ozbrojených síl SR so spôsobilosťou mechanizovanej roty, vrátane prvkov zabezpečenia, a to s dislokáciou vo vojenskom výcvikovom priestore v Ada</w:t>
            </w:r>
            <w:r w:rsidR="004D3438">
              <w:rPr>
                <w:color w:val="000000"/>
              </w:rPr>
              <w:t>z</w:t>
            </w:r>
            <w:r>
              <w:rPr>
                <w:color w:val="000000"/>
              </w:rPr>
              <w:t>i, Lotyšská republika</w:t>
            </w:r>
            <w:r w:rsidR="000B2E08">
              <w:rPr>
                <w:color w:val="000000"/>
              </w:rPr>
              <w:t xml:space="preserve"> s ukončením pôsobenia </w:t>
            </w:r>
            <w:r w:rsidR="00F03E1A">
              <w:rPr>
                <w:color w:val="000000"/>
              </w:rPr>
              <w:t>30</w:t>
            </w:r>
            <w:r w:rsidR="001936F1">
              <w:rPr>
                <w:color w:val="000000"/>
              </w:rPr>
              <w:t>. jú</w:t>
            </w:r>
            <w:r w:rsidR="00F03E1A">
              <w:rPr>
                <w:color w:val="000000"/>
              </w:rPr>
              <w:t>n</w:t>
            </w:r>
            <w:r w:rsidR="001936F1">
              <w:rPr>
                <w:color w:val="000000"/>
              </w:rPr>
              <w:t>a 2019.</w:t>
            </w:r>
          </w:p>
          <w:p w:rsidR="00627366" w:rsidP="00627366">
            <w:pPr>
              <w:pStyle w:val="NormalWeb"/>
              <w:spacing w:before="0" w:beforeAutospacing="0" w:after="200" w:afterAutospacing="0" w:line="276" w:lineRule="auto"/>
              <w:jc w:val="both"/>
              <w:rPr>
                <w:color w:val="000000"/>
              </w:rPr>
            </w:pPr>
            <w:r w:rsidR="00017229">
              <w:rPr>
                <w:color w:val="000000"/>
              </w:rPr>
              <w:t xml:space="preserve">             </w:t>
            </w:r>
            <w:r w:rsidR="0064495A">
              <w:rPr>
                <w:color w:val="000000"/>
              </w:rPr>
              <w:t>V nadväznosti na deklarovaný zámer SR nepretržite pokračovať príspevkom ozbrojených síl SR v rámci eFP v štátoch Pobaltia a v Poľskej republike</w:t>
            </w:r>
            <w:r w:rsidR="004D3438">
              <w:rPr>
                <w:color w:val="000000"/>
              </w:rPr>
              <w:t xml:space="preserve"> sa predmetn</w:t>
            </w:r>
            <w:r w:rsidR="001936F1">
              <w:rPr>
                <w:color w:val="000000"/>
              </w:rPr>
              <w:t>ým materiálom navrhuje</w:t>
            </w:r>
            <w:r>
              <w:rPr>
                <w:color w:val="000000"/>
              </w:rPr>
              <w:t>:</w:t>
            </w:r>
          </w:p>
          <w:p w:rsidR="00D71C1A" w:rsidRPr="00627366" w:rsidP="00627366">
            <w:pPr>
              <w:pStyle w:val="NormalWeb"/>
              <w:numPr>
                <w:ilvl w:val="0"/>
                <w:numId w:val="35"/>
              </w:numPr>
              <w:spacing w:before="0" w:beforeAutospacing="0" w:after="200" w:afterAutospacing="0" w:line="276" w:lineRule="auto"/>
              <w:jc w:val="both"/>
              <w:rPr>
                <w:color w:val="000000"/>
              </w:rPr>
            </w:pPr>
            <w:r w:rsidRPr="00627366" w:rsidR="001936F1">
              <w:rPr>
                <w:b/>
                <w:color w:val="000000"/>
              </w:rPr>
              <w:t xml:space="preserve">vyslanie </w:t>
            </w:r>
            <w:r w:rsidRPr="00627366" w:rsidR="000B2E08">
              <w:rPr>
                <w:b/>
              </w:rPr>
              <w:t>príslušníkov</w:t>
            </w:r>
            <w:r w:rsidR="000B2E08">
              <w:rPr>
                <w:b/>
              </w:rPr>
              <w:t xml:space="preserve"> ozbrojených síl SR v rámci eFP do </w:t>
            </w:r>
            <w:r w:rsidRPr="001A49C8" w:rsidR="001136B6">
              <w:rPr>
                <w:b/>
              </w:rPr>
              <w:t xml:space="preserve">Lotyšskej republiky, Litovskej republiky, Estónskej republiky a Poľskej </w:t>
            </w:r>
            <w:r w:rsidR="004D3438">
              <w:rPr>
                <w:b/>
              </w:rPr>
              <w:t>repu</w:t>
            </w:r>
            <w:r w:rsidR="004D3438">
              <w:rPr>
                <w:b/>
              </w:rPr>
              <w:t>bliky</w:t>
            </w:r>
            <w:r w:rsidR="000B2E08">
              <w:rPr>
                <w:b/>
              </w:rPr>
              <w:t xml:space="preserve"> </w:t>
            </w:r>
            <w:r w:rsidR="00627366">
              <w:rPr>
                <w:b/>
              </w:rPr>
              <w:t xml:space="preserve">vo forme </w:t>
            </w:r>
            <w:r w:rsidRPr="004D3438" w:rsidR="000B2E08">
              <w:rPr>
                <w:b/>
              </w:rPr>
              <w:t>účelové</w:t>
            </w:r>
            <w:r w:rsidR="000B2E08">
              <w:rPr>
                <w:b/>
              </w:rPr>
              <w:t>ho</w:t>
            </w:r>
            <w:r w:rsidRPr="004D3438" w:rsidR="000B2E08">
              <w:rPr>
                <w:b/>
              </w:rPr>
              <w:t xml:space="preserve"> zoskupeni</w:t>
            </w:r>
            <w:r w:rsidR="00627366">
              <w:rPr>
                <w:b/>
              </w:rPr>
              <w:t>a</w:t>
            </w:r>
            <w:r w:rsidRPr="004D3438" w:rsidR="000B2E08">
              <w:rPr>
                <w:b/>
              </w:rPr>
              <w:t xml:space="preserve"> na báze mechanizovanej roty</w:t>
            </w:r>
            <w:r w:rsidR="00627366">
              <w:rPr>
                <w:b/>
              </w:rPr>
              <w:t xml:space="preserve"> </w:t>
            </w:r>
            <w:r w:rsidR="000B2E08">
              <w:rPr>
                <w:b/>
              </w:rPr>
              <w:t xml:space="preserve">v počte </w:t>
            </w:r>
            <w:r w:rsidR="000B2E08">
              <w:rPr>
                <w:b/>
                <w:color w:val="000000"/>
              </w:rPr>
              <w:t>d</w:t>
            </w:r>
            <w:r w:rsidRPr="000B2E08" w:rsidR="000B2E08">
              <w:rPr>
                <w:b/>
                <w:color w:val="000000"/>
              </w:rPr>
              <w:t>o 152 príslušníkov ozbrojených síl SR</w:t>
            </w:r>
            <w:r w:rsidRPr="001A49C8" w:rsidR="000B2E08">
              <w:rPr>
                <w:b/>
              </w:rPr>
              <w:t xml:space="preserve"> </w:t>
            </w:r>
            <w:r w:rsidR="00627366">
              <w:rPr>
                <w:b/>
              </w:rPr>
              <w:t xml:space="preserve">v tomto členení: </w:t>
            </w:r>
          </w:p>
          <w:p w:rsidR="00D71C1A" w:rsidP="00627366">
            <w:pPr>
              <w:pStyle w:val="ListParagraph"/>
              <w:numPr>
                <w:ilvl w:val="0"/>
                <w:numId w:val="36"/>
              </w:numPr>
              <w:spacing w:after="120" w:line="276" w:lineRule="auto"/>
              <w:contextualSpacing w:val="0"/>
              <w:jc w:val="both"/>
            </w:pPr>
            <w:r w:rsidR="00627366">
              <w:rPr>
                <w:b/>
                <w:color w:val="000000"/>
              </w:rPr>
              <w:t xml:space="preserve">mechanizovaná rota: </w:t>
            </w:r>
            <w:r w:rsidRPr="00D71C1A">
              <w:t>na plnenie úloh definovaných pre eFP</w:t>
            </w:r>
            <w:r w:rsidR="00627366">
              <w:t xml:space="preserve"> </w:t>
            </w:r>
            <w:r w:rsidRPr="00D71C1A">
              <w:t>s cieľom demonštrovať vôľu a súdržnosť NATO pri obrane územia jeho čle</w:t>
            </w:r>
            <w:r w:rsidRPr="00D71C1A">
              <w:t>nských štátov, rozvoja spolupráce príslušníkov ozbrojených síl  SR v medzinárodnom prostredí</w:t>
            </w:r>
            <w:r w:rsidR="00627366">
              <w:t xml:space="preserve"> a</w:t>
            </w:r>
            <w:r w:rsidRPr="00D71C1A">
              <w:t xml:space="preserve"> zvýšenia úrovne </w:t>
            </w:r>
            <w:r w:rsidR="000107B0">
              <w:t xml:space="preserve">ich </w:t>
            </w:r>
            <w:r w:rsidRPr="00D71C1A">
              <w:t>interoperability</w:t>
            </w:r>
            <w:r w:rsidR="0013095D">
              <w:t xml:space="preserve">, prispieť k opatreniam odstrašenia a zabezpečiť v prípade </w:t>
            </w:r>
            <w:r w:rsidR="0013095D">
              <w:t>zlyhania týchto opatrení pripravenosť plniť operačné úlohy bojovej skupiny eFP pod velením Kanady</w:t>
            </w:r>
            <w:r>
              <w:t>;</w:t>
            </w:r>
          </w:p>
          <w:p w:rsidR="00863EEB" w:rsidP="00627366">
            <w:pPr>
              <w:pStyle w:val="ListParagraph"/>
              <w:numPr>
                <w:ilvl w:val="0"/>
                <w:numId w:val="36"/>
              </w:numPr>
              <w:spacing w:after="120" w:line="276" w:lineRule="auto"/>
              <w:contextualSpacing w:val="0"/>
              <w:jc w:val="both"/>
            </w:pPr>
            <w:r w:rsidRPr="00627366">
              <w:rPr>
                <w:b/>
              </w:rPr>
              <w:t>príspevok do veliteľstva eFP</w:t>
            </w:r>
            <w:r w:rsidR="00627366">
              <w:rPr>
                <w:b/>
              </w:rPr>
              <w:t xml:space="preserve">: </w:t>
            </w:r>
            <w:r>
              <w:t xml:space="preserve">na plnenie úloh tohto veliteľstva </w:t>
            </w:r>
            <w:r w:rsidR="000107B0">
              <w:t xml:space="preserve">eFP </w:t>
            </w:r>
            <w:r>
              <w:t>v súlade s ich funkčným zaradením a zabezpečeni</w:t>
            </w:r>
            <w:r w:rsidR="000107B0">
              <w:t>e</w:t>
            </w:r>
            <w:r>
              <w:t xml:space="preserve"> </w:t>
            </w:r>
            <w:r w:rsidRPr="00E2112B">
              <w:t>podpor</w:t>
            </w:r>
            <w:r>
              <w:t>y</w:t>
            </w:r>
            <w:r w:rsidRPr="00E2112B">
              <w:t xml:space="preserve"> veliteľa kontingentu </w:t>
            </w:r>
            <w:r>
              <w:t>ozbrojených síl</w:t>
            </w:r>
            <w:r w:rsidR="000107B0">
              <w:t xml:space="preserve"> SR</w:t>
            </w:r>
            <w:r>
              <w:t xml:space="preserve"> </w:t>
            </w:r>
            <w:r w:rsidRPr="00E2112B">
              <w:t>(národn</w:t>
            </w:r>
            <w:r>
              <w:t>ého</w:t>
            </w:r>
            <w:r w:rsidRPr="00E2112B">
              <w:t xml:space="preserve"> predstaviteľ</w:t>
            </w:r>
            <w:r>
              <w:t>a</w:t>
            </w:r>
            <w:r w:rsidRPr="00E2112B">
              <w:t xml:space="preserve">) </w:t>
            </w:r>
            <w:r>
              <w:t>na</w:t>
            </w:r>
            <w:r w:rsidRPr="00E2112B">
              <w:t xml:space="preserve"> veliteľstve </w:t>
            </w:r>
            <w:r>
              <w:t xml:space="preserve">eFP. Príslušníci ozbrojených síl SR vo veliteľstve eFP budú zároveň v súvislosti s plnením ich úloh spolupracovať </w:t>
            </w:r>
            <w:r w:rsidRPr="00E2112B">
              <w:t xml:space="preserve">s národným predstaviteľom </w:t>
            </w:r>
            <w:r>
              <w:t>ozbrojených síl SR v </w:t>
            </w:r>
            <w:r w:rsidR="000107B0">
              <w:t>eFP</w:t>
            </w:r>
            <w:r>
              <w:t>;</w:t>
            </w:r>
          </w:p>
          <w:p w:rsidR="00863EEB" w:rsidRPr="00627366" w:rsidP="00627366">
            <w:pPr>
              <w:pStyle w:val="ListParagraph"/>
              <w:numPr>
                <w:ilvl w:val="0"/>
                <w:numId w:val="36"/>
              </w:numPr>
              <w:spacing w:after="120" w:line="276" w:lineRule="auto"/>
              <w:contextualSpacing w:val="0"/>
              <w:jc w:val="both"/>
            </w:pPr>
            <w:r w:rsidRPr="00627366">
              <w:rPr>
                <w:b/>
              </w:rPr>
              <w:t>národný podporný prvok (NSE)</w:t>
            </w:r>
            <w:r w:rsidR="00627366">
              <w:rPr>
                <w:b/>
              </w:rPr>
              <w:t>:</w:t>
            </w:r>
            <w:r w:rsidRPr="00627366">
              <w:rPr>
                <w:b/>
              </w:rPr>
              <w:t xml:space="preserve"> </w:t>
            </w:r>
            <w:r>
              <w:t xml:space="preserve">na zabezpečenie </w:t>
            </w:r>
            <w:r w:rsidR="00627366">
              <w:t>plnenia úloh velenia a riadenia slovenského kontingentu v</w:t>
            </w:r>
            <w:r w:rsidR="00D81FED">
              <w:t> </w:t>
            </w:r>
            <w:r w:rsidR="00627366">
              <w:t xml:space="preserve">eFP, zabezpečenie </w:t>
            </w:r>
            <w:r>
              <w:t xml:space="preserve">spravodajskej, administratívnej a personálnej podpory, vrátane finančno-ekonomického zabezpečenia príslušníkov </w:t>
            </w:r>
            <w:r w:rsidR="00057134">
              <w:t>ozbrojených síl S</w:t>
            </w:r>
            <w:r w:rsidR="00627366">
              <w:t>R</w:t>
            </w:r>
            <w:r>
              <w:t xml:space="preserve"> </w:t>
            </w:r>
            <w:r w:rsidRPr="00627366">
              <w:rPr>
                <w:color w:val="000000"/>
              </w:rPr>
              <w:t>v rámci eFP</w:t>
            </w:r>
            <w:r w:rsidR="00627366">
              <w:rPr>
                <w:color w:val="000000"/>
              </w:rPr>
              <w:t xml:space="preserve"> a zabezpečenie spolupráce s veliteľstvom eFP</w:t>
            </w:r>
            <w:r w:rsidRPr="00627366" w:rsidR="004D3438">
              <w:rPr>
                <w:color w:val="000000"/>
              </w:rPr>
              <w:t>;</w:t>
            </w:r>
          </w:p>
          <w:p w:rsidR="004D3438" w:rsidRPr="00627366" w:rsidP="00627366">
            <w:pPr>
              <w:pStyle w:val="ListParagraph"/>
              <w:numPr>
                <w:ilvl w:val="0"/>
                <w:numId w:val="36"/>
              </w:numPr>
              <w:spacing w:after="120" w:line="276" w:lineRule="auto"/>
              <w:contextualSpacing w:val="0"/>
              <w:jc w:val="both"/>
            </w:pPr>
            <w:r w:rsidRPr="00627366" w:rsidR="00863EEB">
              <w:rPr>
                <w:b/>
                <w:color w:val="000000"/>
              </w:rPr>
              <w:t>podporný prvok logistiky a zdravotníckeho zabezpečenia</w:t>
            </w:r>
            <w:r w:rsidR="00627366">
              <w:rPr>
                <w:b/>
                <w:color w:val="000000"/>
              </w:rPr>
              <w:t>:</w:t>
            </w:r>
            <w:r w:rsidRPr="00627366" w:rsidR="00863EEB">
              <w:rPr>
                <w:b/>
                <w:color w:val="000000"/>
              </w:rPr>
              <w:t xml:space="preserve"> </w:t>
            </w:r>
            <w:r w:rsidRPr="00627366" w:rsidR="00863EEB">
              <w:rPr>
                <w:color w:val="000000"/>
              </w:rPr>
              <w:t xml:space="preserve">na zabezpečenie logistickej a všeobecnej zdravotníckej podpory príslušníkov </w:t>
            </w:r>
            <w:r w:rsidRPr="00627366" w:rsidR="00057134">
              <w:rPr>
                <w:color w:val="000000"/>
              </w:rPr>
              <w:t>ozbrojených síl</w:t>
            </w:r>
            <w:r w:rsidRPr="00627366" w:rsidR="00863EEB">
              <w:rPr>
                <w:color w:val="000000"/>
              </w:rPr>
              <w:t xml:space="preserve"> SR v rámci eFP</w:t>
            </w:r>
            <w:r w:rsidRPr="00627366">
              <w:rPr>
                <w:color w:val="000000"/>
              </w:rPr>
              <w:t>;</w:t>
            </w:r>
          </w:p>
          <w:p w:rsidR="00863EEB" w:rsidRPr="00F47B26" w:rsidP="00627366">
            <w:pPr>
              <w:pStyle w:val="ListParagraph"/>
              <w:numPr>
                <w:ilvl w:val="0"/>
                <w:numId w:val="36"/>
              </w:numPr>
              <w:spacing w:after="120" w:line="276" w:lineRule="auto"/>
              <w:contextualSpacing w:val="0"/>
              <w:jc w:val="both"/>
            </w:pPr>
            <w:r w:rsidRPr="00627366">
              <w:rPr>
                <w:b/>
                <w:color w:val="000000"/>
              </w:rPr>
              <w:t>tím Vojenskej polície</w:t>
            </w:r>
            <w:r w:rsidR="00D81FED">
              <w:rPr>
                <w:b/>
                <w:color w:val="000000"/>
              </w:rPr>
              <w:t>:</w:t>
            </w:r>
            <w:r w:rsidRPr="00627366">
              <w:rPr>
                <w:b/>
                <w:color w:val="000000"/>
              </w:rPr>
              <w:t xml:space="preserve"> </w:t>
            </w:r>
            <w:r w:rsidRPr="00627366">
              <w:rPr>
                <w:color w:val="000000"/>
              </w:rPr>
              <w:t>na plnenie úloh v rámci medzinárodnej jednotky (Military Police Co-ordination Centre „</w:t>
            </w:r>
            <w:r w:rsidRPr="00627366">
              <w:rPr>
                <w:i/>
                <w:color w:val="000000"/>
              </w:rPr>
              <w:t>MPCC</w:t>
            </w:r>
            <w:r w:rsidRPr="00627366">
              <w:rPr>
                <w:color w:val="000000"/>
              </w:rPr>
              <w:t>“) s cieľom plnenia opatrení pre udržanie poriadku a bezpečnosti vo všetkých vojenských zariadeniach a koordináciu úloh s miestnou civilnou políciou</w:t>
            </w:r>
            <w:r w:rsidRPr="00627366">
              <w:rPr>
                <w:color w:val="00B050"/>
              </w:rPr>
              <w:t xml:space="preserve"> </w:t>
            </w:r>
            <w:r w:rsidRPr="00627366">
              <w:rPr>
                <w:color w:val="000000"/>
              </w:rPr>
              <w:t>v priestore plnenia úloh príslušníkov ozbrojených síl SR. Zároveň budú zabezpečovať podporu pre plnenie úloh príslušníkov ozbrojených síl SR v</w:t>
            </w:r>
            <w:r w:rsidR="00D81FED">
              <w:rPr>
                <w:color w:val="000000"/>
              </w:rPr>
              <w:t> </w:t>
            </w:r>
            <w:r w:rsidRPr="00627366">
              <w:rPr>
                <w:color w:val="000000"/>
              </w:rPr>
              <w:t>rámci</w:t>
            </w:r>
            <w:r w:rsidR="00D81FED">
              <w:rPr>
                <w:color w:val="000000"/>
              </w:rPr>
              <w:t xml:space="preserve"> eFP</w:t>
            </w:r>
            <w:r w:rsidRPr="00627366">
              <w:rPr>
                <w:color w:val="000000"/>
              </w:rPr>
              <w:t>.</w:t>
            </w:r>
          </w:p>
          <w:p w:rsidR="00B75940" w:rsidRPr="001A49C8" w:rsidP="001936F1">
            <w:pPr>
              <w:pStyle w:val="NormalWeb"/>
              <w:spacing w:before="0" w:beforeAutospacing="0" w:after="200" w:afterAutospacing="0" w:line="276" w:lineRule="auto"/>
              <w:jc w:val="both"/>
              <w:rPr>
                <w:b/>
                <w:color w:val="000000"/>
              </w:rPr>
            </w:pPr>
            <w:r w:rsidRPr="001A49C8" w:rsidR="001F6C0E">
              <w:rPr>
                <w:b/>
                <w:color w:val="000000"/>
              </w:rPr>
              <w:t>Príslušníci ozbrojených síl S</w:t>
            </w:r>
            <w:r w:rsidRPr="001A49C8" w:rsidR="00555861">
              <w:rPr>
                <w:b/>
                <w:color w:val="000000"/>
              </w:rPr>
              <w:t>R</w:t>
            </w:r>
            <w:r w:rsidRPr="001A49C8" w:rsidR="001F6C0E">
              <w:rPr>
                <w:b/>
                <w:color w:val="000000"/>
              </w:rPr>
              <w:t xml:space="preserve"> v rámci eFP </w:t>
            </w:r>
            <w:r w:rsidRPr="001A49C8" w:rsidR="00911405">
              <w:rPr>
                <w:b/>
                <w:color w:val="000000"/>
              </w:rPr>
              <w:t>sa vysielajú:</w:t>
            </w:r>
          </w:p>
          <w:p w:rsidR="00E45833" w:rsidRPr="001A49C8" w:rsidP="001936F1">
            <w:pPr>
              <w:pStyle w:val="NormalWeb"/>
              <w:numPr>
                <w:ilvl w:val="0"/>
                <w:numId w:val="34"/>
              </w:numPr>
              <w:spacing w:before="0" w:beforeAutospacing="0" w:after="200" w:afterAutospacing="0" w:line="276" w:lineRule="auto"/>
              <w:jc w:val="both"/>
              <w:rPr>
                <w:color w:val="000000"/>
              </w:rPr>
            </w:pPr>
            <w:r w:rsidRPr="001A49C8">
              <w:rPr>
                <w:color w:val="000000"/>
              </w:rPr>
              <w:t xml:space="preserve">za účelom preukázania pripravenosti členských štátov NATO reagovať </w:t>
            </w:r>
            <w:r w:rsidRPr="001A49C8" w:rsidR="005D5808">
              <w:rPr>
                <w:color w:val="000000"/>
              </w:rPr>
              <w:t>na prípadné bezpečnostné hrozby v súlade s</w:t>
            </w:r>
            <w:r w:rsidRPr="001A49C8">
              <w:rPr>
                <w:color w:val="000000"/>
              </w:rPr>
              <w:t xml:space="preserve"> </w:t>
            </w:r>
            <w:r w:rsidRPr="001A49C8" w:rsidR="005D5808">
              <w:rPr>
                <w:color w:val="000000"/>
              </w:rPr>
              <w:t>čl. 5 Severoatlantickej zmluvy;</w:t>
            </w:r>
            <w:r w:rsidRPr="001A49C8">
              <w:rPr>
                <w:color w:val="000000"/>
              </w:rPr>
              <w:t xml:space="preserve">  </w:t>
            </w:r>
          </w:p>
          <w:p w:rsidR="00965F6A" w:rsidRPr="00724C52" w:rsidP="001936F1">
            <w:pPr>
              <w:pStyle w:val="NormalWeb"/>
              <w:numPr>
                <w:ilvl w:val="0"/>
                <w:numId w:val="34"/>
              </w:numPr>
              <w:spacing w:before="0" w:beforeAutospacing="0" w:after="200" w:afterAutospacing="0" w:line="276" w:lineRule="auto"/>
              <w:jc w:val="both"/>
              <w:rPr>
                <w:color w:val="000000"/>
              </w:rPr>
            </w:pPr>
            <w:r w:rsidRPr="001A49C8" w:rsidR="00911405">
              <w:rPr>
                <w:color w:val="000000"/>
              </w:rPr>
              <w:t xml:space="preserve">do </w:t>
            </w:r>
            <w:r w:rsidRPr="001A49C8" w:rsidR="00C26873">
              <w:rPr>
                <w:color w:val="000000"/>
              </w:rPr>
              <w:t>miest</w:t>
            </w:r>
            <w:r w:rsidRPr="001A49C8" w:rsidR="00911405">
              <w:rPr>
                <w:color w:val="000000"/>
              </w:rPr>
              <w:t>a</w:t>
            </w:r>
            <w:r w:rsidRPr="001A49C8" w:rsidR="00C26873">
              <w:rPr>
                <w:color w:val="000000"/>
              </w:rPr>
              <w:t xml:space="preserve"> pôsobenia na území Lotyšskej republiky</w:t>
            </w:r>
            <w:r w:rsidRPr="001A49C8" w:rsidR="001F6C0E">
              <w:rPr>
                <w:color w:val="000000"/>
              </w:rPr>
              <w:t xml:space="preserve"> s dislokáciou </w:t>
            </w:r>
            <w:r w:rsidRPr="001A49C8" w:rsidR="00D81693">
              <w:rPr>
                <w:color w:val="000000"/>
              </w:rPr>
              <w:t xml:space="preserve">vo výcvikovom priestore Adazi v rámci bojovej skupiny pod velením </w:t>
            </w:r>
            <w:r w:rsidRPr="00F50835" w:rsidR="00236AF9">
              <w:rPr>
                <w:color w:val="000000"/>
              </w:rPr>
              <w:t xml:space="preserve">veliteľa </w:t>
            </w:r>
            <w:r w:rsidR="0064495A">
              <w:rPr>
                <w:color w:val="000000"/>
              </w:rPr>
              <w:t>bojovej skupiny</w:t>
            </w:r>
            <w:r w:rsidR="00724C52">
              <w:rPr>
                <w:color w:val="000000"/>
              </w:rPr>
              <w:t xml:space="preserve"> </w:t>
            </w:r>
            <w:r w:rsidRPr="00724C52" w:rsidR="00C26873">
              <w:rPr>
                <w:color w:val="000000"/>
              </w:rPr>
              <w:t xml:space="preserve">s možnosťou </w:t>
            </w:r>
            <w:r w:rsidRPr="00724C52" w:rsidR="00D81693">
              <w:rPr>
                <w:color w:val="000000"/>
              </w:rPr>
              <w:t xml:space="preserve">ich </w:t>
            </w:r>
            <w:r w:rsidRPr="00724C52" w:rsidR="00C26873">
              <w:rPr>
                <w:color w:val="000000"/>
              </w:rPr>
              <w:t xml:space="preserve">pôsobenia </w:t>
            </w:r>
            <w:r w:rsidRPr="00724C52" w:rsidR="00911405">
              <w:rPr>
                <w:color w:val="000000"/>
              </w:rPr>
              <w:t>na celom území Lotyšskej republiky, ako aj</w:t>
            </w:r>
            <w:r w:rsidRPr="00724C52" w:rsidR="00C26873">
              <w:rPr>
                <w:color w:val="000000"/>
              </w:rPr>
              <w:t xml:space="preserve"> na územiach Litovskej republiky</w:t>
            </w:r>
            <w:r w:rsidRPr="00724C52" w:rsidR="00B75940">
              <w:rPr>
                <w:color w:val="000000"/>
              </w:rPr>
              <w:t>, Estónskej republiky a Poľskej republiky</w:t>
            </w:r>
            <w:r w:rsidRPr="00724C52" w:rsidR="00302F7E">
              <w:rPr>
                <w:color w:val="000000"/>
              </w:rPr>
              <w:t>;</w:t>
            </w:r>
            <w:r w:rsidRPr="00724C52" w:rsidR="001136B6">
              <w:rPr>
                <w:color w:val="000000"/>
              </w:rPr>
              <w:t xml:space="preserve"> </w:t>
            </w:r>
            <w:r w:rsidRPr="00724C52">
              <w:rPr>
                <w:color w:val="000000"/>
              </w:rPr>
              <w:t xml:space="preserve"> </w:t>
            </w:r>
          </w:p>
          <w:p w:rsidR="000107B0" w:rsidRPr="000107B0" w:rsidP="00D03AF9">
            <w:pPr>
              <w:pStyle w:val="NormalWeb"/>
              <w:numPr>
                <w:ilvl w:val="0"/>
                <w:numId w:val="34"/>
              </w:numPr>
              <w:spacing w:before="0" w:beforeAutospacing="0" w:after="200" w:afterAutospacing="0" w:line="276" w:lineRule="auto"/>
              <w:jc w:val="both"/>
            </w:pPr>
            <w:r w:rsidRPr="000107B0" w:rsidR="00911405">
              <w:rPr>
                <w:color w:val="000000"/>
              </w:rPr>
              <w:t>v termíne</w:t>
            </w:r>
            <w:r w:rsidRPr="000107B0" w:rsidR="00B51F12">
              <w:rPr>
                <w:color w:val="000000"/>
              </w:rPr>
              <w:t xml:space="preserve"> od 1. jú</w:t>
            </w:r>
            <w:r w:rsidR="00F03E1A">
              <w:rPr>
                <w:color w:val="000000"/>
              </w:rPr>
              <w:t>l</w:t>
            </w:r>
            <w:r w:rsidRPr="000107B0" w:rsidR="00B51F12">
              <w:rPr>
                <w:color w:val="000000"/>
              </w:rPr>
              <w:t>a 201</w:t>
            </w:r>
            <w:r w:rsidRPr="000107B0">
              <w:rPr>
                <w:color w:val="000000"/>
              </w:rPr>
              <w:t>9 do 30. júna 2020</w:t>
            </w:r>
            <w:r>
              <w:rPr>
                <w:color w:val="000000"/>
              </w:rPr>
              <w:t>;</w:t>
            </w:r>
          </w:p>
          <w:p w:rsidR="005A0042" w:rsidRPr="001A49C8" w:rsidP="00D03AF9">
            <w:pPr>
              <w:pStyle w:val="NormalWeb"/>
              <w:numPr>
                <w:ilvl w:val="0"/>
                <w:numId w:val="34"/>
              </w:numPr>
              <w:spacing w:before="0" w:beforeAutospacing="0" w:after="200" w:afterAutospacing="0" w:line="276" w:lineRule="auto"/>
              <w:jc w:val="both"/>
            </w:pPr>
            <w:r w:rsidRPr="000107B0">
              <w:rPr>
                <w:color w:val="000000"/>
              </w:rPr>
              <w:t>do</w:t>
            </w:r>
            <w:r w:rsidRPr="000107B0" w:rsidR="00724C52">
              <w:rPr>
                <w:color w:val="000000"/>
              </w:rPr>
              <w:t>/</w:t>
            </w:r>
            <w:r w:rsidRPr="000107B0">
              <w:rPr>
                <w:color w:val="000000"/>
              </w:rPr>
              <w:t>z </w:t>
            </w:r>
            <w:r w:rsidRPr="000107B0" w:rsidR="00724C52">
              <w:rPr>
                <w:color w:val="000000"/>
              </w:rPr>
              <w:t>Lotyšskej republiky</w:t>
            </w:r>
            <w:r w:rsidRPr="000107B0">
              <w:rPr>
                <w:color w:val="000000"/>
              </w:rPr>
              <w:t xml:space="preserve"> </w:t>
            </w:r>
            <w:r w:rsidRPr="000107B0" w:rsidR="00724C52">
              <w:rPr>
                <w:color w:val="000000"/>
              </w:rPr>
              <w:t>l</w:t>
            </w:r>
            <w:r w:rsidRPr="000107B0">
              <w:rPr>
                <w:color w:val="000000"/>
              </w:rPr>
              <w:t>etecky</w:t>
            </w:r>
            <w:r w:rsidRPr="001A49C8">
              <w:t xml:space="preserve"> prostredníctvom zmluvného prepravcu Ministerstva obrany SR alebo s využitím projektu MCCE/ATARES, prípadne vlastnými leteckými dopravnými prostriedkami (Alenia C-27J Spartan). Železničná preprava vojenskej techniky a materiálu  bude vykonaná prostredníctvom zmluvného prepravcu Ministerstva obrany SR alebo s využitím projektu MCCE/SEOS. Cestné presuny budú vykonané s využitím pozemnej techniky zoradenej do určených vojenských kolón;</w:t>
            </w:r>
          </w:p>
          <w:p w:rsidR="00911405" w:rsidRPr="001A49C8" w:rsidP="001936F1">
            <w:pPr>
              <w:pStyle w:val="NormalWeb"/>
              <w:numPr>
                <w:ilvl w:val="0"/>
                <w:numId w:val="34"/>
              </w:numPr>
              <w:spacing w:before="0" w:beforeAutospacing="0" w:after="200" w:afterAutospacing="0" w:line="276" w:lineRule="auto"/>
              <w:jc w:val="both"/>
              <w:rPr>
                <w:color w:val="000000"/>
              </w:rPr>
            </w:pPr>
            <w:r w:rsidRPr="001A49C8" w:rsidR="001F6C0E">
              <w:rPr>
                <w:color w:val="000000"/>
              </w:rPr>
              <w:t xml:space="preserve">s vojenskou </w:t>
            </w:r>
            <w:r w:rsidRPr="001A49C8">
              <w:rPr>
                <w:color w:val="000000"/>
              </w:rPr>
              <w:t xml:space="preserve">výzbrojou, vojenskou </w:t>
            </w:r>
            <w:r w:rsidRPr="001A49C8" w:rsidR="001F6C0E">
              <w:rPr>
                <w:color w:val="000000"/>
              </w:rPr>
              <w:t>technikou a vojenským materi</w:t>
            </w:r>
            <w:r w:rsidRPr="001A49C8">
              <w:rPr>
                <w:color w:val="000000"/>
              </w:rPr>
              <w:t>álom uvedeným v Prílohe 1 tohto návrhu</w:t>
            </w:r>
            <w:r w:rsidRPr="001A49C8" w:rsidR="00FE1598">
              <w:rPr>
                <w:color w:val="000000"/>
              </w:rPr>
              <w:t>;</w:t>
            </w:r>
          </w:p>
          <w:p w:rsidR="00147920" w:rsidRPr="001A49C8" w:rsidP="001936F1">
            <w:pPr>
              <w:pStyle w:val="NormalWeb"/>
              <w:numPr>
                <w:ilvl w:val="0"/>
                <w:numId w:val="34"/>
              </w:numPr>
              <w:spacing w:before="0" w:beforeAutospacing="0" w:after="200" w:afterAutospacing="0" w:line="276" w:lineRule="auto"/>
              <w:jc w:val="both"/>
              <w:rPr>
                <w:color w:val="000000"/>
              </w:rPr>
            </w:pPr>
            <w:r w:rsidRPr="001A49C8">
              <w:rPr>
                <w:color w:val="000000"/>
              </w:rPr>
              <w:t>s</w:t>
            </w:r>
            <w:r w:rsidR="00724C52">
              <w:rPr>
                <w:color w:val="000000"/>
              </w:rPr>
              <w:t>o zabezpečením</w:t>
            </w:r>
            <w:r w:rsidRPr="001A49C8">
              <w:rPr>
                <w:color w:val="000000"/>
              </w:rPr>
              <w:t xml:space="preserve"> poskytovan</w:t>
            </w:r>
            <w:r w:rsidR="00724C52">
              <w:rPr>
                <w:color w:val="000000"/>
              </w:rPr>
              <w:t xml:space="preserve">ia </w:t>
            </w:r>
            <w:r w:rsidRPr="001A49C8">
              <w:rPr>
                <w:color w:val="000000"/>
              </w:rPr>
              <w:t>služieb na národnej úrovni</w:t>
            </w:r>
            <w:r w:rsidRPr="001A49C8" w:rsidR="00555861">
              <w:rPr>
                <w:color w:val="000000"/>
              </w:rPr>
              <w:t xml:space="preserve"> (SR)</w:t>
            </w:r>
            <w:r w:rsidRPr="001A49C8">
              <w:rPr>
                <w:color w:val="000000"/>
              </w:rPr>
              <w:t xml:space="preserve">  s výnimkou, ak  na základe </w:t>
            </w:r>
            <w:r w:rsidR="00724C52">
              <w:rPr>
                <w:color w:val="000000"/>
              </w:rPr>
              <w:t xml:space="preserve">platného </w:t>
            </w:r>
            <w:r w:rsidRPr="001A49C8">
              <w:rPr>
                <w:color w:val="000000"/>
              </w:rPr>
              <w:t xml:space="preserve">medzinárodného zmluvného dokumentu alebo naň nadväzujúceho vykonávacieho dokumentu prevezme </w:t>
            </w:r>
            <w:r w:rsidR="00724C52">
              <w:rPr>
                <w:color w:val="000000"/>
              </w:rPr>
              <w:t>zodpovednosť za toto zabezpečenie alebo jeho časť</w:t>
            </w:r>
            <w:r w:rsidRPr="001A49C8">
              <w:rPr>
                <w:color w:val="000000"/>
              </w:rPr>
              <w:t xml:space="preserve"> zahraničný partner;  </w:t>
            </w:r>
          </w:p>
          <w:p w:rsidR="00724C52" w:rsidP="001936F1">
            <w:pPr>
              <w:pStyle w:val="NormalWeb"/>
              <w:numPr>
                <w:ilvl w:val="0"/>
                <w:numId w:val="34"/>
              </w:numPr>
              <w:spacing w:before="0" w:beforeAutospacing="0" w:after="200" w:afterAutospacing="0" w:line="276" w:lineRule="auto"/>
              <w:jc w:val="both"/>
              <w:rPr>
                <w:color w:val="000000"/>
              </w:rPr>
            </w:pPr>
            <w:r w:rsidRPr="001A49C8" w:rsidR="00E45833">
              <w:rPr>
                <w:color w:val="000000"/>
              </w:rPr>
              <w:t>so z</w:t>
            </w:r>
            <w:r w:rsidRPr="001A49C8" w:rsidR="0013260E">
              <w:rPr>
                <w:color w:val="000000"/>
              </w:rPr>
              <w:t>otrvaním pod národným velením</w:t>
            </w:r>
            <w:r w:rsidR="00236AF9">
              <w:rPr>
                <w:color w:val="000000"/>
              </w:rPr>
              <w:t xml:space="preserve"> </w:t>
            </w:r>
            <w:r w:rsidRPr="00F50835" w:rsidR="00236AF9">
              <w:rPr>
                <w:color w:val="000000"/>
              </w:rPr>
              <w:t>SR</w:t>
            </w:r>
            <w:r w:rsidRPr="001A49C8" w:rsidR="0013260E">
              <w:rPr>
                <w:color w:val="000000"/>
              </w:rPr>
              <w:t xml:space="preserve">, t. j. pod velením </w:t>
            </w:r>
            <w:r w:rsidRPr="001A49C8" w:rsidR="009639DD">
              <w:rPr>
                <w:color w:val="000000"/>
              </w:rPr>
              <w:t xml:space="preserve">tzv. národných </w:t>
            </w:r>
            <w:r w:rsidRPr="001A49C8" w:rsidR="0013260E">
              <w:rPr>
                <w:color w:val="000000"/>
              </w:rPr>
              <w:t>autorít</w:t>
            </w:r>
            <w:r w:rsidRPr="001A49C8" w:rsidR="00E45833">
              <w:rPr>
                <w:color w:val="000000"/>
              </w:rPr>
              <w:t xml:space="preserve"> </w:t>
            </w:r>
            <w:r w:rsidRPr="001A49C8" w:rsidR="009639DD">
              <w:rPr>
                <w:color w:val="000000"/>
              </w:rPr>
              <w:t>v súlade s právnym poriadkom SR</w:t>
            </w:r>
            <w:r w:rsidRPr="001A49C8" w:rsidR="001A49C8">
              <w:rPr>
                <w:color w:val="00B050"/>
              </w:rPr>
              <w:t xml:space="preserve"> </w:t>
            </w:r>
            <w:r w:rsidRPr="00F50835" w:rsidR="00236AF9">
              <w:rPr>
                <w:color w:val="000000"/>
              </w:rPr>
              <w:t>a</w:t>
            </w:r>
            <w:r>
              <w:rPr>
                <w:color w:val="000000"/>
              </w:rPr>
              <w:t xml:space="preserve"> plnením úloh pod </w:t>
            </w:r>
            <w:r w:rsidRPr="00F50835" w:rsidR="001A49C8">
              <w:rPr>
                <w:color w:val="000000"/>
              </w:rPr>
              <w:t xml:space="preserve">taktickým </w:t>
            </w:r>
            <w:r w:rsidRPr="00F50835" w:rsidR="00660C3D">
              <w:rPr>
                <w:color w:val="000000"/>
              </w:rPr>
              <w:t>riadením</w:t>
            </w:r>
            <w:r w:rsidRPr="00F50835" w:rsidR="001A49C8">
              <w:rPr>
                <w:color w:val="000000"/>
              </w:rPr>
              <w:t xml:space="preserve"> veliteľa </w:t>
            </w:r>
            <w:r w:rsidR="0064495A">
              <w:rPr>
                <w:color w:val="000000"/>
              </w:rPr>
              <w:t>bojovej skupiny</w:t>
            </w:r>
            <w:r>
              <w:rPr>
                <w:color w:val="000000"/>
              </w:rPr>
              <w:t>;</w:t>
            </w:r>
          </w:p>
          <w:p w:rsidR="001F6C0E" w:rsidRPr="00622580" w:rsidP="001936F1">
            <w:pPr>
              <w:pStyle w:val="NormalWeb"/>
              <w:numPr>
                <w:ilvl w:val="0"/>
                <w:numId w:val="34"/>
              </w:numPr>
              <w:spacing w:before="0" w:beforeAutospacing="0" w:after="200" w:afterAutospacing="0" w:line="276" w:lineRule="auto"/>
              <w:jc w:val="both"/>
              <w:rPr>
                <w:color w:val="000000"/>
              </w:rPr>
            </w:pPr>
            <w:r w:rsidRPr="001A49C8" w:rsidR="001A49C8">
              <w:rPr>
                <w:color w:val="00B050"/>
              </w:rPr>
              <w:t xml:space="preserve"> </w:t>
            </w:r>
            <w:r w:rsidRPr="001A49C8" w:rsidR="00147920">
              <w:rPr>
                <w:color w:val="000000"/>
              </w:rPr>
              <w:t>s tým, že spolu</w:t>
            </w:r>
            <w:r w:rsidRPr="001A49C8" w:rsidR="0013260E">
              <w:rPr>
                <w:color w:val="000000"/>
              </w:rPr>
              <w:t>práca s príslušnými orgánmi NATO</w:t>
            </w:r>
            <w:r w:rsidRPr="001A49C8" w:rsidR="009639DD">
              <w:rPr>
                <w:color w:val="000000"/>
              </w:rPr>
              <w:t>, ako aj</w:t>
            </w:r>
            <w:r w:rsidRPr="001A49C8" w:rsidR="0013260E">
              <w:rPr>
                <w:color w:val="000000"/>
              </w:rPr>
              <w:t xml:space="preserve"> zahraničnými partnermi </w:t>
            </w:r>
            <w:r w:rsidRPr="00F50835" w:rsidR="0013260E">
              <w:rPr>
                <w:color w:val="000000"/>
              </w:rPr>
              <w:t>v oblasti</w:t>
            </w:r>
            <w:r w:rsidRPr="00F50835" w:rsidR="009639DD">
              <w:rPr>
                <w:color w:val="000000"/>
              </w:rPr>
              <w:t>ach</w:t>
            </w:r>
            <w:r w:rsidRPr="00F50835" w:rsidR="0013260E">
              <w:rPr>
                <w:color w:val="000000"/>
              </w:rPr>
              <w:t xml:space="preserve"> </w:t>
            </w:r>
            <w:r w:rsidRPr="00F50835" w:rsidR="009639DD">
              <w:rPr>
                <w:color w:val="000000"/>
              </w:rPr>
              <w:t>riadenia, činnosti</w:t>
            </w:r>
            <w:r w:rsidR="00587D43">
              <w:rPr>
                <w:color w:val="00B050"/>
              </w:rPr>
              <w:t xml:space="preserve"> </w:t>
            </w:r>
            <w:r w:rsidRPr="001A49C8" w:rsidR="009639DD">
              <w:rPr>
                <w:color w:val="000000"/>
              </w:rPr>
              <w:t xml:space="preserve"> a </w:t>
            </w:r>
            <w:r w:rsidRPr="001A49C8" w:rsidR="0013260E">
              <w:rPr>
                <w:color w:val="000000"/>
              </w:rPr>
              <w:t>zabezpečenia príslušníkov ozbrojených síl</w:t>
            </w:r>
            <w:r w:rsidRPr="001A49C8" w:rsidR="009639DD">
              <w:rPr>
                <w:color w:val="000000"/>
              </w:rPr>
              <w:t xml:space="preserve"> SR počas ich pôsobenia mimo územia SR </w:t>
            </w:r>
            <w:r w:rsidR="00724C52">
              <w:rPr>
                <w:color w:val="000000"/>
              </w:rPr>
              <w:t xml:space="preserve">bude </w:t>
            </w:r>
            <w:r w:rsidRPr="001A49C8" w:rsidR="009639DD">
              <w:rPr>
                <w:color w:val="000000"/>
              </w:rPr>
              <w:t xml:space="preserve">v súlade s týmto návrhom  zabezpečená </w:t>
            </w:r>
            <w:r w:rsidR="00724C52">
              <w:rPr>
                <w:color w:val="000000"/>
              </w:rPr>
              <w:t xml:space="preserve">prostredníctvom </w:t>
            </w:r>
            <w:r w:rsidRPr="001A49C8" w:rsidR="009639DD">
              <w:rPr>
                <w:color w:val="000000"/>
              </w:rPr>
              <w:t>Ministerstv</w:t>
            </w:r>
            <w:r w:rsidR="00724C52">
              <w:rPr>
                <w:color w:val="000000"/>
              </w:rPr>
              <w:t xml:space="preserve">a </w:t>
            </w:r>
            <w:r w:rsidRPr="001A49C8" w:rsidR="009639DD">
              <w:rPr>
                <w:color w:val="000000"/>
              </w:rPr>
              <w:t>obrany SR</w:t>
            </w:r>
            <w:r w:rsidR="00724C52">
              <w:rPr>
                <w:color w:val="000000"/>
              </w:rPr>
              <w:t xml:space="preserve"> a </w:t>
            </w:r>
            <w:r w:rsidRPr="001A49C8" w:rsidR="00724C52">
              <w:rPr>
                <w:color w:val="000000"/>
              </w:rPr>
              <w:t>ozbrojený</w:t>
            </w:r>
            <w:r w:rsidR="00724C52">
              <w:rPr>
                <w:color w:val="000000"/>
              </w:rPr>
              <w:t>ch</w:t>
            </w:r>
            <w:r w:rsidRPr="001A49C8" w:rsidR="00724C52">
              <w:rPr>
                <w:color w:val="000000"/>
              </w:rPr>
              <w:t xml:space="preserve"> s</w:t>
            </w:r>
            <w:r w:rsidR="00724C52">
              <w:rPr>
                <w:color w:val="000000"/>
              </w:rPr>
              <w:t>íl</w:t>
            </w:r>
            <w:r w:rsidRPr="001A49C8" w:rsidR="00724C52">
              <w:rPr>
                <w:color w:val="000000"/>
              </w:rPr>
              <w:t xml:space="preserve"> SR</w:t>
            </w:r>
            <w:r w:rsidRPr="001A49C8" w:rsidR="005A0042">
              <w:rPr>
                <w:color w:val="000000"/>
              </w:rPr>
              <w:t>.</w:t>
            </w:r>
            <w:r w:rsidR="00587D43">
              <w:rPr>
                <w:color w:val="00B050"/>
              </w:rPr>
              <w:t xml:space="preserve"> </w:t>
            </w:r>
          </w:p>
          <w:p w:rsidR="00622580" w:rsidRPr="001A49C8" w:rsidP="00D81FED">
            <w:pPr>
              <w:pStyle w:val="NormalWeb"/>
              <w:spacing w:before="0" w:beforeAutospacing="0" w:after="200" w:afterAutospacing="0" w:line="276" w:lineRule="auto"/>
              <w:ind w:left="1080"/>
              <w:jc w:val="both"/>
              <w:rPr>
                <w:color w:val="000000"/>
              </w:rPr>
            </w:pPr>
          </w:p>
          <w:p w:rsidR="005C3158" w:rsidRPr="001A49C8" w:rsidP="00CF7A63">
            <w:pPr>
              <w:pStyle w:val="NormalWeb"/>
              <w:spacing w:before="0" w:beforeAutospacing="0" w:after="200" w:afterAutospacing="0" w:line="276" w:lineRule="auto"/>
              <w:ind w:left="360" w:hanging="360"/>
              <w:jc w:val="both"/>
              <w:rPr>
                <w:u w:val="single"/>
              </w:rPr>
            </w:pPr>
            <w:r w:rsidRPr="001A49C8" w:rsidR="001A3BAE">
              <w:t xml:space="preserve">3. </w:t>
            </w:r>
            <w:r w:rsidRPr="001A49C8" w:rsidR="002A32E5">
              <w:t xml:space="preserve">       </w:t>
            </w:r>
            <w:r w:rsidRPr="001A49C8" w:rsidR="001A3BAE">
              <w:rPr>
                <w:u w:val="single"/>
              </w:rPr>
              <w:t>Právne aspekty návrhu</w:t>
            </w:r>
            <w:r w:rsidRPr="001A49C8">
              <w:t> </w:t>
            </w:r>
          </w:p>
          <w:p w:rsidR="00FE1598" w:rsidRPr="001A49C8" w:rsidP="00CF7A63">
            <w:pPr>
              <w:pStyle w:val="NormalWeb"/>
              <w:spacing w:before="120" w:beforeAutospacing="0" w:after="200" w:afterAutospacing="0" w:line="276" w:lineRule="auto"/>
              <w:ind w:firstLine="709"/>
              <w:jc w:val="both"/>
              <w:rPr>
                <w:color w:val="000000"/>
              </w:rPr>
            </w:pPr>
            <w:r w:rsidR="00E8515C">
              <w:rPr>
                <w:color w:val="000000"/>
              </w:rPr>
              <w:t>Predmetným vy</w:t>
            </w:r>
            <w:r w:rsidR="002107E6">
              <w:rPr>
                <w:color w:val="000000"/>
              </w:rPr>
              <w:t>s</w:t>
            </w:r>
            <w:r w:rsidR="001936F1">
              <w:rPr>
                <w:color w:val="000000"/>
              </w:rPr>
              <w:t xml:space="preserve">laním príslušníkov ozbrojených síl SR sa zabezpečuje pokračovanie príspevku SR </w:t>
            </w:r>
            <w:r w:rsidR="003715DF">
              <w:rPr>
                <w:color w:val="000000"/>
              </w:rPr>
              <w:t>v rámci</w:t>
            </w:r>
            <w:r w:rsidR="001936F1">
              <w:rPr>
                <w:color w:val="000000"/>
              </w:rPr>
              <w:t xml:space="preserve"> eFP </w:t>
            </w:r>
            <w:r w:rsidR="003715DF">
              <w:rPr>
                <w:color w:val="000000"/>
              </w:rPr>
              <w:t xml:space="preserve">v termíne od 1. júla 2019 do 30. júna 2020, t. j. nepretržite </w:t>
            </w:r>
            <w:r w:rsidR="001936F1">
              <w:rPr>
                <w:color w:val="000000"/>
              </w:rPr>
              <w:t>po ukončení ich pôsobenia na základe uznesenia Národnej rady SR č. 1164 zo dňa 16. mája 2018.</w:t>
            </w:r>
          </w:p>
          <w:p w:rsidR="00DA7CCE" w:rsidRPr="001A49C8" w:rsidP="00CF7A63">
            <w:pPr>
              <w:pStyle w:val="NormalWeb"/>
              <w:spacing w:before="120" w:beforeAutospacing="0" w:after="200" w:afterAutospacing="0" w:line="276" w:lineRule="auto"/>
              <w:ind w:firstLine="709"/>
              <w:jc w:val="both"/>
              <w:rPr>
                <w:color w:val="000000"/>
              </w:rPr>
            </w:pPr>
            <w:r w:rsidRPr="001A49C8" w:rsidR="00DF2B78">
              <w:rPr>
                <w:color w:val="000000"/>
              </w:rPr>
              <w:t>P</w:t>
            </w:r>
            <w:r w:rsidRPr="001A49C8" w:rsidR="00FE1598">
              <w:rPr>
                <w:color w:val="000000"/>
              </w:rPr>
              <w:t>redmetný návrh podľa § 12 ods. 4 zákona č. 321/2002 Z. z. o ozbrojených silách SR v znení neskorších predpisov u</w:t>
            </w:r>
            <w:r w:rsidRPr="001A49C8" w:rsidR="00DF2B78">
              <w:rPr>
                <w:color w:val="000000"/>
              </w:rPr>
              <w:t>možňuje</w:t>
            </w:r>
            <w:r w:rsidRPr="001A49C8" w:rsidR="00FE1598">
              <w:rPr>
                <w:color w:val="000000"/>
              </w:rPr>
              <w:t xml:space="preserve"> vysla</w:t>
            </w:r>
            <w:r w:rsidRPr="001A49C8" w:rsidR="00DF2B78">
              <w:rPr>
                <w:color w:val="000000"/>
              </w:rPr>
              <w:t>ť</w:t>
            </w:r>
            <w:r w:rsidRPr="001A49C8" w:rsidR="00FE1598">
              <w:rPr>
                <w:color w:val="000000"/>
              </w:rPr>
              <w:t xml:space="preserve"> príslušníkov ozbrojených síl SR </w:t>
            </w:r>
            <w:r w:rsidRPr="001A49C8" w:rsidR="00DF2B78">
              <w:rPr>
                <w:color w:val="000000"/>
              </w:rPr>
              <w:t xml:space="preserve">na plnenie úloh v rámci medzinárodnej spolupráce s ozbrojenými silami iných štátov v súlade s § 11 </w:t>
            </w:r>
            <w:r w:rsidRPr="00CC3E7F" w:rsidR="00302F7E">
              <w:rPr>
                <w:color w:val="000000"/>
              </w:rPr>
              <w:t>ods. 1</w:t>
            </w:r>
            <w:r w:rsidR="00302F7E">
              <w:rPr>
                <w:color w:val="000000"/>
              </w:rPr>
              <w:t xml:space="preserve"> </w:t>
            </w:r>
            <w:r w:rsidRPr="001A49C8" w:rsidR="00DF2B78">
              <w:rPr>
                <w:color w:val="000000"/>
              </w:rPr>
              <w:t>tohto zákona.</w:t>
            </w:r>
            <w:r w:rsidRPr="001A49C8" w:rsidR="00FE1598">
              <w:rPr>
                <w:color w:val="000000"/>
              </w:rPr>
              <w:t xml:space="preserve"> </w:t>
            </w:r>
          </w:p>
          <w:p w:rsidR="00DF2B78" w:rsidRPr="001A49C8" w:rsidP="00CF7A63">
            <w:pPr>
              <w:pStyle w:val="NormalWeb"/>
              <w:spacing w:before="0" w:beforeAutospacing="0" w:after="200" w:afterAutospacing="0" w:line="276" w:lineRule="auto"/>
              <w:jc w:val="both"/>
              <w:rPr>
                <w:color w:val="000000"/>
              </w:rPr>
            </w:pPr>
            <w:r w:rsidRPr="001A49C8">
              <w:rPr>
                <w:color w:val="000000"/>
              </w:rPr>
              <w:t xml:space="preserve">             Pôsobenie príslušníkov ozbrojených síl SR v rámci kolektívnej obrany členských štátov NATO na základe čl. 5 Severoatlantickej zmluvy je podmienené osobitným rozhodnutím ústavného orgánu SR za podmienok stanovených právnym poriadkom SR a medzinárodným právom. </w:t>
            </w:r>
          </w:p>
          <w:p w:rsidR="00DF2B78" w:rsidRPr="001A49C8" w:rsidP="00CF7A63">
            <w:pPr>
              <w:pStyle w:val="NormalWeb"/>
              <w:spacing w:before="120" w:beforeAutospacing="0" w:after="200" w:afterAutospacing="0" w:line="276" w:lineRule="auto"/>
              <w:ind w:firstLine="709"/>
              <w:jc w:val="both"/>
            </w:pPr>
            <w:r w:rsidRPr="001A49C8" w:rsidR="00A2003E">
              <w:t>Vyslovenie súhlasu s predmetným vyslaním príslušníkov ozbrojených síl S</w:t>
            </w:r>
            <w:r w:rsidRPr="001A49C8">
              <w:t>R</w:t>
            </w:r>
            <w:r w:rsidRPr="001A49C8" w:rsidR="00A2003E">
              <w:t xml:space="preserve"> patrí na základe článku 86 písm. l) Ústavy S</w:t>
            </w:r>
            <w:r w:rsidRPr="001A49C8">
              <w:t>R</w:t>
            </w:r>
            <w:r w:rsidRPr="001A49C8" w:rsidR="00A2003E">
              <w:t xml:space="preserve"> do pôsobnosti Národnej rady S</w:t>
            </w:r>
            <w:r w:rsidRPr="001A49C8">
              <w:t>R</w:t>
            </w:r>
            <w:r w:rsidRPr="001A49C8" w:rsidR="00A2003E">
              <w:t>, keďže nejde o účel vyslania vymedzený Ústavou S</w:t>
            </w:r>
            <w:r w:rsidRPr="001A49C8">
              <w:t>R</w:t>
            </w:r>
            <w:r w:rsidRPr="001A49C8" w:rsidR="00A2003E">
              <w:t xml:space="preserve"> do rozhodovacej právomoci vlády S</w:t>
            </w:r>
            <w:r w:rsidRPr="001A49C8">
              <w:t>R</w:t>
            </w:r>
            <w:r w:rsidRPr="001A49C8" w:rsidR="00555861">
              <w:t>.</w:t>
            </w:r>
          </w:p>
          <w:p w:rsidR="00DF2B78" w:rsidRPr="00587D43" w:rsidP="00CF7A63">
            <w:pPr>
              <w:pStyle w:val="NormalWeb"/>
              <w:spacing w:before="120" w:beforeAutospacing="0" w:after="200" w:afterAutospacing="0" w:line="276" w:lineRule="auto"/>
              <w:ind w:firstLine="709"/>
              <w:jc w:val="both"/>
              <w:rPr>
                <w:color w:val="00B050"/>
              </w:rPr>
            </w:pPr>
            <w:r w:rsidRPr="001A49C8" w:rsidR="00B07329">
              <w:t>Status príslušníkov ozbrojených síl SR na území štátov vyslania sa riadi Zmluvou medzi štátmi, ktoré sú zmluvnými stranami Severoatlantickej zmluvy, vzťahujúcou sa na status ich ozbrojených síl, uzatvorenou v Londýne 19. júna 1951</w:t>
            </w:r>
            <w:r w:rsidR="00724C52">
              <w:t xml:space="preserve"> a bilaterálnymi medzinárodnými zmluvami alebo medzinárodnými zmluvnými dokumentmi</w:t>
            </w:r>
            <w:r w:rsidRPr="001A49C8" w:rsidR="00B07329">
              <w:t xml:space="preserve">. </w:t>
            </w:r>
            <w:r w:rsidR="00724C52">
              <w:t>Konkrétne p</w:t>
            </w:r>
            <w:r w:rsidRPr="001A49C8">
              <w:t xml:space="preserve">odmienky pôsobenia príslušníkov ozbrojených síl SR v mieste ich vyslania budú upravené </w:t>
            </w:r>
            <w:r w:rsidR="00724C52">
              <w:t xml:space="preserve">osobitnými </w:t>
            </w:r>
            <w:r w:rsidRPr="001A49C8">
              <w:t>medzinárodnými zmluvnými dokumentmi.</w:t>
            </w:r>
            <w:r w:rsidR="00587D43">
              <w:t xml:space="preserve"> </w:t>
            </w:r>
          </w:p>
          <w:p w:rsidR="00AD5A17" w:rsidRPr="008A64BF" w:rsidP="00CF7A63">
            <w:pPr>
              <w:spacing w:line="276" w:lineRule="auto"/>
              <w:rPr>
                <w:rFonts w:ascii="Garamond" w:hAnsi="Garamond"/>
                <w:b/>
                <w:u w:val="single"/>
              </w:rPr>
            </w:pPr>
          </w:p>
        </w:tc>
      </w:tr>
    </w:tbl>
    <w:p w:rsidR="00CF7A63" w:rsidRPr="00120473" w:rsidP="002758C4">
      <w:pPr>
        <w:spacing w:line="276" w:lineRule="auto"/>
        <w:rPr>
          <w:i/>
        </w:rPr>
      </w:pPr>
      <w:r w:rsidRPr="00147920" w:rsidR="00147920">
        <w:rPr>
          <w:rFonts w:ascii="Garamond" w:hAnsi="Garamond"/>
          <w:b/>
        </w:rPr>
        <w:t xml:space="preserve">                                                       </w:t>
      </w:r>
    </w:p>
    <w:p w:rsidR="00CF7A63" w:rsidP="00CF7A63">
      <w:pPr>
        <w:spacing w:line="276" w:lineRule="auto"/>
        <w:rPr>
          <w:rFonts w:ascii="Garamond" w:hAnsi="Garamond"/>
        </w:rPr>
      </w:pPr>
    </w:p>
    <w:p w:rsidR="00287B6A" w:rsidP="00CF7A63">
      <w:pPr>
        <w:spacing w:line="276" w:lineRule="auto"/>
        <w:jc w:val="center"/>
        <w:rPr>
          <w:b/>
          <w:color w:val="000000"/>
          <w:u w:val="single"/>
        </w:rPr>
      </w:pPr>
    </w:p>
    <w:p w:rsidR="003715DF" w:rsidP="00CF7A63">
      <w:pPr>
        <w:spacing w:line="276" w:lineRule="auto"/>
        <w:jc w:val="center"/>
        <w:rPr>
          <w:b/>
          <w:color w:val="000000"/>
          <w:u w:val="single"/>
        </w:rPr>
      </w:pPr>
    </w:p>
    <w:p w:rsidR="003715DF" w:rsidP="00CF7A63">
      <w:pPr>
        <w:spacing w:line="276" w:lineRule="auto"/>
        <w:jc w:val="center"/>
        <w:rPr>
          <w:b/>
          <w:color w:val="000000"/>
          <w:u w:val="single"/>
        </w:rPr>
      </w:pPr>
    </w:p>
    <w:p w:rsidR="003715DF" w:rsidP="00CF7A63">
      <w:pPr>
        <w:spacing w:line="276" w:lineRule="auto"/>
        <w:jc w:val="center"/>
        <w:rPr>
          <w:b/>
          <w:color w:val="000000"/>
          <w:u w:val="single"/>
        </w:rPr>
      </w:pPr>
    </w:p>
    <w:p w:rsidR="00287B6A" w:rsidP="00CF7A63">
      <w:pPr>
        <w:spacing w:line="276" w:lineRule="auto"/>
        <w:jc w:val="center"/>
        <w:rPr>
          <w:b/>
          <w:color w:val="000000"/>
          <w:u w:val="single"/>
        </w:rPr>
      </w:pPr>
    </w:p>
    <w:p w:rsidR="000107B0" w:rsidRPr="00147920" w:rsidP="00D03AF9">
      <w:pPr>
        <w:spacing w:line="276" w:lineRule="auto"/>
        <w:jc w:val="center"/>
        <w:rPr>
          <w:rFonts w:ascii="Garamond" w:hAnsi="Garamond"/>
          <w:b/>
        </w:rPr>
      </w:pPr>
      <w:r w:rsidRPr="00147920">
        <w:rPr>
          <w:rFonts w:ascii="Garamond" w:hAnsi="Garamond"/>
          <w:b/>
        </w:rPr>
        <w:t xml:space="preserve">PRÍLOHA </w:t>
      </w:r>
      <w:r>
        <w:rPr>
          <w:rFonts w:ascii="Garamond" w:hAnsi="Garamond"/>
          <w:b/>
        </w:rPr>
        <w:t>č</w:t>
      </w:r>
      <w:r w:rsidRPr="00147920">
        <w:rPr>
          <w:rFonts w:ascii="Garamond" w:hAnsi="Garamond"/>
          <w:b/>
        </w:rPr>
        <w:t>. 1</w:t>
      </w:r>
    </w:p>
    <w:p w:rsidR="000107B0" w:rsidP="000107B0">
      <w:pPr>
        <w:spacing w:line="276" w:lineRule="auto"/>
        <w:jc w:val="center"/>
        <w:rPr>
          <w:rFonts w:ascii="Garamond" w:hAnsi="Garamond"/>
        </w:rPr>
      </w:pPr>
    </w:p>
    <w:p w:rsidR="000107B0" w:rsidRPr="00120473" w:rsidP="000107B0">
      <w:pPr>
        <w:spacing w:line="276" w:lineRule="auto"/>
        <w:jc w:val="center"/>
        <w:rPr>
          <w:i/>
        </w:rPr>
      </w:pPr>
      <w:r w:rsidRPr="00CF7A63">
        <w:rPr>
          <w:rFonts w:ascii="Garamond" w:hAnsi="Garamond"/>
          <w:i/>
        </w:rPr>
        <w:t xml:space="preserve">k </w:t>
      </w:r>
      <w:r w:rsidRPr="00CF7A63">
        <w:rPr>
          <w:i/>
        </w:rPr>
        <w:t>Návrhu na vyslanie príslušníkov ozbrojených síl Slovenskej republiky v rámci Posilnenej predsunutej prítomnosti NATO do Lotyšskej republiky, Litovskej republiky, Estónskej republiky a Poľskej republiky</w:t>
      </w:r>
    </w:p>
    <w:p w:rsidR="000107B0" w:rsidP="000107B0">
      <w:pPr>
        <w:rPr>
          <w:rFonts w:ascii="Garamond" w:hAnsi="Garamond"/>
          <w:b/>
          <w:color w:val="000000"/>
          <w:u w:val="single"/>
        </w:rPr>
      </w:pPr>
    </w:p>
    <w:p w:rsidR="000107B0" w:rsidP="000107B0">
      <w:pPr>
        <w:rPr>
          <w:rFonts w:ascii="Garamond" w:hAnsi="Garamond"/>
          <w:b/>
          <w:color w:val="000000"/>
          <w:u w:val="single"/>
        </w:rPr>
      </w:pPr>
    </w:p>
    <w:p w:rsidR="000107B0" w:rsidP="000107B0">
      <w:pPr>
        <w:spacing w:line="276" w:lineRule="auto"/>
        <w:rPr>
          <w:rFonts w:ascii="Garamond" w:hAnsi="Garamond"/>
        </w:rPr>
      </w:pPr>
    </w:p>
    <w:p w:rsidR="000107B0" w:rsidP="000107B0">
      <w:pPr>
        <w:spacing w:line="276" w:lineRule="auto"/>
        <w:jc w:val="center"/>
        <w:rPr>
          <w:b/>
          <w:color w:val="000000"/>
          <w:u w:val="single"/>
        </w:rPr>
      </w:pPr>
      <w:r w:rsidRPr="00CF7A63">
        <w:rPr>
          <w:b/>
          <w:color w:val="000000"/>
          <w:u w:val="single"/>
        </w:rPr>
        <w:t>Vojenská výzbroj, vojenská technika a vojenský materiál</w:t>
      </w:r>
    </w:p>
    <w:p w:rsidR="000107B0" w:rsidP="000107B0">
      <w:pPr>
        <w:spacing w:line="276" w:lineRule="auto"/>
        <w:jc w:val="center"/>
        <w:rPr>
          <w:b/>
          <w:color w:val="000000"/>
          <w:u w:val="single"/>
        </w:rPr>
      </w:pPr>
    </w:p>
    <w:p w:rsidR="000107B0" w:rsidP="000107B0">
      <w:pPr>
        <w:spacing w:line="276" w:lineRule="auto"/>
        <w:jc w:val="both"/>
        <w:rPr>
          <w:b/>
          <w:color w:val="000000"/>
          <w:u w:val="single"/>
        </w:rPr>
      </w:pPr>
    </w:p>
    <w:p w:rsidR="000107B0" w:rsidRPr="00F50835" w:rsidP="000107B0">
      <w:pPr>
        <w:spacing w:line="276" w:lineRule="auto"/>
        <w:jc w:val="both"/>
        <w:rPr>
          <w:b/>
          <w:color w:val="000000"/>
        </w:rPr>
      </w:pPr>
      <w:r w:rsidRPr="00F50835">
        <w:rPr>
          <w:b/>
          <w:color w:val="000000"/>
        </w:rPr>
        <w:t>Zoznam techniky</w:t>
      </w:r>
      <w:r>
        <w:rPr>
          <w:b/>
          <w:color w:val="000000"/>
        </w:rPr>
        <w:t>:</w:t>
      </w:r>
    </w:p>
    <w:p w:rsidR="000107B0" w:rsidP="000107B0">
      <w:pPr>
        <w:spacing w:line="276" w:lineRule="auto"/>
        <w:jc w:val="both"/>
        <w:rPr>
          <w:color w:val="000000"/>
        </w:rPr>
      </w:pPr>
      <w:r w:rsidRPr="00F50835">
        <w:rPr>
          <w:color w:val="000000"/>
        </w:rPr>
        <w:t xml:space="preserve">            </w:t>
      </w:r>
      <w:r>
        <w:rPr>
          <w:color w:val="000000"/>
        </w:rPr>
        <w:t>d</w:t>
      </w:r>
      <w:r w:rsidRPr="00F50835">
        <w:rPr>
          <w:color w:val="000000"/>
        </w:rPr>
        <w:t>o 36 kolesovej techniky</w:t>
      </w:r>
    </w:p>
    <w:p w:rsidR="000107B0" w:rsidP="000107B0">
      <w:pPr>
        <w:spacing w:line="276" w:lineRule="auto"/>
        <w:jc w:val="both"/>
        <w:rPr>
          <w:b/>
          <w:color w:val="000000"/>
          <w:u w:val="single"/>
        </w:rPr>
      </w:pPr>
      <w:r>
        <w:rPr>
          <w:color w:val="000000"/>
        </w:rPr>
        <w:t xml:space="preserve">            do 17 pásovej techniky</w:t>
      </w:r>
    </w:p>
    <w:p w:rsidR="000107B0" w:rsidRPr="003668D4" w:rsidP="000107B0">
      <w:pPr>
        <w:rPr>
          <w:szCs w:val="20"/>
        </w:rPr>
      </w:pPr>
    </w:p>
    <w:p w:rsidR="000107B0" w:rsidRPr="003668D4" w:rsidP="000107B0">
      <w:pPr>
        <w:rPr>
          <w:b/>
        </w:rPr>
      </w:pPr>
      <w:r w:rsidRPr="003668D4">
        <w:rPr>
          <w:b/>
        </w:rPr>
        <w:t>Zoznam materiálu</w:t>
      </w:r>
      <w:r>
        <w:rPr>
          <w:b/>
        </w:rPr>
        <w:t xml:space="preserve"> (materiál mimo tabuliek počtov):</w:t>
      </w:r>
      <w:r w:rsidRPr="003668D4">
        <w:rPr>
          <w:b/>
        </w:rPr>
        <w:t xml:space="preserve"> </w:t>
      </w:r>
    </w:p>
    <w:p w:rsidR="000107B0" w:rsidRPr="003668D4" w:rsidP="000107B0">
      <w:pPr>
        <w:rPr>
          <w:bCs/>
        </w:rPr>
      </w:pPr>
      <w:r w:rsidRPr="003668D4">
        <w:t xml:space="preserve">            </w:t>
      </w:r>
      <w:r w:rsidRPr="003668D4">
        <w:rPr>
          <w:bCs/>
        </w:rPr>
        <w:t>2 ks súprava COLPRO PRO RDS</w:t>
      </w:r>
    </w:p>
    <w:p w:rsidR="000107B0" w:rsidRPr="003668D4" w:rsidP="000107B0">
      <w:pPr>
        <w:ind w:left="708"/>
        <w:jc w:val="both"/>
      </w:pPr>
      <w:r w:rsidRPr="003668D4">
        <w:rPr>
          <w:bCs/>
        </w:rPr>
        <w:t>6 ks špeciálny kontajner</w:t>
      </w:r>
      <w:r w:rsidRPr="003668D4">
        <w:t xml:space="preserve"> </w:t>
      </w:r>
    </w:p>
    <w:p w:rsidR="000107B0" w:rsidRPr="003668D4" w:rsidP="000107B0">
      <w:pPr>
        <w:ind w:firstLine="708"/>
        <w:rPr>
          <w:strike/>
        </w:rPr>
      </w:pPr>
      <w:r w:rsidRPr="003668D4">
        <w:rPr>
          <w:bCs/>
        </w:rPr>
        <w:t>5 ks kontajner ZT I</w:t>
      </w:r>
      <w:r w:rsidRPr="003668D4">
        <w:t xml:space="preserve">              </w:t>
      </w:r>
    </w:p>
    <w:p w:rsidR="000107B0" w:rsidRPr="003668D4" w:rsidP="000107B0">
      <w:pPr>
        <w:ind w:firstLine="708"/>
      </w:pPr>
      <w:r w:rsidRPr="003668D4">
        <w:rPr>
          <w:bCs/>
        </w:rPr>
        <w:t>4 ks kontajner ZT II</w:t>
      </w:r>
      <w:r w:rsidRPr="003668D4">
        <w:t xml:space="preserve">            </w:t>
      </w:r>
    </w:p>
    <w:p w:rsidR="000107B0" w:rsidRPr="003668D4" w:rsidP="000107B0">
      <w:pPr>
        <w:ind w:firstLine="708"/>
      </w:pPr>
      <w:r w:rsidRPr="003668D4">
        <w:rPr>
          <w:bCs/>
        </w:rPr>
        <w:t>1 ks kontajner ZT III</w:t>
      </w:r>
      <w:r w:rsidRPr="003668D4">
        <w:t xml:space="preserve">           </w:t>
      </w:r>
    </w:p>
    <w:p w:rsidR="000107B0" w:rsidRPr="003668D4" w:rsidP="000107B0">
      <w:pPr>
        <w:ind w:firstLine="708"/>
      </w:pPr>
      <w:r w:rsidRPr="003668D4">
        <w:rPr>
          <w:bCs/>
        </w:rPr>
        <w:t>8 ks kontajner ZT IV</w:t>
      </w:r>
      <w:r w:rsidRPr="003668D4">
        <w:t xml:space="preserve">           </w:t>
      </w:r>
    </w:p>
    <w:p w:rsidR="000107B0" w:rsidRPr="003668D4" w:rsidP="000107B0">
      <w:pPr>
        <w:ind w:firstLine="708"/>
        <w:rPr>
          <w:szCs w:val="20"/>
        </w:rPr>
      </w:pPr>
      <w:r w:rsidRPr="003668D4">
        <w:rPr>
          <w:bCs/>
        </w:rPr>
        <w:t>15 ks kontajner ZT V</w:t>
      </w:r>
      <w:r w:rsidRPr="003668D4">
        <w:t>         </w:t>
      </w:r>
    </w:p>
    <w:p w:rsidR="000107B0" w:rsidRPr="003668D4" w:rsidP="000107B0">
      <w:pPr>
        <w:rPr>
          <w:szCs w:val="20"/>
        </w:rPr>
      </w:pPr>
    </w:p>
    <w:p w:rsidR="000107B0" w:rsidRPr="003668D4" w:rsidP="000107B0">
      <w:pPr>
        <w:rPr>
          <w:b/>
          <w:szCs w:val="20"/>
        </w:rPr>
      </w:pPr>
      <w:r w:rsidRPr="003668D4">
        <w:rPr>
          <w:b/>
          <w:szCs w:val="20"/>
        </w:rPr>
        <w:t>Zoznam  munície:</w:t>
      </w:r>
    </w:p>
    <w:p w:rsidR="000107B0" w:rsidRPr="003668D4" w:rsidP="000107B0">
      <w:pPr>
        <w:ind w:firstLine="708"/>
      </w:pPr>
      <w:r w:rsidRPr="003668D4">
        <w:t>Výcviková munícia a munícia na zabezpečenie zásob (DOS).</w:t>
      </w:r>
    </w:p>
    <w:p w:rsidR="000107B0" w:rsidRPr="003668D4" w:rsidP="000107B0">
      <w:pPr>
        <w:rPr>
          <w:szCs w:val="20"/>
        </w:rPr>
      </w:pPr>
    </w:p>
    <w:p w:rsidR="000107B0" w:rsidRPr="003668D4" w:rsidP="000107B0">
      <w:pPr>
        <w:rPr>
          <w:b/>
          <w:szCs w:val="20"/>
        </w:rPr>
      </w:pPr>
      <w:r w:rsidRPr="003668D4">
        <w:rPr>
          <w:b/>
          <w:szCs w:val="20"/>
        </w:rPr>
        <w:t>Zoznam zbraní:</w:t>
      </w:r>
    </w:p>
    <w:p w:rsidR="000107B0" w:rsidRPr="003668D4" w:rsidP="000107B0">
      <w:pPr>
        <w:ind w:left="708"/>
        <w:jc w:val="both"/>
        <w:rPr>
          <w:bCs/>
        </w:rPr>
      </w:pPr>
      <w:r w:rsidRPr="003668D4">
        <w:rPr>
          <w:bCs/>
        </w:rPr>
        <w:t>do 35</w:t>
      </w:r>
      <w:r>
        <w:rPr>
          <w:bCs/>
        </w:rPr>
        <w:t>4</w:t>
      </w:r>
      <w:r w:rsidRPr="003668D4">
        <w:rPr>
          <w:bCs/>
        </w:rPr>
        <w:t xml:space="preserve"> ks ručných zbraní</w:t>
      </w:r>
    </w:p>
    <w:p w:rsidR="000107B0" w:rsidRPr="003668D4" w:rsidP="000107B0">
      <w:pPr>
        <w:ind w:left="708"/>
        <w:rPr>
          <w:bCs/>
        </w:rPr>
      </w:pPr>
      <w:r w:rsidRPr="003668D4">
        <w:rPr>
          <w:bCs/>
        </w:rPr>
        <w:t>2 ks mínomet</w:t>
      </w:r>
    </w:p>
    <w:p w:rsidR="000107B0" w:rsidRPr="003668D4" w:rsidP="000107B0">
      <w:pPr>
        <w:ind w:left="708"/>
        <w:rPr>
          <w:bCs/>
        </w:rPr>
      </w:pPr>
      <w:r w:rsidRPr="003668D4">
        <w:rPr>
          <w:bCs/>
        </w:rPr>
        <w:t>1 ks granátomet</w:t>
      </w:r>
    </w:p>
    <w:p w:rsidR="000107B0" w:rsidRPr="003668D4" w:rsidP="000107B0">
      <w:pPr>
        <w:ind w:left="708"/>
        <w:rPr>
          <w:bCs/>
        </w:rPr>
      </w:pPr>
      <w:r w:rsidRPr="003668D4">
        <w:rPr>
          <w:bCs/>
        </w:rPr>
        <w:t>2 ks odpaľovacie zariadenie PTRS</w:t>
      </w:r>
      <w:r>
        <w:rPr>
          <w:bCs/>
        </w:rPr>
        <w:t>.</w:t>
      </w:r>
    </w:p>
    <w:p w:rsidR="000107B0" w:rsidP="000107B0">
      <w:pPr>
        <w:spacing w:line="276" w:lineRule="auto"/>
        <w:rPr>
          <w:b/>
          <w:color w:val="000000"/>
          <w:u w:val="single"/>
        </w:rPr>
      </w:pPr>
    </w:p>
    <w:p w:rsidR="000107B0" w:rsidRPr="00C22C1C" w:rsidP="000107B0">
      <w:pPr>
        <w:spacing w:line="276" w:lineRule="auto"/>
        <w:jc w:val="both"/>
        <w:rPr>
          <w:rFonts w:ascii="Garamond" w:hAnsi="Garamond"/>
          <w:b/>
          <w:color w:val="000000"/>
          <w:u w:val="single"/>
        </w:rPr>
      </w:pPr>
    </w:p>
    <w:p w:rsidR="000107B0" w:rsidRPr="00C22C1C" w:rsidP="000107B0">
      <w:pPr>
        <w:rPr>
          <w:rFonts w:ascii="Garamond" w:hAnsi="Garamond"/>
          <w:b/>
          <w:color w:val="000000"/>
          <w:u w:val="single"/>
        </w:rPr>
      </w:pPr>
    </w:p>
    <w:p w:rsidR="000107B0" w:rsidP="000107B0">
      <w:pPr>
        <w:rPr>
          <w:rFonts w:ascii="Garamond" w:hAnsi="Garamond"/>
          <w:b/>
          <w:color w:val="000000"/>
          <w:u w:val="single"/>
        </w:rPr>
      </w:pPr>
    </w:p>
    <w:p w:rsidR="00287B6A" w:rsidP="00287B6A">
      <w:pPr>
        <w:rPr>
          <w:rFonts w:ascii="Garamond" w:hAnsi="Garamond"/>
          <w:b/>
          <w:color w:val="000000"/>
          <w:u w:val="single"/>
        </w:rPr>
      </w:pPr>
    </w:p>
    <w:p w:rsidR="00287B6A" w:rsidP="00287B6A">
      <w:pPr>
        <w:rPr>
          <w:rFonts w:ascii="Garamond" w:hAnsi="Garamond"/>
          <w:b/>
          <w:color w:val="000000"/>
          <w:u w:val="single"/>
        </w:rPr>
      </w:pPr>
    </w:p>
    <w:p w:rsidR="00287B6A" w:rsidP="00287B6A">
      <w:pPr>
        <w:rPr>
          <w:rFonts w:ascii="Garamond" w:hAnsi="Garamond"/>
          <w:b/>
          <w:color w:val="000000"/>
          <w:u w:val="single"/>
        </w:rPr>
      </w:pPr>
    </w:p>
    <w:p w:rsidR="00F50835" w:rsidRPr="00C22C1C" w:rsidP="00302F7E">
      <w:pPr>
        <w:rPr>
          <w:rFonts w:ascii="Garamond" w:hAnsi="Garamond"/>
          <w:b/>
          <w:color w:val="000000"/>
          <w:u w:val="single"/>
        </w:rPr>
      </w:pPr>
    </w:p>
    <w:sectPr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630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  <w:p w:rsidR="00F42630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21CF6"/>
    <w:multiLevelType w:val="hybridMultilevel"/>
    <w:tmpl w:val="A07E86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F54A5"/>
    <w:multiLevelType w:val="hybridMultilevel"/>
    <w:tmpl w:val="A8AC3F9C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u w:val="none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FF713A"/>
    <w:multiLevelType w:val="hybridMultilevel"/>
    <w:tmpl w:val="E47062AA"/>
    <w:lvl w:ilvl="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25DE5"/>
    <w:multiLevelType w:val="hybridMultilevel"/>
    <w:tmpl w:val="C8748594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Times New Roman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C791573"/>
    <w:multiLevelType w:val="hybridMultilevel"/>
    <w:tmpl w:val="688669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5031F6"/>
    <w:multiLevelType w:val="hybridMultilevel"/>
    <w:tmpl w:val="29C609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2DF7FF4"/>
    <w:multiLevelType w:val="hybridMultilevel"/>
    <w:tmpl w:val="7BEA4E3E"/>
    <w:lvl w:ilvl="0">
      <w:start w:val="96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4B97686"/>
    <w:multiLevelType w:val="hybridMultilevel"/>
    <w:tmpl w:val="6E9838F6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28A5010D"/>
    <w:multiLevelType w:val="hybridMultilevel"/>
    <w:tmpl w:val="9E06DEF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EE4008"/>
    <w:multiLevelType w:val="hybridMultilevel"/>
    <w:tmpl w:val="5420C62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BBA3875"/>
    <w:multiLevelType w:val="hybridMultilevel"/>
    <w:tmpl w:val="98A8CC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65D04"/>
    <w:multiLevelType w:val="hybridMultilevel"/>
    <w:tmpl w:val="9F18E736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930C9D"/>
    <w:multiLevelType w:val="hybridMultilevel"/>
    <w:tmpl w:val="DF22C0A2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5E603A7"/>
    <w:multiLevelType w:val="hybridMultilevel"/>
    <w:tmpl w:val="873ECB32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7D65895"/>
    <w:multiLevelType w:val="hybridMultilevel"/>
    <w:tmpl w:val="308CB208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415F23A4"/>
    <w:multiLevelType w:val="hybridMultilevel"/>
    <w:tmpl w:val="E440F61E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4C202054"/>
    <w:multiLevelType w:val="hybridMultilevel"/>
    <w:tmpl w:val="D4ECE1A8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u w:val="none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>
      <w:start w:val="0"/>
      <w:numFmt w:val="bullet"/>
      <w:lvlText w:val="-"/>
      <w:lvlJc w:val="left"/>
      <w:pPr>
        <w:ind w:left="2804" w:hanging="360"/>
      </w:pPr>
      <w:rPr>
        <w:rFonts w:ascii="Times New Roman" w:eastAsia="Times New Roman" w:hAnsi="Times New Roman" w:cs="Times New Roman" w:hint="default"/>
      </w:r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D3D7074"/>
    <w:multiLevelType w:val="hybridMultilevel"/>
    <w:tmpl w:val="EFDC6EEE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D487C58"/>
    <w:multiLevelType w:val="hybridMultilevel"/>
    <w:tmpl w:val="4B8C8A84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E0D0587"/>
    <w:multiLevelType w:val="hybridMultilevel"/>
    <w:tmpl w:val="65947F32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u w:val="none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>
      <w:start w:val="20"/>
      <w:numFmt w:val="bullet"/>
      <w:lvlText w:val="-"/>
      <w:lvlJc w:val="left"/>
      <w:pPr>
        <w:ind w:left="2804" w:hanging="360"/>
      </w:pPr>
      <w:rPr>
        <w:rFonts w:ascii="Times New Roman" w:eastAsia="Times New Roman" w:hAnsi="Times New Roman" w:cs="Times New Roman" w:hint="default"/>
      </w:r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C8114C9"/>
    <w:multiLevelType w:val="hybridMultilevel"/>
    <w:tmpl w:val="EE5A769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3509F9"/>
    <w:multiLevelType w:val="hybridMultilevel"/>
    <w:tmpl w:val="01A469E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FE17DD"/>
    <w:multiLevelType w:val="hybridMultilevel"/>
    <w:tmpl w:val="2A1A8D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4B2409"/>
    <w:multiLevelType w:val="hybridMultilevel"/>
    <w:tmpl w:val="53BA93F6"/>
    <w:lvl w:ilvl="0">
      <w:start w:val="960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EB04811"/>
    <w:multiLevelType w:val="hybridMultilevel"/>
    <w:tmpl w:val="5FD0138C"/>
    <w:lvl w:ilvl="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1247701"/>
    <w:multiLevelType w:val="hybridMultilevel"/>
    <w:tmpl w:val="B800712E"/>
    <w:lvl w:ilvl="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68BA05BA"/>
    <w:multiLevelType w:val="hybridMultilevel"/>
    <w:tmpl w:val="D624BEC6"/>
    <w:lvl w:ilvl="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9077256"/>
    <w:multiLevelType w:val="hybridMultilevel"/>
    <w:tmpl w:val="A5BA464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BC52888"/>
    <w:multiLevelType w:val="hybridMultilevel"/>
    <w:tmpl w:val="141269F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0"/>
      <w:numFmt w:val="bullet"/>
      <w:lvlText w:val="-"/>
      <w:lvlJc w:val="left"/>
      <w:pPr>
        <w:ind w:left="3588" w:hanging="360"/>
      </w:pPr>
      <w:rPr>
        <w:rFonts w:ascii="Times New Roman" w:eastAsia="Times New Roman" w:hAnsi="Times New Roman" w:cs="Times New Roman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F502E32"/>
    <w:multiLevelType w:val="hybridMultilevel"/>
    <w:tmpl w:val="E1E6E3B0"/>
    <w:lvl w:ilvl="0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0">
    <w:nsid w:val="6F805D98"/>
    <w:multiLevelType w:val="hybridMultilevel"/>
    <w:tmpl w:val="C88C55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460F8D"/>
    <w:multiLevelType w:val="hybridMultilevel"/>
    <w:tmpl w:val="B1EC2250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u w:val="none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20"/>
      <w:numFmt w:val="bullet"/>
      <w:lvlText w:val="-"/>
      <w:lvlJc w:val="left"/>
      <w:pPr>
        <w:ind w:left="2804" w:hanging="360"/>
      </w:pPr>
      <w:rPr>
        <w:rFonts w:ascii="Times New Roman" w:eastAsia="Times New Roman" w:hAnsi="Times New Roman" w:cs="Times New Roman" w:hint="default"/>
      </w:r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10B7AC2"/>
    <w:multiLevelType w:val="hybridMultilevel"/>
    <w:tmpl w:val="F41C9388"/>
    <w:lvl w:ilvl="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71297AC6"/>
    <w:multiLevelType w:val="hybridMultilevel"/>
    <w:tmpl w:val="B7E695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F2432E"/>
    <w:multiLevelType w:val="multilevel"/>
    <w:tmpl w:val="06C2B18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>
    <w:nsid w:val="7D155EB3"/>
    <w:multiLevelType w:val="hybridMultilevel"/>
    <w:tmpl w:val="82C41D2E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2"/>
  </w:num>
  <w:num w:numId="3">
    <w:abstractNumId w:val="25"/>
  </w:num>
  <w:num w:numId="4">
    <w:abstractNumId w:val="29"/>
  </w:num>
  <w:num w:numId="5">
    <w:abstractNumId w:val="27"/>
  </w:num>
  <w:num w:numId="6">
    <w:abstractNumId w:val="10"/>
  </w:num>
  <w:num w:numId="7">
    <w:abstractNumId w:val="26"/>
  </w:num>
  <w:num w:numId="8">
    <w:abstractNumId w:val="20"/>
  </w:num>
  <w:num w:numId="9">
    <w:abstractNumId w:val="3"/>
  </w:num>
  <w:num w:numId="10">
    <w:abstractNumId w:val="15"/>
  </w:num>
  <w:num w:numId="11">
    <w:abstractNumId w:val="33"/>
  </w:num>
  <w:num w:numId="12">
    <w:abstractNumId w:val="9"/>
  </w:num>
  <w:num w:numId="13">
    <w:abstractNumId w:val="18"/>
  </w:num>
  <w:num w:numId="14">
    <w:abstractNumId w:val="2"/>
  </w:num>
  <w:num w:numId="15">
    <w:abstractNumId w:val="5"/>
  </w:num>
  <w:num w:numId="16">
    <w:abstractNumId w:val="7"/>
  </w:num>
  <w:num w:numId="17">
    <w:abstractNumId w:val="34"/>
  </w:num>
  <w:num w:numId="18">
    <w:abstractNumId w:val="8"/>
  </w:num>
  <w:num w:numId="19">
    <w:abstractNumId w:val="13"/>
  </w:num>
  <w:num w:numId="20">
    <w:abstractNumId w:val="24"/>
  </w:num>
  <w:num w:numId="21">
    <w:abstractNumId w:val="21"/>
  </w:num>
  <w:num w:numId="22">
    <w:abstractNumId w:val="1"/>
  </w:num>
  <w:num w:numId="23">
    <w:abstractNumId w:val="16"/>
  </w:num>
  <w:num w:numId="24">
    <w:abstractNumId w:val="19"/>
  </w:num>
  <w:num w:numId="25">
    <w:abstractNumId w:val="31"/>
  </w:num>
  <w:num w:numId="26">
    <w:abstractNumId w:val="28"/>
  </w:num>
  <w:num w:numId="27">
    <w:abstractNumId w:val="4"/>
  </w:num>
  <w:num w:numId="28">
    <w:abstractNumId w:val="35"/>
  </w:num>
  <w:num w:numId="29">
    <w:abstractNumId w:val="0"/>
  </w:num>
  <w:num w:numId="30">
    <w:abstractNumId w:val="30"/>
  </w:num>
  <w:num w:numId="31">
    <w:abstractNumId w:val="6"/>
  </w:num>
  <w:num w:numId="32">
    <w:abstractNumId w:val="23"/>
  </w:num>
  <w:num w:numId="33">
    <w:abstractNumId w:val="22"/>
  </w:num>
  <w:num w:numId="34">
    <w:abstractNumId w:val="17"/>
  </w:num>
  <w:num w:numId="35">
    <w:abstractNumId w:val="14"/>
  </w:num>
  <w:num w:numId="3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5A17"/>
    <w:rsid w:val="000107B0"/>
    <w:rsid w:val="00010DF6"/>
    <w:rsid w:val="00014C58"/>
    <w:rsid w:val="00017229"/>
    <w:rsid w:val="00040BFB"/>
    <w:rsid w:val="00056369"/>
    <w:rsid w:val="00057134"/>
    <w:rsid w:val="00070932"/>
    <w:rsid w:val="00086546"/>
    <w:rsid w:val="00086EDD"/>
    <w:rsid w:val="00086F1E"/>
    <w:rsid w:val="000B2E08"/>
    <w:rsid w:val="000C1304"/>
    <w:rsid w:val="000C6CF5"/>
    <w:rsid w:val="000D2BC4"/>
    <w:rsid w:val="000D59C4"/>
    <w:rsid w:val="000E12EA"/>
    <w:rsid w:val="001136B6"/>
    <w:rsid w:val="00120473"/>
    <w:rsid w:val="0013095D"/>
    <w:rsid w:val="0013260E"/>
    <w:rsid w:val="001437B9"/>
    <w:rsid w:val="00147920"/>
    <w:rsid w:val="00152FD3"/>
    <w:rsid w:val="001936F1"/>
    <w:rsid w:val="001A3BAE"/>
    <w:rsid w:val="001A49C8"/>
    <w:rsid w:val="001F6C0E"/>
    <w:rsid w:val="002107E6"/>
    <w:rsid w:val="00227BFF"/>
    <w:rsid w:val="00235423"/>
    <w:rsid w:val="00235C3D"/>
    <w:rsid w:val="00236AF9"/>
    <w:rsid w:val="00256821"/>
    <w:rsid w:val="00256D14"/>
    <w:rsid w:val="002742BC"/>
    <w:rsid w:val="002758C4"/>
    <w:rsid w:val="00287B6A"/>
    <w:rsid w:val="002A32E5"/>
    <w:rsid w:val="002B762E"/>
    <w:rsid w:val="002E45ED"/>
    <w:rsid w:val="00302F7E"/>
    <w:rsid w:val="00305BAE"/>
    <w:rsid w:val="0031401E"/>
    <w:rsid w:val="00317494"/>
    <w:rsid w:val="00324010"/>
    <w:rsid w:val="00330EB2"/>
    <w:rsid w:val="00362D3E"/>
    <w:rsid w:val="003668D4"/>
    <w:rsid w:val="003715DF"/>
    <w:rsid w:val="003A3E3A"/>
    <w:rsid w:val="003B434A"/>
    <w:rsid w:val="003C2DFF"/>
    <w:rsid w:val="003D63BF"/>
    <w:rsid w:val="003E1D1B"/>
    <w:rsid w:val="003E4B29"/>
    <w:rsid w:val="003F1D06"/>
    <w:rsid w:val="00452367"/>
    <w:rsid w:val="004560C8"/>
    <w:rsid w:val="004A55B2"/>
    <w:rsid w:val="004D1D12"/>
    <w:rsid w:val="004D3438"/>
    <w:rsid w:val="004E78F9"/>
    <w:rsid w:val="004F1A1F"/>
    <w:rsid w:val="00522E00"/>
    <w:rsid w:val="00550309"/>
    <w:rsid w:val="00551A33"/>
    <w:rsid w:val="00555861"/>
    <w:rsid w:val="00565128"/>
    <w:rsid w:val="00587D43"/>
    <w:rsid w:val="005965D9"/>
    <w:rsid w:val="005A0042"/>
    <w:rsid w:val="005A3BAE"/>
    <w:rsid w:val="005C3158"/>
    <w:rsid w:val="005D5808"/>
    <w:rsid w:val="006142B9"/>
    <w:rsid w:val="00622580"/>
    <w:rsid w:val="00627366"/>
    <w:rsid w:val="00627971"/>
    <w:rsid w:val="00631BE8"/>
    <w:rsid w:val="00642900"/>
    <w:rsid w:val="0064488E"/>
    <w:rsid w:val="0064495A"/>
    <w:rsid w:val="0065085D"/>
    <w:rsid w:val="00657B0C"/>
    <w:rsid w:val="00660C3D"/>
    <w:rsid w:val="00661EFE"/>
    <w:rsid w:val="00671DCA"/>
    <w:rsid w:val="00681FC5"/>
    <w:rsid w:val="0068211A"/>
    <w:rsid w:val="00683AA1"/>
    <w:rsid w:val="00686D21"/>
    <w:rsid w:val="006A21CB"/>
    <w:rsid w:val="006B744D"/>
    <w:rsid w:val="006C34E9"/>
    <w:rsid w:val="006C3CEF"/>
    <w:rsid w:val="006D5107"/>
    <w:rsid w:val="006D7831"/>
    <w:rsid w:val="006F7214"/>
    <w:rsid w:val="00724C52"/>
    <w:rsid w:val="0073221A"/>
    <w:rsid w:val="00753951"/>
    <w:rsid w:val="00757189"/>
    <w:rsid w:val="007607D5"/>
    <w:rsid w:val="00797FEE"/>
    <w:rsid w:val="007A2004"/>
    <w:rsid w:val="007A409C"/>
    <w:rsid w:val="007D4572"/>
    <w:rsid w:val="007F0F32"/>
    <w:rsid w:val="00821242"/>
    <w:rsid w:val="00843762"/>
    <w:rsid w:val="00846AB7"/>
    <w:rsid w:val="0086261D"/>
    <w:rsid w:val="00863EEB"/>
    <w:rsid w:val="008746AC"/>
    <w:rsid w:val="0087538A"/>
    <w:rsid w:val="00877F7B"/>
    <w:rsid w:val="00891943"/>
    <w:rsid w:val="008952EC"/>
    <w:rsid w:val="0089745E"/>
    <w:rsid w:val="008A64BF"/>
    <w:rsid w:val="008C6969"/>
    <w:rsid w:val="008F04F6"/>
    <w:rsid w:val="008F23CE"/>
    <w:rsid w:val="008F3628"/>
    <w:rsid w:val="008F52F9"/>
    <w:rsid w:val="009066BC"/>
    <w:rsid w:val="00911405"/>
    <w:rsid w:val="00921AD2"/>
    <w:rsid w:val="00933314"/>
    <w:rsid w:val="009614A8"/>
    <w:rsid w:val="009639DD"/>
    <w:rsid w:val="00965F6A"/>
    <w:rsid w:val="009E43C3"/>
    <w:rsid w:val="00A2003E"/>
    <w:rsid w:val="00A314DB"/>
    <w:rsid w:val="00A61BFD"/>
    <w:rsid w:val="00A73299"/>
    <w:rsid w:val="00AA06FC"/>
    <w:rsid w:val="00AB0AA0"/>
    <w:rsid w:val="00AB19E0"/>
    <w:rsid w:val="00AC56A2"/>
    <w:rsid w:val="00AC656C"/>
    <w:rsid w:val="00AD3B28"/>
    <w:rsid w:val="00AD5A17"/>
    <w:rsid w:val="00AE6C8B"/>
    <w:rsid w:val="00AF0E6C"/>
    <w:rsid w:val="00B07329"/>
    <w:rsid w:val="00B16793"/>
    <w:rsid w:val="00B22DED"/>
    <w:rsid w:val="00B30D23"/>
    <w:rsid w:val="00B40C57"/>
    <w:rsid w:val="00B51F12"/>
    <w:rsid w:val="00B73636"/>
    <w:rsid w:val="00B75940"/>
    <w:rsid w:val="00B91B6F"/>
    <w:rsid w:val="00BC35C1"/>
    <w:rsid w:val="00BC4756"/>
    <w:rsid w:val="00BC71C2"/>
    <w:rsid w:val="00BE2D23"/>
    <w:rsid w:val="00C02FEB"/>
    <w:rsid w:val="00C06F15"/>
    <w:rsid w:val="00C1453B"/>
    <w:rsid w:val="00C22C1C"/>
    <w:rsid w:val="00C26873"/>
    <w:rsid w:val="00C37CB2"/>
    <w:rsid w:val="00C42A2D"/>
    <w:rsid w:val="00C60A6C"/>
    <w:rsid w:val="00C625CA"/>
    <w:rsid w:val="00C642D7"/>
    <w:rsid w:val="00C6453A"/>
    <w:rsid w:val="00C704C7"/>
    <w:rsid w:val="00C77FF3"/>
    <w:rsid w:val="00C8189D"/>
    <w:rsid w:val="00CA521D"/>
    <w:rsid w:val="00CB0843"/>
    <w:rsid w:val="00CB6653"/>
    <w:rsid w:val="00CC3E7F"/>
    <w:rsid w:val="00CE0F7F"/>
    <w:rsid w:val="00CE3E65"/>
    <w:rsid w:val="00CE5294"/>
    <w:rsid w:val="00CF7A63"/>
    <w:rsid w:val="00D03AF9"/>
    <w:rsid w:val="00D147EE"/>
    <w:rsid w:val="00D20D92"/>
    <w:rsid w:val="00D34C2E"/>
    <w:rsid w:val="00D431C8"/>
    <w:rsid w:val="00D559D8"/>
    <w:rsid w:val="00D666F2"/>
    <w:rsid w:val="00D71C1A"/>
    <w:rsid w:val="00D81693"/>
    <w:rsid w:val="00D81FED"/>
    <w:rsid w:val="00DA7CCE"/>
    <w:rsid w:val="00DB175C"/>
    <w:rsid w:val="00DB3CA6"/>
    <w:rsid w:val="00DD177B"/>
    <w:rsid w:val="00DE48CA"/>
    <w:rsid w:val="00DF2B78"/>
    <w:rsid w:val="00E07AD4"/>
    <w:rsid w:val="00E2112B"/>
    <w:rsid w:val="00E45833"/>
    <w:rsid w:val="00E5665A"/>
    <w:rsid w:val="00E8456E"/>
    <w:rsid w:val="00E8515C"/>
    <w:rsid w:val="00E87014"/>
    <w:rsid w:val="00ED73E4"/>
    <w:rsid w:val="00EF069B"/>
    <w:rsid w:val="00F0122D"/>
    <w:rsid w:val="00F03E1A"/>
    <w:rsid w:val="00F42630"/>
    <w:rsid w:val="00F47B26"/>
    <w:rsid w:val="00F50835"/>
    <w:rsid w:val="00F8546E"/>
    <w:rsid w:val="00F86842"/>
    <w:rsid w:val="00FB1834"/>
    <w:rsid w:val="00FD0E70"/>
    <w:rsid w:val="00FD7705"/>
    <w:rsid w:val="00FE1598"/>
    <w:rsid w:val="00FF7A93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AB19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Nadpis2Char"/>
    <w:unhideWhenUsed/>
    <w:qFormat/>
    <w:rsid w:val="00C8189D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rsid w:val="00AD5A17"/>
    <w:pPr>
      <w:spacing w:before="240" w:after="60"/>
      <w:outlineLvl w:val="6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D5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07AD4"/>
    <w:rPr>
      <w:rFonts w:ascii="Tahoma" w:hAnsi="Tahoma" w:cs="Tahoma"/>
      <w:sz w:val="16"/>
      <w:szCs w:val="16"/>
    </w:rPr>
  </w:style>
  <w:style w:type="paragraph" w:styleId="List">
    <w:name w:val="List"/>
    <w:basedOn w:val="Normal"/>
    <w:rsid w:val="00AB19E0"/>
    <w:pPr>
      <w:ind w:left="283" w:hanging="283"/>
    </w:pPr>
  </w:style>
  <w:style w:type="paragraph" w:styleId="BodyText">
    <w:name w:val="Body Text"/>
    <w:basedOn w:val="Normal"/>
    <w:rsid w:val="00AB19E0"/>
    <w:pPr>
      <w:spacing w:after="120"/>
    </w:pPr>
  </w:style>
  <w:style w:type="character" w:customStyle="1" w:styleId="Nadpis2Char">
    <w:name w:val="Nadpis 2 Char"/>
    <w:link w:val="Heading2"/>
    <w:rsid w:val="00C8189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alWeb">
    <w:name w:val="Normal (Web)"/>
    <w:basedOn w:val="Normal"/>
    <w:unhideWhenUsed/>
    <w:rsid w:val="00C8189D"/>
    <w:pPr>
      <w:spacing w:before="100" w:beforeAutospacing="1" w:after="100" w:afterAutospacing="1"/>
    </w:pPr>
  </w:style>
  <w:style w:type="paragraph" w:customStyle="1" w:styleId="Default">
    <w:name w:val="Default"/>
    <w:rsid w:val="004E78F9"/>
    <w:pPr>
      <w:autoSpaceDE w:val="0"/>
      <w:autoSpaceDN w:val="0"/>
      <w:adjustRightInd w:val="0"/>
    </w:pPr>
    <w:rPr>
      <w:color w:val="000000"/>
      <w:sz w:val="24"/>
      <w:szCs w:val="24"/>
      <w:lang w:val="sk-SK" w:eastAsia="sk-SK" w:bidi="ar-SA"/>
    </w:rPr>
  </w:style>
  <w:style w:type="paragraph" w:styleId="BlockText">
    <w:name w:val="Block Text"/>
    <w:basedOn w:val="Normal"/>
    <w:rsid w:val="00AD3B28"/>
    <w:pPr>
      <w:ind w:left="567" w:right="72" w:hanging="425"/>
      <w:jc w:val="both"/>
    </w:pPr>
    <w:rPr>
      <w:szCs w:val="20"/>
      <w:lang w:eastAsia="cs-CZ"/>
    </w:rPr>
  </w:style>
  <w:style w:type="paragraph" w:styleId="ListParagraph">
    <w:name w:val="List Paragraph"/>
    <w:basedOn w:val="Normal"/>
    <w:uiPriority w:val="99"/>
    <w:qFormat/>
    <w:rsid w:val="002742BC"/>
    <w:pPr>
      <w:ind w:left="720"/>
      <w:contextualSpacing/>
    </w:pPr>
  </w:style>
  <w:style w:type="paragraph" w:customStyle="1" w:styleId="Predvolen">
    <w:name w:val="Predvolené"/>
    <w:qFormat/>
    <w:rsid w:val="00CE3E65"/>
    <w:rPr>
      <w:rFonts w:ascii="Helvetica" w:eastAsia="Helvetica" w:hAnsi="Helvetica" w:cs="Helvetica"/>
      <w:color w:val="000000"/>
      <w:sz w:val="22"/>
      <w:szCs w:val="22"/>
      <w:lang w:val="sk-SK" w:eastAsia="sk-SK" w:bidi="ar-SA"/>
    </w:rPr>
  </w:style>
  <w:style w:type="paragraph" w:customStyle="1" w:styleId="TextPara3">
    <w:name w:val="TextPara3"/>
    <w:basedOn w:val="Normal"/>
    <w:rsid w:val="005A0042"/>
    <w:pPr>
      <w:widowControl w:val="0"/>
      <w:ind w:left="1701"/>
      <w:jc w:val="both"/>
    </w:pPr>
    <w:rPr>
      <w:rFonts w:ascii="Arial" w:hAnsi="Arial"/>
      <w:sz w:val="22"/>
      <w:szCs w:val="20"/>
      <w:lang w:val="en-GB" w:eastAsia="en-US"/>
    </w:rPr>
  </w:style>
  <w:style w:type="paragraph" w:styleId="Header">
    <w:name w:val="header"/>
    <w:basedOn w:val="Normal"/>
    <w:link w:val="HlavikaChar"/>
    <w:rsid w:val="00F4263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F42630"/>
    <w:rPr>
      <w:sz w:val="24"/>
      <w:szCs w:val="24"/>
    </w:rPr>
  </w:style>
  <w:style w:type="paragraph" w:styleId="Footer">
    <w:name w:val="footer"/>
    <w:basedOn w:val="Normal"/>
    <w:link w:val="PtaChar"/>
    <w:uiPriority w:val="99"/>
    <w:rsid w:val="00F42630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Footer"/>
    <w:uiPriority w:val="99"/>
    <w:rsid w:val="00F4263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7BCEA-1429-41F3-9A27-18D944537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1713</Words>
  <Characters>9766</Characters>
  <Application>Microsoft Office Word</Application>
  <DocSecurity>0</DocSecurity>
  <Lines>81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OBRANY SR</vt:lpstr>
    </vt:vector>
  </TitlesOfParts>
  <Company>MOSR</Company>
  <LinksUpToDate>false</LinksUpToDate>
  <CharactersWithSpaces>11457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OBRANY SR</dc:title>
  <dc:creator>kostkovaj</dc:creator>
  <cp:lastModifiedBy>GULA Peter</cp:lastModifiedBy>
  <cp:revision>5</cp:revision>
  <cp:lastPrinted>2019-04-23T07:48:00Z</cp:lastPrinted>
  <dcterms:created xsi:type="dcterms:W3CDTF">2019-04-23T07:47:00Z</dcterms:created>
  <dcterms:modified xsi:type="dcterms:W3CDTF">2019-05-13T13:20:00Z</dcterms:modified>
</cp:coreProperties>
</file>