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F1090">
        <w:rPr>
          <w:sz w:val="22"/>
          <w:szCs w:val="22"/>
        </w:rPr>
        <w:t>9</w:t>
      </w:r>
      <w:r w:rsidR="00C625C4">
        <w:rPr>
          <w:sz w:val="22"/>
          <w:szCs w:val="22"/>
        </w:rPr>
        <w:t>1</w:t>
      </w:r>
      <w:r w:rsidR="0062281F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82C23">
      <w:pPr>
        <w:pStyle w:val="rozhodnutia"/>
      </w:pPr>
      <w:r>
        <w:t>15</w:t>
      </w:r>
      <w:r w:rsidR="002339A8">
        <w:t>3</w:t>
      </w:r>
      <w:r w:rsidR="0062281F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82C23">
        <w:rPr>
          <w:rFonts w:ascii="Arial" w:hAnsi="Arial" w:cs="Arial"/>
          <w:sz w:val="22"/>
          <w:szCs w:val="22"/>
        </w:rPr>
        <w:t> 25.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62281F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62281F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2281F">
        <w:rPr>
          <w:rFonts w:cs="Arial"/>
          <w:szCs w:val="22"/>
        </w:rPr>
        <w:t>Výboru</w:t>
      </w:r>
      <w:r w:rsidRPr="00E66789">
        <w:rPr>
          <w:rFonts w:cs="Arial"/>
          <w:szCs w:val="22"/>
        </w:rPr>
        <w:t xml:space="preserve"> Národnej rady Slovenskej republiky </w:t>
      </w:r>
      <w:r w:rsidR="0062281F">
        <w:rPr>
          <w:rFonts w:cs="Arial"/>
          <w:szCs w:val="22"/>
        </w:rPr>
        <w:t xml:space="preserve"> pre nezlučiteľnosť funkcií na vydanie ústavného zákona, ktorým sa mení ústavný zákon č. 357/2004 Z. z. o ochrane verejného záujmu pri výkone funkcií verejných funkcionárov v znení neskorších predpisov</w:t>
      </w:r>
      <w:r w:rsidR="0062281F">
        <w:rPr>
          <w:rFonts w:cs="Arial"/>
          <w:szCs w:val="22"/>
        </w:rPr>
        <w:br/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82C23">
        <w:rPr>
          <w:rFonts w:cs="Arial"/>
          <w:szCs w:val="22"/>
        </w:rPr>
        <w:t>14</w:t>
      </w:r>
      <w:r w:rsidR="00C625C4">
        <w:rPr>
          <w:rFonts w:cs="Arial"/>
          <w:szCs w:val="22"/>
        </w:rPr>
        <w:t>4</w:t>
      </w:r>
      <w:r w:rsidR="0062281F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339A8">
        <w:rPr>
          <w:rFonts w:cs="Arial"/>
          <w:szCs w:val="22"/>
        </w:rPr>
        <w:t>1</w:t>
      </w:r>
      <w:r w:rsidR="00C625C4">
        <w:rPr>
          <w:rFonts w:cs="Arial"/>
          <w:szCs w:val="22"/>
        </w:rPr>
        <w:t>8</w:t>
      </w:r>
      <w:r w:rsidR="002339A8">
        <w:rPr>
          <w:rFonts w:cs="Arial"/>
          <w:szCs w:val="22"/>
        </w:rPr>
        <w:t>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A406F">
        <w:rPr>
          <w:rFonts w:ascii="Arial" w:hAnsi="Arial" w:cs="Arial"/>
          <w:sz w:val="22"/>
          <w:szCs w:val="22"/>
        </w:rPr>
        <w:t xml:space="preserve"> </w:t>
      </w:r>
    </w:p>
    <w:p w:rsidR="006A406F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A406F">
        <w:rPr>
          <w:rFonts w:ascii="Arial" w:hAnsi="Arial" w:cs="Arial"/>
          <w:sz w:val="22"/>
          <w:szCs w:val="22"/>
        </w:rPr>
        <w:t>verejnú správu a regionálny</w:t>
      </w:r>
    </w:p>
    <w:p w:rsidR="005F3C8C" w:rsidRDefault="006A406F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3C8C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ozvoj</w:t>
      </w:r>
      <w:r w:rsidR="005F3C8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5F3C8C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62281F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6A406F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82C23" w:rsidRDefault="00EF4E86" w:rsidP="00082C23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82C23">
        <w:rPr>
          <w:rFonts w:ascii="Arial" w:hAnsi="Arial" w:cs="Arial"/>
          <w:sz w:val="22"/>
        </w:rPr>
        <w:t xml:space="preserve">b) lehotu na prerokovanie návrhu </w:t>
      </w:r>
      <w:r w:rsidR="0062281F">
        <w:rPr>
          <w:rFonts w:ascii="Arial" w:hAnsi="Arial" w:cs="Arial"/>
          <w:sz w:val="22"/>
        </w:rPr>
        <w:t xml:space="preserve">ústavného </w:t>
      </w:r>
      <w:r w:rsidR="00082C23">
        <w:rPr>
          <w:rFonts w:ascii="Arial" w:hAnsi="Arial" w:cs="Arial"/>
          <w:sz w:val="22"/>
        </w:rPr>
        <w:t>zákona v druhom čítaní vo výbor</w:t>
      </w:r>
      <w:r w:rsidR="005F3C8C">
        <w:rPr>
          <w:rFonts w:ascii="Arial" w:hAnsi="Arial" w:cs="Arial"/>
          <w:sz w:val="22"/>
        </w:rPr>
        <w:t>och</w:t>
      </w:r>
      <w:r w:rsidR="00082C23">
        <w:rPr>
          <w:rFonts w:ascii="Arial" w:hAnsi="Arial" w:cs="Arial"/>
          <w:sz w:val="22"/>
        </w:rPr>
        <w:t xml:space="preserve"> </w:t>
      </w:r>
      <w:r w:rsidR="00082C23">
        <w:rPr>
          <w:rFonts w:ascii="Arial" w:hAnsi="Arial" w:cs="Arial"/>
          <w:sz w:val="22"/>
        </w:rPr>
        <w:br/>
      </w:r>
      <w:r w:rsidR="00082C23">
        <w:rPr>
          <w:rFonts w:ascii="Arial" w:hAnsi="Arial" w:cs="Arial"/>
          <w:b/>
          <w:bCs/>
          <w:sz w:val="22"/>
          <w:u w:val="single"/>
        </w:rPr>
        <w:t>do 17. júna 2019</w:t>
      </w:r>
      <w:r w:rsidR="00082C23" w:rsidRPr="00F33F47">
        <w:rPr>
          <w:rFonts w:ascii="Arial" w:hAnsi="Arial" w:cs="Arial"/>
          <w:bCs/>
          <w:sz w:val="22"/>
        </w:rPr>
        <w:t xml:space="preserve"> </w:t>
      </w:r>
      <w:r w:rsidR="00082C23">
        <w:rPr>
          <w:rFonts w:ascii="Arial" w:hAnsi="Arial" w:cs="Arial"/>
          <w:sz w:val="22"/>
        </w:rPr>
        <w:t xml:space="preserve">a v gestorskom výbore </w:t>
      </w:r>
      <w:r w:rsidR="00082C23">
        <w:rPr>
          <w:rFonts w:ascii="Arial" w:hAnsi="Arial" w:cs="Arial"/>
          <w:b/>
          <w:bCs/>
          <w:sz w:val="22"/>
          <w:u w:val="single"/>
        </w:rPr>
        <w:t>do 18. júna 2019</w:t>
      </w:r>
      <w:r w:rsidR="00082C23">
        <w:rPr>
          <w:rFonts w:ascii="Arial" w:hAnsi="Arial" w:cs="Arial"/>
          <w:sz w:val="22"/>
        </w:rPr>
        <w:t>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  <w:bookmarkStart w:id="0" w:name="_GoBack"/>
      <w:bookmarkEnd w:id="0"/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82C23"/>
    <w:rsid w:val="000C251F"/>
    <w:rsid w:val="000C290E"/>
    <w:rsid w:val="000D0318"/>
    <w:rsid w:val="000E308C"/>
    <w:rsid w:val="001010A5"/>
    <w:rsid w:val="00106234"/>
    <w:rsid w:val="00170CC8"/>
    <w:rsid w:val="00173022"/>
    <w:rsid w:val="00173C80"/>
    <w:rsid w:val="00177F9B"/>
    <w:rsid w:val="00192D80"/>
    <w:rsid w:val="001D3570"/>
    <w:rsid w:val="001D7F32"/>
    <w:rsid w:val="0021729D"/>
    <w:rsid w:val="002339A8"/>
    <w:rsid w:val="00244D40"/>
    <w:rsid w:val="00294C93"/>
    <w:rsid w:val="002B2F61"/>
    <w:rsid w:val="002C7297"/>
    <w:rsid w:val="00345D4D"/>
    <w:rsid w:val="00351461"/>
    <w:rsid w:val="00365DBB"/>
    <w:rsid w:val="00370627"/>
    <w:rsid w:val="00483822"/>
    <w:rsid w:val="00484701"/>
    <w:rsid w:val="00492F29"/>
    <w:rsid w:val="004D06C1"/>
    <w:rsid w:val="004F21D2"/>
    <w:rsid w:val="00515EFF"/>
    <w:rsid w:val="0054739D"/>
    <w:rsid w:val="005F3C8C"/>
    <w:rsid w:val="005F3F76"/>
    <w:rsid w:val="0062281F"/>
    <w:rsid w:val="00641FB0"/>
    <w:rsid w:val="00650056"/>
    <w:rsid w:val="00671C99"/>
    <w:rsid w:val="0069489D"/>
    <w:rsid w:val="006A406F"/>
    <w:rsid w:val="006E6102"/>
    <w:rsid w:val="007351A5"/>
    <w:rsid w:val="007448FA"/>
    <w:rsid w:val="007B2F24"/>
    <w:rsid w:val="007F1090"/>
    <w:rsid w:val="008A0C9B"/>
    <w:rsid w:val="008B1A45"/>
    <w:rsid w:val="00940E7C"/>
    <w:rsid w:val="00992885"/>
    <w:rsid w:val="00A949B6"/>
    <w:rsid w:val="00AA3DED"/>
    <w:rsid w:val="00AB4082"/>
    <w:rsid w:val="00B05C4A"/>
    <w:rsid w:val="00B1506F"/>
    <w:rsid w:val="00B20ACA"/>
    <w:rsid w:val="00BB70DD"/>
    <w:rsid w:val="00BE56B2"/>
    <w:rsid w:val="00BF25A9"/>
    <w:rsid w:val="00C11306"/>
    <w:rsid w:val="00C625C4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270FB"/>
    <w:rsid w:val="00E449BA"/>
    <w:rsid w:val="00E66789"/>
    <w:rsid w:val="00E93847"/>
    <w:rsid w:val="00EF4E86"/>
    <w:rsid w:val="00F23B21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0CCB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8</cp:revision>
  <cp:lastPrinted>2019-04-26T07:45:00Z</cp:lastPrinted>
  <dcterms:created xsi:type="dcterms:W3CDTF">2019-04-25T08:36:00Z</dcterms:created>
  <dcterms:modified xsi:type="dcterms:W3CDTF">2019-04-26T07:45:00Z</dcterms:modified>
</cp:coreProperties>
</file>