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82C23">
        <w:rPr>
          <w:sz w:val="22"/>
          <w:szCs w:val="22"/>
        </w:rPr>
        <w:t>89</w:t>
      </w:r>
      <w:r w:rsidR="002339A8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82C23">
        <w:rPr>
          <w:rFonts w:cs="Arial"/>
          <w:szCs w:val="22"/>
        </w:rPr>
        <w:t>Jany KIŠŠOVEJ, Eugena JURZYCU, Ľubomíra GALKA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 </w:t>
      </w:r>
      <w:r w:rsidR="002339A8">
        <w:rPr>
          <w:rFonts w:cs="Arial"/>
          <w:szCs w:val="22"/>
        </w:rPr>
        <w:t xml:space="preserve">mení zákon č. 595/2003 Z. z. o dani z príjmov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141</w:t>
      </w:r>
      <w:r w:rsidR="002339A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305C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305C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305C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305C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9305C2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t xml:space="preserve">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05C2"/>
    <w:rsid w:val="00940E7C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E49D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2019-04-25T11:55:00Z</cp:lastPrinted>
  <dcterms:created xsi:type="dcterms:W3CDTF">2019-04-25T08:21:00Z</dcterms:created>
  <dcterms:modified xsi:type="dcterms:W3CDTF">2019-04-25T11:55:00Z</dcterms:modified>
</cp:coreProperties>
</file>