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C02F70" w:rsidRPr="00C02F70" w:rsidRDefault="003501A1" w:rsidP="00C02F70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Pr="00A179AE" w:rsidRDefault="00F27ABC" w:rsidP="00625296">
            <w:r w:rsidRPr="00AD482B">
              <w:t xml:space="preserve">Návrh zákona, </w:t>
            </w:r>
            <w:r w:rsidR="00707DD0" w:rsidRPr="00707DD0">
              <w:t xml:space="preserve">ktorým sa </w:t>
            </w:r>
            <w:r w:rsidR="00625296">
              <w:t>mení</w:t>
            </w:r>
            <w:r w:rsidR="00707DD0" w:rsidRPr="00707DD0">
              <w:t xml:space="preserve"> </w:t>
            </w:r>
            <w:r w:rsidR="00AF34CC">
              <w:t>zákon</w:t>
            </w:r>
            <w:r w:rsidR="00707DD0" w:rsidRPr="00707DD0">
              <w:t xml:space="preserve"> č. 82/2005 Z. z. o nelegálnej práci a nelegálnom zamestnávaní a o zmene a doplnení niektorých zákonov v znení neskorších predpisov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Default="00AF34CC" w:rsidP="00AF34CC">
            <w:r w:rsidRPr="00AF34CC">
              <w:rPr>
                <w:highlight w:val="yellow"/>
              </w:rPr>
              <w:t>Poslanec</w:t>
            </w:r>
            <w:r w:rsidR="008068AA" w:rsidRPr="008068AA">
              <w:rPr>
                <w:highlight w:val="yellow"/>
              </w:rPr>
              <w:t>/poslankyňa</w:t>
            </w:r>
            <w:r>
              <w:t xml:space="preserve"> </w:t>
            </w:r>
            <w:r w:rsidR="00625296">
              <w:t>Národnej rady Slovenskej republiky</w:t>
            </w:r>
          </w:p>
          <w:p w:rsidR="00AF34CC" w:rsidRPr="00A179AE" w:rsidRDefault="00AF34CC" w:rsidP="00AF34CC"/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C02F70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F27ABC" w:rsidRDefault="003501A1" w:rsidP="007B71A4">
            <w:pPr>
              <w:rPr>
                <w:iCs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F27ABC" w:rsidRDefault="003501A1" w:rsidP="007B71A4">
            <w:pPr>
              <w:rPr>
                <w:iCs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F27ABC" w:rsidRDefault="003501A1" w:rsidP="007B71A4">
            <w:pPr>
              <w:rPr>
                <w:iCs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D5" w:rsidRPr="002E6788" w:rsidRDefault="005032D5" w:rsidP="00707DD0">
            <w:pPr>
              <w:rPr>
                <w:rFonts w:asciiTheme="majorBidi" w:hAnsiTheme="majorBidi" w:cstheme="majorBidi"/>
                <w:i/>
              </w:rPr>
            </w:pPr>
            <w:r w:rsidRPr="002E6788">
              <w:rPr>
                <w:rFonts w:asciiTheme="majorBidi" w:hAnsiTheme="majorBidi" w:cstheme="majorBidi"/>
                <w:i/>
              </w:rPr>
              <w:t>Uveďte základné problémy, na ktoré navrhovaná regulácia reaguje.</w:t>
            </w:r>
          </w:p>
          <w:p w:rsidR="005C1AE9" w:rsidRDefault="005C1AE9" w:rsidP="005C1AE9">
            <w:pPr>
              <w:jc w:val="both"/>
              <w:rPr>
                <w:rFonts w:asciiTheme="majorBidi" w:hAnsiTheme="majorBidi" w:cstheme="majorBidi"/>
                <w:iCs/>
              </w:rPr>
            </w:pPr>
          </w:p>
          <w:p w:rsidR="00AF34CC" w:rsidRDefault="00AF34CC" w:rsidP="006B4FEA">
            <w:pPr>
              <w:jc w:val="both"/>
              <w:rPr>
                <w:rFonts w:asciiTheme="majorBidi" w:hAnsiTheme="majorBidi" w:cstheme="majorBidi"/>
                <w:iCs/>
              </w:rPr>
            </w:pPr>
            <w:r w:rsidRPr="00AF34CC">
              <w:rPr>
                <w:rFonts w:asciiTheme="majorBidi" w:hAnsiTheme="majorBidi" w:cstheme="majorBidi"/>
                <w:iCs/>
              </w:rPr>
              <w:t xml:space="preserve">V súčasnosti sa výnimka z nelegálneho zamestnávania a nelegálnej práce vzťahuje výlučne na fyzickú osobu, ktorá je podnikateľom a na jeho rodinných príslušníkov. Nelegálnym zamestnávaním podľa § 2a ods. 1 zákona č. 82/2005 Z. z. </w:t>
            </w:r>
            <w:r w:rsidR="001F65F0" w:rsidRPr="00733D95">
              <w:rPr>
                <w:rFonts w:asciiTheme="majorBidi" w:hAnsiTheme="majorBidi" w:cstheme="majorBidi"/>
              </w:rPr>
              <w:t xml:space="preserve">o nelegálnej práci a nelegálnom zamestnávaní a o zmene a doplnení niektorých zákonov v znení neskorších predpisov </w:t>
            </w:r>
            <w:r w:rsidRPr="00AF34CC">
              <w:rPr>
                <w:rFonts w:asciiTheme="majorBidi" w:hAnsiTheme="majorBidi" w:cstheme="majorBidi"/>
                <w:iCs/>
              </w:rPr>
              <w:t>nie je, ak pre ňu vykonáva prácu jeho príbuzný v priamom rade, súrodenec alebo manžel, ktorý je dôchodkovo poistený, je poberateľom dôchodku podľa osobitných predpisov alebo je žiakom, alebo študentom do 26 rokov veku. Výnimka z nelegálnej práce je v § 2a ods. 2 zákona č. 82/2005 Z. z. upravená obdobne.</w:t>
            </w:r>
            <w:r>
              <w:rPr>
                <w:rFonts w:asciiTheme="majorBidi" w:hAnsiTheme="majorBidi" w:cstheme="majorBidi"/>
                <w:iCs/>
              </w:rPr>
              <w:t xml:space="preserve"> Uvedená výnimka sa ale </w:t>
            </w:r>
            <w:r w:rsidR="005C1AE9">
              <w:rPr>
                <w:rFonts w:asciiTheme="majorBidi" w:hAnsiTheme="majorBidi" w:cstheme="majorBidi"/>
                <w:iCs/>
              </w:rPr>
              <w:t xml:space="preserve">nevzťahuje </w:t>
            </w:r>
            <w:r w:rsidR="006B4FEA">
              <w:rPr>
                <w:rFonts w:asciiTheme="majorBidi" w:hAnsiTheme="majorBidi" w:cstheme="majorBidi"/>
                <w:iCs/>
              </w:rPr>
              <w:t xml:space="preserve">na právnické osoby, ktoré v prípade, že ide o spoločnosti s ručením obmedzeným s jediným spoločníkom, </w:t>
            </w:r>
            <w:r w:rsidR="001F65F0">
              <w:rPr>
                <w:rFonts w:asciiTheme="majorBidi" w:hAnsiTheme="majorBidi" w:cstheme="majorBidi"/>
                <w:iCs/>
              </w:rPr>
              <w:t xml:space="preserve">ktorý je fyzickou osobou, </w:t>
            </w:r>
            <w:r w:rsidR="006B4FEA">
              <w:rPr>
                <w:rFonts w:asciiTheme="majorBidi" w:hAnsiTheme="majorBidi" w:cstheme="majorBidi"/>
                <w:iCs/>
              </w:rPr>
              <w:t>sú de facto totožné s fyzickými osobami, podnikateľ</w:t>
            </w:r>
            <w:r w:rsidR="0003704D">
              <w:rPr>
                <w:rFonts w:asciiTheme="majorBidi" w:hAnsiTheme="majorBidi" w:cstheme="majorBidi"/>
                <w:iCs/>
              </w:rPr>
              <w:t>m</w:t>
            </w:r>
            <w:r w:rsidR="006B4FEA">
              <w:rPr>
                <w:rFonts w:asciiTheme="majorBidi" w:hAnsiTheme="majorBidi" w:cstheme="majorBidi"/>
                <w:iCs/>
              </w:rPr>
              <w:t>i</w:t>
            </w:r>
            <w:r w:rsidR="005C1AE9">
              <w:rPr>
                <w:rFonts w:asciiTheme="majorBidi" w:hAnsiTheme="majorBidi" w:cstheme="majorBidi"/>
                <w:iCs/>
              </w:rPr>
              <w:t>,</w:t>
            </w:r>
            <w:r w:rsidR="0003704D">
              <w:rPr>
                <w:rFonts w:asciiTheme="majorBidi" w:hAnsiTheme="majorBidi" w:cstheme="majorBidi"/>
                <w:iCs/>
              </w:rPr>
              <w:t xml:space="preserve"> na ktoré sa naopak </w:t>
            </w:r>
            <w:r w:rsidR="006B4FEA">
              <w:rPr>
                <w:rFonts w:asciiTheme="majorBidi" w:hAnsiTheme="majorBidi" w:cstheme="majorBidi"/>
                <w:iCs/>
              </w:rPr>
              <w:t xml:space="preserve">uvedená výnimka vzťahuje. Tým </w:t>
            </w:r>
            <w:r w:rsidR="005C1AE9">
              <w:rPr>
                <w:rFonts w:asciiTheme="majorBidi" w:hAnsiTheme="majorBidi" w:cstheme="majorBidi"/>
                <w:iCs/>
              </w:rPr>
              <w:t>sa vytvára nerovnaké postavenie.</w:t>
            </w:r>
          </w:p>
          <w:p w:rsidR="006805B5" w:rsidRPr="00AF34CC" w:rsidRDefault="006805B5" w:rsidP="005C1AE9">
            <w:pPr>
              <w:jc w:val="both"/>
              <w:rPr>
                <w:rFonts w:asciiTheme="majorBidi" w:hAnsiTheme="majorBidi" w:cstheme="majorBidi"/>
                <w:b/>
                <w:iCs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2E6788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E6788">
              <w:rPr>
                <w:rFonts w:asciiTheme="majorBidi" w:hAnsiTheme="majorBidi" w:cstheme="majorBidi"/>
                <w:b/>
                <w:sz w:val="20"/>
                <w:szCs w:val="20"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2D5" w:rsidRPr="002E6788" w:rsidRDefault="005032D5" w:rsidP="00707DD0">
            <w:pPr>
              <w:jc w:val="both"/>
              <w:rPr>
                <w:rFonts w:asciiTheme="majorBidi" w:hAnsiTheme="majorBidi" w:cstheme="majorBidi"/>
                <w:i/>
              </w:rPr>
            </w:pPr>
            <w:r w:rsidRPr="002E6788">
              <w:rPr>
                <w:rFonts w:asciiTheme="majorBidi" w:hAnsiTheme="majorBidi" w:cstheme="majorBidi"/>
                <w:i/>
              </w:rPr>
              <w:t>Uveďte hlavné ciele navrhovaného predpisu (aký výsledný stav chcete reguláciou dosiahnuť).</w:t>
            </w:r>
          </w:p>
          <w:p w:rsidR="005C1AE9" w:rsidRPr="005C1AE9" w:rsidRDefault="005032D5" w:rsidP="006B4FEA">
            <w:pPr>
              <w:spacing w:before="120"/>
              <w:jc w:val="both"/>
              <w:rPr>
                <w:iCs/>
              </w:rPr>
            </w:pPr>
            <w:r w:rsidRPr="005C1AE9">
              <w:rPr>
                <w:rFonts w:asciiTheme="majorBidi" w:hAnsiTheme="majorBidi" w:cstheme="majorBidi"/>
                <w:iCs/>
              </w:rPr>
              <w:t xml:space="preserve">Zámerom návrhu </w:t>
            </w:r>
            <w:r w:rsidR="005C1AE9" w:rsidRPr="005C1AE9">
              <w:rPr>
                <w:rFonts w:asciiTheme="majorBidi" w:hAnsiTheme="majorBidi" w:cstheme="majorBidi"/>
                <w:iCs/>
              </w:rPr>
              <w:t>je rozšíriť výnimku aj na právnické osoby tak, aby bola navrhovaná ú</w:t>
            </w:r>
            <w:r w:rsidR="006B4FEA">
              <w:rPr>
                <w:rFonts w:asciiTheme="majorBidi" w:hAnsiTheme="majorBidi" w:cstheme="majorBidi"/>
                <w:iCs/>
              </w:rPr>
              <w:t xml:space="preserve">prava analogická tej súčasnej, v zmysle ktorej sa výnimka vzťahuje na </w:t>
            </w:r>
            <w:r w:rsidR="005C1AE9" w:rsidRPr="005C1AE9">
              <w:rPr>
                <w:rFonts w:asciiTheme="majorBidi" w:hAnsiTheme="majorBidi" w:cstheme="majorBidi"/>
                <w:bCs/>
                <w:iCs/>
              </w:rPr>
              <w:t>fyzickú osobu</w:t>
            </w:r>
            <w:r w:rsidR="006B4FEA">
              <w:rPr>
                <w:rFonts w:asciiTheme="majorBidi" w:hAnsiTheme="majorBidi" w:cstheme="majorBidi"/>
                <w:bCs/>
                <w:iCs/>
              </w:rPr>
              <w:t>,</w:t>
            </w:r>
            <w:r w:rsidR="005C1AE9" w:rsidRPr="005C1AE9">
              <w:rPr>
                <w:rFonts w:asciiTheme="majorBidi" w:hAnsiTheme="majorBidi" w:cstheme="majorBidi"/>
                <w:bCs/>
                <w:iCs/>
              </w:rPr>
              <w:t xml:space="preserve"> podnikateľa</w:t>
            </w:r>
            <w:r w:rsidR="006B4FEA">
              <w:rPr>
                <w:rFonts w:asciiTheme="majorBidi" w:hAnsiTheme="majorBidi" w:cstheme="majorBidi"/>
                <w:bCs/>
                <w:iCs/>
              </w:rPr>
              <w:t>,</w:t>
            </w:r>
            <w:r w:rsidR="005C1AE9" w:rsidRPr="005C1AE9">
              <w:rPr>
                <w:rFonts w:asciiTheme="majorBidi" w:hAnsiTheme="majorBidi" w:cstheme="majorBidi"/>
                <w:bCs/>
                <w:iCs/>
              </w:rPr>
              <w:t xml:space="preserve"> a to bez ohľadu na počet jeho zamestnancov</w:t>
            </w:r>
            <w:r w:rsidR="005C1AE9" w:rsidRPr="005C1AE9">
              <w:rPr>
                <w:rFonts w:asciiTheme="majorBidi" w:hAnsiTheme="majorBidi" w:cstheme="majorBidi"/>
                <w:iCs/>
              </w:rPr>
              <w:t xml:space="preserve">. Navrhuje sa preto rozšíriť výnimku na spoločnosti s r.o., </w:t>
            </w:r>
            <w:r w:rsidR="005C1AE9" w:rsidRPr="005C1AE9">
              <w:rPr>
                <w:iCs/>
              </w:rPr>
              <w:t>ktoré majú najviac jedného spoločníka, ktorý je fyzickou osobou</w:t>
            </w:r>
            <w:r w:rsidR="006B4FEA">
              <w:rPr>
                <w:rFonts w:asciiTheme="majorBidi" w:hAnsiTheme="majorBidi" w:cstheme="majorBidi"/>
                <w:iCs/>
              </w:rPr>
              <w:t xml:space="preserve">, </w:t>
            </w:r>
            <w:r w:rsidR="005C1AE9" w:rsidRPr="005C1AE9">
              <w:rPr>
                <w:rFonts w:asciiTheme="majorBidi" w:hAnsiTheme="majorBidi" w:cstheme="majorBidi"/>
                <w:iCs/>
              </w:rPr>
              <w:t xml:space="preserve">bez ohľadu na </w:t>
            </w:r>
            <w:r w:rsidR="005C1AE9" w:rsidRPr="002E3743">
              <w:rPr>
                <w:rFonts w:asciiTheme="majorBidi" w:hAnsiTheme="majorBidi" w:cstheme="majorBidi"/>
                <w:iCs/>
              </w:rPr>
              <w:t xml:space="preserve">počet zamestnancov. </w:t>
            </w:r>
            <w:r w:rsidR="006B4FEA" w:rsidRPr="002E3743">
              <w:rPr>
                <w:rFonts w:asciiTheme="majorBidi" w:hAnsiTheme="majorBidi"/>
              </w:rPr>
              <w:t>Táto výnimka sa navrhuje upraviť v rovnakom rozsahu, tzn. s rovnakou definíciou rodinných príslušníkov (</w:t>
            </w:r>
            <w:r w:rsidR="002E3743" w:rsidRPr="002E3743">
              <w:rPr>
                <w:rFonts w:asciiTheme="majorBidi" w:hAnsiTheme="majorBidi"/>
              </w:rPr>
              <w:t>príbuzný v priamom rade, súrodenec alebo manžel</w:t>
            </w:r>
            <w:r w:rsidR="006B4FEA" w:rsidRPr="002E3743">
              <w:rPr>
                <w:rFonts w:asciiTheme="majorBidi" w:hAnsiTheme="majorBidi"/>
              </w:rPr>
              <w:t xml:space="preserve">) a s rovnakými požiadavkami pre </w:t>
            </w:r>
            <w:r w:rsidR="002E3743" w:rsidRPr="002E3743">
              <w:rPr>
                <w:rFonts w:asciiTheme="majorBidi" w:hAnsiTheme="majorBidi"/>
              </w:rPr>
              <w:t>jej uplatnenie</w:t>
            </w:r>
            <w:r w:rsidR="006B4FEA" w:rsidRPr="002E3743">
              <w:rPr>
                <w:rFonts w:asciiTheme="majorBidi" w:hAnsiTheme="majorBidi"/>
              </w:rPr>
              <w:t xml:space="preserve"> (</w:t>
            </w:r>
            <w:r w:rsidR="002E3743" w:rsidRPr="002E3743">
              <w:rPr>
                <w:rFonts w:asciiTheme="majorBidi" w:hAnsiTheme="majorBidi"/>
              </w:rPr>
              <w:t>žiak alebo študent do 26 rokov v</w:t>
            </w:r>
            <w:r w:rsidR="001F65F0">
              <w:rPr>
                <w:rFonts w:asciiTheme="majorBidi" w:hAnsiTheme="majorBidi"/>
              </w:rPr>
              <w:t xml:space="preserve">eku, dôchodkovo poistený alebo </w:t>
            </w:r>
            <w:r w:rsidR="002E3743" w:rsidRPr="002E3743">
              <w:rPr>
                <w:rFonts w:asciiTheme="majorBidi" w:hAnsiTheme="majorBidi"/>
              </w:rPr>
              <w:t>poberateľ dôchodku</w:t>
            </w:r>
            <w:r w:rsidR="006B4FEA" w:rsidRPr="002E3743">
              <w:rPr>
                <w:rFonts w:asciiTheme="majorBidi" w:hAnsiTheme="majorBidi"/>
              </w:rPr>
              <w:t>)</w:t>
            </w:r>
            <w:r w:rsidR="002E3743">
              <w:rPr>
                <w:rFonts w:asciiTheme="majorBidi" w:hAnsiTheme="majorBidi"/>
              </w:rPr>
              <w:t xml:space="preserve">. </w:t>
            </w:r>
            <w:r w:rsidR="005C1AE9" w:rsidRPr="002E3743">
              <w:rPr>
                <w:rFonts w:asciiTheme="majorBidi" w:hAnsiTheme="majorBidi" w:cstheme="majorBidi"/>
                <w:bCs/>
                <w:iCs/>
              </w:rPr>
              <w:t>Uvedený návrh preto spĺňa zásady rovnakého zaobchádzania a požiadavku ústavnej konformity.</w:t>
            </w:r>
          </w:p>
          <w:p w:rsidR="00FB1DA9" w:rsidRPr="005C1AE9" w:rsidRDefault="00FB1DA9" w:rsidP="005C1AE9">
            <w:pPr>
              <w:jc w:val="both"/>
              <w:rPr>
                <w:rFonts w:asciiTheme="majorBidi" w:hAnsiTheme="majorBidi" w:cstheme="majorBidi"/>
                <w:i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07DD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690" w:rsidRPr="00A179AE" w:rsidRDefault="00A12690" w:rsidP="00A12690">
            <w:pPr>
              <w:rPr>
                <w:i/>
              </w:rPr>
            </w:pPr>
            <w:r w:rsidRPr="00A179AE">
              <w:rPr>
                <w:i/>
              </w:rPr>
              <w:t>Uveďte subjekty, ktorých sa zmeny návrhu dotknú priamo aj nepriamo:</w:t>
            </w:r>
          </w:p>
          <w:p w:rsidR="003501A1" w:rsidRPr="00AF34CC" w:rsidRDefault="00AF34CC" w:rsidP="002E3743">
            <w:pPr>
              <w:jc w:val="both"/>
              <w:rPr>
                <w:iCs/>
              </w:rPr>
            </w:pPr>
            <w:r>
              <w:rPr>
                <w:iCs/>
              </w:rPr>
              <w:t xml:space="preserve">právnické osoby, ktoré sú spoločnosťami s ručením obmedzeným a ktoré majú </w:t>
            </w:r>
            <w:r w:rsidRPr="00AF34CC">
              <w:rPr>
                <w:iCs/>
              </w:rPr>
              <w:t>najviac jedného spoločníka, ktorý je fyzickou osobou</w:t>
            </w:r>
            <w:r w:rsidR="00F52837">
              <w:rPr>
                <w:iCs/>
              </w:rPr>
              <w:t>;</w:t>
            </w:r>
            <w:r w:rsidR="008200BD">
              <w:rPr>
                <w:iCs/>
              </w:rPr>
              <w:t xml:space="preserve"> </w:t>
            </w:r>
            <w:r w:rsidR="002E3743">
              <w:rPr>
                <w:iCs/>
              </w:rPr>
              <w:t xml:space="preserve">príbuzní v priamom rade, súrodenci </w:t>
            </w:r>
            <w:r>
              <w:rPr>
                <w:iCs/>
              </w:rPr>
              <w:t>alebo manžel</w:t>
            </w:r>
            <w:r w:rsidR="002E3743">
              <w:rPr>
                <w:iCs/>
              </w:rPr>
              <w:t>ia týchto spoločníkov, ktorí</w:t>
            </w:r>
            <w:r>
              <w:rPr>
                <w:iCs/>
              </w:rPr>
              <w:t xml:space="preserve"> </w:t>
            </w:r>
            <w:r w:rsidR="002E3743">
              <w:rPr>
                <w:iCs/>
              </w:rPr>
              <w:t>sú dôchodkovo poistení, sú poberateľ</w:t>
            </w:r>
            <w:r w:rsidRPr="00AF34CC">
              <w:rPr>
                <w:iCs/>
              </w:rPr>
              <w:t>m</w:t>
            </w:r>
            <w:r w:rsidR="002E3743">
              <w:rPr>
                <w:iCs/>
              </w:rPr>
              <w:t>i</w:t>
            </w:r>
            <w:r w:rsidRPr="00AF34CC">
              <w:rPr>
                <w:iCs/>
              </w:rPr>
              <w:t xml:space="preserve"> dôchodku podľa osobitných predpisov,</w:t>
            </w:r>
            <w:r>
              <w:rPr>
                <w:iCs/>
              </w:rPr>
              <w:t xml:space="preserve"> </w:t>
            </w:r>
            <w:r w:rsidR="002E3743">
              <w:rPr>
                <w:iCs/>
              </w:rPr>
              <w:t>alebo sú žiak</w:t>
            </w:r>
            <w:r w:rsidRPr="00AF34CC">
              <w:rPr>
                <w:iCs/>
              </w:rPr>
              <w:t>m</w:t>
            </w:r>
            <w:r w:rsidR="002E3743">
              <w:rPr>
                <w:iCs/>
              </w:rPr>
              <w:t>i alebo študent</w:t>
            </w:r>
            <w:r w:rsidRPr="00AF34CC">
              <w:rPr>
                <w:iCs/>
              </w:rPr>
              <w:t>m</w:t>
            </w:r>
            <w:r w:rsidR="002E3743">
              <w:rPr>
                <w:iCs/>
              </w:rPr>
              <w:t>i</w:t>
            </w:r>
            <w:r w:rsidRPr="00AF34CC">
              <w:rPr>
                <w:iCs/>
              </w:rPr>
              <w:t xml:space="preserve"> do 26 rokov veku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07DD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690" w:rsidRPr="00A179AE" w:rsidRDefault="00A12690" w:rsidP="00A12690">
            <w:pPr>
              <w:rPr>
                <w:i/>
              </w:rPr>
            </w:pPr>
            <w:r w:rsidRPr="00A179AE">
              <w:rPr>
                <w:i/>
              </w:rPr>
              <w:lastRenderedPageBreak/>
              <w:t>Aké alternatívne riešenia boli posudzované?</w:t>
            </w:r>
          </w:p>
          <w:p w:rsidR="00A12690" w:rsidRDefault="00A12690" w:rsidP="00A12690">
            <w:r w:rsidRPr="00A179AE">
              <w:rPr>
                <w:i/>
              </w:rPr>
              <w:t>Uveďte, aké alternatívne spôsoby na odstránenie definovaného problému boli identifikované a posudzované.</w:t>
            </w:r>
          </w:p>
          <w:p w:rsidR="003501A1" w:rsidRPr="00A12690" w:rsidRDefault="0082788A" w:rsidP="00BF049E">
            <w:pPr>
              <w:jc w:val="both"/>
              <w:rPr>
                <w:iCs/>
              </w:rPr>
            </w:pPr>
            <w:r w:rsidRPr="004F6968">
              <w:rPr>
                <w:iCs/>
              </w:rPr>
              <w:t>K predkladan</w:t>
            </w:r>
            <w:r w:rsidR="00174F1C" w:rsidRPr="004F6968">
              <w:rPr>
                <w:iCs/>
              </w:rPr>
              <w:t xml:space="preserve">ému návrhu zákona </w:t>
            </w:r>
            <w:r w:rsidR="00BF049E">
              <w:rPr>
                <w:iCs/>
              </w:rPr>
              <w:t>neboli</w:t>
            </w:r>
            <w:r w:rsidR="00174F1C" w:rsidRPr="004F6968">
              <w:rPr>
                <w:iCs/>
              </w:rPr>
              <w:t xml:space="preserve"> </w:t>
            </w:r>
            <w:r w:rsidR="00BF049E">
              <w:rPr>
                <w:iCs/>
              </w:rPr>
              <w:t xml:space="preserve">posudzované </w:t>
            </w:r>
            <w:r w:rsidR="00174F1C" w:rsidRPr="004F6968">
              <w:rPr>
                <w:iCs/>
              </w:rPr>
              <w:t>alternatívne riešenia.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07DD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E968A6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E968A6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88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07DD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07DD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3B6F" w:rsidRDefault="00D13B6F" w:rsidP="002E6788"/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707DD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F60D59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F60D59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sdt>
          <w:sdt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8415D5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2E6788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E6788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4F6968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2E6788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E6788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E6788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C3F3C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4F600F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C3F3C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B8340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45465B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9634B3" w:rsidRDefault="0045465B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b/>
            </w:rPr>
            <w:id w:val="-12942130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5465B" w:rsidRPr="009634B3" w:rsidRDefault="000C3F3C" w:rsidP="00B83402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9634B3" w:rsidRDefault="0045465B" w:rsidP="00B83402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Negatívne“</w:t>
            </w:r>
          </w:p>
        </w:tc>
      </w:tr>
      <w:tr w:rsidR="0045465B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5465B" w:rsidRPr="009634B3" w:rsidRDefault="0045465B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b/>
            </w:rPr>
            <w:id w:val="-13444779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45465B" w:rsidRPr="009634B3" w:rsidRDefault="000C3F3C" w:rsidP="00B83402">
                <w:pPr>
                  <w:jc w:val="center"/>
                  <w:rPr>
                    <w:rFonts w:eastAsia="MS Mincho"/>
                    <w:b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5B" w:rsidRPr="009634B3" w:rsidRDefault="0045465B" w:rsidP="00B83402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Negatívne“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707DD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F6F1F" w:rsidRPr="00266667" w:rsidRDefault="004F6F1F" w:rsidP="004F6F1F">
            <w:pPr>
              <w:rPr>
                <w:i/>
                <w:color w:val="000000" w:themeColor="text1"/>
              </w:rPr>
            </w:pPr>
            <w:r w:rsidRPr="00266667">
              <w:rPr>
                <w:i/>
                <w:color w:val="000000" w:themeColor="text1"/>
              </w:rPr>
              <w:t>V prípade potreby uveďte doplňujúce informácie k návrhu.</w:t>
            </w:r>
          </w:p>
          <w:p w:rsidR="00266667" w:rsidRDefault="00266667" w:rsidP="004F6F1F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A12690">
              <w:rPr>
                <w:rFonts w:asciiTheme="majorBidi" w:hAnsiTheme="majorBidi" w:cstheme="majorBidi"/>
                <w:b/>
                <w:color w:val="000000" w:themeColor="text1"/>
              </w:rPr>
              <w:t>1.Vplyvy na rozpočet verejnej správy:</w:t>
            </w:r>
          </w:p>
          <w:p w:rsidR="002E00E4" w:rsidRDefault="002E00E4" w:rsidP="004F6F1F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:rsidR="002B0B07" w:rsidRDefault="002B0B07" w:rsidP="004F6968">
            <w:pPr>
              <w:jc w:val="both"/>
            </w:pPr>
            <w:r>
              <w:t xml:space="preserve">Vplyv na rozpočet verejnej správy v podobe ukladanie nižšieho počtu pokút </w:t>
            </w:r>
            <w:r w:rsidR="00DB713C">
              <w:t xml:space="preserve">zníženého </w:t>
            </w:r>
            <w:r>
              <w:t>o prípady, ktorých sa bude týka</w:t>
            </w:r>
            <w:r w:rsidR="00DB713C">
              <w:t>ť</w:t>
            </w:r>
            <w:r>
              <w:t xml:space="preserve"> </w:t>
            </w:r>
            <w:r w:rsidR="004F6968">
              <w:t xml:space="preserve">rozšírená </w:t>
            </w:r>
            <w:r>
              <w:t>výnimka</w:t>
            </w:r>
            <w:r w:rsidR="004F6968">
              <w:t>,</w:t>
            </w:r>
            <w:r>
              <w:t xml:space="preserve"> </w:t>
            </w:r>
            <w:r w:rsidR="00DB713C">
              <w:t>bude</w:t>
            </w:r>
            <w:r>
              <w:t xml:space="preserve"> z nasledujúcich dôvodov </w:t>
            </w:r>
            <w:r w:rsidR="000068F7">
              <w:t>zanedbat</w:t>
            </w:r>
            <w:r w:rsidR="004F6968">
              <w:t>eľný až žiadny a zároveň nevyčísliteľný</w:t>
            </w:r>
            <w:r w:rsidR="000068F7">
              <w:t>.</w:t>
            </w:r>
          </w:p>
          <w:p w:rsidR="002B0B07" w:rsidRDefault="002B0B07" w:rsidP="002B0B07">
            <w:pPr>
              <w:jc w:val="both"/>
            </w:pPr>
          </w:p>
          <w:p w:rsidR="002E00E4" w:rsidRDefault="002E00E4" w:rsidP="00DB713C">
            <w:pPr>
              <w:jc w:val="both"/>
            </w:pPr>
            <w:r>
              <w:t xml:space="preserve">Z informačného systému Národného inšpektorátu práce nie je možné určiť počet </w:t>
            </w:r>
            <w:r w:rsidR="00DB713C">
              <w:t>prípadov nelegálneho zamestnávania spoločnosťami</w:t>
            </w:r>
            <w:r>
              <w:t xml:space="preserve"> s ručením obmedzeným, ktoré majú iba </w:t>
            </w:r>
            <w:r w:rsidR="00DB713C">
              <w:t>jedného spoločníka, ktorým je fyzická osoba</w:t>
            </w:r>
            <w:r>
              <w:t xml:space="preserve"> a ktoré nelegálne zamestnávali rodinného príslušníka (príbuzný v priamom rade, súrodenec, manžel) tohto spoločníka, pričom tento rodinný príslušník bol dôchodkovo poistený, poberateľ dôchodku alebo žiak</w:t>
            </w:r>
            <w:r w:rsidR="00DB713C">
              <w:t xml:space="preserve"> alebo študent do 26 rokov veku (tzn. prípady, na ktoré sa po novom bude vzťahovať výnimka z nelegálneho zamestnávania),</w:t>
            </w:r>
            <w:r>
              <w:t xml:space="preserve"> nakoľko žiadne z uvedených kritérií nie je v</w:t>
            </w:r>
            <w:r w:rsidR="00DB713C">
              <w:t> </w:t>
            </w:r>
            <w:r>
              <w:t>súčasnosti</w:t>
            </w:r>
            <w:r w:rsidR="00DB713C">
              <w:t xml:space="preserve"> sledované, pretože nie je</w:t>
            </w:r>
            <w:r>
              <w:t xml:space="preserve"> relevantné pre účely výkonu kontroly dodržiavania zákazu nelegálneho zamestnávania, resp. vyvodenie zodpovednosti zaň.</w:t>
            </w:r>
          </w:p>
          <w:p w:rsidR="002E00E4" w:rsidRDefault="002E00E4" w:rsidP="002B0B07">
            <w:pPr>
              <w:jc w:val="both"/>
            </w:pPr>
          </w:p>
          <w:p w:rsidR="002E00E4" w:rsidRDefault="002E00E4" w:rsidP="00DB713C">
            <w:pPr>
              <w:jc w:val="both"/>
            </w:pPr>
            <w:r>
              <w:t xml:space="preserve">Nepriamo možno v tejto súvislosti poukázať na právnu úpravu zákona č. 82/2005 Z. z. účinnú do 31. októbra 2013, </w:t>
            </w:r>
            <w:r w:rsidR="00DB713C">
              <w:t>v ktorej bolo v § 2 ods. 4 upravené</w:t>
            </w:r>
            <w:r>
              <w:t xml:space="preserve"> nelegálne zamestnávanie právnickou osobou alebo fyzickou osobou, ktorá je podnikateľom, ak tieto využívali prácu fyzickej osoby a nemali s ňou založený právny vzťah podľa osobitného predpisu, ktorá v minulosti do istej miery mohla zahŕňať časť vyššie uvedených prípadov. Počet prípadov </w:t>
            </w:r>
            <w:r w:rsidR="00DB713C">
              <w:t>nelegálneho zamestnávania podľa § 2 ods. 4 je však zanedbateľný (34), pričom z uvedeného počtu len malú, prípadne žiadnu časť, tvorili prípady, na ktoré sa má po novom vztiahnuť spomínaná výnimka.</w:t>
            </w:r>
          </w:p>
          <w:p w:rsidR="002E00E4" w:rsidRDefault="002E00E4" w:rsidP="002B0B07">
            <w:pPr>
              <w:jc w:val="both"/>
            </w:pPr>
          </w:p>
          <w:p w:rsidR="00266667" w:rsidRDefault="002E00E4" w:rsidP="00972F81">
            <w:pPr>
              <w:jc w:val="both"/>
            </w:pPr>
            <w:r>
              <w:lastRenderedPageBreak/>
              <w:t xml:space="preserve">Vzhľadom </w:t>
            </w:r>
            <w:r w:rsidR="00DB713C">
              <w:t>na nízky počet vyššie uvedených prípadov, ako aj absenciu</w:t>
            </w:r>
            <w:r>
              <w:t xml:space="preserve"> informácií o masívnejšom využívaní závislej práce rodin</w:t>
            </w:r>
            <w:r w:rsidR="000068F7">
              <w:t xml:space="preserve">ných príslušníkov spoločníkov </w:t>
            </w:r>
            <w:r w:rsidR="004F6968">
              <w:t>spoločností s r.o. s jediným spoločníkom</w:t>
            </w:r>
            <w:r w:rsidR="000068F7">
              <w:t>, ktorí navyše</w:t>
            </w:r>
            <w:r>
              <w:t xml:space="preserve"> musia byť dôchodkovo poistení, poberatelia dôchodku alebo žiaci alebo študenti do 26 rokov veku, </w:t>
            </w:r>
            <w:r w:rsidR="000068F7">
              <w:t>je</w:t>
            </w:r>
            <w:r>
              <w:t xml:space="preserve"> vplyv</w:t>
            </w:r>
            <w:r>
              <w:rPr>
                <w:color w:val="1F497D"/>
              </w:rPr>
              <w:t xml:space="preserve"> </w:t>
            </w:r>
            <w:r>
              <w:t xml:space="preserve">uvedeného návrhu zákona č. 82/2005 Z. z. </w:t>
            </w:r>
            <w:r w:rsidR="000068F7" w:rsidRPr="000068F7">
              <w:t xml:space="preserve">na rozpočet verejnej správy </w:t>
            </w:r>
            <w:r w:rsidR="000068F7">
              <w:t>zanedbateľný, resp. žiadny.</w:t>
            </w:r>
          </w:p>
          <w:p w:rsidR="00972F81" w:rsidRDefault="00972F81" w:rsidP="00972F81">
            <w:pPr>
              <w:jc w:val="both"/>
            </w:pPr>
          </w:p>
          <w:p w:rsidR="00814244" w:rsidRPr="00A12690" w:rsidRDefault="00814244" w:rsidP="004F6F1F">
            <w:pPr>
              <w:rPr>
                <w:rFonts w:asciiTheme="majorBidi" w:hAnsiTheme="majorBidi" w:cstheme="majorBidi"/>
                <w:color w:val="000000" w:themeColor="text1"/>
                <w:lang w:eastAsia="en-US"/>
              </w:rPr>
            </w:pPr>
          </w:p>
          <w:p w:rsidR="00266667" w:rsidRPr="00A12690" w:rsidRDefault="00266667" w:rsidP="004F6F1F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A12690">
              <w:rPr>
                <w:rFonts w:asciiTheme="majorBidi" w:hAnsiTheme="majorBidi" w:cstheme="majorBidi"/>
                <w:b/>
                <w:color w:val="000000" w:themeColor="text1"/>
              </w:rPr>
              <w:t>2</w:t>
            </w:r>
            <w:r w:rsidRPr="00A12690">
              <w:rPr>
                <w:rFonts w:asciiTheme="majorBidi" w:hAnsiTheme="majorBidi" w:cstheme="majorBidi"/>
                <w:color w:val="000000" w:themeColor="text1"/>
                <w:lang w:eastAsia="en-US"/>
              </w:rPr>
              <w:t>.</w:t>
            </w:r>
            <w:r w:rsidRPr="00A12690">
              <w:rPr>
                <w:rFonts w:asciiTheme="majorBidi" w:hAnsiTheme="majorBidi" w:cstheme="majorBidi"/>
                <w:b/>
                <w:color w:val="000000" w:themeColor="text1"/>
              </w:rPr>
              <w:t xml:space="preserve"> Vplyvy na podnikateľské prostredie:</w:t>
            </w:r>
          </w:p>
          <w:p w:rsidR="00AB10F7" w:rsidRPr="00E03960" w:rsidRDefault="00266667" w:rsidP="00E03960">
            <w:pPr>
              <w:jc w:val="both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E03960">
              <w:rPr>
                <w:rFonts w:asciiTheme="majorBidi" w:hAnsiTheme="majorBidi" w:cstheme="majorBidi"/>
                <w:bCs/>
                <w:color w:val="000000" w:themeColor="text1"/>
              </w:rPr>
              <w:t xml:space="preserve">Novela bude </w:t>
            </w:r>
            <w:r w:rsidR="008760F4" w:rsidRPr="00E03960">
              <w:rPr>
                <w:rFonts w:asciiTheme="majorBidi" w:hAnsiTheme="majorBidi" w:cstheme="majorBidi"/>
                <w:bCs/>
                <w:color w:val="000000" w:themeColor="text1"/>
              </w:rPr>
              <w:t xml:space="preserve">mať </w:t>
            </w:r>
            <w:r w:rsidR="00E45CC7" w:rsidRPr="00E03960">
              <w:rPr>
                <w:rFonts w:asciiTheme="majorBidi" w:hAnsiTheme="majorBidi" w:cstheme="majorBidi"/>
                <w:bCs/>
                <w:color w:val="000000" w:themeColor="text1"/>
              </w:rPr>
              <w:t xml:space="preserve">pozitívny </w:t>
            </w:r>
            <w:r w:rsidR="008760F4" w:rsidRPr="00E03960">
              <w:rPr>
                <w:rFonts w:asciiTheme="majorBidi" w:hAnsiTheme="majorBidi" w:cstheme="majorBidi"/>
                <w:bCs/>
                <w:color w:val="000000" w:themeColor="text1"/>
              </w:rPr>
              <w:t xml:space="preserve">vplyv </w:t>
            </w:r>
            <w:r w:rsidRPr="00E03960">
              <w:rPr>
                <w:rFonts w:asciiTheme="majorBidi" w:hAnsiTheme="majorBidi" w:cstheme="majorBidi"/>
                <w:bCs/>
                <w:color w:val="000000" w:themeColor="text1"/>
              </w:rPr>
              <w:t>na podnikateľ</w:t>
            </w:r>
            <w:r w:rsidR="009B50F3" w:rsidRPr="00E03960">
              <w:rPr>
                <w:rFonts w:asciiTheme="majorBidi" w:hAnsiTheme="majorBidi" w:cstheme="majorBidi"/>
                <w:bCs/>
                <w:color w:val="000000" w:themeColor="text1"/>
              </w:rPr>
              <w:t>s</w:t>
            </w:r>
            <w:r w:rsidRPr="00E03960">
              <w:rPr>
                <w:rFonts w:asciiTheme="majorBidi" w:hAnsiTheme="majorBidi" w:cstheme="majorBidi"/>
                <w:bCs/>
                <w:color w:val="000000" w:themeColor="text1"/>
              </w:rPr>
              <w:t>ké prostredie</w:t>
            </w:r>
            <w:r w:rsidR="00E03960" w:rsidRPr="00E03960">
              <w:rPr>
                <w:rFonts w:asciiTheme="majorBidi" w:hAnsiTheme="majorBidi" w:cstheme="majorBidi"/>
                <w:bCs/>
                <w:color w:val="000000" w:themeColor="text1"/>
              </w:rPr>
              <w:t>. Analýza vplyvov je uvedená v samostatnej prílohe „Analýza vplyvov na podnikateľské prostredie“.</w:t>
            </w:r>
          </w:p>
          <w:p w:rsidR="004F6F1F" w:rsidRPr="00266667" w:rsidRDefault="004F6F1F" w:rsidP="00E03960">
            <w:pPr>
              <w:spacing w:before="120"/>
              <w:jc w:val="both"/>
              <w:rPr>
                <w:b/>
                <w:color w:val="000000" w:themeColor="text1"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07DD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690" w:rsidRDefault="00A12690" w:rsidP="00A12690">
            <w:r>
              <w:rPr>
                <w:i/>
              </w:rPr>
              <w:t>Uveďte</w:t>
            </w:r>
            <w:r w:rsidRPr="00D13B6F">
              <w:rPr>
                <w:i/>
              </w:rPr>
              <w:t xml:space="preserve"> údaje na kontaktnú osobu, ktorú je možné kontaktovať v súvislosti s posúdením vybraných vplyvov</w:t>
            </w:r>
          </w:p>
          <w:p w:rsidR="004F600F" w:rsidRPr="00A12690" w:rsidRDefault="004F600F" w:rsidP="00A12690">
            <w:pPr>
              <w:rPr>
                <w:i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07DD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 w:rsidR="00EB59E3">
              <w:rPr>
                <w:i/>
              </w:rPr>
              <w:t xml:space="preserve"> </w:t>
            </w:r>
            <w:r w:rsidR="00D75D35">
              <w:rPr>
                <w:i/>
              </w:rPr>
              <w:t>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:rsidR="003501A1" w:rsidRPr="00A12690" w:rsidRDefault="00A12690" w:rsidP="00972F81">
            <w:pPr>
              <w:rPr>
                <w:iCs/>
              </w:rPr>
            </w:pPr>
            <w:r w:rsidRPr="00A12690">
              <w:rPr>
                <w:iCs/>
              </w:rPr>
              <w:t>Národný inšpektorát práce (</w:t>
            </w:r>
            <w:r w:rsidR="001A7277" w:rsidRPr="00A12690">
              <w:rPr>
                <w:iCs/>
              </w:rPr>
              <w:t>Informačný systém ochrany práce</w:t>
            </w:r>
            <w:r w:rsidRPr="00972F81">
              <w:rPr>
                <w:iCs/>
              </w:rPr>
              <w:t>)</w:t>
            </w:r>
            <w:r w:rsidR="002B0B07" w:rsidRPr="00972F81">
              <w:rPr>
                <w:iCs/>
              </w:rPr>
              <w:t xml:space="preserve">, </w:t>
            </w:r>
            <w:r w:rsidR="000068F7" w:rsidRPr="000068F7">
              <w:rPr>
                <w:iCs/>
              </w:rPr>
              <w:t>Ministerstvo spravodlivosti SR</w:t>
            </w:r>
            <w:r w:rsidR="000068F7">
              <w:rPr>
                <w:iCs/>
              </w:rPr>
              <w:t xml:space="preserve"> (o</w:t>
            </w:r>
            <w:r w:rsidR="000068F7" w:rsidRPr="000068F7">
              <w:rPr>
                <w:iCs/>
              </w:rPr>
              <w:t>dbor zmluvných vzťahov a prístupu k</w:t>
            </w:r>
            <w:r w:rsidR="000068F7">
              <w:rPr>
                <w:iCs/>
              </w:rPr>
              <w:t> </w:t>
            </w:r>
            <w:r w:rsidR="000068F7" w:rsidRPr="000068F7">
              <w:rPr>
                <w:iCs/>
              </w:rPr>
              <w:t>informáciám</w:t>
            </w:r>
            <w:r w:rsidR="000068F7">
              <w:rPr>
                <w:iCs/>
              </w:rPr>
              <w:t>)</w:t>
            </w:r>
            <w:r w:rsidR="000068F7" w:rsidRPr="000068F7">
              <w:rPr>
                <w:iCs/>
              </w:rPr>
              <w:t xml:space="preserve"> </w:t>
            </w: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07DD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 xml:space="preserve">Uveďte stanovisko </w:t>
            </w:r>
            <w:r>
              <w:rPr>
                <w:i/>
              </w:rPr>
              <w:t>Komisie pre posudzovanie vybraných vplyvov</w:t>
            </w:r>
            <w:r w:rsidRPr="00A179AE">
              <w:rPr>
                <w:i/>
              </w:rPr>
              <w:t>, ktoré Vám bolo zaslané v rámci predbežného pripomienkového konania</w:t>
            </w: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A6" w:rsidRDefault="00E968A6" w:rsidP="003501A1">
      <w:r>
        <w:separator/>
      </w:r>
    </w:p>
  </w:endnote>
  <w:endnote w:type="continuationSeparator" w:id="0">
    <w:p w:rsidR="00E968A6" w:rsidRDefault="00E968A6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A6" w:rsidRDefault="00E968A6" w:rsidP="003501A1">
      <w:r>
        <w:separator/>
      </w:r>
    </w:p>
  </w:footnote>
  <w:footnote w:type="continuationSeparator" w:id="0">
    <w:p w:rsidR="00E968A6" w:rsidRDefault="00E968A6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FAE"/>
    <w:multiLevelType w:val="hybridMultilevel"/>
    <w:tmpl w:val="1174F0AC"/>
    <w:lvl w:ilvl="0" w:tplc="0478A8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6327"/>
    <w:multiLevelType w:val="hybridMultilevel"/>
    <w:tmpl w:val="D21277BC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472E6"/>
    <w:multiLevelType w:val="hybridMultilevel"/>
    <w:tmpl w:val="D400B0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F5DEE"/>
    <w:multiLevelType w:val="hybridMultilevel"/>
    <w:tmpl w:val="4EE662D4"/>
    <w:lvl w:ilvl="0" w:tplc="9E5CAEA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D79F8"/>
    <w:multiLevelType w:val="hybridMultilevel"/>
    <w:tmpl w:val="B98A5430"/>
    <w:lvl w:ilvl="0" w:tplc="302697D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E54EF"/>
    <w:multiLevelType w:val="hybridMultilevel"/>
    <w:tmpl w:val="68B2D384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02315"/>
    <w:rsid w:val="000068F7"/>
    <w:rsid w:val="00036A60"/>
    <w:rsid w:val="0003704D"/>
    <w:rsid w:val="00040A20"/>
    <w:rsid w:val="000C3F3C"/>
    <w:rsid w:val="000C5346"/>
    <w:rsid w:val="00125032"/>
    <w:rsid w:val="001250B8"/>
    <w:rsid w:val="00174F1C"/>
    <w:rsid w:val="00175FD8"/>
    <w:rsid w:val="00194C4D"/>
    <w:rsid w:val="001A7277"/>
    <w:rsid w:val="001B36D8"/>
    <w:rsid w:val="001F65F0"/>
    <w:rsid w:val="00260DCA"/>
    <w:rsid w:val="00266667"/>
    <w:rsid w:val="00267ECA"/>
    <w:rsid w:val="00277CDF"/>
    <w:rsid w:val="00287188"/>
    <w:rsid w:val="002B0B07"/>
    <w:rsid w:val="002D224F"/>
    <w:rsid w:val="002E00E4"/>
    <w:rsid w:val="002E3743"/>
    <w:rsid w:val="002E6788"/>
    <w:rsid w:val="002F49F6"/>
    <w:rsid w:val="0033263E"/>
    <w:rsid w:val="003501A1"/>
    <w:rsid w:val="00395098"/>
    <w:rsid w:val="003A191F"/>
    <w:rsid w:val="004063BE"/>
    <w:rsid w:val="0045465B"/>
    <w:rsid w:val="004A5E59"/>
    <w:rsid w:val="004A6A27"/>
    <w:rsid w:val="004C60B8"/>
    <w:rsid w:val="004C794A"/>
    <w:rsid w:val="004D1006"/>
    <w:rsid w:val="004D1735"/>
    <w:rsid w:val="004D6284"/>
    <w:rsid w:val="004F600F"/>
    <w:rsid w:val="004F6968"/>
    <w:rsid w:val="004F6F1F"/>
    <w:rsid w:val="004F7D6F"/>
    <w:rsid w:val="005032D5"/>
    <w:rsid w:val="00570B48"/>
    <w:rsid w:val="005B5EDF"/>
    <w:rsid w:val="005B7A8D"/>
    <w:rsid w:val="005C1AE9"/>
    <w:rsid w:val="005C482F"/>
    <w:rsid w:val="005F15DB"/>
    <w:rsid w:val="0060527F"/>
    <w:rsid w:val="00625296"/>
    <w:rsid w:val="006805B5"/>
    <w:rsid w:val="006B4FEA"/>
    <w:rsid w:val="006C3B7D"/>
    <w:rsid w:val="00707DD0"/>
    <w:rsid w:val="0078205D"/>
    <w:rsid w:val="007E2C23"/>
    <w:rsid w:val="008068AA"/>
    <w:rsid w:val="00814244"/>
    <w:rsid w:val="008200BD"/>
    <w:rsid w:val="0082788A"/>
    <w:rsid w:val="008415D5"/>
    <w:rsid w:val="00860C3D"/>
    <w:rsid w:val="008760F4"/>
    <w:rsid w:val="008F1D6F"/>
    <w:rsid w:val="00972F81"/>
    <w:rsid w:val="009B50F3"/>
    <w:rsid w:val="00A12690"/>
    <w:rsid w:val="00A22096"/>
    <w:rsid w:val="00A434A9"/>
    <w:rsid w:val="00AB10F7"/>
    <w:rsid w:val="00AB17B9"/>
    <w:rsid w:val="00AC2477"/>
    <w:rsid w:val="00AF34CC"/>
    <w:rsid w:val="00B65A86"/>
    <w:rsid w:val="00B71FE9"/>
    <w:rsid w:val="00BB17C5"/>
    <w:rsid w:val="00BF049E"/>
    <w:rsid w:val="00C02F70"/>
    <w:rsid w:val="00C152AE"/>
    <w:rsid w:val="00C21FAC"/>
    <w:rsid w:val="00CA631E"/>
    <w:rsid w:val="00CB3623"/>
    <w:rsid w:val="00CC1189"/>
    <w:rsid w:val="00D13B6F"/>
    <w:rsid w:val="00D375D1"/>
    <w:rsid w:val="00D453C3"/>
    <w:rsid w:val="00D60B02"/>
    <w:rsid w:val="00D75D35"/>
    <w:rsid w:val="00DB713C"/>
    <w:rsid w:val="00DE2A12"/>
    <w:rsid w:val="00E03960"/>
    <w:rsid w:val="00E204BE"/>
    <w:rsid w:val="00E31866"/>
    <w:rsid w:val="00E45CC7"/>
    <w:rsid w:val="00E968A6"/>
    <w:rsid w:val="00EB59E3"/>
    <w:rsid w:val="00F22831"/>
    <w:rsid w:val="00F27ABC"/>
    <w:rsid w:val="00F52837"/>
    <w:rsid w:val="00F60D59"/>
    <w:rsid w:val="00F62771"/>
    <w:rsid w:val="00FA0D16"/>
    <w:rsid w:val="00FB1DA9"/>
    <w:rsid w:val="00FB4201"/>
    <w:rsid w:val="00FC552A"/>
    <w:rsid w:val="00FF125B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12690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1269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35214-DFE5-44DA-8613-3C3129D1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Polakova Viera</cp:lastModifiedBy>
  <cp:revision>2</cp:revision>
  <cp:lastPrinted>2019-03-29T15:28:00Z</cp:lastPrinted>
  <dcterms:created xsi:type="dcterms:W3CDTF">2019-04-24T08:10:00Z</dcterms:created>
  <dcterms:modified xsi:type="dcterms:W3CDTF">2019-04-24T08:10:00Z</dcterms:modified>
</cp:coreProperties>
</file>