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33" w:rsidRPr="00AE165B" w:rsidRDefault="00B77EED" w:rsidP="0029320B">
      <w:pPr>
        <w:jc w:val="center"/>
        <w:rPr>
          <w:sz w:val="23"/>
          <w:szCs w:val="23"/>
        </w:rPr>
      </w:pPr>
      <w:bookmarkStart w:id="0" w:name="_GoBack"/>
      <w:bookmarkEnd w:id="0"/>
      <w:r w:rsidRPr="00AE165B">
        <w:rPr>
          <w:b/>
          <w:bCs/>
          <w:caps/>
          <w:spacing w:val="30"/>
          <w:sz w:val="23"/>
          <w:szCs w:val="23"/>
        </w:rPr>
        <w:t>D</w:t>
      </w:r>
      <w:r w:rsidR="008F3B33" w:rsidRPr="00AE165B">
        <w:rPr>
          <w:b/>
          <w:bCs/>
          <w:caps/>
          <w:spacing w:val="30"/>
          <w:sz w:val="23"/>
          <w:szCs w:val="23"/>
        </w:rPr>
        <w:t>OLOŽKA ZLUČITEĽNOSTI</w:t>
      </w:r>
    </w:p>
    <w:p w:rsidR="008F3B33" w:rsidRPr="00AE165B" w:rsidRDefault="008F3B33" w:rsidP="008F3B33">
      <w:pPr>
        <w:pStyle w:val="Normlnywebov"/>
        <w:spacing w:before="120" w:beforeAutospacing="0" w:after="0" w:afterAutospacing="0" w:line="276" w:lineRule="auto"/>
        <w:jc w:val="center"/>
        <w:rPr>
          <w:b/>
          <w:bCs/>
          <w:sz w:val="23"/>
          <w:szCs w:val="23"/>
        </w:rPr>
      </w:pPr>
      <w:r w:rsidRPr="00AE165B">
        <w:rPr>
          <w:b/>
          <w:bCs/>
          <w:sz w:val="23"/>
          <w:szCs w:val="23"/>
        </w:rPr>
        <w:t>návrhu zákona</w:t>
      </w:r>
      <w:r w:rsidRPr="00AE165B">
        <w:rPr>
          <w:sz w:val="23"/>
          <w:szCs w:val="23"/>
        </w:rPr>
        <w:t xml:space="preserve"> </w:t>
      </w:r>
      <w:r w:rsidRPr="00AE165B">
        <w:rPr>
          <w:b/>
          <w:bCs/>
          <w:sz w:val="23"/>
          <w:szCs w:val="23"/>
        </w:rPr>
        <w:t>s právom Európskej únie</w:t>
      </w:r>
    </w:p>
    <w:p w:rsidR="00EF1DC2" w:rsidRPr="00AE165B" w:rsidRDefault="008F3B33" w:rsidP="00943EF9">
      <w:pPr>
        <w:pStyle w:val="Normlnywebov"/>
        <w:spacing w:before="120" w:beforeAutospacing="0" w:after="240" w:afterAutospacing="0" w:line="276" w:lineRule="auto"/>
        <w:jc w:val="both"/>
        <w:rPr>
          <w:sz w:val="23"/>
          <w:szCs w:val="23"/>
        </w:rPr>
      </w:pPr>
      <w:r w:rsidRPr="00AE165B">
        <w:rPr>
          <w:b/>
          <w:bCs/>
          <w:sz w:val="23"/>
          <w:szCs w:val="23"/>
        </w:rPr>
        <w:t>1. Navrhovateľ zákona:</w:t>
      </w:r>
      <w:r w:rsidR="003160B3" w:rsidRPr="00AE165B">
        <w:rPr>
          <w:sz w:val="23"/>
          <w:szCs w:val="23"/>
        </w:rPr>
        <w:t xml:space="preserve"> skupina poslancov</w:t>
      </w:r>
      <w:r w:rsidRPr="00AE165B">
        <w:rPr>
          <w:sz w:val="23"/>
          <w:szCs w:val="23"/>
        </w:rPr>
        <w:t xml:space="preserve"> Národnej rady</w:t>
      </w:r>
      <w:r w:rsidR="00EF1DC2" w:rsidRPr="00AE165B">
        <w:rPr>
          <w:sz w:val="23"/>
          <w:szCs w:val="23"/>
        </w:rPr>
        <w:t xml:space="preserve"> Sloven</w:t>
      </w:r>
      <w:r w:rsidR="003160B3" w:rsidRPr="00AE165B">
        <w:rPr>
          <w:sz w:val="23"/>
          <w:szCs w:val="23"/>
        </w:rPr>
        <w:t>skej republiky</w:t>
      </w:r>
    </w:p>
    <w:p w:rsidR="008F3B33" w:rsidRPr="00AE165B" w:rsidRDefault="008F3B33" w:rsidP="00943EF9">
      <w:pPr>
        <w:pStyle w:val="Normlnywebov"/>
        <w:spacing w:before="120" w:beforeAutospacing="0" w:after="240" w:afterAutospacing="0" w:line="276" w:lineRule="auto"/>
        <w:jc w:val="both"/>
        <w:rPr>
          <w:bCs/>
          <w:sz w:val="23"/>
          <w:szCs w:val="23"/>
        </w:rPr>
      </w:pPr>
      <w:r w:rsidRPr="00AE165B">
        <w:rPr>
          <w:b/>
          <w:bCs/>
          <w:sz w:val="23"/>
          <w:szCs w:val="23"/>
        </w:rPr>
        <w:t>2. Názov návrhu zákona:</w:t>
      </w:r>
      <w:r w:rsidRPr="00AE165B">
        <w:rPr>
          <w:sz w:val="23"/>
          <w:szCs w:val="23"/>
        </w:rPr>
        <w:t xml:space="preserve">  </w:t>
      </w:r>
      <w:r w:rsidR="009650F3" w:rsidRPr="00AE165B">
        <w:rPr>
          <w:sz w:val="23"/>
          <w:szCs w:val="23"/>
        </w:rPr>
        <w:t>zákona, ktorým sa mení a dopĺňa zákon č. 461/2003 Z. z. o sociálnom poistení v znení neskorších predpisov a ktorým sa dopĺňa zákon č. 5/2004 Z. z. o službách zamestnanosti a o zmene a doplnení niektorých zákonov v znení neskorších predpisov</w:t>
      </w:r>
    </w:p>
    <w:p w:rsidR="008F3B33" w:rsidRPr="00AE165B" w:rsidRDefault="008F3B33" w:rsidP="009650F3">
      <w:pPr>
        <w:pStyle w:val="Normlnywebov"/>
        <w:spacing w:before="120" w:beforeAutospacing="0" w:after="0" w:afterAutospacing="0" w:line="276" w:lineRule="auto"/>
        <w:jc w:val="both"/>
        <w:rPr>
          <w:b/>
          <w:bCs/>
          <w:sz w:val="23"/>
          <w:szCs w:val="23"/>
        </w:rPr>
      </w:pPr>
      <w:r w:rsidRPr="00AE165B">
        <w:rPr>
          <w:b/>
          <w:bCs/>
          <w:sz w:val="23"/>
          <w:szCs w:val="23"/>
        </w:rPr>
        <w:t>3. Predmet návrhu zákona</w:t>
      </w:r>
      <w:r w:rsidR="003F4461" w:rsidRPr="00AE165B">
        <w:rPr>
          <w:b/>
          <w:bCs/>
          <w:sz w:val="23"/>
          <w:szCs w:val="23"/>
        </w:rPr>
        <w:t xml:space="preserve"> je upravený v práve Európskej únie</w:t>
      </w:r>
      <w:r w:rsidRPr="00AE165B">
        <w:rPr>
          <w:b/>
          <w:bCs/>
          <w:sz w:val="23"/>
          <w:szCs w:val="23"/>
        </w:rPr>
        <w:t xml:space="preserve">: </w:t>
      </w:r>
    </w:p>
    <w:p w:rsidR="003F4461" w:rsidRPr="00AE165B" w:rsidRDefault="008F3B33" w:rsidP="009650F3">
      <w:pPr>
        <w:pStyle w:val="Zkladntext"/>
        <w:numPr>
          <w:ilvl w:val="1"/>
          <w:numId w:val="36"/>
        </w:numPr>
        <w:tabs>
          <w:tab w:val="left" w:pos="360"/>
        </w:tabs>
        <w:spacing w:after="0"/>
        <w:jc w:val="both"/>
        <w:rPr>
          <w:bCs/>
          <w:sz w:val="23"/>
          <w:szCs w:val="23"/>
        </w:rPr>
      </w:pPr>
      <w:r w:rsidRPr="00AE165B">
        <w:rPr>
          <w:bCs/>
          <w:sz w:val="23"/>
          <w:szCs w:val="23"/>
        </w:rPr>
        <w:t xml:space="preserve">v primárnom práve </w:t>
      </w:r>
    </w:p>
    <w:p w:rsidR="003F4461" w:rsidRPr="00AE165B" w:rsidRDefault="008539DB" w:rsidP="0051304D">
      <w:pPr>
        <w:pStyle w:val="Normlnywebov"/>
        <w:spacing w:before="120" w:beforeAutospacing="0" w:after="0" w:afterAutospacing="0" w:line="276" w:lineRule="auto"/>
        <w:ind w:left="851"/>
        <w:jc w:val="both"/>
        <w:rPr>
          <w:i/>
          <w:sz w:val="23"/>
          <w:szCs w:val="23"/>
        </w:rPr>
      </w:pPr>
      <w:r w:rsidRPr="00AE165B">
        <w:rPr>
          <w:i/>
          <w:sz w:val="23"/>
          <w:szCs w:val="23"/>
        </w:rPr>
        <w:t xml:space="preserve"> </w:t>
      </w:r>
      <w:r w:rsidR="003F4461" w:rsidRPr="00AE165B">
        <w:rPr>
          <w:i/>
          <w:sz w:val="23"/>
          <w:szCs w:val="23"/>
        </w:rPr>
        <w:t xml:space="preserve">čl. </w:t>
      </w:r>
      <w:r w:rsidR="0051304D" w:rsidRPr="00AE165B">
        <w:rPr>
          <w:i/>
          <w:sz w:val="23"/>
          <w:szCs w:val="23"/>
        </w:rPr>
        <w:t xml:space="preserve">16, </w:t>
      </w:r>
      <w:r w:rsidR="003F4461" w:rsidRPr="00AE165B">
        <w:rPr>
          <w:i/>
          <w:sz w:val="23"/>
          <w:szCs w:val="23"/>
        </w:rPr>
        <w:t>151 a 153 Zmluvy o fungovaní Európskej únie (Konsolidované znenie),  </w:t>
      </w:r>
    </w:p>
    <w:p w:rsidR="0051304D" w:rsidRPr="00AE165B" w:rsidRDefault="0051304D" w:rsidP="009650F3">
      <w:pPr>
        <w:pStyle w:val="Normlnywebov"/>
        <w:spacing w:before="120" w:beforeAutospacing="0" w:after="240" w:afterAutospacing="0" w:line="276" w:lineRule="auto"/>
        <w:ind w:left="851"/>
        <w:jc w:val="both"/>
        <w:rPr>
          <w:i/>
          <w:sz w:val="23"/>
          <w:szCs w:val="23"/>
        </w:rPr>
      </w:pPr>
      <w:r w:rsidRPr="00AE165B">
        <w:rPr>
          <w:i/>
          <w:sz w:val="23"/>
          <w:szCs w:val="23"/>
        </w:rPr>
        <w:t>čl. 8 Charty základných práv Európskej únie,</w:t>
      </w:r>
    </w:p>
    <w:p w:rsidR="008F3B33" w:rsidRPr="00AE165B" w:rsidRDefault="008F3B33" w:rsidP="009650F3">
      <w:pPr>
        <w:pStyle w:val="Zkladntext"/>
        <w:numPr>
          <w:ilvl w:val="1"/>
          <w:numId w:val="36"/>
        </w:numPr>
        <w:tabs>
          <w:tab w:val="left" w:pos="360"/>
        </w:tabs>
        <w:spacing w:after="0"/>
        <w:jc w:val="both"/>
        <w:rPr>
          <w:bCs/>
          <w:sz w:val="23"/>
          <w:szCs w:val="23"/>
        </w:rPr>
      </w:pPr>
      <w:r w:rsidRPr="00AE165B">
        <w:rPr>
          <w:bCs/>
          <w:sz w:val="23"/>
          <w:szCs w:val="23"/>
        </w:rPr>
        <w:t>v sekundárnom práve</w:t>
      </w:r>
    </w:p>
    <w:p w:rsidR="00196440" w:rsidRPr="00AE165B" w:rsidRDefault="00196440" w:rsidP="009650F3">
      <w:pPr>
        <w:jc w:val="both"/>
        <w:rPr>
          <w:i/>
          <w:iCs/>
          <w:sz w:val="23"/>
          <w:szCs w:val="23"/>
        </w:rPr>
      </w:pPr>
    </w:p>
    <w:p w:rsidR="00196440" w:rsidRPr="00AE165B" w:rsidRDefault="00196440" w:rsidP="009650F3">
      <w:pPr>
        <w:ind w:left="851"/>
        <w:jc w:val="both"/>
        <w:rPr>
          <w:i/>
          <w:sz w:val="23"/>
          <w:szCs w:val="23"/>
          <w:lang w:eastAsia="cs-CZ"/>
        </w:rPr>
      </w:pPr>
      <w:r w:rsidRPr="00AE165B">
        <w:rPr>
          <w:i/>
          <w:sz w:val="23"/>
          <w:szCs w:val="23"/>
          <w:lang w:eastAsia="cs-CZ"/>
        </w:rPr>
        <w:t xml:space="preserve">Nariadenie Európskeho parlamentu a Rady (ES) č. 883/2004 z 29. apríla 2004 o koordinácii systémov sociálneho zabezpečenia, </w:t>
      </w:r>
    </w:p>
    <w:p w:rsidR="00196440" w:rsidRPr="00AE165B" w:rsidRDefault="00196440" w:rsidP="009650F3">
      <w:pPr>
        <w:pStyle w:val="Odsekzoznamu"/>
        <w:tabs>
          <w:tab w:val="left" w:pos="360"/>
        </w:tabs>
        <w:ind w:left="1065"/>
        <w:jc w:val="both"/>
        <w:rPr>
          <w:sz w:val="23"/>
          <w:szCs w:val="23"/>
        </w:rPr>
      </w:pPr>
    </w:p>
    <w:p w:rsidR="00196440" w:rsidRPr="00AE165B" w:rsidRDefault="00196440" w:rsidP="009650F3">
      <w:pPr>
        <w:tabs>
          <w:tab w:val="left" w:pos="360"/>
        </w:tabs>
        <w:spacing w:after="240"/>
        <w:ind w:left="851"/>
        <w:jc w:val="both"/>
        <w:rPr>
          <w:i/>
          <w:sz w:val="23"/>
          <w:szCs w:val="23"/>
        </w:rPr>
      </w:pPr>
      <w:r w:rsidRPr="00AE165B">
        <w:rPr>
          <w:i/>
          <w:sz w:val="23"/>
          <w:szCs w:val="23"/>
        </w:rPr>
        <w:t>Nariadenie Európskeho parlamentu a Rady (ES) č. 987/2009 zo 16. septembra 2009, ktorým sa ustanovuje postup vykonávania nariadenia (ES) č. 883/2004 o koordinácii systémov sociálneho zabezpečenia,</w:t>
      </w:r>
    </w:p>
    <w:p w:rsidR="0051304D" w:rsidRPr="00AE165B" w:rsidRDefault="0051304D" w:rsidP="009650F3">
      <w:pPr>
        <w:tabs>
          <w:tab w:val="left" w:pos="360"/>
        </w:tabs>
        <w:spacing w:after="240"/>
        <w:ind w:left="851"/>
        <w:jc w:val="both"/>
        <w:rPr>
          <w:i/>
          <w:sz w:val="23"/>
          <w:szCs w:val="23"/>
        </w:rPr>
      </w:pPr>
      <w:r w:rsidRPr="00AE165B">
        <w:rPr>
          <w:i/>
          <w:sz w:val="23"/>
          <w:szCs w:val="23"/>
        </w:rPr>
        <w:t>Nariadenie Európskeho parlamentu a rady (EÚ) 2016/697 z 27. apríla 2016 o ochrane fyzických osôb pri spracúvaní osobných údajov a o voľnom pohybe takýchto údajov, ktorým sa zrušuje smernica 95/46/ES (všeobecné nariadenie o ochrane údajov),</w:t>
      </w:r>
    </w:p>
    <w:p w:rsidR="008F3B33" w:rsidRPr="00AE165B" w:rsidRDefault="003F4461" w:rsidP="009650F3">
      <w:pPr>
        <w:pStyle w:val="Zkladntext"/>
        <w:numPr>
          <w:ilvl w:val="1"/>
          <w:numId w:val="36"/>
        </w:numPr>
        <w:tabs>
          <w:tab w:val="left" w:pos="360"/>
        </w:tabs>
        <w:spacing w:after="0"/>
        <w:jc w:val="both"/>
        <w:rPr>
          <w:bCs/>
          <w:sz w:val="23"/>
          <w:szCs w:val="23"/>
        </w:rPr>
      </w:pPr>
      <w:r w:rsidRPr="00AE165B">
        <w:rPr>
          <w:bCs/>
          <w:sz w:val="23"/>
          <w:szCs w:val="23"/>
        </w:rPr>
        <w:t>v</w:t>
      </w:r>
      <w:r w:rsidR="008F3B33" w:rsidRPr="00AE165B">
        <w:rPr>
          <w:bCs/>
          <w:sz w:val="23"/>
          <w:szCs w:val="23"/>
        </w:rPr>
        <w:t xml:space="preserve"> judikatúre Súdneho dvora Európskej únie</w:t>
      </w:r>
    </w:p>
    <w:p w:rsidR="003F4461" w:rsidRPr="00AE165B" w:rsidRDefault="003F4461" w:rsidP="009650F3">
      <w:pPr>
        <w:pStyle w:val="Normlnywebov"/>
        <w:spacing w:before="120" w:beforeAutospacing="0" w:after="0" w:afterAutospacing="0" w:line="276" w:lineRule="auto"/>
        <w:ind w:left="851"/>
        <w:jc w:val="both"/>
        <w:rPr>
          <w:i/>
          <w:sz w:val="23"/>
          <w:szCs w:val="23"/>
        </w:rPr>
      </w:pPr>
      <w:r w:rsidRPr="00AE165B">
        <w:rPr>
          <w:i/>
          <w:sz w:val="23"/>
          <w:szCs w:val="23"/>
        </w:rPr>
        <w:t xml:space="preserve">nie je upravená. </w:t>
      </w:r>
    </w:p>
    <w:p w:rsidR="00196440" w:rsidRPr="00AE165B" w:rsidRDefault="00196440" w:rsidP="009650F3">
      <w:pPr>
        <w:numPr>
          <w:ilvl w:val="0"/>
          <w:numId w:val="37"/>
        </w:numPr>
        <w:tabs>
          <w:tab w:val="left" w:pos="340"/>
        </w:tabs>
        <w:jc w:val="both"/>
        <w:rPr>
          <w:b/>
          <w:bCs/>
          <w:sz w:val="23"/>
          <w:szCs w:val="23"/>
        </w:rPr>
      </w:pPr>
      <w:r w:rsidRPr="00AE165B">
        <w:rPr>
          <w:b/>
          <w:bCs/>
          <w:sz w:val="23"/>
          <w:szCs w:val="23"/>
        </w:rPr>
        <w:t>Záväzky Slovenskej republiky vo vzťahu k Európskej únii:</w:t>
      </w:r>
    </w:p>
    <w:p w:rsidR="00196440" w:rsidRPr="00AE165B" w:rsidRDefault="00196440" w:rsidP="009650F3">
      <w:pPr>
        <w:tabs>
          <w:tab w:val="left" w:pos="340"/>
        </w:tabs>
        <w:ind w:left="425"/>
        <w:jc w:val="both"/>
        <w:rPr>
          <w:b/>
          <w:bCs/>
          <w:sz w:val="23"/>
          <w:szCs w:val="23"/>
        </w:rPr>
      </w:pPr>
    </w:p>
    <w:p w:rsidR="00196440" w:rsidRPr="00AE165B" w:rsidRDefault="00196440" w:rsidP="009650F3">
      <w:pPr>
        <w:pStyle w:val="Zkladntext"/>
        <w:numPr>
          <w:ilvl w:val="1"/>
          <w:numId w:val="37"/>
        </w:numPr>
        <w:tabs>
          <w:tab w:val="left" w:pos="360"/>
        </w:tabs>
        <w:spacing w:after="0"/>
        <w:jc w:val="both"/>
        <w:rPr>
          <w:sz w:val="23"/>
          <w:szCs w:val="23"/>
        </w:rPr>
      </w:pPr>
      <w:r w:rsidRPr="00AE165B">
        <w:rPr>
          <w:bCs/>
          <w:sz w:val="23"/>
          <w:szCs w:val="23"/>
        </w:rPr>
        <w:t>lehota na prebranie príslušného právneho aktu Európskej únie, príp. aj osobitná lehota účinnosti jeho ustanovení</w:t>
      </w:r>
      <w:r w:rsidRPr="00AE165B">
        <w:rPr>
          <w:sz w:val="23"/>
          <w:szCs w:val="23"/>
        </w:rPr>
        <w:t xml:space="preserve"> </w:t>
      </w:r>
    </w:p>
    <w:p w:rsidR="00196440" w:rsidRPr="00AE165B" w:rsidRDefault="00196440" w:rsidP="009650F3">
      <w:pPr>
        <w:pStyle w:val="Zkladntext"/>
        <w:tabs>
          <w:tab w:val="left" w:pos="360"/>
        </w:tabs>
        <w:spacing w:after="0"/>
        <w:ind w:left="850"/>
        <w:jc w:val="both"/>
        <w:rPr>
          <w:sz w:val="23"/>
          <w:szCs w:val="23"/>
        </w:rPr>
      </w:pPr>
    </w:p>
    <w:p w:rsidR="00196440" w:rsidRPr="00AE165B" w:rsidRDefault="00196440" w:rsidP="009650F3">
      <w:pPr>
        <w:pStyle w:val="Zkladntext"/>
        <w:tabs>
          <w:tab w:val="left" w:pos="360"/>
        </w:tabs>
        <w:spacing w:after="0"/>
        <w:ind w:left="850"/>
        <w:jc w:val="both"/>
        <w:rPr>
          <w:i/>
          <w:sz w:val="23"/>
          <w:szCs w:val="23"/>
        </w:rPr>
      </w:pPr>
      <w:r w:rsidRPr="00AE165B">
        <w:rPr>
          <w:i/>
          <w:sz w:val="23"/>
          <w:szCs w:val="23"/>
        </w:rPr>
        <w:t>bezpredmetné,</w:t>
      </w:r>
    </w:p>
    <w:p w:rsidR="00196440" w:rsidRPr="00AE165B" w:rsidRDefault="00196440" w:rsidP="009650F3">
      <w:pPr>
        <w:pStyle w:val="Zkladntext"/>
        <w:tabs>
          <w:tab w:val="left" w:pos="360"/>
        </w:tabs>
        <w:spacing w:after="0"/>
        <w:ind w:left="850"/>
        <w:jc w:val="both"/>
        <w:rPr>
          <w:sz w:val="23"/>
          <w:szCs w:val="23"/>
        </w:rPr>
      </w:pPr>
    </w:p>
    <w:p w:rsidR="00196440" w:rsidRPr="00AE165B" w:rsidRDefault="00196440" w:rsidP="009650F3">
      <w:pPr>
        <w:pStyle w:val="Zkladntext"/>
        <w:numPr>
          <w:ilvl w:val="1"/>
          <w:numId w:val="37"/>
        </w:numPr>
        <w:tabs>
          <w:tab w:val="left" w:pos="360"/>
        </w:tabs>
        <w:spacing w:after="0"/>
        <w:jc w:val="both"/>
        <w:rPr>
          <w:sz w:val="23"/>
          <w:szCs w:val="23"/>
        </w:rPr>
      </w:pPr>
      <w:r w:rsidRPr="00AE165B">
        <w:rPr>
          <w:sz w:val="23"/>
          <w:szCs w:val="23"/>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r w:rsidR="008539DB" w:rsidRPr="00AE165B">
        <w:rPr>
          <w:sz w:val="23"/>
          <w:szCs w:val="23"/>
        </w:rPr>
        <w:t xml:space="preserve"> </w:t>
      </w:r>
    </w:p>
    <w:p w:rsidR="00196440" w:rsidRPr="00AE165B" w:rsidRDefault="00196440" w:rsidP="009650F3">
      <w:pPr>
        <w:pStyle w:val="Zkladntext"/>
        <w:tabs>
          <w:tab w:val="left" w:pos="360"/>
        </w:tabs>
        <w:spacing w:after="0"/>
        <w:ind w:left="850"/>
        <w:jc w:val="both"/>
        <w:rPr>
          <w:sz w:val="23"/>
          <w:szCs w:val="23"/>
        </w:rPr>
      </w:pPr>
    </w:p>
    <w:p w:rsidR="00196440" w:rsidRPr="00AE165B" w:rsidRDefault="00196440" w:rsidP="009650F3">
      <w:pPr>
        <w:pStyle w:val="Zkladntext"/>
        <w:tabs>
          <w:tab w:val="left" w:pos="360"/>
        </w:tabs>
        <w:spacing w:after="0"/>
        <w:ind w:left="850"/>
        <w:jc w:val="both"/>
        <w:rPr>
          <w:i/>
          <w:sz w:val="23"/>
          <w:szCs w:val="23"/>
        </w:rPr>
      </w:pPr>
      <w:r w:rsidRPr="00AE165B">
        <w:rPr>
          <w:i/>
          <w:sz w:val="23"/>
          <w:szCs w:val="23"/>
        </w:rPr>
        <w:t>bezpredmetné,</w:t>
      </w:r>
    </w:p>
    <w:p w:rsidR="00196440" w:rsidRPr="00AE165B" w:rsidRDefault="00196440" w:rsidP="009650F3">
      <w:pPr>
        <w:pStyle w:val="Zkladntext"/>
        <w:tabs>
          <w:tab w:val="left" w:pos="360"/>
        </w:tabs>
        <w:spacing w:after="0"/>
        <w:ind w:left="850"/>
        <w:jc w:val="both"/>
        <w:rPr>
          <w:sz w:val="23"/>
          <w:szCs w:val="23"/>
        </w:rPr>
      </w:pPr>
    </w:p>
    <w:p w:rsidR="00196440" w:rsidRPr="00AE165B" w:rsidRDefault="00196440" w:rsidP="009650F3">
      <w:pPr>
        <w:pStyle w:val="Zkladntext"/>
        <w:numPr>
          <w:ilvl w:val="1"/>
          <w:numId w:val="37"/>
        </w:numPr>
        <w:tabs>
          <w:tab w:val="left" w:pos="360"/>
        </w:tabs>
        <w:spacing w:after="0"/>
        <w:jc w:val="both"/>
        <w:rPr>
          <w:sz w:val="23"/>
          <w:szCs w:val="23"/>
        </w:rPr>
      </w:pPr>
      <w:r w:rsidRPr="00AE165B">
        <w:rPr>
          <w:bCs/>
          <w:sz w:val="23"/>
          <w:szCs w:val="23"/>
        </w:rPr>
        <w:t xml:space="preserve">informácia o právnych predpisoch, v ktorých sú uvádzané právne akty Európskej únie už prebrané, spolu s uvedením rozsahu ich prebrania, príp. potreby prijatia ďalších úprav  </w:t>
      </w:r>
    </w:p>
    <w:p w:rsidR="00196440" w:rsidRPr="00AE165B" w:rsidRDefault="00196440" w:rsidP="009650F3">
      <w:pPr>
        <w:pStyle w:val="Zkladntext"/>
        <w:tabs>
          <w:tab w:val="left" w:pos="360"/>
        </w:tabs>
        <w:spacing w:after="0"/>
        <w:ind w:left="850"/>
        <w:jc w:val="both"/>
        <w:rPr>
          <w:bCs/>
          <w:sz w:val="23"/>
          <w:szCs w:val="23"/>
        </w:rPr>
      </w:pPr>
    </w:p>
    <w:p w:rsidR="00196440" w:rsidRPr="00AE165B" w:rsidRDefault="00196440" w:rsidP="009650F3">
      <w:pPr>
        <w:pStyle w:val="Zkladntext"/>
        <w:tabs>
          <w:tab w:val="left" w:pos="360"/>
        </w:tabs>
        <w:spacing w:after="0"/>
        <w:ind w:left="850"/>
        <w:jc w:val="both"/>
        <w:rPr>
          <w:i/>
          <w:sz w:val="23"/>
          <w:szCs w:val="23"/>
        </w:rPr>
      </w:pPr>
      <w:r w:rsidRPr="00AE165B">
        <w:rPr>
          <w:i/>
          <w:sz w:val="23"/>
          <w:szCs w:val="23"/>
        </w:rPr>
        <w:t>bezpredmetné.</w:t>
      </w:r>
    </w:p>
    <w:p w:rsidR="00196440" w:rsidRPr="00AE165B" w:rsidRDefault="00196440" w:rsidP="009650F3">
      <w:pPr>
        <w:pStyle w:val="Zkladntext"/>
        <w:tabs>
          <w:tab w:val="left" w:pos="360"/>
        </w:tabs>
        <w:spacing w:after="0"/>
        <w:jc w:val="both"/>
        <w:rPr>
          <w:bCs/>
          <w:sz w:val="23"/>
          <w:szCs w:val="23"/>
        </w:rPr>
      </w:pPr>
    </w:p>
    <w:p w:rsidR="00196440" w:rsidRPr="00AE165B" w:rsidRDefault="00196440" w:rsidP="009650F3">
      <w:pPr>
        <w:numPr>
          <w:ilvl w:val="0"/>
          <w:numId w:val="37"/>
        </w:numPr>
        <w:jc w:val="both"/>
        <w:rPr>
          <w:bCs/>
          <w:sz w:val="23"/>
          <w:szCs w:val="23"/>
        </w:rPr>
      </w:pPr>
      <w:r w:rsidRPr="00AE165B">
        <w:rPr>
          <w:b/>
          <w:bCs/>
          <w:sz w:val="23"/>
          <w:szCs w:val="23"/>
        </w:rPr>
        <w:t xml:space="preserve">Návrh zákona je zlučiteľný s právom Európskej únie: </w:t>
      </w:r>
    </w:p>
    <w:p w:rsidR="00E33B11" w:rsidRPr="00AE165B" w:rsidRDefault="00196440" w:rsidP="009650F3">
      <w:pPr>
        <w:ind w:left="851"/>
        <w:jc w:val="both"/>
        <w:rPr>
          <w:bCs/>
          <w:i/>
          <w:sz w:val="23"/>
          <w:szCs w:val="23"/>
        </w:rPr>
      </w:pPr>
      <w:r w:rsidRPr="00AE165B">
        <w:rPr>
          <w:bCs/>
          <w:i/>
          <w:sz w:val="23"/>
          <w:szCs w:val="23"/>
        </w:rPr>
        <w:t>úplne.</w:t>
      </w:r>
    </w:p>
    <w:p w:rsidR="00F954CF" w:rsidRDefault="00F954CF" w:rsidP="00AE165B">
      <w:pPr>
        <w:pStyle w:val="Vchodzie"/>
        <w:spacing w:after="0" w:line="200" w:lineRule="atLeast"/>
        <w:jc w:val="center"/>
        <w:rPr>
          <w:rFonts w:ascii="Times New Roman" w:hAnsi="Times New Roman" w:cs="Times New Roman"/>
          <w:b/>
          <w:caps/>
          <w:color w:val="000000"/>
          <w:spacing w:val="30"/>
          <w:sz w:val="24"/>
          <w:szCs w:val="24"/>
          <w:lang w:val="sk-SK"/>
        </w:rPr>
      </w:pPr>
    </w:p>
    <w:p w:rsidR="00F954CF" w:rsidRDefault="00F954CF" w:rsidP="00AE165B">
      <w:pPr>
        <w:pStyle w:val="Vchodzie"/>
        <w:spacing w:after="0" w:line="200" w:lineRule="atLeast"/>
        <w:jc w:val="center"/>
        <w:rPr>
          <w:rFonts w:ascii="Times New Roman" w:hAnsi="Times New Roman" w:cs="Times New Roman"/>
          <w:b/>
          <w:caps/>
          <w:color w:val="000000"/>
          <w:spacing w:val="30"/>
          <w:sz w:val="24"/>
          <w:szCs w:val="24"/>
          <w:lang w:val="sk-SK"/>
        </w:rPr>
      </w:pPr>
    </w:p>
    <w:p w:rsidR="00AE165B" w:rsidRPr="00AE165B" w:rsidRDefault="00AE165B" w:rsidP="00AE165B">
      <w:pPr>
        <w:pStyle w:val="Vchodzie"/>
        <w:spacing w:after="0" w:line="200" w:lineRule="atLeast"/>
        <w:jc w:val="center"/>
        <w:rPr>
          <w:rFonts w:ascii="Times New Roman" w:hAnsi="Times New Roman" w:cs="Times New Roman"/>
          <w:szCs w:val="24"/>
          <w:lang w:val="sk-SK"/>
        </w:rPr>
      </w:pPr>
      <w:r w:rsidRPr="00AE165B">
        <w:rPr>
          <w:rFonts w:ascii="Times New Roman" w:hAnsi="Times New Roman" w:cs="Times New Roman"/>
          <w:b/>
          <w:caps/>
          <w:color w:val="000000"/>
          <w:spacing w:val="30"/>
          <w:sz w:val="24"/>
          <w:szCs w:val="24"/>
          <w:lang w:val="sk-SK"/>
        </w:rPr>
        <w:lastRenderedPageBreak/>
        <w:t>Doložka</w:t>
      </w:r>
    </w:p>
    <w:p w:rsidR="00AE165B" w:rsidRPr="00AE165B" w:rsidRDefault="00AE165B" w:rsidP="00AE165B">
      <w:pPr>
        <w:pStyle w:val="Vchodzie"/>
        <w:spacing w:after="0" w:line="200" w:lineRule="atLeast"/>
        <w:jc w:val="center"/>
        <w:rPr>
          <w:rFonts w:ascii="Times New Roman" w:hAnsi="Times New Roman" w:cs="Times New Roman"/>
          <w:szCs w:val="24"/>
          <w:lang w:val="sk-SK"/>
        </w:rPr>
      </w:pPr>
      <w:r w:rsidRPr="00AE165B">
        <w:rPr>
          <w:rFonts w:ascii="Times New Roman" w:hAnsi="Times New Roman" w:cs="Times New Roman"/>
          <w:b/>
          <w:color w:val="000000"/>
          <w:sz w:val="24"/>
          <w:szCs w:val="24"/>
          <w:lang w:val="sk-SK"/>
        </w:rPr>
        <w:t>vybraných vplyvov</w:t>
      </w:r>
    </w:p>
    <w:p w:rsidR="00AE165B" w:rsidRPr="00AE165B" w:rsidRDefault="00AE165B" w:rsidP="00AE165B">
      <w:pPr>
        <w:pStyle w:val="Vchodzie"/>
        <w:spacing w:after="0" w:line="200" w:lineRule="atLeast"/>
        <w:rPr>
          <w:rFonts w:ascii="Times New Roman" w:hAnsi="Times New Roman" w:cs="Times New Roman"/>
          <w:szCs w:val="24"/>
          <w:lang w:val="sk-SK"/>
        </w:rPr>
      </w:pPr>
    </w:p>
    <w:p w:rsidR="00AE165B" w:rsidRPr="00AE165B" w:rsidRDefault="00AE165B" w:rsidP="00AE165B">
      <w:pPr>
        <w:pStyle w:val="Textkomentra"/>
        <w:jc w:val="both"/>
        <w:rPr>
          <w:sz w:val="24"/>
          <w:szCs w:val="24"/>
        </w:rPr>
      </w:pPr>
      <w:r w:rsidRPr="00AE165B">
        <w:rPr>
          <w:b/>
          <w:color w:val="000000"/>
          <w:sz w:val="24"/>
          <w:szCs w:val="24"/>
        </w:rPr>
        <w:t>A.1. Názov materiálu:</w:t>
      </w:r>
      <w:r w:rsidRPr="00AE165B">
        <w:rPr>
          <w:color w:val="000000"/>
          <w:sz w:val="24"/>
          <w:szCs w:val="24"/>
        </w:rPr>
        <w:t xml:space="preserve"> Návrh zákona, </w:t>
      </w:r>
      <w:r w:rsidRPr="00AE165B">
        <w:rPr>
          <w:sz w:val="24"/>
          <w:szCs w:val="24"/>
        </w:rPr>
        <w:t>ktorým sa mení a dopĺňa zákon č. 461/2003 Z. z. o</w:t>
      </w:r>
      <w:r w:rsidR="004E22A7">
        <w:rPr>
          <w:sz w:val="24"/>
          <w:szCs w:val="24"/>
        </w:rPr>
        <w:t> </w:t>
      </w:r>
      <w:r w:rsidRPr="00AE165B">
        <w:rPr>
          <w:sz w:val="24"/>
          <w:szCs w:val="24"/>
        </w:rPr>
        <w:t>sociálnom poistení v znení neskorších predpisov a ktorým sa mení a dopĺňa zákon č. 5/2004 Z. z. o službách zamestnanosti a o zmene a doplnení niektorých zákonov v znení neskorších predpisov.</w:t>
      </w:r>
    </w:p>
    <w:p w:rsidR="00AE165B" w:rsidRPr="00AE165B" w:rsidRDefault="00AE165B" w:rsidP="00AE165B">
      <w:pPr>
        <w:jc w:val="both"/>
      </w:pPr>
    </w:p>
    <w:p w:rsidR="00AE165B" w:rsidRPr="00AE165B" w:rsidRDefault="00AE165B" w:rsidP="00AE165B">
      <w:pPr>
        <w:pStyle w:val="Vchodzie"/>
        <w:spacing w:after="0" w:line="200" w:lineRule="atLeast"/>
        <w:jc w:val="both"/>
        <w:rPr>
          <w:rFonts w:ascii="Times New Roman" w:hAnsi="Times New Roman" w:cs="Times New Roman"/>
          <w:b/>
          <w:color w:val="000000"/>
          <w:sz w:val="24"/>
          <w:szCs w:val="24"/>
          <w:lang w:val="sk-SK"/>
        </w:rPr>
      </w:pPr>
      <w:r w:rsidRPr="00AE165B">
        <w:rPr>
          <w:rFonts w:ascii="Times New Roman" w:hAnsi="Times New Roman" w:cs="Times New Roman"/>
          <w:b/>
          <w:color w:val="000000"/>
          <w:sz w:val="24"/>
          <w:szCs w:val="24"/>
          <w:lang w:val="sk-SK"/>
        </w:rPr>
        <w:t>A.2. Vplyvy:</w:t>
      </w:r>
    </w:p>
    <w:tbl>
      <w:tblPr>
        <w:tblW w:w="909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4"/>
        <w:gridCol w:w="1191"/>
        <w:gridCol w:w="1180"/>
        <w:gridCol w:w="1195"/>
      </w:tblGrid>
      <w:tr w:rsidR="00AE165B" w:rsidRPr="00AE165B" w:rsidTr="003310B7">
        <w:tc>
          <w:tcPr>
            <w:tcW w:w="5526" w:type="dxa"/>
            <w:vAlign w:val="center"/>
          </w:tcPr>
          <w:p w:rsidR="00AE165B" w:rsidRPr="00AE165B" w:rsidRDefault="00AE165B" w:rsidP="003310B7">
            <w:pPr>
              <w:pStyle w:val="Vchodzie"/>
              <w:spacing w:after="0"/>
              <w:rPr>
                <w:rFonts w:ascii="Times New Roman" w:hAnsi="Times New Roman" w:cs="Times New Roman"/>
                <w:szCs w:val="24"/>
                <w:lang w:val="sk-SK"/>
              </w:rPr>
            </w:pPr>
          </w:p>
        </w:tc>
        <w:tc>
          <w:tcPr>
            <w:tcW w:w="1192"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color w:val="000000"/>
                <w:sz w:val="24"/>
                <w:szCs w:val="24"/>
                <w:lang w:val="sk-SK"/>
              </w:rPr>
              <w:t>Pozitívne</w:t>
            </w:r>
          </w:p>
        </w:tc>
        <w:tc>
          <w:tcPr>
            <w:tcW w:w="1181"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color w:val="000000"/>
                <w:sz w:val="24"/>
                <w:szCs w:val="24"/>
                <w:lang w:val="sk-SK"/>
              </w:rPr>
              <w:t>Žiadne</w:t>
            </w:r>
          </w:p>
        </w:tc>
        <w:tc>
          <w:tcPr>
            <w:tcW w:w="1196"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color w:val="000000"/>
                <w:sz w:val="24"/>
                <w:szCs w:val="24"/>
                <w:lang w:val="sk-SK"/>
              </w:rPr>
              <w:t>Negatívne</w:t>
            </w:r>
          </w:p>
        </w:tc>
      </w:tr>
      <w:tr w:rsidR="00AE165B" w:rsidRPr="00AE165B" w:rsidTr="003310B7">
        <w:tc>
          <w:tcPr>
            <w:tcW w:w="5526" w:type="dxa"/>
            <w:vAlign w:val="center"/>
            <w:hideMark/>
          </w:tcPr>
          <w:p w:rsidR="00AE165B" w:rsidRPr="00AE165B" w:rsidRDefault="00AE165B" w:rsidP="003310B7">
            <w:pPr>
              <w:pStyle w:val="Vchodzie"/>
              <w:spacing w:after="0"/>
              <w:rPr>
                <w:rFonts w:ascii="Times New Roman" w:hAnsi="Times New Roman" w:cs="Times New Roman"/>
                <w:szCs w:val="24"/>
                <w:lang w:val="sk-SK"/>
              </w:rPr>
            </w:pPr>
            <w:r w:rsidRPr="00AE165B">
              <w:rPr>
                <w:rFonts w:ascii="Times New Roman" w:hAnsi="Times New Roman" w:cs="Times New Roman"/>
                <w:color w:val="000000"/>
                <w:sz w:val="24"/>
                <w:szCs w:val="24"/>
                <w:lang w:val="sk-SK"/>
              </w:rPr>
              <w:t>1. Vplyvy na rozpočet verejnej správy</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96"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szCs w:val="24"/>
                <w:lang w:val="sk-SK"/>
              </w:rPr>
              <w:t>X</w:t>
            </w:r>
          </w:p>
        </w:tc>
      </w:tr>
      <w:tr w:rsidR="00AE165B" w:rsidRPr="00AE165B" w:rsidTr="003310B7">
        <w:tc>
          <w:tcPr>
            <w:tcW w:w="5526" w:type="dxa"/>
            <w:vAlign w:val="center"/>
            <w:hideMark/>
          </w:tcPr>
          <w:p w:rsidR="00AE165B" w:rsidRPr="00AE165B" w:rsidRDefault="00AE165B" w:rsidP="003310B7">
            <w:pPr>
              <w:pStyle w:val="Vchodzie"/>
              <w:spacing w:after="0"/>
              <w:rPr>
                <w:rFonts w:ascii="Times New Roman" w:hAnsi="Times New Roman" w:cs="Times New Roman"/>
                <w:szCs w:val="24"/>
                <w:lang w:val="sk-SK"/>
              </w:rPr>
            </w:pPr>
            <w:r w:rsidRPr="00AE165B">
              <w:rPr>
                <w:rFonts w:ascii="Times New Roman" w:hAnsi="Times New Roman" w:cs="Times New Roman"/>
                <w:color w:val="000000"/>
                <w:sz w:val="24"/>
                <w:szCs w:val="24"/>
                <w:lang w:val="sk-SK"/>
              </w:rPr>
              <w:t>2. Vplyvy na podnikateľské prostredie – dochádza k zvýšeniu regulačného zaťaženia?</w:t>
            </w:r>
          </w:p>
        </w:tc>
        <w:tc>
          <w:tcPr>
            <w:tcW w:w="1192"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szCs w:val="24"/>
                <w:lang w:val="sk-SK"/>
              </w:rPr>
              <w:t>X</w:t>
            </w: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hideMark/>
          </w:tcPr>
          <w:p w:rsidR="00AE165B" w:rsidRPr="00AE165B" w:rsidRDefault="00AE165B" w:rsidP="003310B7">
            <w:pPr>
              <w:pStyle w:val="Vchodzie"/>
              <w:spacing w:after="0"/>
              <w:rPr>
                <w:rFonts w:ascii="Times New Roman" w:hAnsi="Times New Roman" w:cs="Times New Roman"/>
                <w:szCs w:val="24"/>
                <w:lang w:val="sk-SK"/>
              </w:rPr>
            </w:pPr>
            <w:r w:rsidRPr="00AE165B">
              <w:rPr>
                <w:rFonts w:ascii="Times New Roman" w:hAnsi="Times New Roman" w:cs="Times New Roman"/>
                <w:color w:val="000000"/>
                <w:sz w:val="24"/>
                <w:szCs w:val="24"/>
                <w:lang w:val="sk-SK"/>
              </w:rPr>
              <w:t>3. Sociálne vplyvy</w:t>
            </w:r>
          </w:p>
        </w:tc>
        <w:tc>
          <w:tcPr>
            <w:tcW w:w="1192"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szCs w:val="24"/>
                <w:lang w:val="sk-SK"/>
              </w:rPr>
              <w:t>X</w:t>
            </w:r>
          </w:p>
        </w:tc>
        <w:tc>
          <w:tcPr>
            <w:tcW w:w="1181"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hideMark/>
          </w:tcPr>
          <w:p w:rsidR="00AE165B" w:rsidRPr="00AE165B" w:rsidRDefault="00AE165B" w:rsidP="003310B7">
            <w:pPr>
              <w:pStyle w:val="Vchodzie"/>
              <w:spacing w:after="0"/>
              <w:ind w:left="296"/>
              <w:rPr>
                <w:rFonts w:ascii="Times New Roman" w:hAnsi="Times New Roman" w:cs="Times New Roman"/>
                <w:szCs w:val="24"/>
                <w:lang w:val="sk-SK"/>
              </w:rPr>
            </w:pPr>
            <w:r w:rsidRPr="00AE165B">
              <w:rPr>
                <w:rFonts w:ascii="Times New Roman" w:hAnsi="Times New Roman" w:cs="Times New Roman"/>
                <w:color w:val="000000"/>
                <w:sz w:val="24"/>
                <w:szCs w:val="24"/>
                <w:lang w:val="sk-SK"/>
              </w:rPr>
              <w:t>– vplyvy na hospodárenie obyvateľstva,</w:t>
            </w:r>
          </w:p>
        </w:tc>
        <w:tc>
          <w:tcPr>
            <w:tcW w:w="1192" w:type="dxa"/>
            <w:vAlign w:val="center"/>
            <w:hideMark/>
          </w:tcPr>
          <w:p w:rsidR="00AE165B" w:rsidRPr="00AE165B" w:rsidRDefault="00AE165B" w:rsidP="003310B7">
            <w:pPr>
              <w:pStyle w:val="Vchodzie"/>
              <w:spacing w:after="0"/>
              <w:jc w:val="center"/>
              <w:rPr>
                <w:rFonts w:ascii="Times New Roman" w:hAnsi="Times New Roman" w:cs="Times New Roman"/>
                <w:sz w:val="24"/>
                <w:szCs w:val="24"/>
                <w:lang w:val="sk-SK"/>
              </w:rPr>
            </w:pP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sz w:val="24"/>
                <w:szCs w:val="24"/>
                <w:lang w:val="sk-SK"/>
              </w:rPr>
              <w:t>X</w:t>
            </w: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hideMark/>
          </w:tcPr>
          <w:p w:rsidR="00AE165B" w:rsidRPr="00AE165B" w:rsidRDefault="00AE165B" w:rsidP="003310B7">
            <w:pPr>
              <w:pStyle w:val="Vchodzie"/>
              <w:spacing w:after="0"/>
              <w:ind w:left="296"/>
              <w:rPr>
                <w:rFonts w:ascii="Times New Roman" w:hAnsi="Times New Roman" w:cs="Times New Roman"/>
                <w:szCs w:val="24"/>
                <w:lang w:val="sk-SK"/>
              </w:rPr>
            </w:pPr>
            <w:r w:rsidRPr="00AE165B">
              <w:rPr>
                <w:rFonts w:ascii="Times New Roman" w:hAnsi="Times New Roman" w:cs="Times New Roman"/>
                <w:color w:val="000000"/>
                <w:sz w:val="24"/>
                <w:szCs w:val="24"/>
                <w:lang w:val="sk-SK"/>
              </w:rPr>
              <w:t>– sociálnu exklúziu,</w:t>
            </w:r>
          </w:p>
        </w:tc>
        <w:tc>
          <w:tcPr>
            <w:tcW w:w="1192"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81" w:type="dxa"/>
            <w:vAlign w:val="center"/>
            <w:hideMark/>
          </w:tcPr>
          <w:p w:rsidR="00AE165B" w:rsidRPr="00AE165B" w:rsidRDefault="00AE165B" w:rsidP="003310B7">
            <w:pPr>
              <w:pStyle w:val="Vchodzie"/>
              <w:spacing w:after="0"/>
              <w:jc w:val="center"/>
              <w:rPr>
                <w:rFonts w:ascii="Times New Roman" w:hAnsi="Times New Roman" w:cs="Times New Roman"/>
                <w:sz w:val="24"/>
                <w:szCs w:val="24"/>
                <w:lang w:val="sk-SK"/>
              </w:rPr>
            </w:pPr>
            <w:r w:rsidRPr="00AE165B">
              <w:rPr>
                <w:rFonts w:ascii="Times New Roman" w:hAnsi="Times New Roman" w:cs="Times New Roman"/>
                <w:sz w:val="24"/>
                <w:szCs w:val="24"/>
                <w:lang w:val="sk-SK"/>
              </w:rPr>
              <w:t>X</w:t>
            </w: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hideMark/>
          </w:tcPr>
          <w:p w:rsidR="00AE165B" w:rsidRPr="00AE165B" w:rsidRDefault="00AE165B" w:rsidP="003310B7">
            <w:pPr>
              <w:pStyle w:val="Vchodzie"/>
              <w:spacing w:after="0"/>
              <w:ind w:left="438" w:hanging="142"/>
              <w:rPr>
                <w:rFonts w:ascii="Times New Roman" w:hAnsi="Times New Roman" w:cs="Times New Roman"/>
                <w:szCs w:val="24"/>
                <w:lang w:val="sk-SK"/>
              </w:rPr>
            </w:pPr>
            <w:r w:rsidRPr="00AE165B">
              <w:rPr>
                <w:rFonts w:ascii="Times New Roman" w:hAnsi="Times New Roman" w:cs="Times New Roman"/>
                <w:color w:val="000000"/>
                <w:sz w:val="24"/>
                <w:szCs w:val="24"/>
                <w:lang w:val="sk-SK"/>
              </w:rPr>
              <w:t>– rovnosť príležitostí a rodovú rovnosť a vplyvy na zamestnanosť</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p>
        </w:tc>
        <w:tc>
          <w:tcPr>
            <w:tcW w:w="1181" w:type="dxa"/>
            <w:vAlign w:val="center"/>
            <w:hideMark/>
          </w:tcPr>
          <w:p w:rsidR="00AE165B" w:rsidRPr="00AE165B" w:rsidRDefault="00AE165B" w:rsidP="003310B7">
            <w:pPr>
              <w:pStyle w:val="Vchodzie"/>
              <w:spacing w:after="0"/>
              <w:jc w:val="center"/>
              <w:rPr>
                <w:rFonts w:ascii="Times New Roman" w:hAnsi="Times New Roman" w:cs="Times New Roman"/>
                <w:sz w:val="24"/>
                <w:szCs w:val="24"/>
                <w:lang w:val="sk-SK"/>
              </w:rPr>
            </w:pPr>
            <w:r w:rsidRPr="00AE165B">
              <w:rPr>
                <w:rFonts w:ascii="Times New Roman" w:hAnsi="Times New Roman" w:cs="Times New Roman"/>
                <w:sz w:val="24"/>
                <w:szCs w:val="24"/>
                <w:lang w:val="sk-SK"/>
              </w:rPr>
              <w:t>X</w:t>
            </w: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hideMark/>
          </w:tcPr>
          <w:p w:rsidR="00AE165B" w:rsidRPr="00AE165B" w:rsidRDefault="00AE165B" w:rsidP="003310B7">
            <w:pPr>
              <w:pStyle w:val="Vchodzie"/>
              <w:spacing w:after="0"/>
              <w:rPr>
                <w:rFonts w:ascii="Times New Roman" w:hAnsi="Times New Roman" w:cs="Times New Roman"/>
                <w:szCs w:val="24"/>
                <w:lang w:val="sk-SK"/>
              </w:rPr>
            </w:pPr>
            <w:r w:rsidRPr="00AE165B">
              <w:rPr>
                <w:rFonts w:ascii="Times New Roman" w:hAnsi="Times New Roman" w:cs="Times New Roman"/>
                <w:color w:val="000000"/>
                <w:sz w:val="24"/>
                <w:szCs w:val="24"/>
                <w:lang w:val="sk-SK"/>
              </w:rPr>
              <w:t>4. Vplyvy na životné prostredie</w:t>
            </w:r>
          </w:p>
        </w:tc>
        <w:tc>
          <w:tcPr>
            <w:tcW w:w="1192"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81"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szCs w:val="24"/>
                <w:lang w:val="sk-SK"/>
              </w:rPr>
              <w:t>X</w:t>
            </w: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hideMark/>
          </w:tcPr>
          <w:p w:rsidR="00AE165B" w:rsidRPr="00AE165B" w:rsidRDefault="00AE165B" w:rsidP="003310B7">
            <w:pPr>
              <w:pStyle w:val="Vchodzie"/>
              <w:spacing w:after="0"/>
              <w:rPr>
                <w:rFonts w:ascii="Times New Roman" w:hAnsi="Times New Roman" w:cs="Times New Roman"/>
                <w:szCs w:val="24"/>
                <w:lang w:val="sk-SK"/>
              </w:rPr>
            </w:pPr>
            <w:r w:rsidRPr="00AE165B">
              <w:rPr>
                <w:rFonts w:ascii="Times New Roman" w:hAnsi="Times New Roman" w:cs="Times New Roman"/>
                <w:color w:val="000000"/>
                <w:sz w:val="24"/>
                <w:szCs w:val="24"/>
                <w:lang w:val="sk-SK"/>
              </w:rPr>
              <w:t>5. Vplyvy na informatizáciu spoločnosti</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r w:rsidRPr="00AE165B">
              <w:rPr>
                <w:rFonts w:ascii="Times New Roman" w:hAnsi="Times New Roman" w:cs="Times New Roman"/>
                <w:szCs w:val="24"/>
                <w:lang w:val="sk-SK"/>
              </w:rPr>
              <w:t>X</w:t>
            </w:r>
          </w:p>
        </w:tc>
        <w:tc>
          <w:tcPr>
            <w:tcW w:w="1181" w:type="dxa"/>
            <w:vAlign w:val="center"/>
            <w:hideMark/>
          </w:tcPr>
          <w:p w:rsidR="00AE165B" w:rsidRPr="00AE165B" w:rsidRDefault="00AE165B" w:rsidP="003310B7">
            <w:pPr>
              <w:pStyle w:val="Vchodzie"/>
              <w:spacing w:after="0"/>
              <w:jc w:val="center"/>
              <w:rPr>
                <w:rFonts w:ascii="Times New Roman" w:hAnsi="Times New Roman" w:cs="Times New Roman"/>
                <w:szCs w:val="24"/>
                <w:lang w:val="sk-SK"/>
              </w:rPr>
            </w:pP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tcPr>
          <w:p w:rsidR="00AE165B" w:rsidRPr="00AE165B" w:rsidRDefault="00AE165B" w:rsidP="003310B7">
            <w:pPr>
              <w:pStyle w:val="Vchodzie"/>
              <w:spacing w:after="0"/>
              <w:rPr>
                <w:rFonts w:ascii="Times New Roman" w:hAnsi="Times New Roman" w:cs="Times New Roman"/>
                <w:color w:val="000000"/>
                <w:sz w:val="24"/>
                <w:szCs w:val="24"/>
                <w:lang w:val="sk-SK"/>
              </w:rPr>
            </w:pPr>
            <w:r w:rsidRPr="00AE165B">
              <w:rPr>
                <w:rFonts w:ascii="Times New Roman" w:hAnsi="Times New Roman" w:cs="Times New Roman"/>
                <w:color w:val="000000"/>
                <w:sz w:val="24"/>
                <w:szCs w:val="24"/>
                <w:lang w:val="sk-SK"/>
              </w:rPr>
              <w:t>6. Vplyvy na služby pre občana z toho</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r w:rsidRPr="00AE165B">
              <w:rPr>
                <w:rFonts w:ascii="Times New Roman" w:hAnsi="Times New Roman" w:cs="Times New Roman"/>
                <w:szCs w:val="24"/>
                <w:lang w:val="sk-SK"/>
              </w:rPr>
              <w:t>X</w:t>
            </w: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tcPr>
          <w:p w:rsidR="00AE165B" w:rsidRPr="00AE165B" w:rsidRDefault="00AE165B" w:rsidP="003310B7">
            <w:pPr>
              <w:pStyle w:val="Vchodzie"/>
              <w:spacing w:after="0"/>
              <w:ind w:left="296"/>
              <w:rPr>
                <w:rFonts w:ascii="Times New Roman" w:hAnsi="Times New Roman" w:cs="Times New Roman"/>
                <w:color w:val="000000"/>
                <w:sz w:val="24"/>
                <w:szCs w:val="24"/>
                <w:lang w:val="sk-SK"/>
              </w:rPr>
            </w:pPr>
            <w:r w:rsidRPr="00AE165B">
              <w:rPr>
                <w:rFonts w:ascii="Times New Roman" w:hAnsi="Times New Roman" w:cs="Times New Roman"/>
                <w:color w:val="000000"/>
                <w:sz w:val="24"/>
                <w:szCs w:val="24"/>
                <w:lang w:val="sk-SK"/>
              </w:rPr>
              <w:t>– vplyvy služieb verejnej správy na občana</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r w:rsidRPr="00AE165B">
              <w:rPr>
                <w:rFonts w:ascii="Times New Roman" w:hAnsi="Times New Roman" w:cs="Times New Roman"/>
                <w:szCs w:val="24"/>
                <w:lang w:val="sk-SK"/>
              </w:rPr>
              <w:t>X</w:t>
            </w: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tcPr>
          <w:p w:rsidR="00AE165B" w:rsidRPr="00AE165B" w:rsidRDefault="00AE165B" w:rsidP="003310B7">
            <w:pPr>
              <w:pStyle w:val="Vchodzie"/>
              <w:spacing w:after="0"/>
              <w:ind w:left="296"/>
              <w:rPr>
                <w:rFonts w:ascii="Times New Roman" w:hAnsi="Times New Roman" w:cs="Times New Roman"/>
                <w:color w:val="000000"/>
                <w:sz w:val="24"/>
                <w:szCs w:val="24"/>
                <w:lang w:val="sk-SK"/>
              </w:rPr>
            </w:pPr>
            <w:r w:rsidRPr="00AE165B">
              <w:rPr>
                <w:rFonts w:ascii="Times New Roman" w:hAnsi="Times New Roman" w:cs="Times New Roman"/>
                <w:color w:val="000000"/>
                <w:sz w:val="24"/>
                <w:szCs w:val="24"/>
                <w:lang w:val="sk-SK"/>
              </w:rPr>
              <w:t>– vplyvy na procesy služieb vo verejnej správe</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r w:rsidRPr="00AE165B">
              <w:rPr>
                <w:rFonts w:ascii="Times New Roman" w:hAnsi="Times New Roman" w:cs="Times New Roman"/>
                <w:szCs w:val="24"/>
                <w:lang w:val="sk-SK"/>
              </w:rPr>
              <w:t>X</w:t>
            </w: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r w:rsidR="00AE165B" w:rsidRPr="00AE165B" w:rsidTr="003310B7">
        <w:tc>
          <w:tcPr>
            <w:tcW w:w="5526" w:type="dxa"/>
            <w:vAlign w:val="center"/>
          </w:tcPr>
          <w:p w:rsidR="00AE165B" w:rsidRPr="00AE165B" w:rsidRDefault="00AE165B" w:rsidP="003310B7">
            <w:pPr>
              <w:pStyle w:val="Vchodzie"/>
              <w:spacing w:after="0"/>
              <w:rPr>
                <w:rFonts w:ascii="Times New Roman" w:hAnsi="Times New Roman" w:cs="Times New Roman"/>
                <w:color w:val="000000"/>
                <w:sz w:val="24"/>
                <w:szCs w:val="24"/>
                <w:lang w:val="sk-SK"/>
              </w:rPr>
            </w:pPr>
            <w:r w:rsidRPr="00AE165B">
              <w:rPr>
                <w:rFonts w:ascii="Times New Roman" w:hAnsi="Times New Roman" w:cs="Times New Roman"/>
                <w:color w:val="000000"/>
                <w:sz w:val="24"/>
                <w:szCs w:val="24"/>
                <w:lang w:val="sk-SK"/>
              </w:rPr>
              <w:t>7. Vplyvy na manželstvo, rodičovstvo a rodinu</w:t>
            </w:r>
          </w:p>
        </w:tc>
        <w:tc>
          <w:tcPr>
            <w:tcW w:w="1192" w:type="dxa"/>
            <w:vAlign w:val="center"/>
          </w:tcPr>
          <w:p w:rsidR="00AE165B" w:rsidRPr="00AE165B" w:rsidRDefault="00AE165B" w:rsidP="003310B7">
            <w:pPr>
              <w:pStyle w:val="Vchodzie"/>
              <w:spacing w:after="0"/>
              <w:jc w:val="center"/>
              <w:rPr>
                <w:rFonts w:ascii="Times New Roman" w:hAnsi="Times New Roman" w:cs="Times New Roman"/>
                <w:sz w:val="24"/>
                <w:szCs w:val="24"/>
                <w:lang w:val="sk-SK"/>
              </w:rPr>
            </w:pPr>
          </w:p>
        </w:tc>
        <w:tc>
          <w:tcPr>
            <w:tcW w:w="1181"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r w:rsidRPr="00AE165B">
              <w:rPr>
                <w:rFonts w:ascii="Times New Roman" w:hAnsi="Times New Roman" w:cs="Times New Roman"/>
                <w:szCs w:val="24"/>
                <w:lang w:val="sk-SK"/>
              </w:rPr>
              <w:t>X</w:t>
            </w:r>
          </w:p>
        </w:tc>
        <w:tc>
          <w:tcPr>
            <w:tcW w:w="1196" w:type="dxa"/>
            <w:vAlign w:val="center"/>
          </w:tcPr>
          <w:p w:rsidR="00AE165B" w:rsidRPr="00AE165B" w:rsidRDefault="00AE165B" w:rsidP="003310B7">
            <w:pPr>
              <w:pStyle w:val="Vchodzie"/>
              <w:spacing w:after="0"/>
              <w:jc w:val="center"/>
              <w:rPr>
                <w:rFonts w:ascii="Times New Roman" w:hAnsi="Times New Roman" w:cs="Times New Roman"/>
                <w:szCs w:val="24"/>
                <w:lang w:val="sk-SK"/>
              </w:rPr>
            </w:pPr>
          </w:p>
        </w:tc>
      </w:tr>
    </w:tbl>
    <w:p w:rsidR="00AE165B" w:rsidRPr="00AE165B" w:rsidRDefault="00AE165B" w:rsidP="00AE165B">
      <w:pPr>
        <w:pStyle w:val="Vchodzie"/>
        <w:spacing w:after="0" w:line="200" w:lineRule="atLeast"/>
        <w:jc w:val="both"/>
        <w:rPr>
          <w:rFonts w:ascii="Times New Roman" w:hAnsi="Times New Roman" w:cs="Times New Roman"/>
          <w:b/>
          <w:color w:val="000000"/>
          <w:sz w:val="24"/>
          <w:szCs w:val="24"/>
          <w:lang w:val="sk-SK"/>
        </w:rPr>
      </w:pPr>
    </w:p>
    <w:p w:rsidR="00AE165B" w:rsidRPr="00AE165B" w:rsidRDefault="00AE165B" w:rsidP="00AE165B">
      <w:pPr>
        <w:pStyle w:val="Vchodzie"/>
        <w:spacing w:after="0" w:line="200" w:lineRule="atLeast"/>
        <w:jc w:val="both"/>
        <w:rPr>
          <w:rFonts w:ascii="Times New Roman" w:hAnsi="Times New Roman" w:cs="Times New Roman"/>
          <w:szCs w:val="24"/>
          <w:lang w:val="sk-SK"/>
        </w:rPr>
      </w:pPr>
    </w:p>
    <w:p w:rsidR="00AE165B" w:rsidRPr="00AE165B" w:rsidRDefault="00AE165B" w:rsidP="00AE165B">
      <w:pPr>
        <w:pStyle w:val="Vchodzie"/>
        <w:jc w:val="both"/>
        <w:rPr>
          <w:rFonts w:ascii="Times New Roman" w:hAnsi="Times New Roman" w:cs="Times New Roman"/>
          <w:b/>
          <w:color w:val="000000"/>
          <w:sz w:val="24"/>
          <w:szCs w:val="24"/>
          <w:lang w:val="sk-SK"/>
        </w:rPr>
      </w:pPr>
      <w:r w:rsidRPr="00AE165B">
        <w:rPr>
          <w:rFonts w:ascii="Times New Roman" w:hAnsi="Times New Roman" w:cs="Times New Roman"/>
          <w:b/>
          <w:color w:val="000000"/>
          <w:sz w:val="24"/>
          <w:szCs w:val="24"/>
          <w:lang w:val="sk-SK"/>
        </w:rPr>
        <w:t>A.3. Poznámky</w:t>
      </w:r>
    </w:p>
    <w:p w:rsidR="00AE165B" w:rsidRPr="00AE165B" w:rsidRDefault="00AE165B" w:rsidP="00AE165B">
      <w:pPr>
        <w:jc w:val="both"/>
      </w:pPr>
      <w:r w:rsidRPr="00AE165B">
        <w:rPr>
          <w:u w:val="single"/>
        </w:rPr>
        <w:t>Vplyvy na rozpočet verejnej správy</w:t>
      </w:r>
      <w:r w:rsidRPr="00AE165B">
        <w:t xml:space="preserve"> – navrhovaná právna úprava bude znamenať nižší výber poistného na sociálne poistenie v rokoch 2019 až 2021. Možnosť uplatnenia si dávky v nezamestnanosti na miestne príslušnom úrade práce zvýši výdavky Ústredia práce, sociálnych vecí a rodiny SR z dôvodu aktualizácie a úpravy informačného systému a distribuovania nových formulárov pre uchádzačov o zamestnanie.     </w:t>
      </w:r>
    </w:p>
    <w:p w:rsidR="00AE165B" w:rsidRPr="00AE165B" w:rsidRDefault="00AE165B" w:rsidP="00AE165B">
      <w:pPr>
        <w:jc w:val="both"/>
      </w:pPr>
    </w:p>
    <w:p w:rsidR="00AE165B" w:rsidRPr="00AE165B" w:rsidRDefault="00AE165B" w:rsidP="00AE165B">
      <w:pPr>
        <w:jc w:val="both"/>
        <w:rPr>
          <w:rFonts w:eastAsiaTheme="majorEastAsia"/>
          <w:color w:val="000000"/>
        </w:rPr>
      </w:pPr>
      <w:r w:rsidRPr="00AE165B">
        <w:rPr>
          <w:u w:val="single"/>
        </w:rPr>
        <w:t>Vplyvy na podnikateľské prostredie</w:t>
      </w:r>
      <w:r w:rsidRPr="00AE165B">
        <w:t xml:space="preserve"> – uvedenou právnou úpravou dochádza k pozitívnemu vplyvu na podnikateľské subjekty, nakoľko časť z nich nebude platiť poistné na sociálne poistenie z 13/14-steho platu, čo bude znamenať zníženie ich priamych nákladov.  </w:t>
      </w:r>
    </w:p>
    <w:p w:rsidR="00F954CF" w:rsidRDefault="00F954CF" w:rsidP="00AE165B">
      <w:pPr>
        <w:jc w:val="both"/>
        <w:rPr>
          <w:u w:val="single"/>
        </w:rPr>
      </w:pPr>
    </w:p>
    <w:p w:rsidR="00AE165B" w:rsidRPr="00AE165B" w:rsidRDefault="00AE165B" w:rsidP="00AE165B">
      <w:pPr>
        <w:jc w:val="both"/>
        <w:rPr>
          <w:rFonts w:eastAsiaTheme="majorEastAsia"/>
          <w:color w:val="000000"/>
        </w:rPr>
      </w:pPr>
      <w:r w:rsidRPr="00AE165B">
        <w:rPr>
          <w:u w:val="single"/>
        </w:rPr>
        <w:t>Sociálne vplyvy</w:t>
      </w:r>
      <w:r w:rsidRPr="00AE165B">
        <w:t xml:space="preserve"> – uvedenou právnou úpravou dochádza k pozitívnemu vplyvu na hospodárenie domácností, nakoľko niektoré osoby v pracovnoprávnom vzťahu nebudú platiť poistné na sociálne poistenie z 13/14-steho platu, čo zvýši ich čistý príjem. </w:t>
      </w:r>
    </w:p>
    <w:p w:rsidR="00AE165B" w:rsidRPr="00AE165B" w:rsidRDefault="00AE165B" w:rsidP="00AE165B">
      <w:pPr>
        <w:pStyle w:val="Vchodzie"/>
        <w:spacing w:after="0" w:line="200" w:lineRule="atLeast"/>
        <w:jc w:val="both"/>
        <w:rPr>
          <w:rFonts w:ascii="Times New Roman" w:hAnsi="Times New Roman" w:cs="Times New Roman"/>
          <w:b/>
          <w:color w:val="000000"/>
          <w:sz w:val="24"/>
          <w:szCs w:val="24"/>
          <w:lang w:val="sk-SK"/>
        </w:rPr>
      </w:pPr>
    </w:p>
    <w:p w:rsidR="00AE165B" w:rsidRPr="00AE165B" w:rsidRDefault="00AE165B" w:rsidP="00AE165B">
      <w:pPr>
        <w:pStyle w:val="Vchodzie"/>
        <w:spacing w:after="0" w:line="200" w:lineRule="atLeast"/>
        <w:jc w:val="both"/>
        <w:rPr>
          <w:rFonts w:ascii="Times New Roman" w:hAnsi="Times New Roman" w:cs="Times New Roman"/>
          <w:sz w:val="24"/>
          <w:szCs w:val="24"/>
          <w:lang w:val="sk-SK"/>
        </w:rPr>
      </w:pPr>
      <w:r w:rsidRPr="00AE165B">
        <w:rPr>
          <w:rFonts w:ascii="Times New Roman" w:hAnsi="Times New Roman" w:cs="Times New Roman"/>
          <w:sz w:val="24"/>
          <w:szCs w:val="24"/>
          <w:u w:val="single"/>
          <w:lang w:val="sk-SK"/>
        </w:rPr>
        <w:t>Vplyvy na informatizáciu</w:t>
      </w:r>
      <w:r w:rsidRPr="00AE165B">
        <w:rPr>
          <w:rFonts w:ascii="Times New Roman" w:hAnsi="Times New Roman" w:cs="Times New Roman"/>
          <w:sz w:val="24"/>
          <w:szCs w:val="24"/>
          <w:lang w:val="sk-SK"/>
        </w:rPr>
        <w:t xml:space="preserve"> – v súvislosti so zavedením možnosti podania žiadosti o dávku v</w:t>
      </w:r>
      <w:r w:rsidR="004E22A7">
        <w:rPr>
          <w:rFonts w:ascii="Times New Roman" w:hAnsi="Times New Roman" w:cs="Times New Roman"/>
          <w:sz w:val="24"/>
          <w:szCs w:val="24"/>
          <w:lang w:val="sk-SK"/>
        </w:rPr>
        <w:t> </w:t>
      </w:r>
      <w:r w:rsidRPr="00AE165B">
        <w:rPr>
          <w:rFonts w:ascii="Times New Roman" w:hAnsi="Times New Roman" w:cs="Times New Roman"/>
          <w:sz w:val="24"/>
          <w:szCs w:val="24"/>
          <w:lang w:val="sk-SK"/>
        </w:rPr>
        <w:t>nezamestnanosti na miestne príslušnom úrade práce, sociálnych vecí a rodiny sa očakáva  aktualizácia a úprava  informačných systémov Ústredia práce, sociálnych vecí a rodiny SR</w:t>
      </w:r>
      <w:r w:rsidR="00836C33">
        <w:rPr>
          <w:rFonts w:ascii="Times New Roman" w:hAnsi="Times New Roman" w:cs="Times New Roman"/>
          <w:sz w:val="24"/>
          <w:szCs w:val="24"/>
          <w:lang w:val="sk-SK"/>
        </w:rPr>
        <w:t xml:space="preserve"> a</w:t>
      </w:r>
      <w:r w:rsidR="00C872F3">
        <w:rPr>
          <w:rFonts w:ascii="Times New Roman" w:hAnsi="Times New Roman" w:cs="Times New Roman"/>
          <w:sz w:val="24"/>
          <w:szCs w:val="24"/>
          <w:lang w:val="sk-SK"/>
        </w:rPr>
        <w:t xml:space="preserve"> informačného systému </w:t>
      </w:r>
      <w:r w:rsidR="00836C33">
        <w:rPr>
          <w:rFonts w:ascii="Times New Roman" w:hAnsi="Times New Roman" w:cs="Times New Roman"/>
          <w:sz w:val="24"/>
          <w:szCs w:val="24"/>
          <w:lang w:val="sk-SK"/>
        </w:rPr>
        <w:t>Sociálnej poisťovne</w:t>
      </w:r>
      <w:r w:rsidRPr="00AE165B">
        <w:rPr>
          <w:rFonts w:ascii="Times New Roman" w:hAnsi="Times New Roman" w:cs="Times New Roman"/>
          <w:sz w:val="24"/>
          <w:szCs w:val="24"/>
          <w:lang w:val="sk-SK"/>
        </w:rPr>
        <w:t>.</w:t>
      </w:r>
    </w:p>
    <w:p w:rsidR="00AE165B" w:rsidRPr="00AE165B" w:rsidRDefault="00AE165B" w:rsidP="00AE165B">
      <w:pPr>
        <w:pStyle w:val="Vchodzie"/>
        <w:spacing w:after="0" w:line="200" w:lineRule="atLeast"/>
        <w:jc w:val="both"/>
        <w:rPr>
          <w:rFonts w:ascii="Times New Roman" w:hAnsi="Times New Roman" w:cs="Times New Roman"/>
          <w:sz w:val="24"/>
          <w:szCs w:val="24"/>
          <w:lang w:val="sk-SK"/>
        </w:rPr>
      </w:pPr>
    </w:p>
    <w:p w:rsidR="00AE165B" w:rsidRPr="00AE165B" w:rsidRDefault="00AE165B" w:rsidP="00AE165B">
      <w:pPr>
        <w:pStyle w:val="Vchodzie"/>
        <w:spacing w:after="0" w:line="200" w:lineRule="atLeast"/>
        <w:jc w:val="both"/>
        <w:rPr>
          <w:rFonts w:ascii="Times New Roman" w:hAnsi="Times New Roman" w:cs="Times New Roman"/>
          <w:b/>
          <w:color w:val="000000"/>
          <w:sz w:val="24"/>
          <w:szCs w:val="24"/>
          <w:lang w:val="sk-SK"/>
        </w:rPr>
      </w:pPr>
      <w:r w:rsidRPr="00AE165B">
        <w:rPr>
          <w:rFonts w:ascii="Times New Roman" w:hAnsi="Times New Roman" w:cs="Times New Roman"/>
          <w:sz w:val="24"/>
          <w:szCs w:val="24"/>
          <w:u w:val="single"/>
          <w:lang w:val="sk-SK"/>
        </w:rPr>
        <w:t>Vplyvy na služby pre občana</w:t>
      </w:r>
      <w:r w:rsidRPr="00AE165B">
        <w:rPr>
          <w:rFonts w:ascii="Times New Roman" w:hAnsi="Times New Roman" w:cs="Times New Roman"/>
          <w:sz w:val="24"/>
          <w:szCs w:val="24"/>
          <w:lang w:val="sk-SK"/>
        </w:rPr>
        <w:t xml:space="preserve"> – zavedenie možnosti podania žiadosti o dávku v</w:t>
      </w:r>
      <w:r w:rsidR="004E22A7">
        <w:rPr>
          <w:rFonts w:ascii="Times New Roman" w:hAnsi="Times New Roman" w:cs="Times New Roman"/>
          <w:sz w:val="24"/>
          <w:szCs w:val="24"/>
          <w:lang w:val="sk-SK"/>
        </w:rPr>
        <w:t> </w:t>
      </w:r>
      <w:r w:rsidRPr="00AE165B">
        <w:rPr>
          <w:rFonts w:ascii="Times New Roman" w:hAnsi="Times New Roman" w:cs="Times New Roman"/>
          <w:sz w:val="24"/>
          <w:szCs w:val="24"/>
          <w:lang w:val="sk-SK"/>
        </w:rPr>
        <w:t xml:space="preserve">nezamestnanosti na miestne príslušnom úrade práce, sociálnych vecí a rodiny, má pozitívny vplyv na občana, nakoľko v súvislosti so svojim nárokom na dávku v nezamestnanosti nebude </w:t>
      </w:r>
      <w:r w:rsidRPr="00AE165B">
        <w:rPr>
          <w:rFonts w:ascii="Times New Roman" w:hAnsi="Times New Roman" w:cs="Times New Roman"/>
          <w:sz w:val="24"/>
          <w:szCs w:val="24"/>
          <w:lang w:val="sk-SK"/>
        </w:rPr>
        <w:lastRenderedPageBreak/>
        <w:t xml:space="preserve">musieť navštíviť pobočku Sociálnej poisťovne. Rovnako pozitívny vplyv na občana bude mať zmena podľa ktorej sa nebude musieť osobne zúčastniť lekárskej posudkovej činnosti, ak tak určí posudkový lekár a o svoju osobnú účasť poistenec nepožiada. </w:t>
      </w:r>
    </w:p>
    <w:p w:rsidR="00AE165B" w:rsidRPr="00AE165B" w:rsidRDefault="00AE165B" w:rsidP="00AE165B">
      <w:pPr>
        <w:pStyle w:val="Vchodzie"/>
        <w:spacing w:after="0" w:line="200" w:lineRule="atLeast"/>
        <w:jc w:val="both"/>
        <w:rPr>
          <w:rFonts w:ascii="Times New Roman" w:hAnsi="Times New Roman" w:cs="Times New Roman"/>
          <w:b/>
          <w:color w:val="000000"/>
          <w:sz w:val="24"/>
          <w:szCs w:val="24"/>
          <w:lang w:val="sk-SK"/>
        </w:rPr>
      </w:pPr>
    </w:p>
    <w:p w:rsidR="00AE165B" w:rsidRPr="00AE165B" w:rsidRDefault="00AE165B" w:rsidP="00AE165B">
      <w:pPr>
        <w:pStyle w:val="Vchodzie"/>
        <w:spacing w:after="0" w:line="200" w:lineRule="atLeast"/>
        <w:jc w:val="both"/>
        <w:rPr>
          <w:rFonts w:ascii="Times New Roman" w:hAnsi="Times New Roman" w:cs="Times New Roman"/>
          <w:b/>
          <w:color w:val="000000"/>
          <w:sz w:val="24"/>
          <w:szCs w:val="24"/>
          <w:lang w:val="sk-SK"/>
        </w:rPr>
      </w:pPr>
      <w:r w:rsidRPr="00AE165B">
        <w:rPr>
          <w:rFonts w:ascii="Times New Roman" w:hAnsi="Times New Roman" w:cs="Times New Roman"/>
          <w:b/>
          <w:color w:val="000000"/>
          <w:sz w:val="24"/>
          <w:szCs w:val="24"/>
          <w:lang w:val="sk-SK"/>
        </w:rPr>
        <w:t>A.4. Alternatívne riešenia</w:t>
      </w:r>
    </w:p>
    <w:p w:rsidR="00AE165B" w:rsidRPr="00AE165B" w:rsidRDefault="00AE165B" w:rsidP="00AE165B">
      <w:pPr>
        <w:pStyle w:val="Vchodzie"/>
        <w:spacing w:after="0" w:line="200" w:lineRule="atLeast"/>
        <w:jc w:val="both"/>
        <w:rPr>
          <w:rFonts w:ascii="Times New Roman" w:hAnsi="Times New Roman" w:cs="Times New Roman"/>
          <w:szCs w:val="24"/>
          <w:lang w:val="sk-SK"/>
        </w:rPr>
      </w:pPr>
    </w:p>
    <w:p w:rsidR="00AE165B" w:rsidRPr="00AE165B" w:rsidRDefault="00AE165B" w:rsidP="00AE165B">
      <w:pPr>
        <w:pStyle w:val="Vchodzie"/>
        <w:spacing w:after="0" w:line="200" w:lineRule="atLeast"/>
        <w:jc w:val="both"/>
        <w:rPr>
          <w:rFonts w:ascii="Times New Roman" w:hAnsi="Times New Roman" w:cs="Times New Roman"/>
          <w:szCs w:val="24"/>
          <w:lang w:val="sk-SK"/>
        </w:rPr>
      </w:pPr>
      <w:r w:rsidRPr="00AE165B">
        <w:rPr>
          <w:rFonts w:ascii="Times New Roman" w:hAnsi="Times New Roman" w:cs="Times New Roman"/>
          <w:color w:val="000000"/>
          <w:sz w:val="24"/>
          <w:szCs w:val="24"/>
          <w:lang w:val="sk-SK"/>
        </w:rPr>
        <w:t>Bezpredmetné, nakoľko žiadne alternatívne riešenie nebolo posudzované.</w:t>
      </w:r>
    </w:p>
    <w:p w:rsidR="00AE165B" w:rsidRPr="00AE165B" w:rsidRDefault="00AE165B" w:rsidP="00AE165B">
      <w:pPr>
        <w:pStyle w:val="Normlnywebov"/>
        <w:ind w:left="567" w:hanging="567"/>
        <w:jc w:val="both"/>
      </w:pPr>
      <w:r w:rsidRPr="00AE165B">
        <w:rPr>
          <w:b/>
        </w:rPr>
        <w:t xml:space="preserve">A.5. </w:t>
      </w:r>
      <w:r w:rsidRPr="00AE165B">
        <w:rPr>
          <w:b/>
        </w:rPr>
        <w:tab/>
        <w:t>Stanovisko gestorov</w:t>
      </w:r>
    </w:p>
    <w:p w:rsidR="00AE165B" w:rsidRPr="00AE165B" w:rsidRDefault="00AE165B" w:rsidP="00AE165B">
      <w:pPr>
        <w:pStyle w:val="Vchodzie"/>
        <w:spacing w:after="0" w:line="200" w:lineRule="atLeast"/>
        <w:jc w:val="both"/>
        <w:rPr>
          <w:rFonts w:ascii="Times New Roman" w:hAnsi="Times New Roman" w:cs="Times New Roman"/>
          <w:color w:val="000000"/>
          <w:sz w:val="24"/>
          <w:szCs w:val="24"/>
          <w:lang w:val="sk-SK"/>
        </w:rPr>
      </w:pPr>
      <w:r w:rsidRPr="00AE165B">
        <w:rPr>
          <w:rFonts w:ascii="Times New Roman" w:hAnsi="Times New Roman" w:cs="Times New Roman"/>
          <w:color w:val="000000"/>
          <w:sz w:val="24"/>
          <w:szCs w:val="24"/>
          <w:lang w:val="sk-SK"/>
        </w:rPr>
        <w:t>Bezpredmetné</w:t>
      </w: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Pr="00AE165B" w:rsidRDefault="00F954CF"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p w:rsidR="00AE165B" w:rsidRPr="00AE165B" w:rsidRDefault="00AE165B" w:rsidP="00AE165B">
      <w:pPr>
        <w:jc w:val="center"/>
        <w:rPr>
          <w:b/>
          <w:bCs/>
        </w:rPr>
      </w:pPr>
      <w:r w:rsidRPr="00AE165B">
        <w:rPr>
          <w:b/>
          <w:bCs/>
        </w:rPr>
        <w:t>Analýza vplyvov na rozpočet verejnej správy,</w:t>
      </w:r>
    </w:p>
    <w:p w:rsidR="00AE165B" w:rsidRPr="00AE165B" w:rsidRDefault="00AE165B" w:rsidP="00AE165B">
      <w:pPr>
        <w:jc w:val="center"/>
        <w:rPr>
          <w:b/>
          <w:bCs/>
        </w:rPr>
      </w:pPr>
      <w:r w:rsidRPr="00AE165B">
        <w:rPr>
          <w:b/>
          <w:bCs/>
        </w:rPr>
        <w:t>na zamestnanosť vo verejnej správe a financovanie návrhu</w:t>
      </w:r>
    </w:p>
    <w:p w:rsidR="00AE165B" w:rsidRPr="00AE165B" w:rsidRDefault="00AE165B" w:rsidP="00AE165B">
      <w:pPr>
        <w:rPr>
          <w:b/>
          <w:bCs/>
        </w:rPr>
      </w:pPr>
    </w:p>
    <w:p w:rsidR="00AE165B" w:rsidRPr="00AE165B" w:rsidRDefault="00AE165B" w:rsidP="00AE165B">
      <w:pPr>
        <w:rPr>
          <w:b/>
          <w:bCs/>
        </w:rPr>
      </w:pPr>
      <w:r w:rsidRPr="00AE165B">
        <w:rPr>
          <w:b/>
          <w:bCs/>
        </w:rPr>
        <w:t>2.1 Zhrnutie vplyvov na rozpočet verejnej správy v návrhu</w:t>
      </w:r>
    </w:p>
    <w:p w:rsidR="00AE165B" w:rsidRPr="00AE165B" w:rsidRDefault="00AE165B" w:rsidP="00AE165B">
      <w:r w:rsidRPr="00AE165B">
        <w:t xml:space="preserve"> Tabuľka č. 1</w:t>
      </w:r>
    </w:p>
    <w:tbl>
      <w:tblPr>
        <w:tblW w:w="9760" w:type="dxa"/>
        <w:tblCellMar>
          <w:left w:w="70" w:type="dxa"/>
          <w:right w:w="70" w:type="dxa"/>
        </w:tblCellMar>
        <w:tblLook w:val="04A0" w:firstRow="1" w:lastRow="0" w:firstColumn="1" w:lastColumn="0" w:noHBand="0" w:noVBand="1"/>
      </w:tblPr>
      <w:tblGrid>
        <w:gridCol w:w="5580"/>
        <w:gridCol w:w="1120"/>
        <w:gridCol w:w="1020"/>
        <w:gridCol w:w="1020"/>
        <w:gridCol w:w="1020"/>
      </w:tblGrid>
      <w:tr w:rsidR="00303660" w:rsidTr="00303660">
        <w:trPr>
          <w:trHeight w:val="480"/>
        </w:trPr>
        <w:tc>
          <w:tcPr>
            <w:tcW w:w="558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03660" w:rsidRDefault="00303660">
            <w:pPr>
              <w:jc w:val="center"/>
              <w:rPr>
                <w:rFonts w:ascii="Arial Narrow" w:hAnsi="Arial Narrow" w:cs="Arial"/>
                <w:b/>
                <w:bCs/>
                <w:color w:val="000000"/>
                <w:sz w:val="20"/>
                <w:szCs w:val="20"/>
              </w:rPr>
            </w:pPr>
            <w:r>
              <w:rPr>
                <w:rFonts w:ascii="Arial Narrow" w:hAnsi="Arial Narrow" w:cs="Arial"/>
                <w:b/>
                <w:bCs/>
                <w:color w:val="000000"/>
                <w:sz w:val="20"/>
                <w:szCs w:val="20"/>
              </w:rPr>
              <w:t>Vplyvy na rozpočet verejnej správy</w:t>
            </w:r>
          </w:p>
        </w:tc>
        <w:tc>
          <w:tcPr>
            <w:tcW w:w="4180" w:type="dxa"/>
            <w:gridSpan w:val="4"/>
            <w:tcBorders>
              <w:top w:val="single" w:sz="8" w:space="0" w:color="auto"/>
              <w:left w:val="nil"/>
              <w:bottom w:val="nil"/>
              <w:right w:val="single" w:sz="8" w:space="0" w:color="000000"/>
            </w:tcBorders>
            <w:shd w:val="clear" w:color="000000" w:fill="BFBFBF"/>
            <w:vAlign w:val="center"/>
            <w:hideMark/>
          </w:tcPr>
          <w:p w:rsidR="00303660" w:rsidRDefault="00303660">
            <w:pPr>
              <w:jc w:val="center"/>
              <w:rPr>
                <w:rFonts w:ascii="Arial Narrow" w:hAnsi="Arial Narrow" w:cs="Arial"/>
                <w:b/>
                <w:bCs/>
                <w:color w:val="000000"/>
                <w:sz w:val="20"/>
                <w:szCs w:val="20"/>
              </w:rPr>
            </w:pPr>
            <w:r>
              <w:rPr>
                <w:rFonts w:ascii="Arial Narrow" w:hAnsi="Arial Narrow" w:cs="Arial"/>
                <w:b/>
                <w:bCs/>
                <w:color w:val="000000"/>
                <w:sz w:val="20"/>
                <w:szCs w:val="20"/>
              </w:rPr>
              <w:t xml:space="preserve">Vplyv na rozpočet verejnej správy v eurách </w:t>
            </w:r>
          </w:p>
        </w:tc>
      </w:tr>
      <w:tr w:rsidR="00303660" w:rsidTr="00303660">
        <w:trPr>
          <w:trHeight w:val="270"/>
        </w:trPr>
        <w:tc>
          <w:tcPr>
            <w:tcW w:w="5580" w:type="dxa"/>
            <w:vMerge/>
            <w:tcBorders>
              <w:top w:val="single" w:sz="8" w:space="0" w:color="auto"/>
              <w:left w:val="single" w:sz="8" w:space="0" w:color="auto"/>
              <w:bottom w:val="single" w:sz="8" w:space="0" w:color="000000"/>
              <w:right w:val="single" w:sz="8" w:space="0" w:color="auto"/>
            </w:tcBorders>
            <w:vAlign w:val="center"/>
            <w:hideMark/>
          </w:tcPr>
          <w:p w:rsidR="00303660" w:rsidRDefault="00303660">
            <w:pPr>
              <w:rPr>
                <w:rFonts w:ascii="Arial Narrow" w:hAnsi="Arial Narrow" w:cs="Arial"/>
                <w:b/>
                <w:bCs/>
                <w:color w:val="000000"/>
                <w:sz w:val="20"/>
                <w:szCs w:val="20"/>
              </w:rPr>
            </w:pPr>
          </w:p>
        </w:tc>
        <w:tc>
          <w:tcPr>
            <w:tcW w:w="4180" w:type="dxa"/>
            <w:gridSpan w:val="4"/>
            <w:tcBorders>
              <w:top w:val="nil"/>
              <w:left w:val="nil"/>
              <w:bottom w:val="single" w:sz="8" w:space="0" w:color="auto"/>
              <w:right w:val="single" w:sz="8" w:space="0" w:color="000000"/>
            </w:tcBorders>
            <w:shd w:val="clear" w:color="000000" w:fill="BFBFBF"/>
            <w:vAlign w:val="center"/>
            <w:hideMark/>
          </w:tcPr>
          <w:p w:rsidR="00303660" w:rsidRDefault="00303660">
            <w:pPr>
              <w:jc w:val="center"/>
              <w:rPr>
                <w:rFonts w:ascii="Arial Narrow" w:hAnsi="Arial Narrow" w:cs="Arial"/>
                <w:b/>
                <w:bCs/>
                <w:sz w:val="20"/>
                <w:szCs w:val="20"/>
              </w:rPr>
            </w:pPr>
            <w:r>
              <w:rPr>
                <w:rFonts w:ascii="Arial Narrow" w:hAnsi="Arial Narrow" w:cs="Arial"/>
                <w:b/>
                <w:bCs/>
                <w:sz w:val="20"/>
                <w:szCs w:val="20"/>
              </w:rPr>
              <w:t> </w:t>
            </w:r>
          </w:p>
        </w:tc>
      </w:tr>
      <w:tr w:rsidR="00303660" w:rsidTr="00303660">
        <w:trPr>
          <w:trHeight w:val="270"/>
        </w:trPr>
        <w:tc>
          <w:tcPr>
            <w:tcW w:w="5580" w:type="dxa"/>
            <w:vMerge/>
            <w:tcBorders>
              <w:top w:val="single" w:sz="8" w:space="0" w:color="auto"/>
              <w:left w:val="single" w:sz="8" w:space="0" w:color="auto"/>
              <w:bottom w:val="single" w:sz="8" w:space="0" w:color="000000"/>
              <w:right w:val="single" w:sz="8" w:space="0" w:color="auto"/>
            </w:tcBorders>
            <w:vAlign w:val="center"/>
            <w:hideMark/>
          </w:tcPr>
          <w:p w:rsidR="00303660" w:rsidRDefault="00303660">
            <w:pPr>
              <w:rPr>
                <w:rFonts w:ascii="Arial Narrow" w:hAnsi="Arial Narrow" w:cs="Arial"/>
                <w:b/>
                <w:bCs/>
                <w:color w:val="000000"/>
                <w:sz w:val="20"/>
                <w:szCs w:val="20"/>
              </w:rPr>
            </w:pPr>
          </w:p>
        </w:tc>
        <w:tc>
          <w:tcPr>
            <w:tcW w:w="1120" w:type="dxa"/>
            <w:tcBorders>
              <w:top w:val="nil"/>
              <w:left w:val="nil"/>
              <w:bottom w:val="single" w:sz="8" w:space="0" w:color="auto"/>
              <w:right w:val="single" w:sz="8" w:space="0" w:color="auto"/>
            </w:tcBorders>
            <w:shd w:val="clear" w:color="000000" w:fill="BFBFBF"/>
            <w:vAlign w:val="center"/>
            <w:hideMark/>
          </w:tcPr>
          <w:p w:rsidR="00303660" w:rsidRDefault="00303660">
            <w:pPr>
              <w:jc w:val="center"/>
              <w:rPr>
                <w:rFonts w:ascii="Arial Narrow" w:hAnsi="Arial Narrow" w:cs="Arial"/>
                <w:b/>
                <w:bCs/>
                <w:color w:val="000000"/>
                <w:sz w:val="20"/>
                <w:szCs w:val="20"/>
              </w:rPr>
            </w:pPr>
            <w:r>
              <w:rPr>
                <w:rFonts w:ascii="Arial Narrow" w:hAnsi="Arial Narrow" w:cs="Arial"/>
                <w:b/>
                <w:bCs/>
                <w:color w:val="000000"/>
                <w:sz w:val="20"/>
                <w:szCs w:val="20"/>
              </w:rPr>
              <w:t>2019</w:t>
            </w:r>
          </w:p>
        </w:tc>
        <w:tc>
          <w:tcPr>
            <w:tcW w:w="1020" w:type="dxa"/>
            <w:tcBorders>
              <w:top w:val="nil"/>
              <w:left w:val="nil"/>
              <w:bottom w:val="single" w:sz="8" w:space="0" w:color="auto"/>
              <w:right w:val="single" w:sz="8" w:space="0" w:color="auto"/>
            </w:tcBorders>
            <w:shd w:val="clear" w:color="000000" w:fill="BFBFBF"/>
            <w:vAlign w:val="center"/>
            <w:hideMark/>
          </w:tcPr>
          <w:p w:rsidR="00303660" w:rsidRDefault="00303660">
            <w:pPr>
              <w:jc w:val="center"/>
              <w:rPr>
                <w:rFonts w:ascii="Arial Narrow" w:hAnsi="Arial Narrow" w:cs="Arial"/>
                <w:b/>
                <w:bCs/>
                <w:color w:val="000000"/>
                <w:sz w:val="20"/>
                <w:szCs w:val="20"/>
              </w:rPr>
            </w:pPr>
            <w:r>
              <w:rPr>
                <w:rFonts w:ascii="Arial Narrow" w:hAnsi="Arial Narrow" w:cs="Arial"/>
                <w:b/>
                <w:bCs/>
                <w:color w:val="000000"/>
                <w:sz w:val="20"/>
                <w:szCs w:val="20"/>
              </w:rPr>
              <w:t>2020</w:t>
            </w:r>
          </w:p>
        </w:tc>
        <w:tc>
          <w:tcPr>
            <w:tcW w:w="1020" w:type="dxa"/>
            <w:tcBorders>
              <w:top w:val="nil"/>
              <w:left w:val="nil"/>
              <w:bottom w:val="single" w:sz="8" w:space="0" w:color="auto"/>
              <w:right w:val="single" w:sz="8" w:space="0" w:color="auto"/>
            </w:tcBorders>
            <w:shd w:val="clear" w:color="000000" w:fill="BFBFBF"/>
            <w:vAlign w:val="center"/>
            <w:hideMark/>
          </w:tcPr>
          <w:p w:rsidR="00303660" w:rsidRDefault="00303660">
            <w:pPr>
              <w:jc w:val="center"/>
              <w:rPr>
                <w:rFonts w:ascii="Arial Narrow" w:hAnsi="Arial Narrow" w:cs="Arial"/>
                <w:b/>
                <w:bCs/>
                <w:color w:val="000000"/>
                <w:sz w:val="20"/>
                <w:szCs w:val="20"/>
              </w:rPr>
            </w:pPr>
            <w:r>
              <w:rPr>
                <w:rFonts w:ascii="Arial Narrow" w:hAnsi="Arial Narrow" w:cs="Arial"/>
                <w:b/>
                <w:bCs/>
                <w:color w:val="000000"/>
                <w:sz w:val="20"/>
                <w:szCs w:val="20"/>
              </w:rPr>
              <w:t>2021</w:t>
            </w:r>
          </w:p>
        </w:tc>
        <w:tc>
          <w:tcPr>
            <w:tcW w:w="1020" w:type="dxa"/>
            <w:tcBorders>
              <w:top w:val="nil"/>
              <w:left w:val="nil"/>
              <w:bottom w:val="single" w:sz="8" w:space="0" w:color="auto"/>
              <w:right w:val="single" w:sz="8" w:space="0" w:color="auto"/>
            </w:tcBorders>
            <w:shd w:val="clear" w:color="000000" w:fill="BFBFBF"/>
            <w:vAlign w:val="center"/>
            <w:hideMark/>
          </w:tcPr>
          <w:p w:rsidR="00303660" w:rsidRDefault="00303660">
            <w:pPr>
              <w:jc w:val="center"/>
              <w:rPr>
                <w:rFonts w:ascii="Arial Narrow" w:hAnsi="Arial Narrow" w:cs="Arial"/>
                <w:b/>
                <w:bCs/>
                <w:color w:val="000000"/>
                <w:sz w:val="20"/>
                <w:szCs w:val="20"/>
              </w:rPr>
            </w:pPr>
            <w:r>
              <w:rPr>
                <w:rFonts w:ascii="Arial Narrow" w:hAnsi="Arial Narrow" w:cs="Arial"/>
                <w:b/>
                <w:bCs/>
                <w:color w:val="000000"/>
                <w:sz w:val="20"/>
                <w:szCs w:val="20"/>
              </w:rPr>
              <w:t>2022</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C0C0C0"/>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Príjmy verejnej správy celkom</w:t>
            </w:r>
          </w:p>
        </w:tc>
        <w:tc>
          <w:tcPr>
            <w:tcW w:w="1120" w:type="dxa"/>
            <w:tcBorders>
              <w:top w:val="nil"/>
              <w:left w:val="nil"/>
              <w:bottom w:val="single" w:sz="8" w:space="0" w:color="auto"/>
              <w:right w:val="single" w:sz="8" w:space="0" w:color="auto"/>
            </w:tcBorders>
            <w:shd w:val="clear" w:color="000000" w:fill="C0C0C0"/>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-12 310 174</w:t>
            </w:r>
          </w:p>
        </w:tc>
        <w:tc>
          <w:tcPr>
            <w:tcW w:w="1020" w:type="dxa"/>
            <w:tcBorders>
              <w:top w:val="nil"/>
              <w:left w:val="nil"/>
              <w:bottom w:val="single" w:sz="8" w:space="0" w:color="auto"/>
              <w:right w:val="single" w:sz="8" w:space="0" w:color="auto"/>
            </w:tcBorders>
            <w:shd w:val="clear" w:color="000000" w:fill="C0C0C0"/>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-12 257 656</w:t>
            </w:r>
          </w:p>
        </w:tc>
        <w:tc>
          <w:tcPr>
            <w:tcW w:w="1020" w:type="dxa"/>
            <w:tcBorders>
              <w:top w:val="nil"/>
              <w:left w:val="nil"/>
              <w:bottom w:val="single" w:sz="8" w:space="0" w:color="auto"/>
              <w:right w:val="single" w:sz="8" w:space="0" w:color="auto"/>
            </w:tcBorders>
            <w:shd w:val="clear" w:color="000000" w:fill="C0C0C0"/>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-53 037 115</w:t>
            </w:r>
          </w:p>
        </w:tc>
        <w:tc>
          <w:tcPr>
            <w:tcW w:w="1020" w:type="dxa"/>
            <w:tcBorders>
              <w:top w:val="nil"/>
              <w:left w:val="nil"/>
              <w:bottom w:val="single" w:sz="8" w:space="0" w:color="auto"/>
              <w:right w:val="single" w:sz="8" w:space="0" w:color="auto"/>
            </w:tcBorders>
            <w:shd w:val="clear" w:color="000000" w:fill="C0C0C0"/>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color w:val="000000"/>
                <w:sz w:val="20"/>
                <w:szCs w:val="20"/>
              </w:rPr>
            </w:pPr>
            <w:r>
              <w:rPr>
                <w:rFonts w:ascii="Arial Narrow" w:hAnsi="Arial Narrow" w:cs="Arial"/>
                <w:color w:val="000000"/>
                <w:sz w:val="20"/>
                <w:szCs w:val="20"/>
              </w:rPr>
              <w:t>v tom: za každý subjekt verejnej správy zvlášť</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xml:space="preserve">z toho:  </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xml:space="preserve">- vplyv na ŠR </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obce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vyššie územné celky</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Sociálnu poisťovňu</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-12 310 174</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-12 257 656</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-53 037 115</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verejné zdravotné poistenie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C0C0C0"/>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Výdavky verejnej správy celkom</w:t>
            </w:r>
          </w:p>
        </w:tc>
        <w:tc>
          <w:tcPr>
            <w:tcW w:w="11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112 000</w:t>
            </w:r>
          </w:p>
        </w:tc>
        <w:tc>
          <w:tcPr>
            <w:tcW w:w="10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150 000</w:t>
            </w:r>
          </w:p>
        </w:tc>
        <w:tc>
          <w:tcPr>
            <w:tcW w:w="10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color w:val="000000"/>
                <w:sz w:val="20"/>
                <w:szCs w:val="20"/>
              </w:rPr>
            </w:pPr>
            <w:r>
              <w:rPr>
                <w:rFonts w:ascii="Arial Narrow" w:hAnsi="Arial Narrow" w:cs="Arial"/>
                <w:color w:val="000000"/>
                <w:sz w:val="20"/>
                <w:szCs w:val="20"/>
              </w:rPr>
              <w:t>v tom: za každý subjekt verejnej správy / program zvlášť</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xml:space="preserve">z toho: </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 </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xml:space="preserve">- vplyv na ŠR </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112 000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ind w:firstLineChars="100" w:firstLine="200"/>
              <w:rPr>
                <w:rFonts w:ascii="Arial Narrow" w:hAnsi="Arial Narrow" w:cs="Arial"/>
                <w:i/>
                <w:iCs/>
                <w:color w:val="000000"/>
                <w:sz w:val="20"/>
                <w:szCs w:val="20"/>
              </w:rPr>
            </w:pPr>
            <w:r>
              <w:rPr>
                <w:rFonts w:ascii="Arial Narrow" w:hAnsi="Arial Narrow" w:cs="Arial"/>
                <w:i/>
                <w:iCs/>
                <w:color w:val="000000"/>
                <w:sz w:val="20"/>
                <w:szCs w:val="20"/>
              </w:rPr>
              <w:t>Rozpočtové prostriedky</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112 000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i/>
                <w:iCs/>
                <w:color w:val="000000"/>
                <w:sz w:val="20"/>
                <w:szCs w:val="20"/>
              </w:rPr>
            </w:pPr>
            <w:r>
              <w:rPr>
                <w:rFonts w:ascii="Arial Narrow" w:hAnsi="Arial Narrow" w:cs="Arial"/>
                <w:i/>
                <w:iCs/>
                <w:color w:val="000000"/>
                <w:sz w:val="20"/>
                <w:szCs w:val="20"/>
              </w:rPr>
              <w:t xml:space="preserve">    EÚ zdroje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i/>
                <w:iCs/>
                <w:color w:val="000000"/>
                <w:sz w:val="20"/>
                <w:szCs w:val="20"/>
              </w:rPr>
            </w:pPr>
            <w:r>
              <w:rPr>
                <w:rFonts w:ascii="Arial Narrow" w:hAnsi="Arial Narrow" w:cs="Arial"/>
                <w:i/>
                <w:iCs/>
                <w:color w:val="000000"/>
                <w:sz w:val="20"/>
                <w:szCs w:val="20"/>
              </w:rPr>
              <w:t xml:space="preserve">    spolufinancovanie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obce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vyššie územné celky</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Sociálnu poisťovňu</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150 000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verejné zdravotné poistenie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BFBFBF"/>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 xml:space="preserve">Vplyv na počet zamestnancov </w:t>
            </w:r>
          </w:p>
        </w:tc>
        <w:tc>
          <w:tcPr>
            <w:tcW w:w="11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ŠR</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obce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vyššie územné celky</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Sociálnu poisťovňu</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BFBFBF"/>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Vplyv na mzdové výdavky</w:t>
            </w:r>
          </w:p>
        </w:tc>
        <w:tc>
          <w:tcPr>
            <w:tcW w:w="11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ŠR</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obce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vyššie územné celky</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 vplyv na Sociálnu poisťovňu</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BFBFBF"/>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Financovanie zabezpečené v rozpočte</w:t>
            </w:r>
          </w:p>
        </w:tc>
        <w:tc>
          <w:tcPr>
            <w:tcW w:w="11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12 422 174</w:t>
            </w:r>
          </w:p>
        </w:tc>
        <w:tc>
          <w:tcPr>
            <w:tcW w:w="10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12 407 656</w:t>
            </w:r>
          </w:p>
        </w:tc>
        <w:tc>
          <w:tcPr>
            <w:tcW w:w="10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53 037 115</w:t>
            </w:r>
          </w:p>
        </w:tc>
        <w:tc>
          <w:tcPr>
            <w:tcW w:w="1020" w:type="dxa"/>
            <w:tcBorders>
              <w:top w:val="nil"/>
              <w:left w:val="nil"/>
              <w:bottom w:val="single" w:sz="8" w:space="0" w:color="auto"/>
              <w:right w:val="single" w:sz="8" w:space="0" w:color="auto"/>
            </w:tcBorders>
            <w:shd w:val="clear" w:color="000000" w:fill="C0C0C0"/>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b/>
                <w:bCs/>
                <w:i/>
                <w:iCs/>
                <w:color w:val="000000"/>
                <w:sz w:val="20"/>
                <w:szCs w:val="20"/>
              </w:rPr>
            </w:pPr>
            <w:r>
              <w:rPr>
                <w:rFonts w:ascii="Arial Narrow" w:hAnsi="Arial Narrow" w:cs="Arial"/>
                <w:b/>
                <w:bCs/>
                <w:i/>
                <w:iCs/>
                <w:color w:val="000000"/>
                <w:sz w:val="20"/>
                <w:szCs w:val="20"/>
              </w:rPr>
              <w:t>z toho:</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 </w:t>
            </w:r>
          </w:p>
        </w:tc>
      </w:tr>
      <w:tr w:rsidR="00303660" w:rsidTr="00303660">
        <w:trPr>
          <w:trHeight w:val="285"/>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color w:val="000000"/>
                <w:sz w:val="18"/>
                <w:szCs w:val="18"/>
              </w:rPr>
            </w:pPr>
            <w:r>
              <w:rPr>
                <w:rFonts w:ascii="Arial Narrow" w:hAnsi="Arial Narrow" w:cs="Arial"/>
                <w:color w:val="000000"/>
                <w:sz w:val="18"/>
                <w:szCs w:val="18"/>
              </w:rPr>
              <w:t>-vplyv na štátny rozpočet</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112 000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85"/>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color w:val="000000"/>
                <w:sz w:val="18"/>
                <w:szCs w:val="18"/>
              </w:rPr>
            </w:pPr>
            <w:r>
              <w:rPr>
                <w:rFonts w:ascii="Arial Narrow" w:hAnsi="Arial Narrow" w:cs="Arial"/>
                <w:color w:val="000000"/>
                <w:sz w:val="18"/>
                <w:szCs w:val="18"/>
              </w:rPr>
              <w:t>- vplyv na obce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85"/>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color w:val="000000"/>
                <w:sz w:val="18"/>
                <w:szCs w:val="18"/>
              </w:rPr>
            </w:pPr>
            <w:r>
              <w:rPr>
                <w:rFonts w:ascii="Arial Narrow" w:hAnsi="Arial Narrow" w:cs="Arial"/>
                <w:color w:val="000000"/>
                <w:sz w:val="18"/>
                <w:szCs w:val="18"/>
              </w:rPr>
              <w:t>- vplyv na vyššie územné celky</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85"/>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color w:val="000000"/>
                <w:sz w:val="18"/>
                <w:szCs w:val="18"/>
              </w:rPr>
            </w:pPr>
            <w:r>
              <w:rPr>
                <w:rFonts w:ascii="Arial Narrow" w:hAnsi="Arial Narrow" w:cs="Arial"/>
                <w:color w:val="000000"/>
                <w:sz w:val="18"/>
                <w:szCs w:val="18"/>
              </w:rPr>
              <w:t>- vplyv na rozpočet Sociálnej poisťovne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12 310 174</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12 407 656</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53 037 115</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auto" w:fill="auto"/>
            <w:noWrap/>
            <w:vAlign w:val="center"/>
            <w:hideMark/>
          </w:tcPr>
          <w:p w:rsidR="00303660" w:rsidRDefault="00303660">
            <w:pPr>
              <w:rPr>
                <w:rFonts w:ascii="Arial Narrow" w:hAnsi="Arial Narrow" w:cs="Arial"/>
                <w:i/>
                <w:iCs/>
                <w:color w:val="000000"/>
                <w:sz w:val="20"/>
                <w:szCs w:val="20"/>
              </w:rPr>
            </w:pPr>
            <w:r>
              <w:rPr>
                <w:rFonts w:ascii="Arial Narrow" w:hAnsi="Arial Narrow" w:cs="Arial"/>
                <w:i/>
                <w:iCs/>
                <w:color w:val="000000"/>
                <w:sz w:val="20"/>
                <w:szCs w:val="20"/>
              </w:rPr>
              <w:t>- vplyv na verejné zdravotné poistenie</w:t>
            </w:r>
          </w:p>
        </w:tc>
        <w:tc>
          <w:tcPr>
            <w:tcW w:w="11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c>
          <w:tcPr>
            <w:tcW w:w="1020" w:type="dxa"/>
            <w:tcBorders>
              <w:top w:val="nil"/>
              <w:left w:val="nil"/>
              <w:bottom w:val="single" w:sz="8" w:space="0" w:color="auto"/>
              <w:right w:val="single" w:sz="8" w:space="0" w:color="auto"/>
            </w:tcBorders>
            <w:shd w:val="clear" w:color="auto" w:fill="auto"/>
            <w:noWrap/>
            <w:vAlign w:val="center"/>
            <w:hideMark/>
          </w:tcPr>
          <w:p w:rsidR="00303660" w:rsidRDefault="00303660">
            <w:pPr>
              <w:jc w:val="right"/>
              <w:rPr>
                <w:rFonts w:ascii="Arial Narrow" w:hAnsi="Arial Narrow" w:cs="Arial"/>
                <w:color w:val="000000"/>
                <w:sz w:val="20"/>
                <w:szCs w:val="20"/>
              </w:rPr>
            </w:pPr>
            <w:r>
              <w:rPr>
                <w:rFonts w:ascii="Arial Narrow" w:hAnsi="Arial Narrow" w:cs="Arial"/>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BFBFBF"/>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Iné ako rozpočtové zdroje</w:t>
            </w:r>
          </w:p>
        </w:tc>
        <w:tc>
          <w:tcPr>
            <w:tcW w:w="11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BFBFBF"/>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r w:rsidR="00303660" w:rsidTr="00303660">
        <w:trPr>
          <w:trHeight w:val="270"/>
        </w:trPr>
        <w:tc>
          <w:tcPr>
            <w:tcW w:w="5580" w:type="dxa"/>
            <w:tcBorders>
              <w:top w:val="nil"/>
              <w:left w:val="single" w:sz="8" w:space="0" w:color="auto"/>
              <w:bottom w:val="single" w:sz="8" w:space="0" w:color="auto"/>
              <w:right w:val="single" w:sz="8" w:space="0" w:color="auto"/>
            </w:tcBorders>
            <w:shd w:val="clear" w:color="000000" w:fill="A6A6A6"/>
            <w:noWrap/>
            <w:vAlign w:val="center"/>
            <w:hideMark/>
          </w:tcPr>
          <w:p w:rsidR="00303660" w:rsidRDefault="00303660">
            <w:pPr>
              <w:rPr>
                <w:rFonts w:ascii="Arial Narrow" w:hAnsi="Arial Narrow" w:cs="Arial"/>
                <w:b/>
                <w:bCs/>
                <w:color w:val="000000"/>
                <w:sz w:val="20"/>
                <w:szCs w:val="20"/>
              </w:rPr>
            </w:pPr>
            <w:r>
              <w:rPr>
                <w:rFonts w:ascii="Arial Narrow" w:hAnsi="Arial Narrow" w:cs="Arial"/>
                <w:b/>
                <w:bCs/>
                <w:color w:val="000000"/>
                <w:sz w:val="20"/>
                <w:szCs w:val="20"/>
              </w:rPr>
              <w:t>Rozpočtovo nekrytý vplyv / úspora</w:t>
            </w:r>
          </w:p>
        </w:tc>
        <w:tc>
          <w:tcPr>
            <w:tcW w:w="1120" w:type="dxa"/>
            <w:tcBorders>
              <w:top w:val="nil"/>
              <w:left w:val="nil"/>
              <w:bottom w:val="single" w:sz="8" w:space="0" w:color="auto"/>
              <w:right w:val="single" w:sz="8" w:space="0" w:color="auto"/>
            </w:tcBorders>
            <w:shd w:val="clear" w:color="000000" w:fill="A6A6A6"/>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A6A6A6"/>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A6A6A6"/>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c>
          <w:tcPr>
            <w:tcW w:w="1020" w:type="dxa"/>
            <w:tcBorders>
              <w:top w:val="nil"/>
              <w:left w:val="nil"/>
              <w:bottom w:val="single" w:sz="8" w:space="0" w:color="auto"/>
              <w:right w:val="single" w:sz="8" w:space="0" w:color="auto"/>
            </w:tcBorders>
            <w:shd w:val="clear" w:color="000000" w:fill="A6A6A6"/>
            <w:noWrap/>
            <w:vAlign w:val="center"/>
            <w:hideMark/>
          </w:tcPr>
          <w:p w:rsidR="00303660" w:rsidRDefault="00303660">
            <w:pPr>
              <w:jc w:val="right"/>
              <w:rPr>
                <w:rFonts w:ascii="Arial Narrow" w:hAnsi="Arial Narrow" w:cs="Arial"/>
                <w:b/>
                <w:bCs/>
                <w:color w:val="000000"/>
                <w:sz w:val="20"/>
                <w:szCs w:val="20"/>
              </w:rPr>
            </w:pPr>
            <w:r>
              <w:rPr>
                <w:rFonts w:ascii="Arial Narrow" w:hAnsi="Arial Narrow" w:cs="Arial"/>
                <w:b/>
                <w:bCs/>
                <w:color w:val="000000"/>
                <w:sz w:val="20"/>
                <w:szCs w:val="20"/>
              </w:rPr>
              <w:t>0</w:t>
            </w:r>
          </w:p>
        </w:tc>
      </w:tr>
    </w:tbl>
    <w:p w:rsidR="00AE165B" w:rsidRPr="00AE165B" w:rsidRDefault="00AE165B" w:rsidP="00AE165B">
      <w:pPr>
        <w:rPr>
          <w:sz w:val="20"/>
          <w:szCs w:val="20"/>
        </w:rPr>
      </w:pPr>
    </w:p>
    <w:p w:rsidR="00AE165B" w:rsidRPr="00AE165B" w:rsidRDefault="00AE165B" w:rsidP="00AE165B">
      <w:pPr>
        <w:ind w:left="7080" w:firstLine="708"/>
        <w:jc w:val="center"/>
      </w:pPr>
    </w:p>
    <w:p w:rsidR="00AE165B" w:rsidRPr="00AE165B" w:rsidRDefault="00AE165B" w:rsidP="00AE165B">
      <w:pPr>
        <w:jc w:val="both"/>
        <w:rPr>
          <w:b/>
          <w:bCs/>
        </w:rPr>
      </w:pPr>
      <w:r w:rsidRPr="00AE165B">
        <w:rPr>
          <w:b/>
          <w:bCs/>
        </w:rPr>
        <w:lastRenderedPageBreak/>
        <w:t>2.1.1. Financovanie návrhu - Návrh na riešenie úbytku príjmov alebo zvýšených výdavkov podľa § 33 ods. 1 zákona č. 523/2004 Z. z. o rozpočtových pravidlách verejnej správy:</w:t>
      </w:r>
    </w:p>
    <w:p w:rsidR="00AE165B" w:rsidRPr="00AE165B" w:rsidRDefault="00AE165B" w:rsidP="00AE165B">
      <w:pPr>
        <w:jc w:val="both"/>
        <w:rPr>
          <w:b/>
          <w:bCs/>
        </w:rPr>
      </w:pPr>
    </w:p>
    <w:p w:rsidR="00AE165B" w:rsidRPr="00AE165B" w:rsidRDefault="00AE165B" w:rsidP="00AE165B">
      <w:pPr>
        <w:pBdr>
          <w:top w:val="single" w:sz="4" w:space="1" w:color="auto"/>
          <w:left w:val="single" w:sz="4" w:space="4" w:color="auto"/>
          <w:bottom w:val="single" w:sz="4" w:space="0" w:color="auto"/>
          <w:right w:val="single" w:sz="4" w:space="4" w:color="auto"/>
        </w:pBdr>
        <w:jc w:val="both"/>
      </w:pPr>
      <w:r w:rsidRPr="00AE165B">
        <w:t>Zníženie príjmov Sociálnej poisťovne vplyvom neplatenia poistného na sociálne poistenie z</w:t>
      </w:r>
      <w:r w:rsidR="004E22A7">
        <w:t> </w:t>
      </w:r>
      <w:r w:rsidRPr="00AE165B">
        <w:t xml:space="preserve">trinásteho a štrnásteho platu je rozpočtovo zabezpečené v schválenom rozpočte Sociálnej poisťovne na rok 2019 a rozpočtový výhľad na roky 2020 a 2021. </w:t>
      </w:r>
    </w:p>
    <w:p w:rsidR="00AE165B" w:rsidRDefault="00AE165B" w:rsidP="00AE165B">
      <w:pPr>
        <w:pBdr>
          <w:top w:val="single" w:sz="4" w:space="1" w:color="auto"/>
          <w:left w:val="single" w:sz="4" w:space="4" w:color="auto"/>
          <w:bottom w:val="single" w:sz="4" w:space="0" w:color="auto"/>
          <w:right w:val="single" w:sz="4" w:space="4" w:color="auto"/>
        </w:pBdr>
        <w:jc w:val="both"/>
      </w:pPr>
      <w:r w:rsidRPr="00AE165B">
        <w:t>Zvýšenie výdavkov na informačný systém Ústredia práce, sociálnych vecí a rodiny SR a</w:t>
      </w:r>
      <w:r w:rsidR="004E22A7">
        <w:t> </w:t>
      </w:r>
      <w:r w:rsidRPr="00AE165B">
        <w:t>na zabezpečenie formulárov bude kryté v rámci upraveného rozpočtu kapitoly MPSVR SR.</w:t>
      </w:r>
    </w:p>
    <w:p w:rsidR="005F4680" w:rsidRDefault="005F4680" w:rsidP="00AE165B">
      <w:pPr>
        <w:pBdr>
          <w:top w:val="single" w:sz="4" w:space="1" w:color="auto"/>
          <w:left w:val="single" w:sz="4" w:space="4" w:color="auto"/>
          <w:bottom w:val="single" w:sz="4" w:space="0" w:color="auto"/>
          <w:right w:val="single" w:sz="4" w:space="4" w:color="auto"/>
        </w:pBdr>
        <w:jc w:val="both"/>
      </w:pPr>
      <w:r>
        <w:t>Zvýšenie výdavkov na informačný systém poistenia v nezamestnanosti a garančného poistenia (IS PvN a GP) bude zohľadnené pri príprave rozpočtu</w:t>
      </w:r>
      <w:r w:rsidR="009040FD">
        <w:t xml:space="preserve"> Sociálnej poisťovne</w:t>
      </w:r>
      <w:r>
        <w:t xml:space="preserve"> na rok 2020 a </w:t>
      </w:r>
      <w:r w:rsidR="009040FD">
        <w:t>rozpočtového</w:t>
      </w:r>
      <w:r>
        <w:t xml:space="preserve"> výhľad</w:t>
      </w:r>
      <w:r w:rsidR="009040FD">
        <w:t>u</w:t>
      </w:r>
      <w:r>
        <w:t xml:space="preserve"> na roky 2021 a 2022. </w:t>
      </w:r>
    </w:p>
    <w:p w:rsidR="00AE165B" w:rsidRPr="00AE165B" w:rsidRDefault="00AE165B" w:rsidP="00AE165B">
      <w:pPr>
        <w:rPr>
          <w:b/>
          <w:bCs/>
        </w:rPr>
      </w:pPr>
    </w:p>
    <w:p w:rsidR="00AE165B" w:rsidRPr="00AE165B" w:rsidRDefault="00AE165B" w:rsidP="00AE165B">
      <w:pPr>
        <w:rPr>
          <w:b/>
          <w:bCs/>
        </w:rPr>
      </w:pPr>
      <w:r w:rsidRPr="00AE165B">
        <w:rPr>
          <w:b/>
          <w:bCs/>
        </w:rPr>
        <w:t>2.2. Popis a charakteristika návrhu</w:t>
      </w:r>
    </w:p>
    <w:p w:rsidR="00AE165B" w:rsidRPr="00AE165B" w:rsidRDefault="00AE165B" w:rsidP="00AE165B">
      <w:pPr>
        <w:jc w:val="both"/>
        <w:rPr>
          <w:b/>
          <w:bCs/>
        </w:rPr>
      </w:pPr>
      <w:r w:rsidRPr="00AE165B">
        <w:rPr>
          <w:b/>
          <w:bCs/>
        </w:rPr>
        <w:t>2.2.1. Popis návrhu:</w:t>
      </w:r>
    </w:p>
    <w:p w:rsidR="00AE165B" w:rsidRPr="00AE165B" w:rsidRDefault="00AE165B" w:rsidP="00AE165B">
      <w:pPr>
        <w:jc w:val="both"/>
        <w:rPr>
          <w:color w:val="000000"/>
        </w:rPr>
      </w:pPr>
    </w:p>
    <w:p w:rsidR="00AE165B" w:rsidRPr="00AE165B" w:rsidRDefault="00AE165B" w:rsidP="00AE165B">
      <w:pPr>
        <w:jc w:val="both"/>
        <w:rPr>
          <w:b/>
          <w:color w:val="000000"/>
        </w:rPr>
      </w:pPr>
      <w:r w:rsidRPr="00AE165B">
        <w:rPr>
          <w:b/>
          <w:color w:val="000000"/>
        </w:rPr>
        <w:t>Vplyvy na verejné financie zakladá úprava 13. a 14. platu a nová kompetencia pre úrady práce, sociálnych vecí a rodiny prijímať žiadosti o dávku v hmotnej núdzi a túto žiadosť zasielať príslušnej pobočke Sociálnej poisťovne.</w:t>
      </w:r>
    </w:p>
    <w:p w:rsidR="00AE165B" w:rsidRPr="00AE165B" w:rsidRDefault="00AE165B" w:rsidP="00AE165B">
      <w:pPr>
        <w:jc w:val="both"/>
        <w:rPr>
          <w:b/>
          <w:color w:val="000000"/>
        </w:rPr>
      </w:pPr>
    </w:p>
    <w:p w:rsidR="00AE165B" w:rsidRPr="00AE165B" w:rsidRDefault="00AE165B" w:rsidP="00AE165B">
      <w:pPr>
        <w:jc w:val="both"/>
        <w:rPr>
          <w:b/>
          <w:color w:val="000000"/>
        </w:rPr>
      </w:pPr>
      <w:r w:rsidRPr="00AE165B">
        <w:rPr>
          <w:b/>
          <w:color w:val="000000"/>
        </w:rPr>
        <w:t>Charakteristika 13. a 14. plat:</w:t>
      </w:r>
    </w:p>
    <w:p w:rsidR="00AE165B" w:rsidRPr="00AE165B" w:rsidRDefault="00AE165B" w:rsidP="00AE165B">
      <w:pPr>
        <w:jc w:val="both"/>
        <w:rPr>
          <w:b/>
          <w:color w:val="000000"/>
        </w:rPr>
      </w:pPr>
    </w:p>
    <w:p w:rsidR="00AE165B" w:rsidRPr="00AE165B" w:rsidRDefault="00AE165B" w:rsidP="00AE165B">
      <w:pPr>
        <w:ind w:firstLine="708"/>
        <w:jc w:val="both"/>
        <w:rPr>
          <w:bCs/>
        </w:rPr>
      </w:pPr>
      <w:r w:rsidRPr="00AE165B">
        <w:rPr>
          <w:bCs/>
        </w:rPr>
        <w:t>V nadväznosti na zavedenie daňových a odvodových zvýhodnení mzdy vyplácanej pri príležitosti letných dovoleniek (tzv. 13. plat) a pri príležitosti vianočných sviatkov (tzv. 14.</w:t>
      </w:r>
      <w:r w:rsidR="004E22A7">
        <w:rPr>
          <w:bCs/>
        </w:rPr>
        <w:t> </w:t>
      </w:r>
      <w:r w:rsidRPr="00AE165B">
        <w:rPr>
          <w:bCs/>
        </w:rPr>
        <w:t>plat) schválených v roku 2018 a z dôvodu problémov, ktoré by vznikli v aplikačnej praxi v súvislosti s touto právnou úpravou v sociálnom poistení, je potrebné na obdobie pred začatím vykonávania ročného zúčtovania, t. j. pred 1. januárom 2022, upraviť určenie vymeriavacieho základu na platenie poistného na sociálne poistenie zamestnancom a</w:t>
      </w:r>
      <w:r w:rsidR="004E22A7">
        <w:rPr>
          <w:bCs/>
        </w:rPr>
        <w:t> </w:t>
      </w:r>
      <w:r w:rsidRPr="00AE165B">
        <w:rPr>
          <w:bCs/>
        </w:rPr>
        <w:t>zamestnávateľom z 13. platu poskytnutého zamestnancovi v roku 2021 a zo 14. platu poskytnutého zamestnancovi v rokoch 2019 až 2021.</w:t>
      </w:r>
    </w:p>
    <w:p w:rsidR="00AE165B" w:rsidRPr="00AE165B" w:rsidRDefault="00AE165B" w:rsidP="00AE165B">
      <w:pPr>
        <w:jc w:val="both"/>
        <w:rPr>
          <w:bCs/>
        </w:rPr>
      </w:pPr>
    </w:p>
    <w:p w:rsidR="00AE165B" w:rsidRPr="00AE165B" w:rsidRDefault="00AE165B" w:rsidP="00AE165B">
      <w:pPr>
        <w:ind w:firstLine="708"/>
        <w:jc w:val="both"/>
        <w:rPr>
          <w:bCs/>
        </w:rPr>
      </w:pPr>
      <w:r w:rsidRPr="00AE165B">
        <w:rPr>
          <w:bCs/>
        </w:rPr>
        <w:t>Navrhuje sa, aby v roku 2021 zamestnanec ani zamestnávateľ neplatili poistné na sociálne poistenie z 13. platu poskytnutého od každého zamestnávateľa zo sumy do 500 eur.</w:t>
      </w:r>
    </w:p>
    <w:p w:rsidR="00AE165B" w:rsidRPr="00AE165B" w:rsidRDefault="00AE165B" w:rsidP="00AE165B">
      <w:pPr>
        <w:jc w:val="both"/>
        <w:rPr>
          <w:bCs/>
        </w:rPr>
      </w:pPr>
    </w:p>
    <w:p w:rsidR="00AE165B" w:rsidRPr="00AE165B" w:rsidRDefault="00AE165B" w:rsidP="00AE165B">
      <w:pPr>
        <w:jc w:val="both"/>
        <w:rPr>
          <w:bCs/>
        </w:rPr>
      </w:pPr>
      <w:r w:rsidRPr="00AE165B">
        <w:rPr>
          <w:bCs/>
        </w:rPr>
        <w:t>Podmienky nároku na 13. plat:</w:t>
      </w:r>
    </w:p>
    <w:p w:rsidR="00AE165B" w:rsidRPr="00AE165B" w:rsidRDefault="00AE165B" w:rsidP="00AE165B">
      <w:pPr>
        <w:jc w:val="both"/>
        <w:rPr>
          <w:bCs/>
        </w:rPr>
      </w:pPr>
    </w:p>
    <w:p w:rsidR="00AE165B" w:rsidRPr="00AE165B" w:rsidRDefault="00AE165B" w:rsidP="00AE165B">
      <w:pPr>
        <w:pStyle w:val="Odsekzoznamu"/>
        <w:numPr>
          <w:ilvl w:val="3"/>
          <w:numId w:val="38"/>
        </w:numPr>
        <w:ind w:left="1134" w:hanging="283"/>
        <w:jc w:val="both"/>
        <w:rPr>
          <w:bCs/>
        </w:rPr>
      </w:pPr>
      <w:r w:rsidRPr="00AE165B">
        <w:rPr>
          <w:bCs/>
        </w:rPr>
        <w:t>13. plat sa poskytuje v júni príslušného kalendárneho roka,</w:t>
      </w:r>
    </w:p>
    <w:p w:rsidR="00AE165B" w:rsidRPr="00AE165B" w:rsidRDefault="00AE165B" w:rsidP="00AE165B">
      <w:pPr>
        <w:pStyle w:val="Odsekzoznamu"/>
        <w:numPr>
          <w:ilvl w:val="3"/>
          <w:numId w:val="38"/>
        </w:numPr>
        <w:ind w:left="1134" w:hanging="283"/>
        <w:jc w:val="both"/>
        <w:rPr>
          <w:bCs/>
        </w:rPr>
      </w:pPr>
      <w:r w:rsidRPr="00AE165B">
        <w:rPr>
          <w:bCs/>
        </w:rPr>
        <w:t>13. plat je poskytnutý  najmenej vo výške 500 eur,</w:t>
      </w:r>
    </w:p>
    <w:p w:rsidR="00AE165B" w:rsidRPr="00AE165B" w:rsidRDefault="00AE165B" w:rsidP="00AE165B">
      <w:pPr>
        <w:pStyle w:val="Odsekzoznamu"/>
        <w:numPr>
          <w:ilvl w:val="3"/>
          <w:numId w:val="38"/>
        </w:numPr>
        <w:ind w:left="1134" w:hanging="283"/>
        <w:jc w:val="both"/>
        <w:rPr>
          <w:bCs/>
        </w:rPr>
      </w:pPr>
      <w:r w:rsidRPr="00AE165B">
        <w:rPr>
          <w:bCs/>
        </w:rPr>
        <w:t>k 30. aprílu 2021 je zamestnanec u zamestnávateľa v pracovnoprávnom vzťahu nepretržite najmenej 24 mesiacov.</w:t>
      </w:r>
    </w:p>
    <w:p w:rsidR="00AE165B" w:rsidRPr="00AE165B" w:rsidRDefault="00AE165B" w:rsidP="00AE165B">
      <w:pPr>
        <w:jc w:val="both"/>
        <w:rPr>
          <w:bCs/>
        </w:rPr>
      </w:pPr>
    </w:p>
    <w:p w:rsidR="00AE165B" w:rsidRPr="00AE165B" w:rsidRDefault="00AE165B" w:rsidP="00AE165B">
      <w:pPr>
        <w:ind w:firstLine="709"/>
        <w:jc w:val="both"/>
        <w:rPr>
          <w:bCs/>
        </w:rPr>
      </w:pPr>
      <w:r w:rsidRPr="00AE165B">
        <w:rPr>
          <w:bCs/>
        </w:rPr>
        <w:t>Obdobne sa navrhuje, aby v roku 2019 až 2021 zamestnanec ani zamestnávateľ neplatili poistné na sociálne poistenie zo 14. platu poskytnutého od každého zamestnávateľa zo sumy do 500 eur.</w:t>
      </w:r>
    </w:p>
    <w:p w:rsidR="00AE165B" w:rsidRPr="00AE165B" w:rsidRDefault="00AE165B" w:rsidP="00AE165B">
      <w:pPr>
        <w:jc w:val="both"/>
        <w:rPr>
          <w:bCs/>
        </w:rPr>
      </w:pPr>
    </w:p>
    <w:p w:rsidR="00AE165B" w:rsidRPr="00AE165B" w:rsidRDefault="00AE165B" w:rsidP="00AE165B">
      <w:pPr>
        <w:jc w:val="both"/>
        <w:rPr>
          <w:bCs/>
        </w:rPr>
      </w:pPr>
      <w:r w:rsidRPr="00AE165B">
        <w:rPr>
          <w:bCs/>
        </w:rPr>
        <w:t xml:space="preserve">Podmienky nároku na 14. plat: </w:t>
      </w:r>
    </w:p>
    <w:p w:rsidR="00AE165B" w:rsidRPr="00AE165B" w:rsidRDefault="00AE165B" w:rsidP="00AE165B">
      <w:pPr>
        <w:jc w:val="both"/>
        <w:rPr>
          <w:bCs/>
        </w:rPr>
      </w:pPr>
    </w:p>
    <w:p w:rsidR="00AE165B" w:rsidRPr="00AE165B" w:rsidRDefault="00AE165B" w:rsidP="00AE165B">
      <w:pPr>
        <w:pStyle w:val="Odsekzoznamu"/>
        <w:numPr>
          <w:ilvl w:val="3"/>
          <w:numId w:val="38"/>
        </w:numPr>
        <w:ind w:left="1134" w:hanging="283"/>
        <w:jc w:val="both"/>
        <w:rPr>
          <w:bCs/>
        </w:rPr>
      </w:pPr>
      <w:r w:rsidRPr="00AE165B">
        <w:rPr>
          <w:bCs/>
        </w:rPr>
        <w:t>14. plat sa poskytuje v decembri príslušného kalendárneho roka,</w:t>
      </w:r>
    </w:p>
    <w:p w:rsidR="00AE165B" w:rsidRPr="00AE165B" w:rsidRDefault="00AE165B" w:rsidP="00AE165B">
      <w:pPr>
        <w:pStyle w:val="Odsekzoznamu"/>
        <w:numPr>
          <w:ilvl w:val="3"/>
          <w:numId w:val="38"/>
        </w:numPr>
        <w:ind w:left="1134" w:hanging="283"/>
        <w:jc w:val="both"/>
        <w:rPr>
          <w:bCs/>
        </w:rPr>
      </w:pPr>
      <w:r w:rsidRPr="00AE165B">
        <w:rPr>
          <w:bCs/>
        </w:rPr>
        <w:t>14. plat je poskytnutý najmenej vo výške priemerného mesačného zárobku zamestnanca,</w:t>
      </w:r>
    </w:p>
    <w:p w:rsidR="00AE165B" w:rsidRPr="00AE165B" w:rsidRDefault="00AE165B" w:rsidP="00AE165B">
      <w:pPr>
        <w:pStyle w:val="Odsekzoznamu"/>
        <w:numPr>
          <w:ilvl w:val="3"/>
          <w:numId w:val="38"/>
        </w:numPr>
        <w:ind w:left="1134" w:hanging="283"/>
        <w:jc w:val="both"/>
        <w:rPr>
          <w:bCs/>
        </w:rPr>
      </w:pPr>
      <w:r w:rsidRPr="00AE165B">
        <w:rPr>
          <w:bCs/>
        </w:rPr>
        <w:t>k 31. októbru príslušného kalendárneho roka je zamestnanec u zamestnávateľa v</w:t>
      </w:r>
      <w:r w:rsidR="004E22A7">
        <w:rPr>
          <w:bCs/>
        </w:rPr>
        <w:t> </w:t>
      </w:r>
      <w:r w:rsidRPr="00AE165B">
        <w:rPr>
          <w:bCs/>
        </w:rPr>
        <w:t>pracovnoprávnom vzťahu nepretržite najmenej 48 mesiacov,</w:t>
      </w:r>
    </w:p>
    <w:p w:rsidR="00AE165B" w:rsidRPr="00AE165B" w:rsidRDefault="00AE165B" w:rsidP="00AE165B">
      <w:pPr>
        <w:pStyle w:val="Odsekzoznamu"/>
        <w:numPr>
          <w:ilvl w:val="3"/>
          <w:numId w:val="38"/>
        </w:numPr>
        <w:ind w:left="1134" w:hanging="283"/>
        <w:jc w:val="both"/>
        <w:rPr>
          <w:bCs/>
        </w:rPr>
      </w:pPr>
      <w:r w:rsidRPr="00AE165B">
        <w:rPr>
          <w:bCs/>
        </w:rPr>
        <w:lastRenderedPageBreak/>
        <w:t>zamestnancovi bol u zamestnávateľa poskytnutý aj 13. plat; táto podmienka sa vyžaduje len v roku 2021 vzhľadom na existujúcu odlišnú právnu úpravu aplikácie 13. platu v sociálnom poistení v rokoch 2019 a 2020.</w:t>
      </w:r>
    </w:p>
    <w:p w:rsidR="00AE165B" w:rsidRPr="00AE165B" w:rsidRDefault="00AE165B" w:rsidP="00AE165B">
      <w:pPr>
        <w:jc w:val="both"/>
        <w:rPr>
          <w:bCs/>
        </w:rPr>
      </w:pPr>
    </w:p>
    <w:p w:rsidR="00AE165B" w:rsidRPr="00AE165B" w:rsidRDefault="00AE165B" w:rsidP="00AE165B">
      <w:pPr>
        <w:jc w:val="both"/>
        <w:rPr>
          <w:bCs/>
        </w:rPr>
      </w:pPr>
      <w:r w:rsidRPr="00AE165B">
        <w:rPr>
          <w:b/>
          <w:color w:val="000000"/>
        </w:rPr>
        <w:t>Uplatnenie nároku na dávku v nezamestnanosti:</w:t>
      </w:r>
    </w:p>
    <w:p w:rsidR="00AE165B" w:rsidRPr="00AE165B" w:rsidRDefault="00AE165B" w:rsidP="00AE165B">
      <w:pPr>
        <w:jc w:val="both"/>
        <w:rPr>
          <w:bCs/>
        </w:rPr>
      </w:pPr>
    </w:p>
    <w:p w:rsidR="00AE165B" w:rsidRPr="00AE165B" w:rsidRDefault="00AE165B" w:rsidP="00AE165B">
      <w:pPr>
        <w:ind w:firstLine="708"/>
        <w:jc w:val="both"/>
      </w:pPr>
      <w:r w:rsidRPr="00AE165B">
        <w:t>V záujme znižovania administratívnej záťaže poistencov (návšteva viacerých úradov) sa navrhuje v zákone o sociálnom poistení ustanoviť uchádzačom o zamestnanie možnosť uplatniť si nárok na dávku v nezamestnanosti prostredníctvom úradu práce, sociálnych vecí a</w:t>
      </w:r>
      <w:r w:rsidR="004E22A7">
        <w:t> </w:t>
      </w:r>
      <w:r w:rsidRPr="00AE165B">
        <w:t>rodiny  (spolu so žiadosťou o zaraďovanie fyzickej osoby do evidencie uchádzačov o</w:t>
      </w:r>
      <w:r w:rsidR="004E22A7">
        <w:t> </w:t>
      </w:r>
      <w:r w:rsidRPr="00AE165B">
        <w:t>zamestnanie). Zároveň sa navrhuje povinnosť úradu práce, sociálnych vecí a rodiny bezodkladne postúpiť túto žiadosť príslušnej pobočke Sociálnej poisťovne.</w:t>
      </w:r>
    </w:p>
    <w:p w:rsidR="00AE165B" w:rsidRPr="00AE165B" w:rsidRDefault="00AE165B" w:rsidP="00AE165B">
      <w:pPr>
        <w:rPr>
          <w:b/>
          <w:bCs/>
        </w:rPr>
      </w:pPr>
    </w:p>
    <w:p w:rsidR="00AE165B" w:rsidRPr="00AE165B" w:rsidRDefault="00AE165B" w:rsidP="00AE165B">
      <w:pPr>
        <w:rPr>
          <w:b/>
          <w:bCs/>
        </w:rPr>
      </w:pPr>
    </w:p>
    <w:p w:rsidR="00AE165B" w:rsidRPr="00AE165B" w:rsidRDefault="00AE165B" w:rsidP="00AE165B">
      <w:pPr>
        <w:rPr>
          <w:b/>
          <w:bCs/>
        </w:rPr>
      </w:pPr>
      <w:r w:rsidRPr="00AE165B">
        <w:rPr>
          <w:b/>
          <w:bCs/>
        </w:rPr>
        <w:t>2.2.2. Charakteristika návrhu:</w:t>
      </w:r>
    </w:p>
    <w:p w:rsidR="00AE165B" w:rsidRPr="00AE165B" w:rsidRDefault="00AE165B" w:rsidP="00AE165B"/>
    <w:p w:rsidR="00AE165B" w:rsidRPr="00AE165B" w:rsidRDefault="00AE165B" w:rsidP="00AE165B">
      <w:r w:rsidRPr="00AE165B">
        <w:rPr>
          <w:b/>
          <w:bdr w:val="single" w:sz="4" w:space="0" w:color="auto"/>
        </w:rPr>
        <w:t xml:space="preserve">     </w:t>
      </w:r>
      <w:r w:rsidRPr="00AE165B">
        <w:rPr>
          <w:b/>
        </w:rPr>
        <w:t xml:space="preserve">  </w:t>
      </w:r>
      <w:r w:rsidRPr="00AE165B">
        <w:t>zmena sadzby</w:t>
      </w:r>
    </w:p>
    <w:p w:rsidR="00AE165B" w:rsidRPr="00AE165B" w:rsidRDefault="00AE165B" w:rsidP="00AE165B">
      <w:r w:rsidRPr="00AE165B">
        <w:rPr>
          <w:bdr w:val="single" w:sz="4" w:space="0" w:color="auto"/>
        </w:rPr>
        <w:t xml:space="preserve">     </w:t>
      </w:r>
      <w:r w:rsidRPr="00AE165B">
        <w:t xml:space="preserve">  zmena v nároku</w:t>
      </w:r>
    </w:p>
    <w:p w:rsidR="00AE165B" w:rsidRPr="00AE165B" w:rsidRDefault="00AE165B" w:rsidP="00AE165B">
      <w:r w:rsidRPr="00AE165B">
        <w:rPr>
          <w:bdr w:val="single" w:sz="4" w:space="0" w:color="auto"/>
        </w:rPr>
        <w:t xml:space="preserve">  x </w:t>
      </w:r>
      <w:r w:rsidRPr="00AE165B">
        <w:t xml:space="preserve">  nová služba alebo nariadenie (alebo ich zrušenie)</w:t>
      </w:r>
    </w:p>
    <w:p w:rsidR="00AE165B" w:rsidRPr="00AE165B" w:rsidRDefault="00AE165B" w:rsidP="00AE165B">
      <w:r w:rsidRPr="00AE165B">
        <w:rPr>
          <w:bdr w:val="single" w:sz="4" w:space="0" w:color="auto"/>
        </w:rPr>
        <w:t xml:space="preserve"> </w:t>
      </w:r>
      <w:r w:rsidRPr="00AE165B">
        <w:rPr>
          <w:b/>
          <w:bdr w:val="single" w:sz="4" w:space="0" w:color="auto"/>
        </w:rPr>
        <w:t xml:space="preserve">   </w:t>
      </w:r>
      <w:r w:rsidRPr="00AE165B">
        <w:rPr>
          <w:bdr w:val="single" w:sz="4" w:space="0" w:color="auto"/>
        </w:rPr>
        <w:t xml:space="preserve"> </w:t>
      </w:r>
      <w:r w:rsidRPr="00AE165B">
        <w:t xml:space="preserve">  kombinovaný návrh</w:t>
      </w:r>
    </w:p>
    <w:p w:rsidR="00AE165B" w:rsidRPr="00AE165B" w:rsidRDefault="00AE165B" w:rsidP="00AE165B">
      <w:r w:rsidRPr="00AE165B">
        <w:rPr>
          <w:bdr w:val="single" w:sz="4" w:space="0" w:color="auto"/>
        </w:rPr>
        <w:t xml:space="preserve">     </w:t>
      </w:r>
      <w:r w:rsidRPr="00AE165B">
        <w:t xml:space="preserve">  iné </w:t>
      </w:r>
    </w:p>
    <w:p w:rsidR="00AE165B" w:rsidRPr="00AE165B" w:rsidRDefault="00AE165B" w:rsidP="00AE165B"/>
    <w:p w:rsidR="00AE165B" w:rsidRPr="00AE165B" w:rsidRDefault="00AE165B" w:rsidP="00AE165B">
      <w:r w:rsidRPr="00AE165B">
        <w:rPr>
          <w:b/>
          <w:bCs/>
        </w:rPr>
        <w:t>2.2.3. Predpoklady vývoja objemu aktivít:</w:t>
      </w:r>
    </w:p>
    <w:p w:rsidR="00AE165B" w:rsidRPr="00AE165B" w:rsidRDefault="00AE165B" w:rsidP="00AE165B"/>
    <w:p w:rsidR="00AE165B" w:rsidRPr="00AE165B" w:rsidRDefault="00AE165B" w:rsidP="00AE165B">
      <w:pPr>
        <w:jc w:val="both"/>
        <w:rPr>
          <w:color w:val="000000"/>
        </w:rPr>
      </w:pPr>
      <w:r w:rsidRPr="00AE165B">
        <w:rPr>
          <w:color w:val="000000"/>
        </w:rPr>
        <w:t>Navrhované zmeny si vyžiadajú zmenu informačného systému služieb zamestnanosti (ISSZ)</w:t>
      </w:r>
      <w:r w:rsidR="00CD3DE0">
        <w:rPr>
          <w:color w:val="000000"/>
        </w:rPr>
        <w:t xml:space="preserve"> a </w:t>
      </w:r>
      <w:r w:rsidR="00CD3DE0" w:rsidRPr="009040FD">
        <w:t>informačného systému  poistenia v nezamestnanosti a garančného poistenia (IS PvN a GP)</w:t>
      </w:r>
      <w:r w:rsidRPr="009040FD">
        <w:t xml:space="preserve"> </w:t>
      </w:r>
      <w:r w:rsidRPr="00AE165B">
        <w:rPr>
          <w:color w:val="000000"/>
        </w:rPr>
        <w:t xml:space="preserve">pričom celkové zvýšenie výdavkov </w:t>
      </w:r>
      <w:r w:rsidR="00AA4CF2">
        <w:rPr>
          <w:color w:val="000000"/>
        </w:rPr>
        <w:t xml:space="preserve">v rokoch 2019 až 2022 </w:t>
      </w:r>
      <w:r w:rsidRPr="00AE165B">
        <w:rPr>
          <w:color w:val="000000"/>
        </w:rPr>
        <w:t xml:space="preserve">sa odhaduje na úrovni </w:t>
      </w:r>
      <w:r w:rsidR="00CD3DE0">
        <w:rPr>
          <w:color w:val="000000"/>
        </w:rPr>
        <w:t>246</w:t>
      </w:r>
      <w:r w:rsidRPr="00AE165B">
        <w:rPr>
          <w:color w:val="000000"/>
        </w:rPr>
        <w:t xml:space="preserve"> tis. eur. Výdavky na úpravu informačných systémov sú spôsobené zavádzaním možnosti uplatniť si nárok na dávku v nezamestnanosti priamo na miestne príslušnom úrade práce, sociálnych vecí a rodiny.</w:t>
      </w:r>
      <w:r w:rsidR="00303660">
        <w:rPr>
          <w:color w:val="000000"/>
        </w:rPr>
        <w:t xml:space="preserve"> </w:t>
      </w:r>
    </w:p>
    <w:p w:rsidR="00AE165B" w:rsidRPr="00AE165B" w:rsidRDefault="00AE165B" w:rsidP="00AE165B">
      <w:pPr>
        <w:jc w:val="both"/>
        <w:rPr>
          <w:color w:val="000000"/>
        </w:rPr>
      </w:pPr>
      <w:r w:rsidRPr="00AE165B">
        <w:rPr>
          <w:color w:val="000000"/>
        </w:rPr>
        <w:t xml:space="preserve"> </w:t>
      </w:r>
    </w:p>
    <w:p w:rsidR="00AE165B" w:rsidRPr="00AE165B" w:rsidRDefault="00AE165B" w:rsidP="00AE165B">
      <w:pPr>
        <w:ind w:left="7080" w:firstLine="708"/>
        <w:rPr>
          <w:sz w:val="20"/>
          <w:szCs w:val="20"/>
        </w:rPr>
      </w:pPr>
      <w:r w:rsidRPr="00AE165B">
        <w:rPr>
          <w:sz w:val="20"/>
          <w:szCs w:val="20"/>
        </w:rPr>
        <w:t xml:space="preserve">   Tabuľka č. 2    </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1134"/>
        <w:gridCol w:w="1060"/>
        <w:gridCol w:w="1060"/>
        <w:gridCol w:w="1060"/>
      </w:tblGrid>
      <w:tr w:rsidR="00AE165B" w:rsidRPr="00AE165B" w:rsidTr="003310B7">
        <w:trPr>
          <w:trHeight w:val="315"/>
          <w:jc w:val="center"/>
        </w:trPr>
        <w:tc>
          <w:tcPr>
            <w:tcW w:w="4551" w:type="dxa"/>
            <w:shd w:val="clear" w:color="000000" w:fill="A6A6A6"/>
            <w:noWrap/>
            <w:vAlign w:val="center"/>
            <w:hideMark/>
          </w:tcPr>
          <w:p w:rsidR="00AE165B" w:rsidRPr="00AE165B" w:rsidRDefault="00AE165B" w:rsidP="003310B7">
            <w:pPr>
              <w:rPr>
                <w:color w:val="000000"/>
                <w:sz w:val="20"/>
              </w:rPr>
            </w:pPr>
            <w:r w:rsidRPr="00AE165B">
              <w:rPr>
                <w:color w:val="000000"/>
                <w:sz w:val="20"/>
              </w:rPr>
              <w:t>rok</w:t>
            </w:r>
          </w:p>
        </w:tc>
        <w:tc>
          <w:tcPr>
            <w:tcW w:w="1134" w:type="dxa"/>
            <w:shd w:val="clear" w:color="000000" w:fill="A6A6A6"/>
            <w:noWrap/>
            <w:vAlign w:val="center"/>
            <w:hideMark/>
          </w:tcPr>
          <w:p w:rsidR="00AE165B" w:rsidRPr="00AE165B" w:rsidRDefault="00AE165B" w:rsidP="003310B7">
            <w:pPr>
              <w:jc w:val="center"/>
              <w:rPr>
                <w:color w:val="000000"/>
                <w:sz w:val="20"/>
              </w:rPr>
            </w:pPr>
            <w:r w:rsidRPr="00AE165B">
              <w:rPr>
                <w:color w:val="000000"/>
                <w:sz w:val="20"/>
              </w:rPr>
              <w:t>2019</w:t>
            </w:r>
          </w:p>
        </w:tc>
        <w:tc>
          <w:tcPr>
            <w:tcW w:w="1060" w:type="dxa"/>
            <w:shd w:val="clear" w:color="000000" w:fill="A6A6A6"/>
            <w:noWrap/>
            <w:vAlign w:val="center"/>
            <w:hideMark/>
          </w:tcPr>
          <w:p w:rsidR="00AE165B" w:rsidRPr="00AE165B" w:rsidRDefault="00AE165B" w:rsidP="003310B7">
            <w:pPr>
              <w:jc w:val="center"/>
              <w:rPr>
                <w:color w:val="000000"/>
                <w:sz w:val="20"/>
              </w:rPr>
            </w:pPr>
            <w:r w:rsidRPr="00AE165B">
              <w:rPr>
                <w:color w:val="000000"/>
                <w:sz w:val="20"/>
              </w:rPr>
              <w:t>2020</w:t>
            </w:r>
          </w:p>
        </w:tc>
        <w:tc>
          <w:tcPr>
            <w:tcW w:w="1060" w:type="dxa"/>
            <w:shd w:val="clear" w:color="000000" w:fill="A6A6A6"/>
            <w:noWrap/>
            <w:vAlign w:val="center"/>
            <w:hideMark/>
          </w:tcPr>
          <w:p w:rsidR="00AE165B" w:rsidRPr="00AE165B" w:rsidRDefault="00AE165B" w:rsidP="003310B7">
            <w:pPr>
              <w:jc w:val="center"/>
              <w:rPr>
                <w:color w:val="000000"/>
                <w:sz w:val="20"/>
              </w:rPr>
            </w:pPr>
            <w:r w:rsidRPr="00AE165B">
              <w:rPr>
                <w:color w:val="000000"/>
                <w:sz w:val="20"/>
              </w:rPr>
              <w:t>2021</w:t>
            </w:r>
          </w:p>
        </w:tc>
        <w:tc>
          <w:tcPr>
            <w:tcW w:w="1060" w:type="dxa"/>
            <w:shd w:val="clear" w:color="000000" w:fill="A6A6A6"/>
            <w:noWrap/>
            <w:vAlign w:val="center"/>
            <w:hideMark/>
          </w:tcPr>
          <w:p w:rsidR="00AE165B" w:rsidRPr="00AE165B" w:rsidRDefault="00AE165B" w:rsidP="003310B7">
            <w:pPr>
              <w:jc w:val="center"/>
              <w:rPr>
                <w:color w:val="000000"/>
                <w:sz w:val="20"/>
              </w:rPr>
            </w:pPr>
            <w:r w:rsidRPr="00AE165B">
              <w:rPr>
                <w:color w:val="000000"/>
                <w:sz w:val="20"/>
              </w:rPr>
              <w:t>2022</w:t>
            </w:r>
          </w:p>
        </w:tc>
      </w:tr>
      <w:tr w:rsidR="00AE165B" w:rsidRPr="00AE165B" w:rsidTr="003310B7">
        <w:trPr>
          <w:trHeight w:val="315"/>
          <w:jc w:val="center"/>
        </w:trPr>
        <w:tc>
          <w:tcPr>
            <w:tcW w:w="4551" w:type="dxa"/>
            <w:noWrap/>
            <w:vAlign w:val="center"/>
            <w:hideMark/>
          </w:tcPr>
          <w:p w:rsidR="00AE165B" w:rsidRPr="00AE165B" w:rsidRDefault="00AE165B" w:rsidP="003310B7">
            <w:pPr>
              <w:rPr>
                <w:color w:val="000000"/>
                <w:sz w:val="20"/>
              </w:rPr>
            </w:pPr>
            <w:r w:rsidRPr="00AE165B">
              <w:rPr>
                <w:color w:val="000000"/>
                <w:sz w:val="20"/>
              </w:rPr>
              <w:t>Štátny rozpočet</w:t>
            </w:r>
          </w:p>
        </w:tc>
        <w:tc>
          <w:tcPr>
            <w:tcW w:w="1134" w:type="dxa"/>
            <w:noWrap/>
            <w:vAlign w:val="center"/>
            <w:hideMark/>
          </w:tcPr>
          <w:p w:rsidR="00AE165B" w:rsidRPr="00AE165B" w:rsidRDefault="00AE165B" w:rsidP="003310B7">
            <w:pPr>
              <w:jc w:val="center"/>
              <w:rPr>
                <w:color w:val="000000"/>
                <w:sz w:val="20"/>
              </w:rPr>
            </w:pPr>
            <w:r w:rsidRPr="00AE165B">
              <w:rPr>
                <w:color w:val="000000"/>
                <w:sz w:val="20"/>
              </w:rPr>
              <w:t>96 000</w:t>
            </w:r>
          </w:p>
        </w:tc>
        <w:tc>
          <w:tcPr>
            <w:tcW w:w="1060" w:type="dxa"/>
            <w:noWrap/>
            <w:vAlign w:val="center"/>
          </w:tcPr>
          <w:p w:rsidR="00AE165B" w:rsidRPr="00AE165B" w:rsidRDefault="00AE165B" w:rsidP="003310B7">
            <w:pPr>
              <w:jc w:val="center"/>
              <w:rPr>
                <w:color w:val="000000"/>
                <w:sz w:val="20"/>
              </w:rPr>
            </w:pPr>
            <w:r w:rsidRPr="00AE165B">
              <w:rPr>
                <w:color w:val="000000"/>
                <w:sz w:val="20"/>
              </w:rPr>
              <w:t>0</w:t>
            </w:r>
          </w:p>
        </w:tc>
        <w:tc>
          <w:tcPr>
            <w:tcW w:w="1060" w:type="dxa"/>
            <w:noWrap/>
            <w:vAlign w:val="center"/>
          </w:tcPr>
          <w:p w:rsidR="00AE165B" w:rsidRPr="00AE165B" w:rsidRDefault="00AE165B" w:rsidP="003310B7">
            <w:pPr>
              <w:jc w:val="center"/>
              <w:rPr>
                <w:color w:val="000000"/>
                <w:sz w:val="20"/>
              </w:rPr>
            </w:pPr>
            <w:r w:rsidRPr="00AE165B">
              <w:rPr>
                <w:color w:val="000000"/>
                <w:sz w:val="20"/>
              </w:rPr>
              <w:t>0</w:t>
            </w:r>
          </w:p>
        </w:tc>
        <w:tc>
          <w:tcPr>
            <w:tcW w:w="1060" w:type="dxa"/>
            <w:noWrap/>
            <w:vAlign w:val="center"/>
          </w:tcPr>
          <w:p w:rsidR="00AE165B" w:rsidRPr="00AE165B" w:rsidRDefault="00AE165B" w:rsidP="003310B7">
            <w:pPr>
              <w:jc w:val="center"/>
              <w:rPr>
                <w:color w:val="000000"/>
                <w:sz w:val="20"/>
              </w:rPr>
            </w:pPr>
            <w:r w:rsidRPr="00AE165B">
              <w:rPr>
                <w:color w:val="000000"/>
                <w:sz w:val="20"/>
              </w:rPr>
              <w:t>0</w:t>
            </w:r>
          </w:p>
        </w:tc>
      </w:tr>
      <w:tr w:rsidR="00AE165B" w:rsidRPr="00AE165B" w:rsidTr="003310B7">
        <w:trPr>
          <w:trHeight w:val="315"/>
          <w:jc w:val="center"/>
        </w:trPr>
        <w:tc>
          <w:tcPr>
            <w:tcW w:w="4551" w:type="dxa"/>
            <w:noWrap/>
            <w:vAlign w:val="center"/>
            <w:hideMark/>
          </w:tcPr>
          <w:p w:rsidR="00AE165B" w:rsidRPr="00AE165B" w:rsidRDefault="00AE165B" w:rsidP="003310B7">
            <w:pPr>
              <w:rPr>
                <w:color w:val="000000"/>
                <w:sz w:val="20"/>
              </w:rPr>
            </w:pPr>
            <w:r w:rsidRPr="00AE165B">
              <w:rPr>
                <w:color w:val="000000"/>
                <w:sz w:val="20"/>
              </w:rPr>
              <w:t>z toho:</w:t>
            </w:r>
          </w:p>
        </w:tc>
        <w:tc>
          <w:tcPr>
            <w:tcW w:w="1134" w:type="dxa"/>
            <w:noWrap/>
            <w:vAlign w:val="center"/>
            <w:hideMark/>
          </w:tcPr>
          <w:p w:rsidR="00AE165B" w:rsidRPr="00AE165B" w:rsidRDefault="00AE165B" w:rsidP="003310B7">
            <w:pPr>
              <w:jc w:val="center"/>
              <w:rPr>
                <w:color w:val="000000"/>
                <w:sz w:val="20"/>
              </w:rPr>
            </w:pPr>
            <w:r w:rsidRPr="00AE165B">
              <w:rPr>
                <w:color w:val="000000"/>
                <w:sz w:val="20"/>
              </w:rPr>
              <w:t> </w:t>
            </w:r>
          </w:p>
        </w:tc>
        <w:tc>
          <w:tcPr>
            <w:tcW w:w="1060" w:type="dxa"/>
            <w:noWrap/>
            <w:vAlign w:val="center"/>
            <w:hideMark/>
          </w:tcPr>
          <w:p w:rsidR="00AE165B" w:rsidRPr="00AE165B" w:rsidRDefault="00AE165B" w:rsidP="003310B7">
            <w:pPr>
              <w:jc w:val="center"/>
              <w:rPr>
                <w:color w:val="000000"/>
                <w:sz w:val="20"/>
              </w:rPr>
            </w:pPr>
            <w:r w:rsidRPr="00AE165B">
              <w:rPr>
                <w:color w:val="000000"/>
                <w:sz w:val="20"/>
              </w:rPr>
              <w:t> </w:t>
            </w:r>
          </w:p>
        </w:tc>
        <w:tc>
          <w:tcPr>
            <w:tcW w:w="1060" w:type="dxa"/>
            <w:noWrap/>
            <w:vAlign w:val="center"/>
            <w:hideMark/>
          </w:tcPr>
          <w:p w:rsidR="00AE165B" w:rsidRPr="00AE165B" w:rsidRDefault="00AE165B" w:rsidP="003310B7">
            <w:pPr>
              <w:jc w:val="center"/>
              <w:rPr>
                <w:color w:val="000000"/>
                <w:sz w:val="20"/>
              </w:rPr>
            </w:pPr>
            <w:r w:rsidRPr="00AE165B">
              <w:rPr>
                <w:color w:val="000000"/>
                <w:sz w:val="20"/>
              </w:rPr>
              <w:t> </w:t>
            </w:r>
          </w:p>
        </w:tc>
        <w:tc>
          <w:tcPr>
            <w:tcW w:w="1060" w:type="dxa"/>
            <w:noWrap/>
            <w:vAlign w:val="center"/>
            <w:hideMark/>
          </w:tcPr>
          <w:p w:rsidR="00AE165B" w:rsidRPr="00AE165B" w:rsidRDefault="00AE165B" w:rsidP="003310B7">
            <w:pPr>
              <w:jc w:val="center"/>
              <w:rPr>
                <w:color w:val="000000"/>
                <w:sz w:val="20"/>
              </w:rPr>
            </w:pPr>
            <w:r w:rsidRPr="00AE165B">
              <w:rPr>
                <w:color w:val="000000"/>
                <w:sz w:val="20"/>
              </w:rPr>
              <w:t> </w:t>
            </w:r>
          </w:p>
        </w:tc>
      </w:tr>
      <w:tr w:rsidR="00AE165B" w:rsidRPr="00AE165B" w:rsidTr="003310B7">
        <w:trPr>
          <w:trHeight w:val="315"/>
          <w:jc w:val="center"/>
        </w:trPr>
        <w:tc>
          <w:tcPr>
            <w:tcW w:w="4551" w:type="dxa"/>
            <w:noWrap/>
            <w:vAlign w:val="center"/>
            <w:hideMark/>
          </w:tcPr>
          <w:p w:rsidR="00AE165B" w:rsidRPr="00AE165B" w:rsidRDefault="00AE165B" w:rsidP="003310B7">
            <w:pPr>
              <w:rPr>
                <w:color w:val="000000"/>
                <w:sz w:val="20"/>
              </w:rPr>
            </w:pPr>
            <w:r w:rsidRPr="00AE165B">
              <w:rPr>
                <w:color w:val="000000"/>
                <w:sz w:val="20"/>
              </w:rPr>
              <w:t>  kapitálové výdavky</w:t>
            </w:r>
          </w:p>
        </w:tc>
        <w:tc>
          <w:tcPr>
            <w:tcW w:w="1134" w:type="dxa"/>
            <w:noWrap/>
            <w:vAlign w:val="center"/>
            <w:hideMark/>
          </w:tcPr>
          <w:p w:rsidR="00AE165B" w:rsidRPr="00AE165B" w:rsidRDefault="00AE165B" w:rsidP="003310B7">
            <w:pPr>
              <w:jc w:val="center"/>
              <w:rPr>
                <w:color w:val="000000"/>
                <w:sz w:val="20"/>
              </w:rPr>
            </w:pPr>
            <w:r w:rsidRPr="00AE165B">
              <w:rPr>
                <w:color w:val="000000"/>
                <w:sz w:val="20"/>
              </w:rPr>
              <w:t>96 000</w:t>
            </w:r>
          </w:p>
        </w:tc>
        <w:tc>
          <w:tcPr>
            <w:tcW w:w="1060" w:type="dxa"/>
            <w:noWrap/>
            <w:vAlign w:val="center"/>
            <w:hideMark/>
          </w:tcPr>
          <w:p w:rsidR="00AE165B" w:rsidRPr="00AE165B" w:rsidRDefault="00AE165B" w:rsidP="003310B7">
            <w:pPr>
              <w:jc w:val="center"/>
              <w:rPr>
                <w:color w:val="000000"/>
                <w:sz w:val="20"/>
              </w:rPr>
            </w:pPr>
            <w:r w:rsidRPr="00AE165B">
              <w:rPr>
                <w:color w:val="000000"/>
                <w:sz w:val="20"/>
              </w:rPr>
              <w:t>0</w:t>
            </w:r>
          </w:p>
        </w:tc>
        <w:tc>
          <w:tcPr>
            <w:tcW w:w="1060" w:type="dxa"/>
            <w:noWrap/>
            <w:vAlign w:val="center"/>
            <w:hideMark/>
          </w:tcPr>
          <w:p w:rsidR="00AE165B" w:rsidRPr="00AE165B" w:rsidRDefault="00AE165B" w:rsidP="003310B7">
            <w:pPr>
              <w:jc w:val="center"/>
              <w:rPr>
                <w:color w:val="000000"/>
                <w:sz w:val="20"/>
              </w:rPr>
            </w:pPr>
            <w:r w:rsidRPr="00AE165B">
              <w:rPr>
                <w:color w:val="000000"/>
                <w:sz w:val="20"/>
              </w:rPr>
              <w:t>0</w:t>
            </w:r>
          </w:p>
        </w:tc>
        <w:tc>
          <w:tcPr>
            <w:tcW w:w="1060" w:type="dxa"/>
            <w:noWrap/>
            <w:vAlign w:val="center"/>
            <w:hideMark/>
          </w:tcPr>
          <w:p w:rsidR="00AE165B" w:rsidRPr="00AE165B" w:rsidRDefault="00AE165B" w:rsidP="003310B7">
            <w:pPr>
              <w:jc w:val="center"/>
              <w:rPr>
                <w:color w:val="000000"/>
                <w:sz w:val="20"/>
              </w:rPr>
            </w:pPr>
            <w:r w:rsidRPr="00AE165B">
              <w:rPr>
                <w:color w:val="000000"/>
                <w:sz w:val="20"/>
              </w:rPr>
              <w:t>0</w:t>
            </w:r>
          </w:p>
        </w:tc>
      </w:tr>
      <w:tr w:rsidR="00AE165B" w:rsidRPr="00AE165B" w:rsidTr="003310B7">
        <w:trPr>
          <w:trHeight w:val="315"/>
          <w:jc w:val="center"/>
        </w:trPr>
        <w:tc>
          <w:tcPr>
            <w:tcW w:w="4551" w:type="dxa"/>
            <w:noWrap/>
            <w:vAlign w:val="center"/>
            <w:hideMark/>
          </w:tcPr>
          <w:p w:rsidR="00AE165B" w:rsidRPr="00AE165B" w:rsidRDefault="00AE165B" w:rsidP="003310B7">
            <w:pPr>
              <w:rPr>
                <w:color w:val="000000"/>
                <w:sz w:val="20"/>
              </w:rPr>
            </w:pPr>
            <w:r w:rsidRPr="00AE165B">
              <w:rPr>
                <w:color w:val="000000"/>
                <w:sz w:val="20"/>
              </w:rPr>
              <w:t xml:space="preserve">  prevádzkové náklady </w:t>
            </w:r>
          </w:p>
        </w:tc>
        <w:tc>
          <w:tcPr>
            <w:tcW w:w="1134" w:type="dxa"/>
            <w:noWrap/>
            <w:vAlign w:val="center"/>
            <w:hideMark/>
          </w:tcPr>
          <w:p w:rsidR="00AE165B" w:rsidRPr="00AE165B" w:rsidRDefault="00AE165B" w:rsidP="003310B7">
            <w:pPr>
              <w:jc w:val="center"/>
              <w:rPr>
                <w:color w:val="000000"/>
                <w:sz w:val="20"/>
              </w:rPr>
            </w:pPr>
            <w:r w:rsidRPr="00AE165B">
              <w:rPr>
                <w:color w:val="000000"/>
                <w:sz w:val="20"/>
              </w:rPr>
              <w:t>0</w:t>
            </w:r>
          </w:p>
        </w:tc>
        <w:tc>
          <w:tcPr>
            <w:tcW w:w="1060" w:type="dxa"/>
            <w:noWrap/>
            <w:vAlign w:val="center"/>
          </w:tcPr>
          <w:p w:rsidR="00AE165B" w:rsidRPr="00AE165B" w:rsidRDefault="00AE165B" w:rsidP="003310B7">
            <w:pPr>
              <w:jc w:val="center"/>
              <w:rPr>
                <w:color w:val="000000"/>
                <w:sz w:val="20"/>
              </w:rPr>
            </w:pPr>
            <w:r w:rsidRPr="00AE165B">
              <w:rPr>
                <w:color w:val="000000"/>
                <w:sz w:val="20"/>
              </w:rPr>
              <w:t>0</w:t>
            </w:r>
          </w:p>
        </w:tc>
        <w:tc>
          <w:tcPr>
            <w:tcW w:w="1060" w:type="dxa"/>
            <w:noWrap/>
            <w:vAlign w:val="center"/>
          </w:tcPr>
          <w:p w:rsidR="00AE165B" w:rsidRPr="00AE165B" w:rsidRDefault="00AE165B" w:rsidP="003310B7">
            <w:pPr>
              <w:jc w:val="center"/>
              <w:rPr>
                <w:color w:val="000000"/>
                <w:sz w:val="20"/>
              </w:rPr>
            </w:pPr>
            <w:r w:rsidRPr="00AE165B">
              <w:rPr>
                <w:color w:val="000000"/>
                <w:sz w:val="20"/>
              </w:rPr>
              <w:t>0</w:t>
            </w:r>
          </w:p>
        </w:tc>
        <w:tc>
          <w:tcPr>
            <w:tcW w:w="1060" w:type="dxa"/>
            <w:noWrap/>
            <w:vAlign w:val="center"/>
          </w:tcPr>
          <w:p w:rsidR="00AE165B" w:rsidRPr="00AE165B" w:rsidRDefault="00AE165B" w:rsidP="003310B7">
            <w:pPr>
              <w:jc w:val="center"/>
              <w:rPr>
                <w:color w:val="000000"/>
                <w:sz w:val="20"/>
              </w:rPr>
            </w:pPr>
            <w:r w:rsidRPr="00AE165B">
              <w:rPr>
                <w:color w:val="000000"/>
                <w:sz w:val="20"/>
              </w:rPr>
              <w:t>0</w:t>
            </w:r>
          </w:p>
        </w:tc>
      </w:tr>
      <w:tr w:rsidR="00CD3DE0" w:rsidRPr="00AE165B" w:rsidTr="003310B7">
        <w:trPr>
          <w:trHeight w:val="315"/>
          <w:jc w:val="center"/>
        </w:trPr>
        <w:tc>
          <w:tcPr>
            <w:tcW w:w="4551" w:type="dxa"/>
            <w:noWrap/>
            <w:vAlign w:val="center"/>
          </w:tcPr>
          <w:p w:rsidR="00CD3DE0" w:rsidRPr="00AE165B" w:rsidRDefault="00CD3DE0" w:rsidP="00CD3DE0">
            <w:pPr>
              <w:rPr>
                <w:color w:val="000000"/>
                <w:sz w:val="20"/>
              </w:rPr>
            </w:pPr>
            <w:r>
              <w:rPr>
                <w:color w:val="000000"/>
                <w:sz w:val="20"/>
              </w:rPr>
              <w:t>Sociálna poisťovňa</w:t>
            </w:r>
          </w:p>
        </w:tc>
        <w:tc>
          <w:tcPr>
            <w:tcW w:w="1134" w:type="dxa"/>
            <w:noWrap/>
            <w:vAlign w:val="center"/>
          </w:tcPr>
          <w:p w:rsidR="00CD3DE0" w:rsidRPr="00AE165B" w:rsidRDefault="00CD3DE0" w:rsidP="00CD3DE0">
            <w:pPr>
              <w:jc w:val="center"/>
              <w:rPr>
                <w:color w:val="000000"/>
                <w:sz w:val="20"/>
              </w:rPr>
            </w:pPr>
            <w:r>
              <w:rPr>
                <w:color w:val="000000"/>
                <w:sz w:val="20"/>
              </w:rPr>
              <w:t>0</w:t>
            </w:r>
          </w:p>
        </w:tc>
        <w:tc>
          <w:tcPr>
            <w:tcW w:w="1060" w:type="dxa"/>
            <w:noWrap/>
            <w:vAlign w:val="center"/>
          </w:tcPr>
          <w:p w:rsidR="00CD3DE0" w:rsidRPr="00AE165B" w:rsidRDefault="00CD3DE0" w:rsidP="00CD3DE0">
            <w:pPr>
              <w:jc w:val="center"/>
              <w:rPr>
                <w:color w:val="000000"/>
                <w:sz w:val="20"/>
              </w:rPr>
            </w:pPr>
            <w:r>
              <w:rPr>
                <w:color w:val="000000"/>
                <w:sz w:val="20"/>
              </w:rPr>
              <w:t>150 00</w:t>
            </w: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r>
      <w:tr w:rsidR="00CD3DE0" w:rsidRPr="00AE165B" w:rsidTr="003310B7">
        <w:trPr>
          <w:trHeight w:val="315"/>
          <w:jc w:val="center"/>
        </w:trPr>
        <w:tc>
          <w:tcPr>
            <w:tcW w:w="4551" w:type="dxa"/>
            <w:noWrap/>
            <w:vAlign w:val="center"/>
          </w:tcPr>
          <w:p w:rsidR="00CD3DE0" w:rsidRPr="00AE165B" w:rsidRDefault="00CD3DE0" w:rsidP="00CD3DE0">
            <w:pPr>
              <w:rPr>
                <w:color w:val="000000"/>
                <w:sz w:val="20"/>
              </w:rPr>
            </w:pPr>
            <w:r w:rsidRPr="00AE165B">
              <w:rPr>
                <w:color w:val="000000"/>
                <w:sz w:val="20"/>
              </w:rPr>
              <w:t>z toho:</w:t>
            </w:r>
          </w:p>
        </w:tc>
        <w:tc>
          <w:tcPr>
            <w:tcW w:w="1134" w:type="dxa"/>
            <w:noWrap/>
            <w:vAlign w:val="center"/>
          </w:tcPr>
          <w:p w:rsidR="00CD3DE0" w:rsidRPr="00AE165B" w:rsidRDefault="00CD3DE0" w:rsidP="00CD3DE0">
            <w:pPr>
              <w:jc w:val="center"/>
              <w:rPr>
                <w:color w:val="000000"/>
                <w:sz w:val="20"/>
              </w:rPr>
            </w:pPr>
            <w:r w:rsidRPr="00AE165B">
              <w:rPr>
                <w:color w:val="000000"/>
                <w:sz w:val="20"/>
              </w:rPr>
              <w:t> </w:t>
            </w:r>
          </w:p>
        </w:tc>
        <w:tc>
          <w:tcPr>
            <w:tcW w:w="1060" w:type="dxa"/>
            <w:noWrap/>
            <w:vAlign w:val="center"/>
          </w:tcPr>
          <w:p w:rsidR="00CD3DE0" w:rsidRPr="00AE165B" w:rsidRDefault="00CD3DE0" w:rsidP="00CD3DE0">
            <w:pPr>
              <w:jc w:val="center"/>
              <w:rPr>
                <w:color w:val="000000"/>
                <w:sz w:val="20"/>
              </w:rPr>
            </w:pPr>
            <w:r w:rsidRPr="00AE165B">
              <w:rPr>
                <w:color w:val="000000"/>
                <w:sz w:val="20"/>
              </w:rPr>
              <w:t> </w:t>
            </w:r>
          </w:p>
        </w:tc>
        <w:tc>
          <w:tcPr>
            <w:tcW w:w="1060" w:type="dxa"/>
            <w:noWrap/>
            <w:vAlign w:val="center"/>
          </w:tcPr>
          <w:p w:rsidR="00CD3DE0" w:rsidRPr="00AE165B" w:rsidRDefault="00CD3DE0" w:rsidP="00CD3DE0">
            <w:pPr>
              <w:jc w:val="center"/>
              <w:rPr>
                <w:color w:val="000000"/>
                <w:sz w:val="20"/>
              </w:rPr>
            </w:pPr>
            <w:r w:rsidRPr="00AE165B">
              <w:rPr>
                <w:color w:val="000000"/>
                <w:sz w:val="20"/>
              </w:rPr>
              <w:t> </w:t>
            </w:r>
          </w:p>
        </w:tc>
        <w:tc>
          <w:tcPr>
            <w:tcW w:w="1060" w:type="dxa"/>
            <w:noWrap/>
            <w:vAlign w:val="center"/>
          </w:tcPr>
          <w:p w:rsidR="00CD3DE0" w:rsidRPr="00AE165B" w:rsidRDefault="00CD3DE0" w:rsidP="00CD3DE0">
            <w:pPr>
              <w:jc w:val="center"/>
              <w:rPr>
                <w:color w:val="000000"/>
                <w:sz w:val="20"/>
              </w:rPr>
            </w:pPr>
            <w:r w:rsidRPr="00AE165B">
              <w:rPr>
                <w:color w:val="000000"/>
                <w:sz w:val="20"/>
              </w:rPr>
              <w:t> </w:t>
            </w:r>
          </w:p>
        </w:tc>
      </w:tr>
      <w:tr w:rsidR="00CD3DE0" w:rsidRPr="00AE165B" w:rsidTr="003310B7">
        <w:trPr>
          <w:trHeight w:val="315"/>
          <w:jc w:val="center"/>
        </w:trPr>
        <w:tc>
          <w:tcPr>
            <w:tcW w:w="4551" w:type="dxa"/>
            <w:noWrap/>
            <w:vAlign w:val="center"/>
          </w:tcPr>
          <w:p w:rsidR="00CD3DE0" w:rsidRPr="00AE165B" w:rsidRDefault="00CD3DE0" w:rsidP="00CD3DE0">
            <w:pPr>
              <w:rPr>
                <w:color w:val="000000"/>
                <w:sz w:val="20"/>
              </w:rPr>
            </w:pPr>
            <w:r w:rsidRPr="00AE165B">
              <w:rPr>
                <w:color w:val="000000"/>
                <w:sz w:val="20"/>
              </w:rPr>
              <w:t>  kapitálové výdavky</w:t>
            </w:r>
          </w:p>
        </w:tc>
        <w:tc>
          <w:tcPr>
            <w:tcW w:w="1134" w:type="dxa"/>
            <w:noWrap/>
            <w:vAlign w:val="center"/>
          </w:tcPr>
          <w:p w:rsidR="00CD3DE0" w:rsidRPr="00AE165B" w:rsidRDefault="00CD3DE0" w:rsidP="00CD3DE0">
            <w:pPr>
              <w:jc w:val="center"/>
              <w:rPr>
                <w:color w:val="000000"/>
                <w:sz w:val="20"/>
              </w:rPr>
            </w:pP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Pr>
                <w:color w:val="000000"/>
                <w:sz w:val="20"/>
              </w:rPr>
              <w:t>150 00</w:t>
            </w: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r>
      <w:tr w:rsidR="00CD3DE0" w:rsidRPr="00AE165B" w:rsidTr="003310B7">
        <w:trPr>
          <w:trHeight w:val="315"/>
          <w:jc w:val="center"/>
        </w:trPr>
        <w:tc>
          <w:tcPr>
            <w:tcW w:w="4551" w:type="dxa"/>
            <w:noWrap/>
            <w:vAlign w:val="center"/>
          </w:tcPr>
          <w:p w:rsidR="00CD3DE0" w:rsidRPr="00AE165B" w:rsidRDefault="00CD3DE0" w:rsidP="00CD3DE0">
            <w:pPr>
              <w:rPr>
                <w:color w:val="000000"/>
                <w:sz w:val="20"/>
              </w:rPr>
            </w:pPr>
            <w:r w:rsidRPr="00AE165B">
              <w:rPr>
                <w:color w:val="000000"/>
                <w:sz w:val="20"/>
              </w:rPr>
              <w:t xml:space="preserve">  prevádzkové náklady </w:t>
            </w:r>
          </w:p>
        </w:tc>
        <w:tc>
          <w:tcPr>
            <w:tcW w:w="1134" w:type="dxa"/>
            <w:noWrap/>
            <w:vAlign w:val="center"/>
          </w:tcPr>
          <w:p w:rsidR="00CD3DE0" w:rsidRPr="00AE165B" w:rsidRDefault="00CD3DE0" w:rsidP="00CD3DE0">
            <w:pPr>
              <w:jc w:val="center"/>
              <w:rPr>
                <w:color w:val="000000"/>
                <w:sz w:val="20"/>
              </w:rPr>
            </w:pP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c>
          <w:tcPr>
            <w:tcW w:w="1060" w:type="dxa"/>
            <w:noWrap/>
            <w:vAlign w:val="center"/>
          </w:tcPr>
          <w:p w:rsidR="00CD3DE0" w:rsidRPr="00AE165B" w:rsidRDefault="00CD3DE0" w:rsidP="00CD3DE0">
            <w:pPr>
              <w:jc w:val="center"/>
              <w:rPr>
                <w:color w:val="000000"/>
                <w:sz w:val="20"/>
              </w:rPr>
            </w:pPr>
            <w:r w:rsidRPr="00AE165B">
              <w:rPr>
                <w:color w:val="000000"/>
                <w:sz w:val="20"/>
              </w:rPr>
              <w:t>0</w:t>
            </w:r>
          </w:p>
        </w:tc>
      </w:tr>
    </w:tbl>
    <w:p w:rsidR="00AE165B" w:rsidRPr="00AE165B" w:rsidRDefault="00AE165B" w:rsidP="00AE165B">
      <w:pPr>
        <w:rPr>
          <w:b/>
          <w:bCs/>
        </w:rPr>
      </w:pPr>
    </w:p>
    <w:p w:rsidR="00AE165B" w:rsidRPr="00AE165B" w:rsidRDefault="00AE165B" w:rsidP="00AE165B">
      <w:pPr>
        <w:rPr>
          <w:b/>
          <w:bCs/>
        </w:rPr>
      </w:pPr>
    </w:p>
    <w:p w:rsidR="00AE165B" w:rsidRPr="00AE165B" w:rsidRDefault="00AE165B" w:rsidP="00AE165B">
      <w:pPr>
        <w:rPr>
          <w:b/>
          <w:bCs/>
        </w:rPr>
      </w:pPr>
      <w:r w:rsidRPr="00AE165B">
        <w:rPr>
          <w:b/>
          <w:bCs/>
        </w:rPr>
        <w:t>2.2.4. Výpočty vplyvov celkovo</w:t>
      </w:r>
    </w:p>
    <w:p w:rsidR="00AE165B" w:rsidRPr="00AE165B" w:rsidRDefault="00AE165B" w:rsidP="00AE165B">
      <w:pPr>
        <w:autoSpaceDE w:val="0"/>
        <w:autoSpaceDN w:val="0"/>
        <w:adjustRightInd w:val="0"/>
        <w:jc w:val="both"/>
        <w:rPr>
          <w:bCs/>
        </w:rPr>
      </w:pPr>
    </w:p>
    <w:p w:rsidR="00AE165B" w:rsidRDefault="00AE165B" w:rsidP="00AE165B">
      <w:pPr>
        <w:autoSpaceDE w:val="0"/>
        <w:autoSpaceDN w:val="0"/>
        <w:adjustRightInd w:val="0"/>
        <w:jc w:val="both"/>
        <w:rPr>
          <w:color w:val="000000" w:themeColor="text1"/>
        </w:rPr>
      </w:pPr>
      <w:r w:rsidRPr="00AE165B">
        <w:rPr>
          <w:bCs/>
        </w:rPr>
        <w:t xml:space="preserve">Predmetný návrh zákona </w:t>
      </w:r>
      <w:r w:rsidRPr="00AE165B">
        <w:t xml:space="preserve">má priamy vplyv na rozpočet verejnej správy v rokoch 2019 až 2021. Kvantifikácia predpokladá negatívny vplyv na rozpočet verejnej správy v roku 2019 na úrovni </w:t>
      </w:r>
      <w:r w:rsidRPr="00AE165B">
        <w:rPr>
          <w:b/>
        </w:rPr>
        <w:t>cca 12,</w:t>
      </w:r>
      <w:r w:rsidR="005F4680">
        <w:rPr>
          <w:b/>
        </w:rPr>
        <w:t>4</w:t>
      </w:r>
      <w:r w:rsidRPr="00AE165B">
        <w:rPr>
          <w:b/>
        </w:rPr>
        <w:t xml:space="preserve"> mil. eur</w:t>
      </w:r>
      <w:r w:rsidRPr="00AE165B">
        <w:t xml:space="preserve">; v roku 2020 na úrovni </w:t>
      </w:r>
      <w:r w:rsidRPr="00AE165B">
        <w:rPr>
          <w:b/>
        </w:rPr>
        <w:t>cca 12,</w:t>
      </w:r>
      <w:r w:rsidR="00AA4CF2">
        <w:rPr>
          <w:b/>
        </w:rPr>
        <w:t>4</w:t>
      </w:r>
      <w:r w:rsidRPr="00AE165B">
        <w:rPr>
          <w:b/>
        </w:rPr>
        <w:t xml:space="preserve"> mil. eur</w:t>
      </w:r>
      <w:r w:rsidRPr="00AE165B">
        <w:t xml:space="preserve"> a v roku 2021 na úrovni </w:t>
      </w:r>
      <w:r w:rsidRPr="00AE165B">
        <w:rPr>
          <w:b/>
        </w:rPr>
        <w:t>cca</w:t>
      </w:r>
      <w:r w:rsidRPr="00AE165B">
        <w:rPr>
          <w:b/>
          <w:color w:val="000000" w:themeColor="text1"/>
        </w:rPr>
        <w:t xml:space="preserve"> 53,0 mil. eur</w:t>
      </w:r>
      <w:r w:rsidRPr="00AE165B">
        <w:rPr>
          <w:color w:val="000000" w:themeColor="text1"/>
        </w:rPr>
        <w:t>.</w:t>
      </w:r>
    </w:p>
    <w:p w:rsidR="00F954CF" w:rsidRDefault="00F954CF" w:rsidP="00AE165B">
      <w:pPr>
        <w:autoSpaceDE w:val="0"/>
        <w:autoSpaceDN w:val="0"/>
        <w:adjustRightInd w:val="0"/>
        <w:jc w:val="both"/>
        <w:rPr>
          <w:color w:val="000000" w:themeColor="text1"/>
        </w:rPr>
      </w:pPr>
    </w:p>
    <w:p w:rsidR="00F954CF" w:rsidRPr="00AE165B" w:rsidRDefault="00F954CF" w:rsidP="00AE165B">
      <w:pPr>
        <w:autoSpaceDE w:val="0"/>
        <w:autoSpaceDN w:val="0"/>
        <w:adjustRightInd w:val="0"/>
        <w:jc w:val="both"/>
        <w:rPr>
          <w:color w:val="000000" w:themeColor="text1"/>
        </w:rPr>
      </w:pPr>
    </w:p>
    <w:p w:rsidR="00AE165B" w:rsidRPr="00AE165B" w:rsidRDefault="00AE165B" w:rsidP="00AE165B">
      <w:pPr>
        <w:rPr>
          <w:color w:val="000000" w:themeColor="text1"/>
        </w:rPr>
      </w:pPr>
    </w:p>
    <w:p w:rsidR="00AE165B" w:rsidRPr="00AE165B" w:rsidRDefault="00AE165B" w:rsidP="00AE165B">
      <w:pPr>
        <w:rPr>
          <w:b/>
          <w:bCs/>
          <w:iCs/>
        </w:rPr>
      </w:pPr>
      <w:r w:rsidRPr="00AE165B">
        <w:rPr>
          <w:b/>
          <w:bCs/>
          <w:iCs/>
        </w:rPr>
        <w:t>2.2.4.1 Kvantifikácia príjmov Sociálnej poisťovne</w:t>
      </w:r>
    </w:p>
    <w:p w:rsidR="00AE165B" w:rsidRPr="00AE165B" w:rsidRDefault="00AE165B" w:rsidP="00AE165B">
      <w:pPr>
        <w:jc w:val="both"/>
      </w:pPr>
    </w:p>
    <w:p w:rsidR="00AE165B" w:rsidRPr="009040FD" w:rsidRDefault="00AE165B" w:rsidP="00AE165B">
      <w:pPr>
        <w:jc w:val="both"/>
        <w:rPr>
          <w:color w:val="000000"/>
        </w:rPr>
      </w:pPr>
      <w:r w:rsidRPr="00AE165B">
        <w:rPr>
          <w:color w:val="000000"/>
        </w:rPr>
        <w:t>Uvedená právna úprava zakladá negatívne vplyvy na príjmy Sociálnej poisťovne, ktoré vyplývajú z uplatnenia odvodovej úľavy na platenie poistného na sociálne poistenie cez tzv. 13. a 14. plat do výšky maximálne 500 eur. Na základe údajov Sociálnej poisťovne o poistných vzťahoch poistencov sa odhaduje počet uplatnených úľav v prípade 13. platu približne na úrovni 269 tis. prípadov ročne a v prípade 14. platu približne na úrovni  79 tis. prípadov ročne (jeden zamestnanec si môže uplatniť úľavu u viacerých zamestnávateľov). Na</w:t>
      </w:r>
      <w:r w:rsidR="004E22A7">
        <w:rPr>
          <w:color w:val="000000"/>
        </w:rPr>
        <w:t> </w:t>
      </w:r>
      <w:r w:rsidRPr="00AE165B">
        <w:rPr>
          <w:color w:val="000000"/>
        </w:rPr>
        <w:t>základe uvedeného sa odhaduje zníženie príjmov Sociálnej poisťovne zavedením tzv. 13.</w:t>
      </w:r>
      <w:r w:rsidR="004E22A7">
        <w:rPr>
          <w:color w:val="000000"/>
        </w:rPr>
        <w:t> </w:t>
      </w:r>
      <w:r w:rsidRPr="00AE165B">
        <w:rPr>
          <w:color w:val="000000"/>
        </w:rPr>
        <w:t>platu v roku 2021 o </w:t>
      </w:r>
      <w:r w:rsidRPr="00AE165B">
        <w:rPr>
          <w:b/>
          <w:color w:val="000000"/>
        </w:rPr>
        <w:t>cca 40,8 mil. eur</w:t>
      </w:r>
      <w:r w:rsidRPr="00AE165B">
        <w:rPr>
          <w:color w:val="000000"/>
        </w:rPr>
        <w:t xml:space="preserve"> a zavedením tzv. 14. platu v rokoch 2019 až 2021 o </w:t>
      </w:r>
      <w:r w:rsidRPr="00AE165B">
        <w:rPr>
          <w:b/>
          <w:color w:val="000000"/>
        </w:rPr>
        <w:t>cca 12,3 mil. eur ročne</w:t>
      </w:r>
      <w:r w:rsidRPr="00AE165B">
        <w:rPr>
          <w:color w:val="000000"/>
        </w:rPr>
        <w:t xml:space="preserve">.  </w:t>
      </w:r>
    </w:p>
    <w:p w:rsidR="00AE165B" w:rsidRPr="00AE165B" w:rsidRDefault="00AE165B" w:rsidP="00AE165B">
      <w:pPr>
        <w:jc w:val="both"/>
      </w:pPr>
    </w:p>
    <w:p w:rsidR="00AE165B" w:rsidRPr="00AE165B" w:rsidRDefault="00AE165B" w:rsidP="00AE165B">
      <w:pPr>
        <w:ind w:left="7080" w:firstLine="708"/>
        <w:jc w:val="center"/>
      </w:pPr>
      <w:r w:rsidRPr="00AE165B">
        <w:t>Tabuľka č. 3</w:t>
      </w:r>
    </w:p>
    <w:tbl>
      <w:tblPr>
        <w:tblW w:w="9518" w:type="dxa"/>
        <w:jc w:val="center"/>
        <w:tblCellMar>
          <w:left w:w="70" w:type="dxa"/>
          <w:right w:w="70" w:type="dxa"/>
        </w:tblCellMar>
        <w:tblLook w:val="04A0" w:firstRow="1" w:lastRow="0" w:firstColumn="1" w:lastColumn="0" w:noHBand="0" w:noVBand="1"/>
      </w:tblPr>
      <w:tblGrid>
        <w:gridCol w:w="4028"/>
        <w:gridCol w:w="1127"/>
        <w:gridCol w:w="1134"/>
        <w:gridCol w:w="1134"/>
        <w:gridCol w:w="977"/>
        <w:gridCol w:w="1118"/>
      </w:tblGrid>
      <w:tr w:rsidR="00AE165B" w:rsidRPr="00AE165B" w:rsidTr="003310B7">
        <w:trPr>
          <w:trHeight w:val="270"/>
          <w:jc w:val="center"/>
        </w:trPr>
        <w:tc>
          <w:tcPr>
            <w:tcW w:w="402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E165B" w:rsidRPr="00AE165B" w:rsidRDefault="00AE165B" w:rsidP="003310B7">
            <w:pPr>
              <w:rPr>
                <w:b/>
                <w:color w:val="000000"/>
                <w:sz w:val="20"/>
                <w:szCs w:val="20"/>
              </w:rPr>
            </w:pPr>
            <w:r w:rsidRPr="00AE165B">
              <w:rPr>
                <w:b/>
                <w:color w:val="000000"/>
                <w:sz w:val="20"/>
                <w:szCs w:val="20"/>
              </w:rPr>
              <w:t>Príjmy (v eurách)</w:t>
            </w:r>
          </w:p>
        </w:tc>
        <w:tc>
          <w:tcPr>
            <w:tcW w:w="4372" w:type="dxa"/>
            <w:gridSpan w:val="4"/>
            <w:tcBorders>
              <w:top w:val="single" w:sz="8" w:space="0" w:color="auto"/>
              <w:left w:val="nil"/>
              <w:bottom w:val="single" w:sz="8" w:space="0" w:color="auto"/>
              <w:right w:val="single" w:sz="8" w:space="0" w:color="000000"/>
            </w:tcBorders>
            <w:shd w:val="clear" w:color="000000" w:fill="BFBFBF"/>
            <w:vAlign w:val="center"/>
            <w:hideMark/>
          </w:tcPr>
          <w:p w:rsidR="00AE165B" w:rsidRPr="00AE165B" w:rsidRDefault="00AE165B" w:rsidP="003310B7">
            <w:pPr>
              <w:jc w:val="center"/>
              <w:rPr>
                <w:b/>
                <w:color w:val="000000"/>
                <w:sz w:val="20"/>
                <w:szCs w:val="20"/>
              </w:rPr>
            </w:pPr>
            <w:r w:rsidRPr="00AE165B">
              <w:rPr>
                <w:b/>
                <w:color w:val="000000"/>
                <w:sz w:val="20"/>
                <w:szCs w:val="20"/>
              </w:rPr>
              <w:t>Vplyv na rozpočet verejnej správy</w:t>
            </w:r>
          </w:p>
        </w:tc>
        <w:tc>
          <w:tcPr>
            <w:tcW w:w="1118"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E165B" w:rsidRPr="00AE165B" w:rsidRDefault="00AE165B" w:rsidP="003310B7">
            <w:pPr>
              <w:rPr>
                <w:b/>
                <w:color w:val="000000"/>
                <w:sz w:val="20"/>
                <w:szCs w:val="20"/>
              </w:rPr>
            </w:pPr>
            <w:r w:rsidRPr="00AE165B">
              <w:rPr>
                <w:b/>
                <w:color w:val="000000"/>
                <w:sz w:val="20"/>
                <w:szCs w:val="20"/>
              </w:rPr>
              <w:t>poznámka</w:t>
            </w:r>
          </w:p>
        </w:tc>
      </w:tr>
      <w:tr w:rsidR="00AE165B" w:rsidRPr="00AE165B" w:rsidTr="003310B7">
        <w:trPr>
          <w:trHeight w:val="270"/>
          <w:jc w:val="center"/>
        </w:trPr>
        <w:tc>
          <w:tcPr>
            <w:tcW w:w="4028" w:type="dxa"/>
            <w:vMerge/>
            <w:tcBorders>
              <w:top w:val="single" w:sz="8" w:space="0" w:color="auto"/>
              <w:left w:val="single" w:sz="8" w:space="0" w:color="auto"/>
              <w:bottom w:val="single" w:sz="8" w:space="0" w:color="000000"/>
              <w:right w:val="single" w:sz="8" w:space="0" w:color="auto"/>
            </w:tcBorders>
            <w:vAlign w:val="center"/>
            <w:hideMark/>
          </w:tcPr>
          <w:p w:rsidR="00AE165B" w:rsidRPr="00AE165B" w:rsidRDefault="00AE165B" w:rsidP="003310B7">
            <w:pPr>
              <w:rPr>
                <w:b/>
                <w:bCs/>
                <w:sz w:val="20"/>
                <w:szCs w:val="20"/>
              </w:rPr>
            </w:pPr>
          </w:p>
        </w:tc>
        <w:tc>
          <w:tcPr>
            <w:tcW w:w="1127"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2019</w:t>
            </w:r>
          </w:p>
        </w:tc>
        <w:tc>
          <w:tcPr>
            <w:tcW w:w="1134"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2020</w:t>
            </w:r>
          </w:p>
        </w:tc>
        <w:tc>
          <w:tcPr>
            <w:tcW w:w="1134"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2021</w:t>
            </w:r>
          </w:p>
        </w:tc>
        <w:tc>
          <w:tcPr>
            <w:tcW w:w="977"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2022</w:t>
            </w:r>
          </w:p>
        </w:tc>
        <w:tc>
          <w:tcPr>
            <w:tcW w:w="1118" w:type="dxa"/>
            <w:vMerge/>
            <w:tcBorders>
              <w:top w:val="single" w:sz="8" w:space="0" w:color="auto"/>
              <w:left w:val="single" w:sz="8" w:space="0" w:color="auto"/>
              <w:bottom w:val="single" w:sz="8" w:space="0" w:color="000000"/>
              <w:right w:val="single" w:sz="8" w:space="0" w:color="auto"/>
            </w:tcBorders>
            <w:vAlign w:val="center"/>
            <w:hideMark/>
          </w:tcPr>
          <w:p w:rsidR="00AE165B" w:rsidRPr="00AE165B" w:rsidRDefault="00AE165B" w:rsidP="003310B7">
            <w:pPr>
              <w:rPr>
                <w:b/>
                <w:bCs/>
                <w:sz w:val="20"/>
                <w:szCs w:val="20"/>
              </w:rPr>
            </w:pPr>
          </w:p>
        </w:tc>
      </w:tr>
      <w:tr w:rsidR="00AE165B" w:rsidRPr="00AE165B" w:rsidTr="003310B7">
        <w:trPr>
          <w:trHeight w:val="315"/>
          <w:jc w:val="center"/>
        </w:trPr>
        <w:tc>
          <w:tcPr>
            <w:tcW w:w="4028" w:type="dxa"/>
            <w:tcBorders>
              <w:top w:val="nil"/>
              <w:left w:val="single" w:sz="8" w:space="0" w:color="auto"/>
              <w:bottom w:val="single" w:sz="8" w:space="0" w:color="auto"/>
              <w:right w:val="single" w:sz="8" w:space="0" w:color="auto"/>
            </w:tcBorders>
            <w:vAlign w:val="center"/>
            <w:hideMark/>
          </w:tcPr>
          <w:p w:rsidR="00AE165B" w:rsidRPr="00AE165B" w:rsidRDefault="00AE165B" w:rsidP="003310B7">
            <w:pPr>
              <w:rPr>
                <w:b/>
                <w:color w:val="000000"/>
                <w:sz w:val="20"/>
                <w:szCs w:val="20"/>
              </w:rPr>
            </w:pPr>
            <w:r w:rsidRPr="00AE165B">
              <w:rPr>
                <w:b/>
                <w:color w:val="000000"/>
                <w:sz w:val="20"/>
                <w:szCs w:val="20"/>
              </w:rPr>
              <w:t>Daňové príjmy (100)1</w:t>
            </w:r>
          </w:p>
        </w:tc>
        <w:tc>
          <w:tcPr>
            <w:tcW w:w="1127" w:type="dxa"/>
            <w:tcBorders>
              <w:top w:val="nil"/>
              <w:left w:val="nil"/>
              <w:bottom w:val="single" w:sz="8" w:space="0" w:color="auto"/>
              <w:right w:val="single" w:sz="8" w:space="0" w:color="auto"/>
            </w:tcBorders>
            <w:hideMark/>
          </w:tcPr>
          <w:p w:rsidR="00AE165B" w:rsidRPr="00AE165B" w:rsidRDefault="00AE165B" w:rsidP="003310B7">
            <w:pPr>
              <w:jc w:val="right"/>
              <w:rPr>
                <w:b/>
                <w:bCs/>
                <w:color w:val="000000"/>
                <w:sz w:val="20"/>
                <w:szCs w:val="20"/>
              </w:rPr>
            </w:pPr>
            <w:r w:rsidRPr="00AE165B">
              <w:rPr>
                <w:b/>
                <w:bCs/>
                <w:color w:val="000000"/>
                <w:sz w:val="20"/>
                <w:szCs w:val="20"/>
              </w:rPr>
              <w:t>-12 310 174</w:t>
            </w:r>
          </w:p>
        </w:tc>
        <w:tc>
          <w:tcPr>
            <w:tcW w:w="1134" w:type="dxa"/>
            <w:tcBorders>
              <w:top w:val="nil"/>
              <w:left w:val="nil"/>
              <w:bottom w:val="single" w:sz="8" w:space="0" w:color="auto"/>
              <w:right w:val="single" w:sz="8" w:space="0" w:color="auto"/>
            </w:tcBorders>
            <w:hideMark/>
          </w:tcPr>
          <w:p w:rsidR="00AE165B" w:rsidRPr="00AE165B" w:rsidRDefault="00AE165B" w:rsidP="003310B7">
            <w:pPr>
              <w:jc w:val="right"/>
              <w:rPr>
                <w:b/>
                <w:bCs/>
                <w:color w:val="000000"/>
                <w:sz w:val="20"/>
                <w:szCs w:val="20"/>
              </w:rPr>
            </w:pPr>
            <w:r w:rsidRPr="00AE165B">
              <w:rPr>
                <w:b/>
                <w:bCs/>
                <w:color w:val="000000"/>
                <w:sz w:val="20"/>
                <w:szCs w:val="20"/>
              </w:rPr>
              <w:t>-12 257 656</w:t>
            </w:r>
          </w:p>
        </w:tc>
        <w:tc>
          <w:tcPr>
            <w:tcW w:w="1134" w:type="dxa"/>
            <w:tcBorders>
              <w:top w:val="nil"/>
              <w:left w:val="nil"/>
              <w:bottom w:val="single" w:sz="8" w:space="0" w:color="auto"/>
              <w:right w:val="single" w:sz="8" w:space="0" w:color="auto"/>
            </w:tcBorders>
            <w:hideMark/>
          </w:tcPr>
          <w:p w:rsidR="00AE165B" w:rsidRPr="00AE165B" w:rsidRDefault="00AE165B" w:rsidP="003310B7">
            <w:pPr>
              <w:jc w:val="right"/>
              <w:rPr>
                <w:b/>
                <w:bCs/>
                <w:color w:val="000000"/>
                <w:sz w:val="20"/>
                <w:szCs w:val="20"/>
              </w:rPr>
            </w:pPr>
            <w:r w:rsidRPr="00AE165B">
              <w:rPr>
                <w:b/>
                <w:bCs/>
                <w:color w:val="000000"/>
                <w:sz w:val="20"/>
                <w:szCs w:val="20"/>
              </w:rPr>
              <w:t>-53 037 115</w:t>
            </w:r>
          </w:p>
        </w:tc>
        <w:tc>
          <w:tcPr>
            <w:tcW w:w="977" w:type="dxa"/>
            <w:tcBorders>
              <w:top w:val="nil"/>
              <w:left w:val="nil"/>
              <w:bottom w:val="single" w:sz="8" w:space="0" w:color="auto"/>
              <w:right w:val="single" w:sz="8" w:space="0" w:color="auto"/>
            </w:tcBorders>
            <w:vAlign w:val="center"/>
            <w:hideMark/>
          </w:tcPr>
          <w:p w:rsidR="00AE165B" w:rsidRPr="00AE165B" w:rsidRDefault="00AE165B" w:rsidP="003310B7">
            <w:pPr>
              <w:jc w:val="center"/>
              <w:rPr>
                <w:b/>
                <w:color w:val="000000"/>
                <w:sz w:val="20"/>
                <w:szCs w:val="20"/>
              </w:rPr>
            </w:pPr>
            <w:r w:rsidRPr="00AE165B">
              <w:rPr>
                <w:b/>
                <w:color w:val="000000"/>
                <w:sz w:val="20"/>
                <w:szCs w:val="20"/>
              </w:rPr>
              <w:t>0</w:t>
            </w:r>
          </w:p>
        </w:tc>
        <w:tc>
          <w:tcPr>
            <w:tcW w:w="1118" w:type="dxa"/>
            <w:tcBorders>
              <w:top w:val="nil"/>
              <w:left w:val="nil"/>
              <w:bottom w:val="single" w:sz="8" w:space="0" w:color="auto"/>
              <w:right w:val="single" w:sz="8" w:space="0" w:color="auto"/>
            </w:tcBorders>
            <w:noWrap/>
            <w:vAlign w:val="center"/>
            <w:hideMark/>
          </w:tcPr>
          <w:p w:rsidR="00AE165B" w:rsidRPr="00AE165B" w:rsidRDefault="00AE165B" w:rsidP="003310B7">
            <w:pPr>
              <w:rPr>
                <w:b/>
                <w:sz w:val="20"/>
                <w:szCs w:val="20"/>
              </w:rPr>
            </w:pPr>
            <w:r w:rsidRPr="00AE165B">
              <w:rPr>
                <w:b/>
                <w:sz w:val="20"/>
                <w:szCs w:val="20"/>
              </w:rPr>
              <w:t> </w:t>
            </w:r>
          </w:p>
        </w:tc>
      </w:tr>
      <w:tr w:rsidR="00AE165B" w:rsidRPr="00AE165B" w:rsidTr="003310B7">
        <w:trPr>
          <w:trHeight w:val="315"/>
          <w:jc w:val="center"/>
        </w:trPr>
        <w:tc>
          <w:tcPr>
            <w:tcW w:w="4028" w:type="dxa"/>
            <w:tcBorders>
              <w:top w:val="nil"/>
              <w:left w:val="single" w:sz="8" w:space="0" w:color="auto"/>
              <w:bottom w:val="single" w:sz="8" w:space="0" w:color="auto"/>
              <w:right w:val="single" w:sz="8" w:space="0" w:color="auto"/>
            </w:tcBorders>
            <w:vAlign w:val="center"/>
          </w:tcPr>
          <w:p w:rsidR="00AE165B" w:rsidRPr="00AE165B" w:rsidRDefault="00AE165B" w:rsidP="003310B7">
            <w:pPr>
              <w:rPr>
                <w:b/>
                <w:color w:val="000000"/>
                <w:sz w:val="20"/>
                <w:szCs w:val="20"/>
              </w:rPr>
            </w:pPr>
            <w:r w:rsidRPr="00AE165B">
              <w:rPr>
                <w:b/>
                <w:color w:val="000000"/>
                <w:sz w:val="20"/>
                <w:szCs w:val="20"/>
              </w:rPr>
              <w:t>Sociálne odvody (okrem 153 a 156)</w:t>
            </w:r>
          </w:p>
        </w:tc>
        <w:tc>
          <w:tcPr>
            <w:tcW w:w="1127" w:type="dxa"/>
            <w:tcBorders>
              <w:top w:val="nil"/>
              <w:left w:val="nil"/>
              <w:bottom w:val="single" w:sz="8" w:space="0" w:color="auto"/>
              <w:right w:val="single" w:sz="8" w:space="0" w:color="auto"/>
            </w:tcBorders>
          </w:tcPr>
          <w:p w:rsidR="00AE165B" w:rsidRPr="00AE165B" w:rsidRDefault="00AE165B" w:rsidP="003310B7">
            <w:pPr>
              <w:jc w:val="right"/>
              <w:rPr>
                <w:bCs/>
                <w:color w:val="000000"/>
                <w:sz w:val="20"/>
                <w:szCs w:val="20"/>
              </w:rPr>
            </w:pPr>
            <w:r w:rsidRPr="00AE165B">
              <w:rPr>
                <w:bCs/>
                <w:color w:val="000000"/>
                <w:sz w:val="20"/>
                <w:szCs w:val="20"/>
              </w:rPr>
              <w:t>-12 310 174</w:t>
            </w:r>
          </w:p>
        </w:tc>
        <w:tc>
          <w:tcPr>
            <w:tcW w:w="1134" w:type="dxa"/>
            <w:tcBorders>
              <w:top w:val="nil"/>
              <w:left w:val="nil"/>
              <w:bottom w:val="single" w:sz="8" w:space="0" w:color="auto"/>
              <w:right w:val="single" w:sz="8" w:space="0" w:color="auto"/>
            </w:tcBorders>
          </w:tcPr>
          <w:p w:rsidR="00AE165B" w:rsidRPr="00AE165B" w:rsidRDefault="00AE165B" w:rsidP="003310B7">
            <w:pPr>
              <w:jc w:val="right"/>
              <w:rPr>
                <w:bCs/>
                <w:color w:val="000000"/>
                <w:sz w:val="20"/>
                <w:szCs w:val="20"/>
              </w:rPr>
            </w:pPr>
            <w:r w:rsidRPr="00AE165B">
              <w:rPr>
                <w:bCs/>
                <w:color w:val="000000"/>
                <w:sz w:val="20"/>
                <w:szCs w:val="20"/>
              </w:rPr>
              <w:t>-12 257 656</w:t>
            </w:r>
          </w:p>
        </w:tc>
        <w:tc>
          <w:tcPr>
            <w:tcW w:w="1134" w:type="dxa"/>
            <w:tcBorders>
              <w:top w:val="nil"/>
              <w:left w:val="nil"/>
              <w:bottom w:val="single" w:sz="8" w:space="0" w:color="auto"/>
              <w:right w:val="single" w:sz="8" w:space="0" w:color="auto"/>
            </w:tcBorders>
          </w:tcPr>
          <w:p w:rsidR="00AE165B" w:rsidRPr="00AE165B" w:rsidRDefault="00AE165B" w:rsidP="003310B7">
            <w:pPr>
              <w:jc w:val="right"/>
              <w:rPr>
                <w:bCs/>
                <w:color w:val="000000"/>
                <w:sz w:val="20"/>
                <w:szCs w:val="20"/>
              </w:rPr>
            </w:pPr>
            <w:r w:rsidRPr="00AE165B">
              <w:rPr>
                <w:bCs/>
                <w:color w:val="000000"/>
                <w:sz w:val="20"/>
                <w:szCs w:val="20"/>
              </w:rPr>
              <w:t>-53 037 115</w:t>
            </w:r>
          </w:p>
        </w:tc>
        <w:tc>
          <w:tcPr>
            <w:tcW w:w="977" w:type="dxa"/>
            <w:tcBorders>
              <w:top w:val="nil"/>
              <w:left w:val="nil"/>
              <w:bottom w:val="single" w:sz="8" w:space="0" w:color="auto"/>
              <w:right w:val="single" w:sz="8" w:space="0" w:color="auto"/>
            </w:tcBorders>
            <w:vAlign w:val="center"/>
          </w:tcPr>
          <w:p w:rsidR="00AE165B" w:rsidRPr="00AE165B" w:rsidRDefault="00AE165B" w:rsidP="003310B7">
            <w:pPr>
              <w:jc w:val="center"/>
              <w:rPr>
                <w:color w:val="000000"/>
                <w:sz w:val="20"/>
                <w:szCs w:val="20"/>
              </w:rPr>
            </w:pPr>
            <w:r w:rsidRPr="00AE165B">
              <w:rPr>
                <w:color w:val="000000"/>
                <w:sz w:val="20"/>
                <w:szCs w:val="20"/>
              </w:rPr>
              <w:t>0</w:t>
            </w:r>
          </w:p>
        </w:tc>
        <w:tc>
          <w:tcPr>
            <w:tcW w:w="1118" w:type="dxa"/>
            <w:tcBorders>
              <w:top w:val="nil"/>
              <w:left w:val="nil"/>
              <w:bottom w:val="single" w:sz="8" w:space="0" w:color="auto"/>
              <w:right w:val="single" w:sz="8" w:space="0" w:color="auto"/>
            </w:tcBorders>
            <w:noWrap/>
            <w:vAlign w:val="center"/>
          </w:tcPr>
          <w:p w:rsidR="00AE165B" w:rsidRPr="00AE165B" w:rsidRDefault="00AE165B" w:rsidP="003310B7">
            <w:pPr>
              <w:rPr>
                <w:sz w:val="20"/>
                <w:szCs w:val="20"/>
              </w:rPr>
            </w:pPr>
            <w:r w:rsidRPr="00AE165B">
              <w:rPr>
                <w:sz w:val="20"/>
                <w:szCs w:val="20"/>
              </w:rPr>
              <w:t> </w:t>
            </w:r>
          </w:p>
        </w:tc>
      </w:tr>
      <w:tr w:rsidR="00AE165B" w:rsidRPr="00AE165B" w:rsidTr="003310B7">
        <w:trPr>
          <w:trHeight w:val="315"/>
          <w:jc w:val="center"/>
        </w:trPr>
        <w:tc>
          <w:tcPr>
            <w:tcW w:w="4028" w:type="dxa"/>
            <w:tcBorders>
              <w:top w:val="nil"/>
              <w:left w:val="single" w:sz="8" w:space="0" w:color="auto"/>
              <w:bottom w:val="single" w:sz="8" w:space="0" w:color="auto"/>
              <w:right w:val="single" w:sz="8" w:space="0" w:color="auto"/>
            </w:tcBorders>
            <w:vAlign w:val="center"/>
            <w:hideMark/>
          </w:tcPr>
          <w:p w:rsidR="00AE165B" w:rsidRPr="00AE165B" w:rsidRDefault="00AE165B" w:rsidP="003310B7">
            <w:pPr>
              <w:rPr>
                <w:b/>
                <w:color w:val="000000"/>
                <w:sz w:val="20"/>
                <w:szCs w:val="20"/>
              </w:rPr>
            </w:pPr>
            <w:r w:rsidRPr="00AE165B">
              <w:rPr>
                <w:b/>
                <w:color w:val="000000"/>
                <w:sz w:val="20"/>
                <w:szCs w:val="20"/>
              </w:rPr>
              <w:t>Nedaňové príjmy (200)1</w:t>
            </w:r>
          </w:p>
        </w:tc>
        <w:tc>
          <w:tcPr>
            <w:tcW w:w="112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97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18" w:type="dxa"/>
            <w:tcBorders>
              <w:top w:val="nil"/>
              <w:left w:val="nil"/>
              <w:bottom w:val="single" w:sz="8" w:space="0" w:color="auto"/>
              <w:right w:val="single" w:sz="8" w:space="0" w:color="auto"/>
            </w:tcBorders>
            <w:noWrap/>
            <w:vAlign w:val="center"/>
            <w:hideMark/>
          </w:tcPr>
          <w:p w:rsidR="00AE165B" w:rsidRPr="00AE165B" w:rsidRDefault="00AE165B" w:rsidP="003310B7">
            <w:pPr>
              <w:rPr>
                <w:sz w:val="20"/>
                <w:szCs w:val="20"/>
              </w:rPr>
            </w:pPr>
            <w:r w:rsidRPr="00AE165B">
              <w:rPr>
                <w:sz w:val="20"/>
                <w:szCs w:val="20"/>
              </w:rPr>
              <w:t> </w:t>
            </w:r>
          </w:p>
        </w:tc>
      </w:tr>
      <w:tr w:rsidR="00AE165B" w:rsidRPr="00AE165B" w:rsidTr="003310B7">
        <w:trPr>
          <w:trHeight w:val="315"/>
          <w:jc w:val="center"/>
        </w:trPr>
        <w:tc>
          <w:tcPr>
            <w:tcW w:w="4028" w:type="dxa"/>
            <w:tcBorders>
              <w:top w:val="nil"/>
              <w:left w:val="single" w:sz="8" w:space="0" w:color="auto"/>
              <w:bottom w:val="single" w:sz="8" w:space="0" w:color="auto"/>
              <w:right w:val="single" w:sz="8" w:space="0" w:color="auto"/>
            </w:tcBorders>
            <w:vAlign w:val="center"/>
            <w:hideMark/>
          </w:tcPr>
          <w:p w:rsidR="00AE165B" w:rsidRPr="00AE165B" w:rsidRDefault="00AE165B" w:rsidP="003310B7">
            <w:pPr>
              <w:rPr>
                <w:b/>
                <w:color w:val="000000"/>
                <w:sz w:val="20"/>
                <w:szCs w:val="20"/>
              </w:rPr>
            </w:pPr>
            <w:r w:rsidRPr="00AE165B">
              <w:rPr>
                <w:b/>
                <w:color w:val="000000"/>
                <w:sz w:val="20"/>
                <w:szCs w:val="20"/>
              </w:rPr>
              <w:t>Granty a transfery (300)1</w:t>
            </w:r>
          </w:p>
        </w:tc>
        <w:tc>
          <w:tcPr>
            <w:tcW w:w="112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97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18" w:type="dxa"/>
            <w:tcBorders>
              <w:top w:val="nil"/>
              <w:left w:val="nil"/>
              <w:bottom w:val="single" w:sz="8" w:space="0" w:color="auto"/>
              <w:right w:val="single" w:sz="8" w:space="0" w:color="auto"/>
            </w:tcBorders>
            <w:noWrap/>
            <w:vAlign w:val="center"/>
            <w:hideMark/>
          </w:tcPr>
          <w:p w:rsidR="00AE165B" w:rsidRPr="00AE165B" w:rsidRDefault="00AE165B" w:rsidP="003310B7">
            <w:pPr>
              <w:rPr>
                <w:sz w:val="20"/>
                <w:szCs w:val="20"/>
              </w:rPr>
            </w:pPr>
            <w:r w:rsidRPr="00AE165B">
              <w:rPr>
                <w:sz w:val="20"/>
                <w:szCs w:val="20"/>
              </w:rPr>
              <w:t> </w:t>
            </w:r>
          </w:p>
        </w:tc>
      </w:tr>
      <w:tr w:rsidR="00AE165B" w:rsidRPr="00AE165B" w:rsidTr="003310B7">
        <w:trPr>
          <w:trHeight w:val="525"/>
          <w:jc w:val="center"/>
        </w:trPr>
        <w:tc>
          <w:tcPr>
            <w:tcW w:w="4028" w:type="dxa"/>
            <w:tcBorders>
              <w:top w:val="nil"/>
              <w:left w:val="single" w:sz="8" w:space="0" w:color="auto"/>
              <w:bottom w:val="single" w:sz="8" w:space="0" w:color="auto"/>
              <w:right w:val="single" w:sz="8" w:space="0" w:color="auto"/>
            </w:tcBorders>
            <w:vAlign w:val="center"/>
            <w:hideMark/>
          </w:tcPr>
          <w:p w:rsidR="00AE165B" w:rsidRPr="00AE165B" w:rsidRDefault="00AE165B" w:rsidP="003310B7">
            <w:pPr>
              <w:rPr>
                <w:b/>
                <w:color w:val="000000"/>
                <w:sz w:val="20"/>
                <w:szCs w:val="20"/>
              </w:rPr>
            </w:pPr>
            <w:r w:rsidRPr="00AE165B">
              <w:rPr>
                <w:b/>
                <w:color w:val="000000"/>
                <w:sz w:val="20"/>
                <w:szCs w:val="20"/>
              </w:rPr>
              <w:t>Príjmy z transakcií s finančnými aktívami a finančnými pasívami (400)</w:t>
            </w:r>
          </w:p>
        </w:tc>
        <w:tc>
          <w:tcPr>
            <w:tcW w:w="112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97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18" w:type="dxa"/>
            <w:tcBorders>
              <w:top w:val="nil"/>
              <w:left w:val="nil"/>
              <w:bottom w:val="single" w:sz="8" w:space="0" w:color="auto"/>
              <w:right w:val="single" w:sz="8" w:space="0" w:color="auto"/>
            </w:tcBorders>
            <w:noWrap/>
            <w:vAlign w:val="center"/>
            <w:hideMark/>
          </w:tcPr>
          <w:p w:rsidR="00AE165B" w:rsidRPr="00AE165B" w:rsidRDefault="00AE165B" w:rsidP="003310B7">
            <w:pPr>
              <w:rPr>
                <w:sz w:val="20"/>
                <w:szCs w:val="20"/>
              </w:rPr>
            </w:pPr>
            <w:r w:rsidRPr="00AE165B">
              <w:rPr>
                <w:sz w:val="20"/>
                <w:szCs w:val="20"/>
              </w:rPr>
              <w:t> </w:t>
            </w:r>
          </w:p>
        </w:tc>
      </w:tr>
      <w:tr w:rsidR="00AE165B" w:rsidRPr="00AE165B" w:rsidTr="003310B7">
        <w:trPr>
          <w:trHeight w:val="270"/>
          <w:jc w:val="center"/>
        </w:trPr>
        <w:tc>
          <w:tcPr>
            <w:tcW w:w="4028" w:type="dxa"/>
            <w:tcBorders>
              <w:top w:val="nil"/>
              <w:left w:val="single" w:sz="8" w:space="0" w:color="auto"/>
              <w:bottom w:val="single" w:sz="8" w:space="0" w:color="auto"/>
              <w:right w:val="single" w:sz="8" w:space="0" w:color="auto"/>
            </w:tcBorders>
            <w:vAlign w:val="center"/>
            <w:hideMark/>
          </w:tcPr>
          <w:p w:rsidR="00AE165B" w:rsidRPr="00AE165B" w:rsidRDefault="00AE165B" w:rsidP="003310B7">
            <w:pPr>
              <w:rPr>
                <w:b/>
                <w:color w:val="000000"/>
                <w:sz w:val="20"/>
                <w:szCs w:val="20"/>
              </w:rPr>
            </w:pPr>
            <w:r w:rsidRPr="00AE165B">
              <w:rPr>
                <w:b/>
                <w:color w:val="000000"/>
                <w:sz w:val="20"/>
                <w:szCs w:val="20"/>
              </w:rPr>
              <w:t>Prijaté úvery, pôžičky a návratné finančné výpomoci (500)</w:t>
            </w:r>
          </w:p>
        </w:tc>
        <w:tc>
          <w:tcPr>
            <w:tcW w:w="112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977" w:type="dxa"/>
            <w:tcBorders>
              <w:top w:val="nil"/>
              <w:left w:val="nil"/>
              <w:bottom w:val="single" w:sz="8" w:space="0" w:color="auto"/>
              <w:right w:val="single" w:sz="8" w:space="0" w:color="auto"/>
            </w:tcBorders>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18" w:type="dxa"/>
            <w:tcBorders>
              <w:top w:val="nil"/>
              <w:left w:val="nil"/>
              <w:bottom w:val="single" w:sz="8" w:space="0" w:color="auto"/>
              <w:right w:val="single" w:sz="8" w:space="0" w:color="auto"/>
            </w:tcBorders>
            <w:noWrap/>
            <w:vAlign w:val="center"/>
            <w:hideMark/>
          </w:tcPr>
          <w:p w:rsidR="00AE165B" w:rsidRPr="00AE165B" w:rsidRDefault="00AE165B" w:rsidP="003310B7">
            <w:pPr>
              <w:rPr>
                <w:sz w:val="20"/>
                <w:szCs w:val="20"/>
              </w:rPr>
            </w:pPr>
            <w:r w:rsidRPr="00AE165B">
              <w:rPr>
                <w:sz w:val="20"/>
                <w:szCs w:val="20"/>
              </w:rPr>
              <w:t> </w:t>
            </w:r>
          </w:p>
        </w:tc>
      </w:tr>
      <w:tr w:rsidR="00AE165B" w:rsidRPr="00AE165B" w:rsidTr="003310B7">
        <w:trPr>
          <w:trHeight w:val="270"/>
          <w:jc w:val="center"/>
        </w:trPr>
        <w:tc>
          <w:tcPr>
            <w:tcW w:w="4028" w:type="dxa"/>
            <w:tcBorders>
              <w:top w:val="nil"/>
              <w:left w:val="single" w:sz="8" w:space="0" w:color="auto"/>
              <w:bottom w:val="single" w:sz="8" w:space="0" w:color="auto"/>
              <w:right w:val="single" w:sz="8" w:space="0" w:color="auto"/>
            </w:tcBorders>
            <w:shd w:val="clear" w:color="000000" w:fill="BFBFBF"/>
            <w:vAlign w:val="center"/>
            <w:hideMark/>
          </w:tcPr>
          <w:p w:rsidR="00AE165B" w:rsidRPr="00AE165B" w:rsidRDefault="00AE165B" w:rsidP="003310B7">
            <w:pPr>
              <w:rPr>
                <w:b/>
                <w:color w:val="000000"/>
                <w:sz w:val="20"/>
                <w:szCs w:val="20"/>
              </w:rPr>
            </w:pPr>
            <w:r w:rsidRPr="00AE165B">
              <w:rPr>
                <w:b/>
                <w:color w:val="000000"/>
                <w:sz w:val="20"/>
                <w:szCs w:val="20"/>
              </w:rPr>
              <w:t>Dopad na príjmy verejnej správy celkom</w:t>
            </w:r>
          </w:p>
        </w:tc>
        <w:tc>
          <w:tcPr>
            <w:tcW w:w="1127"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34"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977"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color w:val="000000"/>
                <w:sz w:val="20"/>
                <w:szCs w:val="20"/>
              </w:rPr>
            </w:pPr>
            <w:r w:rsidRPr="00AE165B">
              <w:rPr>
                <w:color w:val="000000"/>
                <w:sz w:val="20"/>
                <w:szCs w:val="20"/>
              </w:rPr>
              <w:t>0</w:t>
            </w:r>
          </w:p>
        </w:tc>
        <w:tc>
          <w:tcPr>
            <w:tcW w:w="1118" w:type="dxa"/>
            <w:tcBorders>
              <w:top w:val="nil"/>
              <w:left w:val="nil"/>
              <w:bottom w:val="single" w:sz="8" w:space="0" w:color="auto"/>
              <w:right w:val="single" w:sz="8" w:space="0" w:color="auto"/>
            </w:tcBorders>
            <w:shd w:val="clear" w:color="000000" w:fill="BFBFBF"/>
            <w:noWrap/>
            <w:vAlign w:val="center"/>
            <w:hideMark/>
          </w:tcPr>
          <w:p w:rsidR="00AE165B" w:rsidRPr="00AE165B" w:rsidRDefault="00AE165B" w:rsidP="003310B7">
            <w:pPr>
              <w:rPr>
                <w:sz w:val="20"/>
                <w:szCs w:val="20"/>
              </w:rPr>
            </w:pPr>
            <w:r w:rsidRPr="00AE165B">
              <w:rPr>
                <w:sz w:val="20"/>
                <w:szCs w:val="20"/>
              </w:rPr>
              <w:t> </w:t>
            </w:r>
          </w:p>
        </w:tc>
      </w:tr>
    </w:tbl>
    <w:p w:rsidR="00AE165B" w:rsidRPr="00AE165B" w:rsidRDefault="00AE165B" w:rsidP="00AE165B">
      <w:pPr>
        <w:jc w:val="both"/>
      </w:pPr>
    </w:p>
    <w:p w:rsidR="00AE165B" w:rsidRPr="00AE165B" w:rsidRDefault="00AE165B" w:rsidP="00AE165B">
      <w:pPr>
        <w:jc w:val="both"/>
      </w:pPr>
    </w:p>
    <w:p w:rsidR="00AE165B" w:rsidRPr="00AE165B" w:rsidRDefault="00AE165B" w:rsidP="00AE165B">
      <w:pPr>
        <w:rPr>
          <w:b/>
          <w:bCs/>
          <w:iCs/>
        </w:rPr>
      </w:pPr>
      <w:r w:rsidRPr="00AE165B">
        <w:rPr>
          <w:b/>
          <w:bCs/>
          <w:iCs/>
        </w:rPr>
        <w:t xml:space="preserve">2.2.4.2 Kvantifikácia výdavkov </w:t>
      </w:r>
    </w:p>
    <w:p w:rsidR="00AE165B" w:rsidRPr="00AE165B" w:rsidRDefault="00AE165B" w:rsidP="00AE165B">
      <w:pPr>
        <w:rPr>
          <w:bCs/>
          <w:iCs/>
        </w:rPr>
      </w:pPr>
    </w:p>
    <w:p w:rsidR="00AE165B" w:rsidRPr="009040FD" w:rsidRDefault="00AE165B" w:rsidP="00AE165B">
      <w:pPr>
        <w:jc w:val="both"/>
        <w:rPr>
          <w:b/>
          <w:bCs/>
          <w:iCs/>
        </w:rPr>
      </w:pPr>
      <w:r w:rsidRPr="009040FD">
        <w:rPr>
          <w:bCs/>
          <w:iCs/>
        </w:rPr>
        <w:t xml:space="preserve">Uvedená právna úprava zakladá jednorazové zvýšenie výdavkov </w:t>
      </w:r>
      <w:r w:rsidRPr="009040FD">
        <w:t xml:space="preserve">informačného systému služieb zamestnanosti (ISSZ) </w:t>
      </w:r>
      <w:r w:rsidR="00AA4CF2" w:rsidRPr="009040FD">
        <w:t xml:space="preserve">v roku 2019 </w:t>
      </w:r>
      <w:r w:rsidRPr="009040FD">
        <w:t>vo výške 96 000 eur</w:t>
      </w:r>
      <w:r w:rsidR="00836C33" w:rsidRPr="009040FD">
        <w:t>, informačného systému  poistenia v nezamestnanosti a garančného poistenia (IS PvN a GP)</w:t>
      </w:r>
      <w:r w:rsidR="00AA4CF2" w:rsidRPr="009040FD">
        <w:t xml:space="preserve"> v roku 2020</w:t>
      </w:r>
      <w:r w:rsidR="00836C33" w:rsidRPr="009040FD">
        <w:t xml:space="preserve"> vo výške 150 000 eur</w:t>
      </w:r>
      <w:r w:rsidRPr="009040FD">
        <w:t xml:space="preserve"> a výdavky na úpravu formulárov súvisiacich so žiadosťou o dávku v</w:t>
      </w:r>
      <w:r w:rsidR="00AA4CF2" w:rsidRPr="009040FD">
        <w:t> </w:t>
      </w:r>
      <w:r w:rsidRPr="009040FD">
        <w:t>nezamestnanosti</w:t>
      </w:r>
      <w:r w:rsidR="00AA4CF2" w:rsidRPr="009040FD">
        <w:t xml:space="preserve"> v roku 2019</w:t>
      </w:r>
      <w:r w:rsidRPr="009040FD">
        <w:t xml:space="preserve"> vo výške 16 000 eur.</w:t>
      </w:r>
    </w:p>
    <w:p w:rsidR="00AE165B" w:rsidRPr="00AE165B" w:rsidRDefault="00AE165B" w:rsidP="00AE165B"/>
    <w:p w:rsidR="00AE165B" w:rsidRPr="00AE165B" w:rsidRDefault="00AE165B" w:rsidP="00AE165B">
      <w:pPr>
        <w:jc w:val="center"/>
      </w:pPr>
      <w:r w:rsidRPr="00AE165B">
        <w:t xml:space="preserve">                   </w:t>
      </w:r>
      <w:r w:rsidRPr="00AE165B">
        <w:tab/>
      </w:r>
      <w:r w:rsidRPr="00AE165B">
        <w:tab/>
      </w:r>
      <w:r w:rsidRPr="00AE165B">
        <w:tab/>
      </w:r>
      <w:r w:rsidR="00F954CF">
        <w:tab/>
      </w:r>
      <w:r w:rsidR="00F954CF">
        <w:tab/>
      </w:r>
      <w:r w:rsidR="00F954CF">
        <w:tab/>
      </w:r>
      <w:r w:rsidR="00F954CF">
        <w:tab/>
      </w:r>
      <w:r w:rsidR="00F954CF">
        <w:tab/>
      </w:r>
      <w:r w:rsidR="00F954CF">
        <w:tab/>
      </w:r>
      <w:r w:rsidR="009040FD">
        <w:t xml:space="preserve">         </w:t>
      </w:r>
      <w:r w:rsidRPr="00AE165B">
        <w:t>Tabuľka č. 4A</w:t>
      </w:r>
    </w:p>
    <w:tbl>
      <w:tblPr>
        <w:tblW w:w="9220" w:type="dxa"/>
        <w:tblCellMar>
          <w:left w:w="70" w:type="dxa"/>
          <w:right w:w="70" w:type="dxa"/>
        </w:tblCellMar>
        <w:tblLook w:val="04A0" w:firstRow="1" w:lastRow="0" w:firstColumn="1" w:lastColumn="0" w:noHBand="0" w:noVBand="1"/>
      </w:tblPr>
      <w:tblGrid>
        <w:gridCol w:w="4154"/>
        <w:gridCol w:w="976"/>
        <w:gridCol w:w="1056"/>
        <w:gridCol w:w="1036"/>
        <w:gridCol w:w="1036"/>
        <w:gridCol w:w="962"/>
      </w:tblGrid>
      <w:tr w:rsidR="00AE165B" w:rsidRPr="00AE165B" w:rsidTr="003310B7">
        <w:trPr>
          <w:trHeight w:val="750"/>
        </w:trPr>
        <w:tc>
          <w:tcPr>
            <w:tcW w:w="4180" w:type="dxa"/>
            <w:vMerge w:val="restart"/>
            <w:tcBorders>
              <w:top w:val="single" w:sz="8" w:space="0" w:color="auto"/>
              <w:left w:val="single" w:sz="8" w:space="0" w:color="auto"/>
              <w:bottom w:val="nil"/>
              <w:right w:val="single" w:sz="8" w:space="0" w:color="auto"/>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Výdavky štátneho rozpočtu - kapitola MPSVR SR (v eurách)</w:t>
            </w:r>
          </w:p>
        </w:tc>
        <w:tc>
          <w:tcPr>
            <w:tcW w:w="4120" w:type="dxa"/>
            <w:gridSpan w:val="4"/>
            <w:tcBorders>
              <w:top w:val="single" w:sz="8" w:space="0" w:color="auto"/>
              <w:left w:val="nil"/>
              <w:bottom w:val="single" w:sz="8" w:space="0" w:color="auto"/>
              <w:right w:val="single" w:sz="8" w:space="0" w:color="000000"/>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 xml:space="preserve">Vplyv na rozpočet štátneho rozpočtu – kapitola MPSVR SR         </w:t>
            </w:r>
          </w:p>
        </w:tc>
        <w:tc>
          <w:tcPr>
            <w:tcW w:w="920" w:type="dxa"/>
            <w:vMerge w:val="restart"/>
            <w:tcBorders>
              <w:top w:val="single" w:sz="8" w:space="0" w:color="auto"/>
              <w:left w:val="single" w:sz="8" w:space="0" w:color="auto"/>
              <w:bottom w:val="nil"/>
              <w:right w:val="single" w:sz="8" w:space="0" w:color="auto"/>
            </w:tcBorders>
            <w:shd w:val="clear" w:color="000000" w:fill="BFBFBF"/>
            <w:noWrap/>
            <w:vAlign w:val="center"/>
            <w:hideMark/>
          </w:tcPr>
          <w:p w:rsidR="00AE165B" w:rsidRPr="00AE165B" w:rsidRDefault="00AE165B" w:rsidP="003310B7">
            <w:pPr>
              <w:jc w:val="center"/>
              <w:rPr>
                <w:sz w:val="20"/>
                <w:szCs w:val="20"/>
              </w:rPr>
            </w:pPr>
            <w:r w:rsidRPr="00AE165B">
              <w:rPr>
                <w:sz w:val="20"/>
                <w:szCs w:val="20"/>
              </w:rPr>
              <w:t>poznámka</w:t>
            </w:r>
          </w:p>
        </w:tc>
      </w:tr>
      <w:tr w:rsidR="00AE165B" w:rsidRPr="00AE165B" w:rsidTr="003310B7">
        <w:trPr>
          <w:trHeight w:val="270"/>
        </w:trPr>
        <w:tc>
          <w:tcPr>
            <w:tcW w:w="4180" w:type="dxa"/>
            <w:vMerge/>
            <w:tcBorders>
              <w:top w:val="single" w:sz="8" w:space="0" w:color="auto"/>
              <w:left w:val="single" w:sz="8" w:space="0" w:color="auto"/>
              <w:bottom w:val="nil"/>
              <w:right w:val="single" w:sz="8" w:space="0" w:color="auto"/>
            </w:tcBorders>
            <w:vAlign w:val="center"/>
            <w:hideMark/>
          </w:tcPr>
          <w:p w:rsidR="00AE165B" w:rsidRPr="00AE165B" w:rsidRDefault="00AE165B" w:rsidP="003310B7">
            <w:pPr>
              <w:rPr>
                <w:b/>
                <w:bCs/>
                <w:sz w:val="20"/>
                <w:szCs w:val="20"/>
              </w:rPr>
            </w:pPr>
          </w:p>
        </w:tc>
        <w:tc>
          <w:tcPr>
            <w:tcW w:w="98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2019</w:t>
            </w:r>
          </w:p>
        </w:tc>
        <w:tc>
          <w:tcPr>
            <w:tcW w:w="106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2020</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2021</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2022</w:t>
            </w:r>
          </w:p>
        </w:tc>
        <w:tc>
          <w:tcPr>
            <w:tcW w:w="920" w:type="dxa"/>
            <w:vMerge/>
            <w:tcBorders>
              <w:top w:val="single" w:sz="8" w:space="0" w:color="auto"/>
              <w:left w:val="single" w:sz="8" w:space="0" w:color="auto"/>
              <w:bottom w:val="nil"/>
              <w:right w:val="single" w:sz="8" w:space="0" w:color="auto"/>
            </w:tcBorders>
            <w:vAlign w:val="center"/>
            <w:hideMark/>
          </w:tcPr>
          <w:p w:rsidR="00AE165B" w:rsidRPr="00AE165B" w:rsidRDefault="00AE165B" w:rsidP="003310B7">
            <w:pPr>
              <w:rPr>
                <w:sz w:val="20"/>
                <w:szCs w:val="20"/>
              </w:rPr>
            </w:pP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b/>
                <w:bCs/>
                <w:sz w:val="20"/>
                <w:szCs w:val="20"/>
              </w:rPr>
            </w:pPr>
            <w:r w:rsidRPr="00AE165B">
              <w:rPr>
                <w:b/>
                <w:bCs/>
                <w:sz w:val="20"/>
                <w:szCs w:val="20"/>
              </w:rPr>
              <w:t>Bežné výdavky (600)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b/>
                <w:bCs/>
                <w:color w:val="000000"/>
                <w:sz w:val="20"/>
                <w:szCs w:val="20"/>
              </w:rPr>
            </w:pPr>
            <w:r w:rsidRPr="00AE165B">
              <w:rPr>
                <w:b/>
                <w:bCs/>
                <w:color w:val="000000"/>
                <w:sz w:val="20"/>
                <w:szCs w:val="20"/>
              </w:rPr>
              <w:t>112 000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 xml:space="preserve">  Bežné transfery (640)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52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Transfery jednotlivcom a neziskovým právnickým osobám (642)</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85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 xml:space="preserve">  Splácanie úrokov a ostatné platby súvisiace s </w:t>
            </w:r>
            <w:r w:rsidRPr="00AE165B">
              <w:t xml:space="preserve"> </w:t>
            </w:r>
            <w:r w:rsidRPr="00AE165B">
              <w:rPr>
                <w:sz w:val="20"/>
                <w:szCs w:val="20"/>
              </w:rPr>
              <w:t>úverom, pôžičkou, návratnou finančnou výpomocou a finančným prenájmom (650)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 xml:space="preserve">  Tovary a služby (630)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112 000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Rutinná a štandardná údržba (635)</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sz w:val="20"/>
                <w:szCs w:val="20"/>
              </w:rPr>
            </w:pPr>
            <w:r w:rsidRPr="00AE165B">
              <w:rPr>
                <w:sz w:val="20"/>
                <w:szCs w:val="20"/>
              </w:rPr>
              <w:t>112 000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A4CF2" w:rsidP="003310B7">
            <w:pPr>
              <w:jc w:val="right"/>
              <w:rPr>
                <w:sz w:val="20"/>
                <w:szCs w:val="20"/>
              </w:rPr>
            </w:pPr>
            <w:r>
              <w:rPr>
                <w:sz w:val="20"/>
                <w:szCs w:val="20"/>
              </w:rPr>
              <w:t>0</w:t>
            </w:r>
            <w:r w:rsidR="00AE165B" w:rsidRPr="00AE165B">
              <w:rPr>
                <w:sz w:val="20"/>
                <w:szCs w:val="20"/>
              </w:rPr>
              <w:t> </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A4CF2" w:rsidP="003310B7">
            <w:pPr>
              <w:jc w:val="right"/>
              <w:rPr>
                <w:sz w:val="20"/>
                <w:szCs w:val="20"/>
              </w:rPr>
            </w:pPr>
            <w:r>
              <w:rPr>
                <w:sz w:val="20"/>
                <w:szCs w:val="20"/>
              </w:rPr>
              <w:t>0</w:t>
            </w:r>
            <w:r w:rsidR="00AE165B" w:rsidRPr="00AE165B">
              <w:rPr>
                <w:sz w:val="20"/>
                <w:szCs w:val="20"/>
              </w:rPr>
              <w:t> </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A4CF2" w:rsidP="003310B7">
            <w:pPr>
              <w:jc w:val="right"/>
              <w:rPr>
                <w:sz w:val="20"/>
                <w:szCs w:val="20"/>
              </w:rPr>
            </w:pPr>
            <w:r>
              <w:rPr>
                <w:sz w:val="20"/>
                <w:szCs w:val="20"/>
              </w:rPr>
              <w:t>0</w:t>
            </w:r>
            <w:r w:rsidR="00AE165B" w:rsidRPr="00AE165B">
              <w:rPr>
                <w:sz w:val="20"/>
                <w:szCs w:val="20"/>
              </w:rPr>
              <w:t> </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b/>
                <w:bCs/>
                <w:sz w:val="20"/>
                <w:szCs w:val="20"/>
              </w:rPr>
            </w:pPr>
            <w:r w:rsidRPr="00AE165B">
              <w:rPr>
                <w:b/>
                <w:bCs/>
                <w:sz w:val="20"/>
                <w:szCs w:val="20"/>
              </w:rPr>
              <w:t>Kapitálové výdavky (700)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b/>
                <w:bCs/>
                <w:sz w:val="20"/>
                <w:szCs w:val="20"/>
              </w:rPr>
            </w:pPr>
            <w:r w:rsidRPr="00AE165B">
              <w:rPr>
                <w:b/>
                <w:bCs/>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836C33" w:rsidRDefault="00AE165B" w:rsidP="003310B7">
            <w:pPr>
              <w:jc w:val="right"/>
              <w:rPr>
                <w:sz w:val="20"/>
                <w:szCs w:val="20"/>
              </w:rPr>
            </w:pPr>
            <w:r w:rsidRPr="00836C33">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836C33" w:rsidRDefault="00AE165B" w:rsidP="003310B7">
            <w:pPr>
              <w:jc w:val="right"/>
              <w:rPr>
                <w:sz w:val="20"/>
                <w:szCs w:val="20"/>
              </w:rPr>
            </w:pPr>
            <w:r w:rsidRPr="00836C33">
              <w:rPr>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52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b/>
                <w:bCs/>
                <w:sz w:val="20"/>
                <w:szCs w:val="20"/>
              </w:rPr>
            </w:pPr>
            <w:r w:rsidRPr="00AE165B">
              <w:rPr>
                <w:b/>
                <w:bCs/>
                <w:sz w:val="20"/>
                <w:szCs w:val="20"/>
              </w:rPr>
              <w:lastRenderedPageBreak/>
              <w:t>Výdavky z transakcií s finančnými aktívami a finančnými pasívami (800)</w:t>
            </w:r>
          </w:p>
        </w:tc>
        <w:tc>
          <w:tcPr>
            <w:tcW w:w="98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106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000000" w:fill="BFBFBF"/>
            <w:vAlign w:val="center"/>
            <w:hideMark/>
          </w:tcPr>
          <w:p w:rsidR="00AE165B" w:rsidRPr="00AE165B" w:rsidRDefault="00AE165B" w:rsidP="003310B7">
            <w:pPr>
              <w:rPr>
                <w:b/>
                <w:bCs/>
                <w:sz w:val="20"/>
                <w:szCs w:val="20"/>
              </w:rPr>
            </w:pPr>
            <w:r w:rsidRPr="00AE165B">
              <w:rPr>
                <w:b/>
                <w:bCs/>
                <w:sz w:val="20"/>
                <w:szCs w:val="20"/>
              </w:rPr>
              <w:t>Dopad na výdavky štátneho rozpočtu celkom</w:t>
            </w:r>
          </w:p>
        </w:tc>
        <w:tc>
          <w:tcPr>
            <w:tcW w:w="98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112 000</w:t>
            </w:r>
          </w:p>
        </w:tc>
        <w:tc>
          <w:tcPr>
            <w:tcW w:w="106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920" w:type="dxa"/>
            <w:tcBorders>
              <w:top w:val="nil"/>
              <w:left w:val="nil"/>
              <w:bottom w:val="single" w:sz="8" w:space="0" w:color="auto"/>
              <w:right w:val="single" w:sz="8" w:space="0" w:color="auto"/>
            </w:tcBorders>
            <w:shd w:val="clear" w:color="000000" w:fill="BFBFBF"/>
            <w:noWrap/>
            <w:vAlign w:val="center"/>
            <w:hideMark/>
          </w:tcPr>
          <w:p w:rsidR="00AE165B" w:rsidRPr="00AE165B" w:rsidRDefault="00AE165B" w:rsidP="003310B7">
            <w:r w:rsidRPr="00AE165B">
              <w:t> </w:t>
            </w:r>
          </w:p>
        </w:tc>
      </w:tr>
    </w:tbl>
    <w:p w:rsidR="00AE165B" w:rsidRDefault="00AE165B" w:rsidP="00AE165B"/>
    <w:p w:rsidR="006549B8" w:rsidRDefault="006549B8" w:rsidP="00AE165B"/>
    <w:p w:rsidR="00C872F3" w:rsidRDefault="00C872F3" w:rsidP="00C872F3">
      <w:pPr>
        <w:jc w:val="right"/>
      </w:pPr>
      <w:r>
        <w:t>Tabuľka č. 4B</w:t>
      </w:r>
    </w:p>
    <w:tbl>
      <w:tblPr>
        <w:tblW w:w="9220" w:type="dxa"/>
        <w:tblCellMar>
          <w:left w:w="70" w:type="dxa"/>
          <w:right w:w="70" w:type="dxa"/>
        </w:tblCellMar>
        <w:tblLook w:val="04A0" w:firstRow="1" w:lastRow="0" w:firstColumn="1" w:lastColumn="0" w:noHBand="0" w:noVBand="1"/>
      </w:tblPr>
      <w:tblGrid>
        <w:gridCol w:w="4154"/>
        <w:gridCol w:w="976"/>
        <w:gridCol w:w="1056"/>
        <w:gridCol w:w="1036"/>
        <w:gridCol w:w="1036"/>
        <w:gridCol w:w="962"/>
      </w:tblGrid>
      <w:tr w:rsidR="00836C33" w:rsidRPr="00AE165B" w:rsidTr="00303660">
        <w:trPr>
          <w:trHeight w:val="750"/>
        </w:trPr>
        <w:tc>
          <w:tcPr>
            <w:tcW w:w="4180" w:type="dxa"/>
            <w:vMerge w:val="restart"/>
            <w:tcBorders>
              <w:top w:val="single" w:sz="8" w:space="0" w:color="auto"/>
              <w:left w:val="single" w:sz="8" w:space="0" w:color="auto"/>
              <w:bottom w:val="nil"/>
              <w:right w:val="single" w:sz="8" w:space="0" w:color="auto"/>
            </w:tcBorders>
            <w:shd w:val="clear" w:color="000000" w:fill="BFBFBF"/>
            <w:vAlign w:val="center"/>
            <w:hideMark/>
          </w:tcPr>
          <w:p w:rsidR="00836C33" w:rsidRPr="00AE165B" w:rsidRDefault="00836C33" w:rsidP="00836C33">
            <w:pPr>
              <w:jc w:val="center"/>
              <w:rPr>
                <w:b/>
                <w:bCs/>
                <w:sz w:val="20"/>
                <w:szCs w:val="20"/>
              </w:rPr>
            </w:pPr>
            <w:r w:rsidRPr="00AE165B">
              <w:rPr>
                <w:b/>
                <w:bCs/>
                <w:sz w:val="20"/>
                <w:szCs w:val="20"/>
              </w:rPr>
              <w:t xml:space="preserve">Výdavky </w:t>
            </w:r>
            <w:r>
              <w:rPr>
                <w:b/>
                <w:bCs/>
                <w:sz w:val="20"/>
                <w:szCs w:val="20"/>
              </w:rPr>
              <w:t xml:space="preserve">Sociálnej poisťovne </w:t>
            </w:r>
            <w:r w:rsidRPr="00AE165B">
              <w:rPr>
                <w:b/>
                <w:bCs/>
                <w:sz w:val="20"/>
                <w:szCs w:val="20"/>
              </w:rPr>
              <w:t>(v eurách)</w:t>
            </w:r>
          </w:p>
        </w:tc>
        <w:tc>
          <w:tcPr>
            <w:tcW w:w="4120" w:type="dxa"/>
            <w:gridSpan w:val="4"/>
            <w:tcBorders>
              <w:top w:val="single" w:sz="8" w:space="0" w:color="auto"/>
              <w:left w:val="nil"/>
              <w:bottom w:val="single" w:sz="8" w:space="0" w:color="auto"/>
              <w:right w:val="single" w:sz="8" w:space="0" w:color="000000"/>
            </w:tcBorders>
            <w:shd w:val="clear" w:color="000000" w:fill="BFBFBF"/>
            <w:vAlign w:val="center"/>
            <w:hideMark/>
          </w:tcPr>
          <w:p w:rsidR="00836C33" w:rsidRPr="00AE165B" w:rsidRDefault="00836C33" w:rsidP="00836C33">
            <w:pPr>
              <w:jc w:val="center"/>
              <w:rPr>
                <w:b/>
                <w:bCs/>
                <w:sz w:val="20"/>
                <w:szCs w:val="20"/>
              </w:rPr>
            </w:pPr>
            <w:r w:rsidRPr="00AE165B">
              <w:rPr>
                <w:b/>
                <w:bCs/>
                <w:sz w:val="20"/>
                <w:szCs w:val="20"/>
              </w:rPr>
              <w:t>Vplyv na rozpočet</w:t>
            </w:r>
            <w:r>
              <w:rPr>
                <w:b/>
                <w:bCs/>
                <w:sz w:val="20"/>
                <w:szCs w:val="20"/>
              </w:rPr>
              <w:t xml:space="preserve"> Sociálnej poisťovne</w:t>
            </w:r>
            <w:r w:rsidRPr="00AE165B">
              <w:rPr>
                <w:b/>
                <w:bCs/>
                <w:sz w:val="20"/>
                <w:szCs w:val="20"/>
              </w:rPr>
              <w:t xml:space="preserve">         </w:t>
            </w:r>
          </w:p>
        </w:tc>
        <w:tc>
          <w:tcPr>
            <w:tcW w:w="920" w:type="dxa"/>
            <w:vMerge w:val="restart"/>
            <w:tcBorders>
              <w:top w:val="single" w:sz="8" w:space="0" w:color="auto"/>
              <w:left w:val="single" w:sz="8" w:space="0" w:color="auto"/>
              <w:bottom w:val="nil"/>
              <w:right w:val="single" w:sz="8" w:space="0" w:color="auto"/>
            </w:tcBorders>
            <w:shd w:val="clear" w:color="000000" w:fill="BFBFBF"/>
            <w:noWrap/>
            <w:vAlign w:val="center"/>
            <w:hideMark/>
          </w:tcPr>
          <w:p w:rsidR="00836C33" w:rsidRPr="00AE165B" w:rsidRDefault="00836C33" w:rsidP="00303660">
            <w:pPr>
              <w:jc w:val="center"/>
              <w:rPr>
                <w:sz w:val="20"/>
                <w:szCs w:val="20"/>
              </w:rPr>
            </w:pPr>
            <w:r w:rsidRPr="00AE165B">
              <w:rPr>
                <w:sz w:val="20"/>
                <w:szCs w:val="20"/>
              </w:rPr>
              <w:t>poznámka</w:t>
            </w:r>
          </w:p>
        </w:tc>
      </w:tr>
      <w:tr w:rsidR="00836C33" w:rsidRPr="00AE165B" w:rsidTr="00303660">
        <w:trPr>
          <w:trHeight w:val="270"/>
        </w:trPr>
        <w:tc>
          <w:tcPr>
            <w:tcW w:w="4180" w:type="dxa"/>
            <w:vMerge/>
            <w:tcBorders>
              <w:top w:val="single" w:sz="8" w:space="0" w:color="auto"/>
              <w:left w:val="single" w:sz="8" w:space="0" w:color="auto"/>
              <w:bottom w:val="nil"/>
              <w:right w:val="single" w:sz="8" w:space="0" w:color="auto"/>
            </w:tcBorders>
            <w:vAlign w:val="center"/>
            <w:hideMark/>
          </w:tcPr>
          <w:p w:rsidR="00836C33" w:rsidRPr="00AE165B" w:rsidRDefault="00836C33" w:rsidP="00303660">
            <w:pPr>
              <w:rPr>
                <w:b/>
                <w:bCs/>
                <w:sz w:val="20"/>
                <w:szCs w:val="20"/>
              </w:rPr>
            </w:pPr>
          </w:p>
        </w:tc>
        <w:tc>
          <w:tcPr>
            <w:tcW w:w="98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center"/>
              <w:rPr>
                <w:b/>
                <w:bCs/>
                <w:color w:val="000000"/>
                <w:sz w:val="20"/>
                <w:szCs w:val="20"/>
              </w:rPr>
            </w:pPr>
            <w:r w:rsidRPr="00AE165B">
              <w:rPr>
                <w:b/>
                <w:bCs/>
                <w:color w:val="000000"/>
                <w:sz w:val="20"/>
                <w:szCs w:val="20"/>
              </w:rPr>
              <w:t>2019</w:t>
            </w:r>
          </w:p>
        </w:tc>
        <w:tc>
          <w:tcPr>
            <w:tcW w:w="106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center"/>
              <w:rPr>
                <w:b/>
                <w:bCs/>
                <w:color w:val="000000"/>
                <w:sz w:val="20"/>
                <w:szCs w:val="20"/>
              </w:rPr>
            </w:pPr>
            <w:r w:rsidRPr="00AE165B">
              <w:rPr>
                <w:b/>
                <w:bCs/>
                <w:color w:val="000000"/>
                <w:sz w:val="20"/>
                <w:szCs w:val="20"/>
              </w:rPr>
              <w:t>2020</w:t>
            </w:r>
          </w:p>
        </w:tc>
        <w:tc>
          <w:tcPr>
            <w:tcW w:w="104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center"/>
              <w:rPr>
                <w:b/>
                <w:bCs/>
                <w:color w:val="000000"/>
                <w:sz w:val="20"/>
                <w:szCs w:val="20"/>
              </w:rPr>
            </w:pPr>
            <w:r w:rsidRPr="00AE165B">
              <w:rPr>
                <w:b/>
                <w:bCs/>
                <w:color w:val="000000"/>
                <w:sz w:val="20"/>
                <w:szCs w:val="20"/>
              </w:rPr>
              <w:t>2021</w:t>
            </w:r>
          </w:p>
        </w:tc>
        <w:tc>
          <w:tcPr>
            <w:tcW w:w="104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center"/>
              <w:rPr>
                <w:b/>
                <w:bCs/>
                <w:color w:val="000000"/>
                <w:sz w:val="20"/>
                <w:szCs w:val="20"/>
              </w:rPr>
            </w:pPr>
            <w:r w:rsidRPr="00AE165B">
              <w:rPr>
                <w:b/>
                <w:bCs/>
                <w:color w:val="000000"/>
                <w:sz w:val="20"/>
                <w:szCs w:val="20"/>
              </w:rPr>
              <w:t>2022</w:t>
            </w:r>
          </w:p>
        </w:tc>
        <w:tc>
          <w:tcPr>
            <w:tcW w:w="920" w:type="dxa"/>
            <w:vMerge/>
            <w:tcBorders>
              <w:top w:val="single" w:sz="8" w:space="0" w:color="auto"/>
              <w:left w:val="single" w:sz="8" w:space="0" w:color="auto"/>
              <w:bottom w:val="nil"/>
              <w:right w:val="single" w:sz="8" w:space="0" w:color="auto"/>
            </w:tcBorders>
            <w:vAlign w:val="center"/>
            <w:hideMark/>
          </w:tcPr>
          <w:p w:rsidR="00836C33" w:rsidRPr="00AE165B" w:rsidRDefault="00836C33" w:rsidP="00303660">
            <w:pPr>
              <w:rPr>
                <w:sz w:val="20"/>
                <w:szCs w:val="20"/>
              </w:rPr>
            </w:pPr>
          </w:p>
        </w:tc>
      </w:tr>
      <w:tr w:rsidR="00836C33" w:rsidRPr="00AE165B" w:rsidTr="00303660">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b/>
                <w:bCs/>
                <w:sz w:val="20"/>
                <w:szCs w:val="20"/>
              </w:rPr>
            </w:pPr>
            <w:r w:rsidRPr="00AE165B">
              <w:rPr>
                <w:b/>
                <w:bCs/>
                <w:sz w:val="20"/>
                <w:szCs w:val="20"/>
              </w:rPr>
              <w:t>Bežné výdavky (600)</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b/>
                <w:bCs/>
                <w:color w:val="000000"/>
                <w:sz w:val="20"/>
                <w:szCs w:val="20"/>
              </w:rPr>
            </w:pPr>
            <w:r>
              <w:rPr>
                <w:b/>
                <w:bCs/>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b/>
                <w:bCs/>
                <w:color w:val="000000"/>
                <w:sz w:val="20"/>
                <w:szCs w:val="20"/>
              </w:rPr>
            </w:pPr>
            <w:r>
              <w:rPr>
                <w:b/>
                <w:bCs/>
                <w:color w:val="000000"/>
                <w:sz w:val="20"/>
                <w:szCs w:val="20"/>
              </w:rPr>
              <w:t>150 00</w:t>
            </w: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b/>
                <w:bCs/>
                <w:color w:val="000000"/>
                <w:sz w:val="20"/>
                <w:szCs w:val="20"/>
              </w:rPr>
            </w:pPr>
            <w:r w:rsidRPr="00AE165B">
              <w:rPr>
                <w:b/>
                <w:bCs/>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sz w:val="20"/>
                <w:szCs w:val="20"/>
              </w:rPr>
            </w:pPr>
            <w:r w:rsidRPr="00AE165B">
              <w:rPr>
                <w:sz w:val="20"/>
                <w:szCs w:val="20"/>
              </w:rPr>
              <w:t xml:space="preserve">  Bežné transfery (640)</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52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sz w:val="20"/>
                <w:szCs w:val="20"/>
              </w:rPr>
            </w:pPr>
            <w:r w:rsidRPr="00AE165B">
              <w:rPr>
                <w:sz w:val="20"/>
                <w:szCs w:val="20"/>
              </w:rPr>
              <w:t>Transfery jednotlivcom a neziskovým právnickým osobám (642)</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85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sz w:val="20"/>
                <w:szCs w:val="20"/>
              </w:rPr>
            </w:pPr>
            <w:r w:rsidRPr="00AE165B">
              <w:rPr>
                <w:sz w:val="20"/>
                <w:szCs w:val="20"/>
              </w:rPr>
              <w:t xml:space="preserve">  Splácanie úrokov a ostatné platby súvisiace s </w:t>
            </w:r>
            <w:r w:rsidRPr="00AE165B">
              <w:t xml:space="preserve"> </w:t>
            </w:r>
            <w:r w:rsidRPr="00AE165B">
              <w:rPr>
                <w:sz w:val="20"/>
                <w:szCs w:val="20"/>
              </w:rPr>
              <w:t>úverom, pôžičkou, návratnou finančnou výpomocou a finančným prenájmom (650)</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sidRPr="00AE165B">
              <w:rPr>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sidRPr="00AE165B">
              <w:rPr>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sz w:val="20"/>
                <w:szCs w:val="20"/>
              </w:rPr>
            </w:pPr>
            <w:r w:rsidRPr="00AE165B">
              <w:rPr>
                <w:sz w:val="20"/>
                <w:szCs w:val="20"/>
              </w:rPr>
              <w:t xml:space="preserve">  Tovary a služby (630)</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Pr>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Pr>
                <w:sz w:val="20"/>
                <w:szCs w:val="20"/>
              </w:rPr>
              <w:t>150 00</w:t>
            </w: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sidRPr="00AE165B">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sidRPr="00AE165B">
              <w:rPr>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sz w:val="20"/>
                <w:szCs w:val="20"/>
              </w:rPr>
            </w:pPr>
            <w:r w:rsidRPr="00AE165B">
              <w:rPr>
                <w:sz w:val="20"/>
                <w:szCs w:val="20"/>
              </w:rPr>
              <w:t>Rutinná a štandardná údržba (635)</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Pr>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Pr>
                <w:sz w:val="20"/>
                <w:szCs w:val="20"/>
              </w:rPr>
              <w:t>150 000</w:t>
            </w:r>
            <w:r w:rsidRPr="00AE165B">
              <w:rPr>
                <w:sz w:val="20"/>
                <w:szCs w:val="20"/>
              </w:rPr>
              <w:t> </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Pr>
                <w:sz w:val="20"/>
                <w:szCs w:val="20"/>
              </w:rPr>
              <w:t>0</w:t>
            </w:r>
            <w:r w:rsidRPr="00AE165B">
              <w:rPr>
                <w:sz w:val="20"/>
                <w:szCs w:val="20"/>
              </w:rPr>
              <w:t> </w:t>
            </w:r>
          </w:p>
        </w:tc>
        <w:tc>
          <w:tcPr>
            <w:tcW w:w="104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sz w:val="20"/>
                <w:szCs w:val="20"/>
              </w:rPr>
            </w:pPr>
            <w:r>
              <w:rPr>
                <w:sz w:val="20"/>
                <w:szCs w:val="20"/>
              </w:rPr>
              <w:t>0</w:t>
            </w:r>
            <w:r w:rsidRPr="00AE165B">
              <w:rPr>
                <w:sz w:val="20"/>
                <w:szCs w:val="20"/>
              </w:rPr>
              <w:t> </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b/>
                <w:bCs/>
                <w:sz w:val="20"/>
                <w:szCs w:val="20"/>
              </w:rPr>
            </w:pPr>
            <w:r w:rsidRPr="00AE165B">
              <w:rPr>
                <w:b/>
                <w:bCs/>
                <w:sz w:val="20"/>
                <w:szCs w:val="20"/>
              </w:rPr>
              <w:t>Kapitálové výdavky (700)</w:t>
            </w:r>
          </w:p>
        </w:tc>
        <w:tc>
          <w:tcPr>
            <w:tcW w:w="98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b/>
                <w:bCs/>
                <w:sz w:val="20"/>
                <w:szCs w:val="20"/>
              </w:rPr>
            </w:pPr>
            <w:r w:rsidRPr="00AE165B">
              <w:rPr>
                <w:b/>
                <w:bCs/>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836C33" w:rsidRPr="00AE165B" w:rsidRDefault="00836C33" w:rsidP="00303660">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836C33" w:rsidRDefault="00836C33" w:rsidP="00303660">
            <w:pPr>
              <w:jc w:val="right"/>
              <w:rPr>
                <w:sz w:val="20"/>
                <w:szCs w:val="20"/>
              </w:rPr>
            </w:pPr>
            <w:r w:rsidRPr="00836C33">
              <w:rPr>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836C33" w:rsidRPr="00836C33" w:rsidRDefault="00836C33" w:rsidP="00303660">
            <w:pPr>
              <w:jc w:val="right"/>
              <w:rPr>
                <w:sz w:val="20"/>
                <w:szCs w:val="20"/>
              </w:rPr>
            </w:pPr>
            <w:r w:rsidRPr="00836C33">
              <w:rPr>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52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836C33" w:rsidRPr="00AE165B" w:rsidRDefault="00836C33" w:rsidP="00303660">
            <w:pPr>
              <w:rPr>
                <w:b/>
                <w:bCs/>
                <w:sz w:val="20"/>
                <w:szCs w:val="20"/>
              </w:rPr>
            </w:pPr>
            <w:r w:rsidRPr="00AE165B">
              <w:rPr>
                <w:b/>
                <w:bCs/>
                <w:sz w:val="20"/>
                <w:szCs w:val="20"/>
              </w:rPr>
              <w:t>Výdavky z transakcií s finančnými aktívami a finančnými pasívami (800)</w:t>
            </w:r>
          </w:p>
        </w:tc>
        <w:tc>
          <w:tcPr>
            <w:tcW w:w="980" w:type="dxa"/>
            <w:tcBorders>
              <w:top w:val="nil"/>
              <w:left w:val="nil"/>
              <w:bottom w:val="single" w:sz="8" w:space="0" w:color="auto"/>
              <w:right w:val="single" w:sz="8" w:space="0" w:color="auto"/>
            </w:tcBorders>
            <w:shd w:val="clear" w:color="000000" w:fill="FFFF99"/>
            <w:vAlign w:val="center"/>
            <w:hideMark/>
          </w:tcPr>
          <w:p w:rsidR="00836C33" w:rsidRPr="00AE165B" w:rsidRDefault="00836C33" w:rsidP="00303660">
            <w:pPr>
              <w:jc w:val="right"/>
              <w:rPr>
                <w:b/>
                <w:bCs/>
                <w:sz w:val="20"/>
                <w:szCs w:val="20"/>
              </w:rPr>
            </w:pPr>
            <w:r w:rsidRPr="00AE165B">
              <w:rPr>
                <w:b/>
                <w:bCs/>
                <w:sz w:val="20"/>
                <w:szCs w:val="20"/>
              </w:rPr>
              <w:t>0</w:t>
            </w:r>
          </w:p>
        </w:tc>
        <w:tc>
          <w:tcPr>
            <w:tcW w:w="1060" w:type="dxa"/>
            <w:tcBorders>
              <w:top w:val="nil"/>
              <w:left w:val="nil"/>
              <w:bottom w:val="single" w:sz="8" w:space="0" w:color="auto"/>
              <w:right w:val="single" w:sz="8" w:space="0" w:color="auto"/>
            </w:tcBorders>
            <w:shd w:val="clear" w:color="000000" w:fill="FFFF99"/>
            <w:vAlign w:val="center"/>
            <w:hideMark/>
          </w:tcPr>
          <w:p w:rsidR="00836C33" w:rsidRPr="00AE165B" w:rsidRDefault="00836C33" w:rsidP="00303660">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000000" w:fill="FFFF99"/>
            <w:vAlign w:val="center"/>
            <w:hideMark/>
          </w:tcPr>
          <w:p w:rsidR="00836C33" w:rsidRPr="00AE165B" w:rsidRDefault="00836C33" w:rsidP="00303660">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000000" w:fill="FFFF99"/>
            <w:vAlign w:val="center"/>
            <w:hideMark/>
          </w:tcPr>
          <w:p w:rsidR="00836C33" w:rsidRPr="00AE165B" w:rsidRDefault="00836C33" w:rsidP="00303660">
            <w:pPr>
              <w:jc w:val="right"/>
              <w:rPr>
                <w:b/>
                <w:bCs/>
                <w:sz w:val="20"/>
                <w:szCs w:val="20"/>
              </w:rPr>
            </w:pPr>
            <w:r w:rsidRPr="00AE165B">
              <w:rPr>
                <w:b/>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836C33" w:rsidRPr="00AE165B" w:rsidRDefault="00836C33" w:rsidP="00303660">
            <w:r w:rsidRPr="00AE165B">
              <w:t> </w:t>
            </w:r>
          </w:p>
        </w:tc>
      </w:tr>
      <w:tr w:rsidR="00836C33" w:rsidRPr="00AE165B" w:rsidTr="00303660">
        <w:trPr>
          <w:trHeight w:val="330"/>
        </w:trPr>
        <w:tc>
          <w:tcPr>
            <w:tcW w:w="4180" w:type="dxa"/>
            <w:tcBorders>
              <w:top w:val="nil"/>
              <w:left w:val="single" w:sz="8" w:space="0" w:color="auto"/>
              <w:bottom w:val="single" w:sz="8" w:space="0" w:color="auto"/>
              <w:right w:val="single" w:sz="8" w:space="0" w:color="auto"/>
            </w:tcBorders>
            <w:shd w:val="clear" w:color="000000" w:fill="BFBFBF"/>
            <w:vAlign w:val="center"/>
            <w:hideMark/>
          </w:tcPr>
          <w:p w:rsidR="00836C33" w:rsidRPr="00AE165B" w:rsidRDefault="00836C33" w:rsidP="00836C33">
            <w:pPr>
              <w:rPr>
                <w:b/>
                <w:bCs/>
                <w:sz w:val="20"/>
                <w:szCs w:val="20"/>
              </w:rPr>
            </w:pPr>
            <w:r w:rsidRPr="00AE165B">
              <w:rPr>
                <w:b/>
                <w:bCs/>
                <w:sz w:val="20"/>
                <w:szCs w:val="20"/>
              </w:rPr>
              <w:t>D</w:t>
            </w:r>
            <w:r>
              <w:rPr>
                <w:b/>
                <w:bCs/>
                <w:sz w:val="20"/>
                <w:szCs w:val="20"/>
              </w:rPr>
              <w:t>opad na výdavky Sociálnej poisťovne</w:t>
            </w:r>
            <w:r w:rsidRPr="00AE165B">
              <w:rPr>
                <w:b/>
                <w:bCs/>
                <w:sz w:val="20"/>
                <w:szCs w:val="20"/>
              </w:rPr>
              <w:t xml:space="preserve"> celkom</w:t>
            </w:r>
          </w:p>
        </w:tc>
        <w:tc>
          <w:tcPr>
            <w:tcW w:w="98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right"/>
              <w:rPr>
                <w:b/>
                <w:bCs/>
                <w:color w:val="000000"/>
                <w:sz w:val="20"/>
                <w:szCs w:val="20"/>
              </w:rPr>
            </w:pPr>
            <w:r w:rsidRPr="00AE165B">
              <w:rPr>
                <w:b/>
                <w:bCs/>
                <w:color w:val="000000"/>
                <w:sz w:val="20"/>
                <w:szCs w:val="20"/>
              </w:rPr>
              <w:t>0</w:t>
            </w:r>
          </w:p>
        </w:tc>
        <w:tc>
          <w:tcPr>
            <w:tcW w:w="106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right"/>
              <w:rPr>
                <w:b/>
                <w:bCs/>
                <w:color w:val="000000"/>
                <w:sz w:val="20"/>
                <w:szCs w:val="20"/>
              </w:rPr>
            </w:pPr>
            <w:r>
              <w:rPr>
                <w:b/>
                <w:bCs/>
                <w:color w:val="000000"/>
                <w:sz w:val="20"/>
                <w:szCs w:val="20"/>
              </w:rPr>
              <w:t>150 00</w:t>
            </w: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000000" w:fill="BFBFBF"/>
            <w:vAlign w:val="center"/>
            <w:hideMark/>
          </w:tcPr>
          <w:p w:rsidR="00836C33" w:rsidRPr="00AE165B" w:rsidRDefault="00836C33" w:rsidP="00303660">
            <w:pPr>
              <w:jc w:val="right"/>
              <w:rPr>
                <w:b/>
                <w:bCs/>
                <w:color w:val="000000"/>
                <w:sz w:val="20"/>
                <w:szCs w:val="20"/>
              </w:rPr>
            </w:pPr>
            <w:r w:rsidRPr="00AE165B">
              <w:rPr>
                <w:b/>
                <w:bCs/>
                <w:color w:val="000000"/>
                <w:sz w:val="20"/>
                <w:szCs w:val="20"/>
              </w:rPr>
              <w:t>0</w:t>
            </w:r>
          </w:p>
        </w:tc>
        <w:tc>
          <w:tcPr>
            <w:tcW w:w="920" w:type="dxa"/>
            <w:tcBorders>
              <w:top w:val="nil"/>
              <w:left w:val="nil"/>
              <w:bottom w:val="single" w:sz="8" w:space="0" w:color="auto"/>
              <w:right w:val="single" w:sz="8" w:space="0" w:color="auto"/>
            </w:tcBorders>
            <w:shd w:val="clear" w:color="000000" w:fill="BFBFBF"/>
            <w:noWrap/>
            <w:vAlign w:val="center"/>
            <w:hideMark/>
          </w:tcPr>
          <w:p w:rsidR="00836C33" w:rsidRPr="00AE165B" w:rsidRDefault="00836C33" w:rsidP="00303660">
            <w:r w:rsidRPr="00AE165B">
              <w:t> </w:t>
            </w:r>
          </w:p>
        </w:tc>
      </w:tr>
    </w:tbl>
    <w:p w:rsidR="00836C33" w:rsidRPr="00AE165B" w:rsidRDefault="00836C33" w:rsidP="00AE165B"/>
    <w:p w:rsidR="00AE165B" w:rsidRPr="00AE165B" w:rsidRDefault="00AE165B" w:rsidP="00AE165B"/>
    <w:p w:rsidR="00AE165B" w:rsidRPr="00AE165B" w:rsidRDefault="00AE165B" w:rsidP="00F954CF">
      <w:pPr>
        <w:ind w:left="7080"/>
      </w:pPr>
      <w:r w:rsidRPr="00AE165B">
        <w:t>Tabuľka č. 4</w:t>
      </w:r>
      <w:r w:rsidR="00836C33">
        <w:t>C</w:t>
      </w:r>
    </w:p>
    <w:tbl>
      <w:tblPr>
        <w:tblW w:w="9220" w:type="dxa"/>
        <w:tblCellMar>
          <w:left w:w="70" w:type="dxa"/>
          <w:right w:w="70" w:type="dxa"/>
        </w:tblCellMar>
        <w:tblLook w:val="04A0" w:firstRow="1" w:lastRow="0" w:firstColumn="1" w:lastColumn="0" w:noHBand="0" w:noVBand="1"/>
      </w:tblPr>
      <w:tblGrid>
        <w:gridCol w:w="4154"/>
        <w:gridCol w:w="976"/>
        <w:gridCol w:w="1056"/>
        <w:gridCol w:w="1036"/>
        <w:gridCol w:w="1036"/>
        <w:gridCol w:w="962"/>
      </w:tblGrid>
      <w:tr w:rsidR="00AE165B" w:rsidRPr="00AE165B" w:rsidTr="003310B7">
        <w:trPr>
          <w:trHeight w:val="270"/>
        </w:trPr>
        <w:tc>
          <w:tcPr>
            <w:tcW w:w="418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Výdavky rozpočet verejnej správy (v eurách)</w:t>
            </w:r>
          </w:p>
        </w:tc>
        <w:tc>
          <w:tcPr>
            <w:tcW w:w="4120" w:type="dxa"/>
            <w:gridSpan w:val="4"/>
            <w:tcBorders>
              <w:top w:val="single" w:sz="8" w:space="0" w:color="auto"/>
              <w:left w:val="nil"/>
              <w:bottom w:val="single" w:sz="8" w:space="0" w:color="auto"/>
              <w:right w:val="single" w:sz="8" w:space="0" w:color="000000"/>
            </w:tcBorders>
            <w:shd w:val="clear" w:color="000000" w:fill="BFBFBF"/>
            <w:vAlign w:val="center"/>
            <w:hideMark/>
          </w:tcPr>
          <w:p w:rsidR="00AE165B" w:rsidRPr="00AE165B" w:rsidRDefault="00AE165B" w:rsidP="003310B7">
            <w:pPr>
              <w:jc w:val="center"/>
              <w:rPr>
                <w:b/>
                <w:bCs/>
                <w:sz w:val="20"/>
                <w:szCs w:val="20"/>
              </w:rPr>
            </w:pPr>
            <w:r w:rsidRPr="00AE165B">
              <w:rPr>
                <w:b/>
                <w:bCs/>
                <w:sz w:val="20"/>
                <w:szCs w:val="20"/>
              </w:rPr>
              <w:t xml:space="preserve">Vplyv na rozpočet verejnej správy                                                            </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AE165B" w:rsidRPr="00AE165B" w:rsidRDefault="00AE165B" w:rsidP="003310B7">
            <w:pPr>
              <w:jc w:val="center"/>
              <w:rPr>
                <w:sz w:val="20"/>
                <w:szCs w:val="20"/>
              </w:rPr>
            </w:pPr>
            <w:r w:rsidRPr="00AE165B">
              <w:rPr>
                <w:sz w:val="20"/>
                <w:szCs w:val="20"/>
              </w:rPr>
              <w:t>poznámka</w:t>
            </w:r>
          </w:p>
        </w:tc>
      </w:tr>
      <w:tr w:rsidR="00AE165B" w:rsidRPr="00AE165B" w:rsidTr="003310B7">
        <w:trPr>
          <w:trHeight w:val="270"/>
        </w:trPr>
        <w:tc>
          <w:tcPr>
            <w:tcW w:w="4180" w:type="dxa"/>
            <w:vMerge/>
            <w:tcBorders>
              <w:top w:val="single" w:sz="8" w:space="0" w:color="auto"/>
              <w:left w:val="single" w:sz="8" w:space="0" w:color="auto"/>
              <w:bottom w:val="single" w:sz="8" w:space="0" w:color="000000"/>
              <w:right w:val="single" w:sz="8" w:space="0" w:color="auto"/>
            </w:tcBorders>
            <w:vAlign w:val="center"/>
            <w:hideMark/>
          </w:tcPr>
          <w:p w:rsidR="00AE165B" w:rsidRPr="00AE165B" w:rsidRDefault="00AE165B" w:rsidP="003310B7">
            <w:pPr>
              <w:rPr>
                <w:b/>
                <w:bCs/>
                <w:sz w:val="20"/>
                <w:szCs w:val="20"/>
              </w:rPr>
            </w:pPr>
          </w:p>
        </w:tc>
        <w:tc>
          <w:tcPr>
            <w:tcW w:w="98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2019</w:t>
            </w:r>
          </w:p>
        </w:tc>
        <w:tc>
          <w:tcPr>
            <w:tcW w:w="106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2020</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2021</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center"/>
              <w:rPr>
                <w:b/>
                <w:bCs/>
                <w:color w:val="000000"/>
                <w:sz w:val="20"/>
                <w:szCs w:val="20"/>
              </w:rPr>
            </w:pPr>
            <w:r w:rsidRPr="00AE165B">
              <w:rPr>
                <w:b/>
                <w:bCs/>
                <w:color w:val="000000"/>
                <w:sz w:val="20"/>
                <w:szCs w:val="20"/>
              </w:rPr>
              <w:t>2022</w:t>
            </w: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AE165B" w:rsidRPr="00AE165B" w:rsidRDefault="00AE165B" w:rsidP="003310B7">
            <w:pPr>
              <w:rPr>
                <w:sz w:val="20"/>
                <w:szCs w:val="20"/>
              </w:rPr>
            </w:pP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b/>
                <w:bCs/>
                <w:sz w:val="20"/>
                <w:szCs w:val="20"/>
              </w:rPr>
            </w:pPr>
            <w:r w:rsidRPr="00AE165B">
              <w:rPr>
                <w:b/>
                <w:bCs/>
                <w:sz w:val="20"/>
                <w:szCs w:val="20"/>
              </w:rPr>
              <w:t>Bežné výdavky (600)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112 000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A4CF2" w:rsidP="003310B7">
            <w:pPr>
              <w:jc w:val="right"/>
              <w:rPr>
                <w:color w:val="000000"/>
                <w:sz w:val="20"/>
                <w:szCs w:val="20"/>
              </w:rPr>
            </w:pPr>
            <w:r>
              <w:rPr>
                <w:color w:val="000000"/>
                <w:sz w:val="20"/>
                <w:szCs w:val="20"/>
              </w:rPr>
              <w:t>150 00</w:t>
            </w:r>
            <w:r w:rsidR="00AE165B"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 xml:space="preserve">  Bežné transfery (640)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52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Transfery jednotlivcom a neziskovým právnickým osobám (642)</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85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 xml:space="preserve">  Splácanie úrokov a ostatné platby súvisiace s </w:t>
            </w:r>
            <w:r w:rsidRPr="00AE165B">
              <w:t xml:space="preserve"> </w:t>
            </w:r>
            <w:r w:rsidRPr="00AE165B">
              <w:rPr>
                <w:sz w:val="20"/>
                <w:szCs w:val="20"/>
              </w:rPr>
              <w:t>úverom, pôžičkou, návratnou finančnou výpomocou a finančným prenájmom (650)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 xml:space="preserve">  Tovary a služby (630)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112 000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A4CF2" w:rsidP="003310B7">
            <w:pPr>
              <w:jc w:val="right"/>
              <w:rPr>
                <w:color w:val="000000"/>
                <w:sz w:val="20"/>
                <w:szCs w:val="20"/>
              </w:rPr>
            </w:pPr>
            <w:r>
              <w:rPr>
                <w:color w:val="000000"/>
                <w:sz w:val="20"/>
                <w:szCs w:val="20"/>
              </w:rPr>
              <w:t>150 00</w:t>
            </w:r>
            <w:r w:rsidR="00AE165B"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sz w:val="20"/>
                <w:szCs w:val="20"/>
              </w:rPr>
            </w:pPr>
            <w:r w:rsidRPr="00AE165B">
              <w:rPr>
                <w:sz w:val="20"/>
                <w:szCs w:val="20"/>
              </w:rPr>
              <w:t>Rutinná a štandardná údržba (635)</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112 000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A4CF2" w:rsidP="003310B7">
            <w:pPr>
              <w:jc w:val="right"/>
              <w:rPr>
                <w:color w:val="000000"/>
                <w:sz w:val="20"/>
                <w:szCs w:val="20"/>
              </w:rPr>
            </w:pPr>
            <w:r>
              <w:rPr>
                <w:color w:val="000000"/>
                <w:sz w:val="20"/>
                <w:szCs w:val="20"/>
              </w:rPr>
              <w:t>150 00</w:t>
            </w:r>
            <w:r w:rsidR="00AE165B"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b/>
                <w:bCs/>
                <w:sz w:val="20"/>
                <w:szCs w:val="20"/>
              </w:rPr>
            </w:pPr>
            <w:r w:rsidRPr="00AE165B">
              <w:rPr>
                <w:b/>
                <w:bCs/>
                <w:sz w:val="20"/>
                <w:szCs w:val="20"/>
              </w:rPr>
              <w:t>Kapitálové výdavky (700)</w:t>
            </w:r>
          </w:p>
        </w:tc>
        <w:tc>
          <w:tcPr>
            <w:tcW w:w="98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1040" w:type="dxa"/>
            <w:tcBorders>
              <w:top w:val="nil"/>
              <w:left w:val="nil"/>
              <w:bottom w:val="single" w:sz="8" w:space="0" w:color="auto"/>
              <w:right w:val="single" w:sz="8" w:space="0" w:color="auto"/>
            </w:tcBorders>
            <w:shd w:val="clear" w:color="auto" w:fill="auto"/>
            <w:vAlign w:val="center"/>
            <w:hideMark/>
          </w:tcPr>
          <w:p w:rsidR="00AE165B" w:rsidRPr="00AE165B" w:rsidRDefault="00AE165B" w:rsidP="003310B7">
            <w:pPr>
              <w:jc w:val="right"/>
              <w:rPr>
                <w:color w:val="000000"/>
                <w:sz w:val="20"/>
                <w:szCs w:val="20"/>
              </w:rPr>
            </w:pPr>
            <w:r w:rsidRPr="00AE165B">
              <w:rPr>
                <w:color w:val="000000"/>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525"/>
        </w:trPr>
        <w:tc>
          <w:tcPr>
            <w:tcW w:w="4180" w:type="dxa"/>
            <w:tcBorders>
              <w:top w:val="nil"/>
              <w:left w:val="single" w:sz="8" w:space="0" w:color="auto"/>
              <w:bottom w:val="single" w:sz="8" w:space="0" w:color="auto"/>
              <w:right w:val="single" w:sz="8" w:space="0" w:color="auto"/>
            </w:tcBorders>
            <w:shd w:val="clear" w:color="auto" w:fill="auto"/>
            <w:vAlign w:val="center"/>
            <w:hideMark/>
          </w:tcPr>
          <w:p w:rsidR="00AE165B" w:rsidRPr="00AE165B" w:rsidRDefault="00AE165B" w:rsidP="003310B7">
            <w:pPr>
              <w:rPr>
                <w:b/>
                <w:bCs/>
                <w:sz w:val="20"/>
                <w:szCs w:val="20"/>
              </w:rPr>
            </w:pPr>
            <w:r w:rsidRPr="00AE165B">
              <w:rPr>
                <w:b/>
                <w:bCs/>
                <w:sz w:val="20"/>
                <w:szCs w:val="20"/>
              </w:rPr>
              <w:t>Výdavky z transakcií s finančnými aktívami a finančnými pasívami (800)</w:t>
            </w:r>
          </w:p>
        </w:tc>
        <w:tc>
          <w:tcPr>
            <w:tcW w:w="98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106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1040" w:type="dxa"/>
            <w:tcBorders>
              <w:top w:val="nil"/>
              <w:left w:val="nil"/>
              <w:bottom w:val="single" w:sz="8" w:space="0" w:color="auto"/>
              <w:right w:val="single" w:sz="8" w:space="0" w:color="auto"/>
            </w:tcBorders>
            <w:shd w:val="clear" w:color="000000" w:fill="FFFF99"/>
            <w:vAlign w:val="center"/>
            <w:hideMark/>
          </w:tcPr>
          <w:p w:rsidR="00AE165B" w:rsidRPr="00AE165B" w:rsidRDefault="00AE165B" w:rsidP="003310B7">
            <w:pPr>
              <w:jc w:val="right"/>
              <w:rPr>
                <w:b/>
                <w:bCs/>
                <w:sz w:val="20"/>
                <w:szCs w:val="20"/>
              </w:rPr>
            </w:pPr>
            <w:r w:rsidRPr="00AE165B">
              <w:rPr>
                <w:b/>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E165B" w:rsidRPr="00AE165B" w:rsidRDefault="00AE165B" w:rsidP="003310B7">
            <w:r w:rsidRPr="00AE165B">
              <w:t> </w:t>
            </w:r>
          </w:p>
        </w:tc>
      </w:tr>
      <w:tr w:rsidR="00AE165B" w:rsidRPr="00AE165B" w:rsidTr="003310B7">
        <w:trPr>
          <w:trHeight w:val="330"/>
        </w:trPr>
        <w:tc>
          <w:tcPr>
            <w:tcW w:w="4180" w:type="dxa"/>
            <w:tcBorders>
              <w:top w:val="nil"/>
              <w:left w:val="single" w:sz="8" w:space="0" w:color="auto"/>
              <w:bottom w:val="single" w:sz="8" w:space="0" w:color="auto"/>
              <w:right w:val="single" w:sz="8" w:space="0" w:color="auto"/>
            </w:tcBorders>
            <w:shd w:val="clear" w:color="000000" w:fill="BFBFBF"/>
            <w:vAlign w:val="center"/>
            <w:hideMark/>
          </w:tcPr>
          <w:p w:rsidR="00AE165B" w:rsidRPr="00AE165B" w:rsidRDefault="00AE165B" w:rsidP="003310B7">
            <w:pPr>
              <w:rPr>
                <w:b/>
                <w:bCs/>
                <w:sz w:val="20"/>
                <w:szCs w:val="20"/>
              </w:rPr>
            </w:pPr>
            <w:r w:rsidRPr="00AE165B">
              <w:rPr>
                <w:b/>
                <w:bCs/>
                <w:sz w:val="20"/>
                <w:szCs w:val="20"/>
              </w:rPr>
              <w:t>Dopad na výdavky verejnej správy celkom</w:t>
            </w:r>
          </w:p>
        </w:tc>
        <w:tc>
          <w:tcPr>
            <w:tcW w:w="98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112 000</w:t>
            </w:r>
          </w:p>
        </w:tc>
        <w:tc>
          <w:tcPr>
            <w:tcW w:w="1060" w:type="dxa"/>
            <w:tcBorders>
              <w:top w:val="nil"/>
              <w:left w:val="nil"/>
              <w:bottom w:val="single" w:sz="8" w:space="0" w:color="auto"/>
              <w:right w:val="single" w:sz="8" w:space="0" w:color="auto"/>
            </w:tcBorders>
            <w:shd w:val="clear" w:color="000000" w:fill="BFBFBF"/>
            <w:vAlign w:val="center"/>
            <w:hideMark/>
          </w:tcPr>
          <w:p w:rsidR="00AE165B" w:rsidRPr="00AE165B" w:rsidRDefault="00AA4CF2" w:rsidP="003310B7">
            <w:pPr>
              <w:jc w:val="right"/>
              <w:rPr>
                <w:b/>
                <w:bCs/>
                <w:color w:val="000000"/>
                <w:sz w:val="20"/>
                <w:szCs w:val="20"/>
              </w:rPr>
            </w:pPr>
            <w:r>
              <w:rPr>
                <w:b/>
                <w:bCs/>
                <w:color w:val="000000"/>
                <w:sz w:val="20"/>
                <w:szCs w:val="20"/>
              </w:rPr>
              <w:t>150 00</w:t>
            </w:r>
            <w:r w:rsidR="00AE165B"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1040" w:type="dxa"/>
            <w:tcBorders>
              <w:top w:val="nil"/>
              <w:left w:val="nil"/>
              <w:bottom w:val="single" w:sz="8" w:space="0" w:color="auto"/>
              <w:right w:val="single" w:sz="8" w:space="0" w:color="auto"/>
            </w:tcBorders>
            <w:shd w:val="clear" w:color="000000" w:fill="BFBFBF"/>
            <w:vAlign w:val="center"/>
            <w:hideMark/>
          </w:tcPr>
          <w:p w:rsidR="00AE165B" w:rsidRPr="00AE165B" w:rsidRDefault="00AE165B" w:rsidP="003310B7">
            <w:pPr>
              <w:jc w:val="right"/>
              <w:rPr>
                <w:b/>
                <w:bCs/>
                <w:color w:val="000000"/>
                <w:sz w:val="20"/>
                <w:szCs w:val="20"/>
              </w:rPr>
            </w:pPr>
            <w:r w:rsidRPr="00AE165B">
              <w:rPr>
                <w:b/>
                <w:bCs/>
                <w:color w:val="000000"/>
                <w:sz w:val="20"/>
                <w:szCs w:val="20"/>
              </w:rPr>
              <w:t>0</w:t>
            </w:r>
          </w:p>
        </w:tc>
        <w:tc>
          <w:tcPr>
            <w:tcW w:w="920" w:type="dxa"/>
            <w:tcBorders>
              <w:top w:val="nil"/>
              <w:left w:val="nil"/>
              <w:bottom w:val="single" w:sz="8" w:space="0" w:color="auto"/>
              <w:right w:val="single" w:sz="8" w:space="0" w:color="auto"/>
            </w:tcBorders>
            <w:shd w:val="clear" w:color="000000" w:fill="BFBFBF"/>
            <w:noWrap/>
            <w:vAlign w:val="center"/>
            <w:hideMark/>
          </w:tcPr>
          <w:p w:rsidR="00AE165B" w:rsidRPr="00AE165B" w:rsidRDefault="00AE165B" w:rsidP="003310B7">
            <w:r w:rsidRPr="00AE165B">
              <w:t> </w:t>
            </w:r>
          </w:p>
        </w:tc>
      </w:tr>
    </w:tbl>
    <w:p w:rsidR="00AE165B" w:rsidRPr="00AE165B" w:rsidRDefault="00AE165B" w:rsidP="00AE165B"/>
    <w:p w:rsidR="00AE165B" w:rsidRPr="00AE165B" w:rsidRDefault="00AE165B" w:rsidP="00AE165B">
      <w:pPr>
        <w:jc w:val="right"/>
      </w:pPr>
    </w:p>
    <w:p w:rsidR="00AE165B" w:rsidRPr="00AE165B" w:rsidRDefault="00AE165B" w:rsidP="00AE165B">
      <w:pPr>
        <w:tabs>
          <w:tab w:val="num" w:pos="1080"/>
        </w:tabs>
        <w:jc w:val="both"/>
        <w:rPr>
          <w:bCs/>
        </w:rPr>
      </w:pPr>
    </w:p>
    <w:p w:rsidR="00AE165B" w:rsidRPr="00AE165B" w:rsidRDefault="00AE165B" w:rsidP="00AE165B">
      <w:pPr>
        <w:tabs>
          <w:tab w:val="num" w:pos="1080"/>
        </w:tabs>
        <w:jc w:val="right"/>
        <w:rPr>
          <w:bCs/>
        </w:rPr>
      </w:pPr>
      <w:r w:rsidRPr="00AE165B">
        <w:rPr>
          <w:bCs/>
        </w:rPr>
        <w:t xml:space="preserve"> Tabuľka č. 5</w:t>
      </w:r>
    </w:p>
    <w:tbl>
      <w:tblPr>
        <w:tblW w:w="9104" w:type="dxa"/>
        <w:jc w:val="center"/>
        <w:tblCellMar>
          <w:left w:w="70" w:type="dxa"/>
          <w:right w:w="70" w:type="dxa"/>
        </w:tblCellMar>
        <w:tblLook w:val="04A0" w:firstRow="1" w:lastRow="0" w:firstColumn="1" w:lastColumn="0" w:noHBand="0" w:noVBand="1"/>
      </w:tblPr>
      <w:tblGrid>
        <w:gridCol w:w="3956"/>
        <w:gridCol w:w="783"/>
        <w:gridCol w:w="1117"/>
        <w:gridCol w:w="1117"/>
        <w:gridCol w:w="1117"/>
        <w:gridCol w:w="1120"/>
      </w:tblGrid>
      <w:tr w:rsidR="00AE165B" w:rsidRPr="00AE165B" w:rsidTr="003310B7">
        <w:trPr>
          <w:trHeight w:val="255"/>
          <w:jc w:val="center"/>
        </w:trPr>
        <w:tc>
          <w:tcPr>
            <w:tcW w:w="3984"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AE165B" w:rsidRPr="00AE165B" w:rsidRDefault="00AE165B" w:rsidP="003310B7">
            <w:pPr>
              <w:rPr>
                <w:b/>
                <w:bCs/>
                <w:color w:val="000000"/>
              </w:rPr>
            </w:pPr>
            <w:r w:rsidRPr="00AE165B">
              <w:rPr>
                <w:b/>
                <w:bCs/>
                <w:color w:val="000000"/>
              </w:rPr>
              <w:t>Zamestnanosť</w:t>
            </w:r>
          </w:p>
        </w:tc>
        <w:tc>
          <w:tcPr>
            <w:tcW w:w="4160" w:type="dxa"/>
            <w:gridSpan w:val="4"/>
            <w:tcBorders>
              <w:top w:val="single" w:sz="4" w:space="0" w:color="auto"/>
              <w:left w:val="nil"/>
              <w:bottom w:val="single" w:sz="4" w:space="0" w:color="auto"/>
              <w:right w:val="single" w:sz="4" w:space="0" w:color="auto"/>
            </w:tcBorders>
            <w:shd w:val="clear" w:color="000000" w:fill="A6A6A6"/>
            <w:noWrap/>
            <w:vAlign w:val="center"/>
            <w:hideMark/>
          </w:tcPr>
          <w:p w:rsidR="00AE165B" w:rsidRPr="00AE165B" w:rsidRDefault="00AE165B" w:rsidP="003310B7">
            <w:pPr>
              <w:jc w:val="center"/>
              <w:rPr>
                <w:b/>
                <w:bCs/>
                <w:color w:val="000000"/>
              </w:rPr>
            </w:pPr>
            <w:r w:rsidRPr="00AE165B">
              <w:rPr>
                <w:b/>
                <w:bCs/>
                <w:color w:val="000000"/>
              </w:rPr>
              <w:t>Vplyv na rozpočet verejnej správy</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AE165B" w:rsidRPr="00AE165B" w:rsidRDefault="00AE165B" w:rsidP="003310B7">
            <w:pPr>
              <w:rPr>
                <w:color w:val="000000"/>
              </w:rPr>
            </w:pPr>
            <w:r w:rsidRPr="00AE165B">
              <w:rPr>
                <w:color w:val="000000"/>
              </w:rPr>
              <w:t>poznámka</w:t>
            </w:r>
          </w:p>
        </w:tc>
      </w:tr>
      <w:tr w:rsidR="00AE165B" w:rsidRPr="00AE165B" w:rsidTr="003310B7">
        <w:trPr>
          <w:trHeight w:val="255"/>
          <w:jc w:val="center"/>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AE165B" w:rsidRPr="00AE165B" w:rsidRDefault="00AE165B" w:rsidP="003310B7">
            <w:pPr>
              <w:rPr>
                <w:b/>
                <w:bCs/>
                <w:color w:val="000000"/>
              </w:rPr>
            </w:pPr>
          </w:p>
        </w:tc>
        <w:tc>
          <w:tcPr>
            <w:tcW w:w="788" w:type="dxa"/>
            <w:tcBorders>
              <w:top w:val="nil"/>
              <w:left w:val="nil"/>
              <w:bottom w:val="single" w:sz="4" w:space="0" w:color="auto"/>
              <w:right w:val="single" w:sz="4" w:space="0" w:color="auto"/>
            </w:tcBorders>
            <w:shd w:val="clear" w:color="000000" w:fill="A6A6A6"/>
            <w:noWrap/>
            <w:vAlign w:val="center"/>
            <w:hideMark/>
          </w:tcPr>
          <w:p w:rsidR="00AE165B" w:rsidRPr="00AE165B" w:rsidRDefault="00AE165B" w:rsidP="003310B7">
            <w:pPr>
              <w:jc w:val="center"/>
              <w:rPr>
                <w:b/>
                <w:bCs/>
                <w:color w:val="000000"/>
              </w:rPr>
            </w:pPr>
            <w:r w:rsidRPr="00AE165B">
              <w:rPr>
                <w:b/>
                <w:bCs/>
                <w:color w:val="000000"/>
              </w:rPr>
              <w:t>2019</w:t>
            </w:r>
          </w:p>
        </w:tc>
        <w:tc>
          <w:tcPr>
            <w:tcW w:w="1124" w:type="dxa"/>
            <w:tcBorders>
              <w:top w:val="nil"/>
              <w:left w:val="nil"/>
              <w:bottom w:val="single" w:sz="4" w:space="0" w:color="auto"/>
              <w:right w:val="single" w:sz="4" w:space="0" w:color="auto"/>
            </w:tcBorders>
            <w:shd w:val="clear" w:color="000000" w:fill="A6A6A6"/>
            <w:noWrap/>
            <w:vAlign w:val="center"/>
            <w:hideMark/>
          </w:tcPr>
          <w:p w:rsidR="00AE165B" w:rsidRPr="00AE165B" w:rsidRDefault="00AE165B" w:rsidP="003310B7">
            <w:pPr>
              <w:jc w:val="center"/>
              <w:rPr>
                <w:b/>
                <w:bCs/>
                <w:color w:val="000000"/>
              </w:rPr>
            </w:pPr>
            <w:r w:rsidRPr="00AE165B">
              <w:rPr>
                <w:b/>
                <w:bCs/>
                <w:color w:val="000000"/>
              </w:rPr>
              <w:t>2020</w:t>
            </w:r>
          </w:p>
        </w:tc>
        <w:tc>
          <w:tcPr>
            <w:tcW w:w="1124" w:type="dxa"/>
            <w:tcBorders>
              <w:top w:val="nil"/>
              <w:left w:val="nil"/>
              <w:bottom w:val="single" w:sz="4" w:space="0" w:color="auto"/>
              <w:right w:val="single" w:sz="4" w:space="0" w:color="auto"/>
            </w:tcBorders>
            <w:shd w:val="clear" w:color="000000" w:fill="A6A6A6"/>
            <w:noWrap/>
            <w:vAlign w:val="center"/>
            <w:hideMark/>
          </w:tcPr>
          <w:p w:rsidR="00AE165B" w:rsidRPr="00AE165B" w:rsidRDefault="00AE165B" w:rsidP="003310B7">
            <w:pPr>
              <w:jc w:val="center"/>
              <w:rPr>
                <w:b/>
                <w:bCs/>
                <w:color w:val="000000"/>
              </w:rPr>
            </w:pPr>
            <w:r w:rsidRPr="00AE165B">
              <w:rPr>
                <w:b/>
                <w:bCs/>
                <w:color w:val="000000"/>
              </w:rPr>
              <w:t>2021</w:t>
            </w:r>
          </w:p>
        </w:tc>
        <w:tc>
          <w:tcPr>
            <w:tcW w:w="1124" w:type="dxa"/>
            <w:tcBorders>
              <w:top w:val="nil"/>
              <w:left w:val="nil"/>
              <w:bottom w:val="single" w:sz="4" w:space="0" w:color="auto"/>
              <w:right w:val="single" w:sz="4" w:space="0" w:color="auto"/>
            </w:tcBorders>
            <w:shd w:val="clear" w:color="000000" w:fill="A6A6A6"/>
            <w:noWrap/>
            <w:vAlign w:val="center"/>
            <w:hideMark/>
          </w:tcPr>
          <w:p w:rsidR="00AE165B" w:rsidRPr="00AE165B" w:rsidRDefault="00AE165B" w:rsidP="003310B7">
            <w:pPr>
              <w:jc w:val="center"/>
              <w:rPr>
                <w:b/>
                <w:bCs/>
                <w:color w:val="000000"/>
              </w:rPr>
            </w:pPr>
            <w:r w:rsidRPr="00AE165B">
              <w:rPr>
                <w:b/>
                <w:bCs/>
                <w:color w:val="000000"/>
              </w:rPr>
              <w:t>2022</w:t>
            </w:r>
          </w:p>
        </w:tc>
        <w:tc>
          <w:tcPr>
            <w:tcW w:w="960" w:type="dxa"/>
            <w:tcBorders>
              <w:top w:val="nil"/>
              <w:left w:val="nil"/>
              <w:bottom w:val="single" w:sz="4" w:space="0" w:color="auto"/>
              <w:right w:val="single" w:sz="4" w:space="0" w:color="auto"/>
            </w:tcBorders>
            <w:shd w:val="clear" w:color="000000" w:fill="A6A6A6"/>
            <w:noWrap/>
            <w:vAlign w:val="center"/>
            <w:hideMark/>
          </w:tcPr>
          <w:p w:rsidR="00AE165B" w:rsidRPr="00AE165B" w:rsidRDefault="00AE165B" w:rsidP="003310B7">
            <w:pPr>
              <w:rPr>
                <w:color w:val="000000"/>
              </w:rPr>
            </w:pPr>
            <w:r w:rsidRPr="00AE165B">
              <w:rPr>
                <w:color w:val="000000"/>
              </w:rPr>
              <w:t> </w:t>
            </w:r>
          </w:p>
        </w:tc>
      </w:tr>
      <w:tr w:rsidR="00AE165B" w:rsidRPr="00AE165B" w:rsidTr="003310B7">
        <w:trPr>
          <w:trHeight w:val="255"/>
          <w:jc w:val="center"/>
        </w:trPr>
        <w:tc>
          <w:tcPr>
            <w:tcW w:w="3984" w:type="dxa"/>
            <w:tcBorders>
              <w:top w:val="nil"/>
              <w:left w:val="single" w:sz="4" w:space="0" w:color="auto"/>
              <w:bottom w:val="single" w:sz="4" w:space="0" w:color="auto"/>
              <w:right w:val="single" w:sz="4" w:space="0" w:color="auto"/>
            </w:tcBorders>
            <w:noWrap/>
            <w:vAlign w:val="bottom"/>
            <w:hideMark/>
          </w:tcPr>
          <w:p w:rsidR="00AE165B" w:rsidRPr="00AE165B" w:rsidRDefault="00AE165B" w:rsidP="003310B7">
            <w:r w:rsidRPr="00AE165B">
              <w:lastRenderedPageBreak/>
              <w:t>Počet zamestnancov celkom</w:t>
            </w:r>
          </w:p>
        </w:tc>
        <w:tc>
          <w:tcPr>
            <w:tcW w:w="788" w:type="dxa"/>
            <w:tcBorders>
              <w:top w:val="nil"/>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960" w:type="dxa"/>
            <w:tcBorders>
              <w:top w:val="nil"/>
              <w:left w:val="nil"/>
              <w:bottom w:val="single" w:sz="4" w:space="0" w:color="auto"/>
              <w:right w:val="single" w:sz="4" w:space="0" w:color="auto"/>
            </w:tcBorders>
            <w:noWrap/>
            <w:vAlign w:val="bottom"/>
            <w:hideMark/>
          </w:tcPr>
          <w:p w:rsidR="00AE165B" w:rsidRPr="00AE165B" w:rsidRDefault="00AE165B" w:rsidP="003310B7">
            <w:r w:rsidRPr="00AE165B">
              <w:t> </w:t>
            </w:r>
          </w:p>
        </w:tc>
      </w:tr>
      <w:tr w:rsidR="00AE165B" w:rsidRPr="00AE165B" w:rsidTr="003310B7">
        <w:trPr>
          <w:trHeight w:val="255"/>
          <w:jc w:val="center"/>
        </w:trPr>
        <w:tc>
          <w:tcPr>
            <w:tcW w:w="3984" w:type="dxa"/>
            <w:tcBorders>
              <w:top w:val="nil"/>
              <w:left w:val="single" w:sz="4" w:space="0" w:color="auto"/>
              <w:bottom w:val="single" w:sz="4" w:space="0" w:color="auto"/>
              <w:right w:val="single" w:sz="4" w:space="0" w:color="auto"/>
            </w:tcBorders>
            <w:noWrap/>
            <w:vAlign w:val="bottom"/>
            <w:hideMark/>
          </w:tcPr>
          <w:p w:rsidR="00AE165B" w:rsidRPr="00AE165B" w:rsidRDefault="00AE165B" w:rsidP="003310B7">
            <w:r w:rsidRPr="00AE165B">
              <w:t>Priemerný mzdový výdavkov (v eurách)</w:t>
            </w:r>
          </w:p>
        </w:tc>
        <w:tc>
          <w:tcPr>
            <w:tcW w:w="788" w:type="dxa"/>
            <w:tcBorders>
              <w:top w:val="nil"/>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960" w:type="dxa"/>
            <w:tcBorders>
              <w:top w:val="nil"/>
              <w:left w:val="nil"/>
              <w:bottom w:val="single" w:sz="4" w:space="0" w:color="auto"/>
              <w:right w:val="single" w:sz="4" w:space="0" w:color="auto"/>
            </w:tcBorders>
            <w:noWrap/>
            <w:vAlign w:val="bottom"/>
            <w:hideMark/>
          </w:tcPr>
          <w:p w:rsidR="00AE165B" w:rsidRPr="00AE165B" w:rsidRDefault="00AE165B" w:rsidP="003310B7">
            <w:r w:rsidRPr="00AE165B">
              <w:t> </w:t>
            </w:r>
          </w:p>
        </w:tc>
      </w:tr>
      <w:tr w:rsidR="00AE165B" w:rsidRPr="00AE165B" w:rsidTr="003310B7">
        <w:trPr>
          <w:trHeight w:val="255"/>
          <w:jc w:val="center"/>
        </w:trPr>
        <w:tc>
          <w:tcPr>
            <w:tcW w:w="3984" w:type="dxa"/>
            <w:tcBorders>
              <w:top w:val="nil"/>
              <w:left w:val="single" w:sz="4" w:space="0" w:color="auto"/>
              <w:bottom w:val="single" w:sz="4" w:space="0" w:color="auto"/>
              <w:right w:val="single" w:sz="4" w:space="0" w:color="auto"/>
            </w:tcBorders>
            <w:shd w:val="clear" w:color="000000" w:fill="A6A6A6"/>
            <w:noWrap/>
            <w:vAlign w:val="center"/>
            <w:hideMark/>
          </w:tcPr>
          <w:p w:rsidR="00AE165B" w:rsidRPr="00AE165B" w:rsidRDefault="00AE165B" w:rsidP="003310B7">
            <w:pPr>
              <w:rPr>
                <w:b/>
                <w:bCs/>
                <w:color w:val="000000"/>
              </w:rPr>
            </w:pPr>
            <w:r w:rsidRPr="00AE165B">
              <w:rPr>
                <w:b/>
                <w:bCs/>
                <w:color w:val="000000"/>
              </w:rPr>
              <w:t>Osobné výdavky celkom (v eurách)</w:t>
            </w:r>
          </w:p>
        </w:tc>
        <w:tc>
          <w:tcPr>
            <w:tcW w:w="788" w:type="dxa"/>
            <w:tcBorders>
              <w:top w:val="nil"/>
              <w:left w:val="nil"/>
              <w:bottom w:val="nil"/>
              <w:right w:val="single" w:sz="4" w:space="0" w:color="auto"/>
            </w:tcBorders>
            <w:shd w:val="clear" w:color="000000" w:fill="A6A6A6"/>
            <w:noWrap/>
            <w:vAlign w:val="bottom"/>
            <w:hideMark/>
          </w:tcPr>
          <w:p w:rsidR="00AE165B" w:rsidRPr="00AE165B" w:rsidRDefault="00AE165B" w:rsidP="003310B7">
            <w:pPr>
              <w:jc w:val="right"/>
            </w:pPr>
            <w:r w:rsidRPr="00AE165B">
              <w:t>0</w:t>
            </w:r>
          </w:p>
        </w:tc>
        <w:tc>
          <w:tcPr>
            <w:tcW w:w="1124" w:type="dxa"/>
            <w:tcBorders>
              <w:top w:val="nil"/>
              <w:left w:val="nil"/>
              <w:bottom w:val="nil"/>
              <w:right w:val="single" w:sz="4" w:space="0" w:color="auto"/>
            </w:tcBorders>
            <w:shd w:val="clear" w:color="000000" w:fill="A6A6A6"/>
            <w:noWrap/>
            <w:vAlign w:val="bottom"/>
            <w:hideMark/>
          </w:tcPr>
          <w:p w:rsidR="00AE165B" w:rsidRPr="00AE165B" w:rsidRDefault="00AE165B" w:rsidP="003310B7">
            <w:pPr>
              <w:jc w:val="right"/>
            </w:pPr>
            <w:r w:rsidRPr="00AE165B">
              <w:t>0</w:t>
            </w:r>
          </w:p>
        </w:tc>
        <w:tc>
          <w:tcPr>
            <w:tcW w:w="1124" w:type="dxa"/>
            <w:tcBorders>
              <w:top w:val="nil"/>
              <w:left w:val="nil"/>
              <w:bottom w:val="nil"/>
              <w:right w:val="single" w:sz="4" w:space="0" w:color="auto"/>
            </w:tcBorders>
            <w:shd w:val="clear" w:color="000000" w:fill="A6A6A6"/>
            <w:noWrap/>
            <w:vAlign w:val="bottom"/>
          </w:tcPr>
          <w:p w:rsidR="00AE165B" w:rsidRPr="00AE165B" w:rsidRDefault="00AE165B" w:rsidP="003310B7">
            <w:pPr>
              <w:jc w:val="right"/>
            </w:pPr>
            <w:r w:rsidRPr="00AE165B">
              <w:t>0</w:t>
            </w:r>
          </w:p>
        </w:tc>
        <w:tc>
          <w:tcPr>
            <w:tcW w:w="1124" w:type="dxa"/>
            <w:tcBorders>
              <w:top w:val="nil"/>
              <w:left w:val="nil"/>
              <w:bottom w:val="nil"/>
              <w:right w:val="single" w:sz="4" w:space="0" w:color="auto"/>
            </w:tcBorders>
            <w:shd w:val="clear" w:color="000000" w:fill="A6A6A6"/>
            <w:noWrap/>
            <w:vAlign w:val="bottom"/>
          </w:tcPr>
          <w:p w:rsidR="00AE165B" w:rsidRPr="00AE165B" w:rsidRDefault="00AE165B" w:rsidP="003310B7">
            <w:pPr>
              <w:jc w:val="right"/>
            </w:pPr>
            <w:r w:rsidRPr="00AE165B">
              <w:t>0</w:t>
            </w:r>
          </w:p>
        </w:tc>
        <w:tc>
          <w:tcPr>
            <w:tcW w:w="960" w:type="dxa"/>
            <w:tcBorders>
              <w:top w:val="nil"/>
              <w:left w:val="nil"/>
              <w:bottom w:val="nil"/>
              <w:right w:val="single" w:sz="4" w:space="0" w:color="auto"/>
            </w:tcBorders>
            <w:shd w:val="clear" w:color="000000" w:fill="A6A6A6"/>
            <w:noWrap/>
            <w:vAlign w:val="bottom"/>
            <w:hideMark/>
          </w:tcPr>
          <w:p w:rsidR="00AE165B" w:rsidRPr="00AE165B" w:rsidRDefault="00AE165B" w:rsidP="003310B7">
            <w:r w:rsidRPr="00AE165B">
              <w:t> </w:t>
            </w:r>
          </w:p>
        </w:tc>
      </w:tr>
      <w:tr w:rsidR="00AE165B" w:rsidRPr="00AE165B" w:rsidTr="003310B7">
        <w:trPr>
          <w:trHeight w:val="510"/>
          <w:jc w:val="center"/>
        </w:trPr>
        <w:tc>
          <w:tcPr>
            <w:tcW w:w="3984" w:type="dxa"/>
            <w:tcBorders>
              <w:top w:val="nil"/>
              <w:left w:val="single" w:sz="4" w:space="0" w:color="auto"/>
              <w:bottom w:val="single" w:sz="4" w:space="0" w:color="auto"/>
              <w:right w:val="single" w:sz="4" w:space="0" w:color="auto"/>
            </w:tcBorders>
            <w:vAlign w:val="bottom"/>
            <w:hideMark/>
          </w:tcPr>
          <w:p w:rsidR="00AE165B" w:rsidRPr="00AE165B" w:rsidRDefault="00AE165B" w:rsidP="003310B7">
            <w:r w:rsidRPr="00AE165B">
              <w:t>Mzdy, platy, služobné príjmy a ostatné osobné vyrovnania (610)</w:t>
            </w:r>
          </w:p>
        </w:tc>
        <w:tc>
          <w:tcPr>
            <w:tcW w:w="788" w:type="dxa"/>
            <w:tcBorders>
              <w:top w:val="single" w:sz="4" w:space="0" w:color="auto"/>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single" w:sz="4" w:space="0" w:color="auto"/>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single" w:sz="4" w:space="0" w:color="auto"/>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1124" w:type="dxa"/>
            <w:tcBorders>
              <w:top w:val="single" w:sz="4" w:space="0" w:color="auto"/>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960" w:type="dxa"/>
            <w:tcBorders>
              <w:top w:val="single" w:sz="4" w:space="0" w:color="auto"/>
              <w:left w:val="nil"/>
              <w:bottom w:val="single" w:sz="4" w:space="0" w:color="auto"/>
              <w:right w:val="single" w:sz="4" w:space="0" w:color="auto"/>
            </w:tcBorders>
            <w:noWrap/>
            <w:vAlign w:val="bottom"/>
            <w:hideMark/>
          </w:tcPr>
          <w:p w:rsidR="00AE165B" w:rsidRPr="00AE165B" w:rsidRDefault="00AE165B" w:rsidP="003310B7">
            <w:r w:rsidRPr="00AE165B">
              <w:t> </w:t>
            </w:r>
          </w:p>
        </w:tc>
      </w:tr>
      <w:tr w:rsidR="00AE165B" w:rsidRPr="00AE165B" w:rsidTr="003310B7">
        <w:trPr>
          <w:trHeight w:val="255"/>
          <w:jc w:val="center"/>
        </w:trPr>
        <w:tc>
          <w:tcPr>
            <w:tcW w:w="3984" w:type="dxa"/>
            <w:tcBorders>
              <w:top w:val="nil"/>
              <w:left w:val="single" w:sz="4" w:space="0" w:color="auto"/>
              <w:bottom w:val="single" w:sz="4" w:space="0" w:color="auto"/>
              <w:right w:val="single" w:sz="4" w:space="0" w:color="auto"/>
            </w:tcBorders>
            <w:noWrap/>
            <w:vAlign w:val="bottom"/>
            <w:hideMark/>
          </w:tcPr>
          <w:p w:rsidR="00AE165B" w:rsidRPr="00AE165B" w:rsidRDefault="00AE165B" w:rsidP="003310B7">
            <w:r w:rsidRPr="00AE165B">
              <w:t>Poistné a príspevok do poisťovní (620)</w:t>
            </w:r>
          </w:p>
        </w:tc>
        <w:tc>
          <w:tcPr>
            <w:tcW w:w="788" w:type="dxa"/>
            <w:tcBorders>
              <w:top w:val="nil"/>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hideMark/>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1124" w:type="dxa"/>
            <w:tcBorders>
              <w:top w:val="nil"/>
              <w:left w:val="nil"/>
              <w:bottom w:val="single" w:sz="4" w:space="0" w:color="auto"/>
              <w:right w:val="single" w:sz="4" w:space="0" w:color="auto"/>
            </w:tcBorders>
            <w:noWrap/>
            <w:vAlign w:val="bottom"/>
          </w:tcPr>
          <w:p w:rsidR="00AE165B" w:rsidRPr="00AE165B" w:rsidRDefault="00AE165B" w:rsidP="003310B7">
            <w:pPr>
              <w:jc w:val="right"/>
            </w:pPr>
            <w:r w:rsidRPr="00AE165B">
              <w:t>0</w:t>
            </w:r>
          </w:p>
        </w:tc>
        <w:tc>
          <w:tcPr>
            <w:tcW w:w="960" w:type="dxa"/>
            <w:tcBorders>
              <w:top w:val="nil"/>
              <w:left w:val="nil"/>
              <w:bottom w:val="single" w:sz="4" w:space="0" w:color="auto"/>
              <w:right w:val="single" w:sz="4" w:space="0" w:color="auto"/>
            </w:tcBorders>
            <w:noWrap/>
            <w:vAlign w:val="bottom"/>
            <w:hideMark/>
          </w:tcPr>
          <w:p w:rsidR="00AE165B" w:rsidRPr="00AE165B" w:rsidRDefault="00AE165B" w:rsidP="003310B7">
            <w:r w:rsidRPr="00AE165B">
              <w:t> </w:t>
            </w:r>
          </w:p>
        </w:tc>
      </w:tr>
    </w:tbl>
    <w:p w:rsidR="00AE165B" w:rsidRPr="00AE165B" w:rsidRDefault="00AE165B" w:rsidP="00AE165B"/>
    <w:p w:rsidR="005F4680" w:rsidRDefault="005F4680" w:rsidP="005F4680">
      <w:pPr>
        <w:jc w:val="both"/>
        <w:rPr>
          <w:b/>
          <w:bCs/>
          <w:caps/>
          <w:color w:val="000000"/>
          <w:spacing w:val="30"/>
          <w:sz w:val="23"/>
          <w:szCs w:val="23"/>
        </w:rPr>
      </w:pPr>
    </w:p>
    <w:p w:rsidR="005F4680" w:rsidRDefault="005F4680"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Default="009040FD" w:rsidP="005F4680">
      <w:pPr>
        <w:jc w:val="both"/>
        <w:rPr>
          <w:b/>
          <w:bCs/>
          <w:caps/>
          <w:color w:val="000000"/>
          <w:spacing w:val="30"/>
          <w:sz w:val="23"/>
          <w:szCs w:val="23"/>
        </w:rPr>
      </w:pPr>
    </w:p>
    <w:p w:rsidR="009040FD" w:rsidRPr="00AE165B" w:rsidRDefault="009040FD" w:rsidP="005F4680">
      <w:pPr>
        <w:jc w:val="both"/>
        <w:rPr>
          <w:b/>
          <w:bCs/>
          <w:caps/>
          <w:color w:val="000000"/>
          <w:spacing w:val="30"/>
          <w:sz w:val="23"/>
          <w:szCs w:val="23"/>
        </w:rPr>
      </w:pPr>
    </w:p>
    <w:p w:rsidR="00AE165B" w:rsidRPr="00AE165B" w:rsidRDefault="00AE165B" w:rsidP="009650F3">
      <w:pPr>
        <w:ind w:left="851"/>
        <w:jc w:val="both"/>
        <w:rPr>
          <w:b/>
          <w:bCs/>
          <w:caps/>
          <w:color w:val="000000"/>
          <w:spacing w:val="30"/>
          <w:sz w:val="23"/>
          <w:szCs w:val="23"/>
        </w:rPr>
      </w:pPr>
    </w:p>
    <w:tbl>
      <w:tblPr>
        <w:tblStyle w:val="Mriekatabuky"/>
        <w:tblW w:w="0" w:type="auto"/>
        <w:tblLook w:val="04A0" w:firstRow="1" w:lastRow="0" w:firstColumn="1" w:lastColumn="0" w:noHBand="0" w:noVBand="1"/>
      </w:tblPr>
      <w:tblGrid>
        <w:gridCol w:w="9212"/>
      </w:tblGrid>
      <w:tr w:rsidR="00AE165B" w:rsidRPr="00AE165B" w:rsidTr="003310B7">
        <w:trPr>
          <w:trHeight w:val="567"/>
        </w:trPr>
        <w:tc>
          <w:tcPr>
            <w:tcW w:w="9212" w:type="dxa"/>
            <w:shd w:val="clear" w:color="auto" w:fill="D9D9D9" w:themeFill="background1" w:themeFillShade="D9"/>
          </w:tcPr>
          <w:p w:rsidR="00AE165B" w:rsidRPr="00AE165B" w:rsidRDefault="00AE165B" w:rsidP="003310B7">
            <w:pPr>
              <w:jc w:val="center"/>
              <w:rPr>
                <w:rFonts w:ascii="Times New Roman" w:hAnsi="Times New Roman"/>
                <w:b/>
              </w:rPr>
            </w:pPr>
            <w:r w:rsidRPr="00AE165B">
              <w:rPr>
                <w:rFonts w:ascii="Times New Roman" w:hAnsi="Times New Roman"/>
                <w:b/>
                <w:sz w:val="28"/>
              </w:rPr>
              <w:t xml:space="preserve">Analýza vplyvov na podnikateľské prostredie </w:t>
            </w:r>
          </w:p>
          <w:p w:rsidR="00AE165B" w:rsidRPr="00AE165B" w:rsidRDefault="00AE165B" w:rsidP="003310B7">
            <w:pPr>
              <w:jc w:val="center"/>
              <w:rPr>
                <w:rFonts w:ascii="Times New Roman" w:hAnsi="Times New Roman"/>
                <w:b/>
              </w:rPr>
            </w:pPr>
            <w:r w:rsidRPr="00AE165B">
              <w:rPr>
                <w:rFonts w:ascii="Times New Roman" w:hAnsi="Times New Roman"/>
                <w:b/>
              </w:rPr>
              <w:t>(vrátane testu MSP)</w:t>
            </w:r>
          </w:p>
        </w:tc>
      </w:tr>
      <w:tr w:rsidR="00AE165B" w:rsidRPr="00AE165B" w:rsidTr="003310B7">
        <w:trPr>
          <w:trHeight w:val="567"/>
        </w:trPr>
        <w:tc>
          <w:tcPr>
            <w:tcW w:w="9212" w:type="dxa"/>
            <w:shd w:val="clear" w:color="auto" w:fill="D9D9D9" w:themeFill="background1" w:themeFillShade="D9"/>
          </w:tcPr>
          <w:p w:rsidR="00AE165B" w:rsidRPr="00AE165B" w:rsidRDefault="00AE165B" w:rsidP="003310B7">
            <w:pPr>
              <w:rPr>
                <w:rFonts w:ascii="Times New Roman" w:hAnsi="Times New Roman"/>
                <w:b/>
              </w:rPr>
            </w:pPr>
            <w:r w:rsidRPr="00AE165B">
              <w:rPr>
                <w:rFonts w:ascii="Times New Roman" w:hAnsi="Times New Roman"/>
                <w:b/>
              </w:rPr>
              <w:t>Materiál bude mať vplyv s ohľadom na veľkostnú kategóriu podnikov:</w:t>
            </w:r>
          </w:p>
        </w:tc>
      </w:tr>
      <w:tr w:rsidR="00AE165B" w:rsidRPr="00AE165B" w:rsidTr="003310B7">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40"/>
            </w:tblGrid>
            <w:tr w:rsidR="00AE165B" w:rsidRPr="00AE165B" w:rsidTr="003310B7">
              <w:tc>
                <w:tcPr>
                  <w:tcW w:w="436" w:type="dxa"/>
                  <w:tcBorders>
                    <w:top w:val="nil"/>
                    <w:left w:val="nil"/>
                    <w:bottom w:val="nil"/>
                    <w:right w:val="nil"/>
                  </w:tcBorders>
                </w:tcPr>
                <w:p w:rsidR="00AE165B" w:rsidRPr="00AE165B" w:rsidRDefault="00AE165B" w:rsidP="003310B7">
                  <w:pPr>
                    <w:jc w:val="center"/>
                    <w:rPr>
                      <w:rFonts w:ascii="Times New Roman" w:hAnsi="Times New Roman"/>
                    </w:rPr>
                  </w:pPr>
                  <w:r w:rsidRPr="00AE165B">
                    <w:rPr>
                      <w:rFonts w:ascii="MS Mincho" w:eastAsia="MS Mincho" w:hAnsi="MS Mincho" w:cs="MS Mincho" w:hint="eastAsia"/>
                    </w:rPr>
                    <w:t>☐</w:t>
                  </w:r>
                </w:p>
              </w:tc>
              <w:tc>
                <w:tcPr>
                  <w:tcW w:w="8545" w:type="dxa"/>
                  <w:tcBorders>
                    <w:top w:val="nil"/>
                    <w:left w:val="nil"/>
                    <w:bottom w:val="nil"/>
                    <w:right w:val="nil"/>
                  </w:tcBorders>
                </w:tcPr>
                <w:p w:rsidR="00AE165B" w:rsidRPr="00AE165B" w:rsidRDefault="00AE165B" w:rsidP="003310B7">
                  <w:pPr>
                    <w:rPr>
                      <w:rFonts w:ascii="Times New Roman" w:hAnsi="Times New Roman"/>
                      <w:b/>
                    </w:rPr>
                  </w:pPr>
                  <w:r w:rsidRPr="00AE165B">
                    <w:rPr>
                      <w:rFonts w:ascii="Times New Roman" w:hAnsi="Times New Roman"/>
                      <w:b/>
                    </w:rPr>
                    <w:t xml:space="preserve">iba na MSP (0 - 249 zamestnancov) </w:t>
                  </w:r>
                </w:p>
              </w:tc>
            </w:tr>
            <w:tr w:rsidR="00AE165B" w:rsidRPr="00AE165B" w:rsidTr="003310B7">
              <w:tc>
                <w:tcPr>
                  <w:tcW w:w="436" w:type="dxa"/>
                  <w:tcBorders>
                    <w:top w:val="nil"/>
                    <w:left w:val="nil"/>
                    <w:bottom w:val="nil"/>
                    <w:right w:val="nil"/>
                  </w:tcBorders>
                </w:tcPr>
                <w:p w:rsidR="00AE165B" w:rsidRPr="00AE165B" w:rsidRDefault="00AE165B" w:rsidP="003310B7">
                  <w:pPr>
                    <w:jc w:val="center"/>
                    <w:rPr>
                      <w:rFonts w:ascii="Times New Roman" w:hAnsi="Times New Roman"/>
                    </w:rPr>
                  </w:pPr>
                  <w:r w:rsidRPr="00AE165B">
                    <w:rPr>
                      <w:rFonts w:ascii="MS Mincho" w:eastAsia="MS Mincho" w:hAnsi="MS Mincho" w:cs="MS Mincho" w:hint="eastAsia"/>
                    </w:rPr>
                    <w:t>☐</w:t>
                  </w:r>
                </w:p>
              </w:tc>
              <w:tc>
                <w:tcPr>
                  <w:tcW w:w="8545" w:type="dxa"/>
                  <w:tcBorders>
                    <w:top w:val="nil"/>
                    <w:left w:val="nil"/>
                    <w:bottom w:val="nil"/>
                    <w:right w:val="nil"/>
                  </w:tcBorders>
                </w:tcPr>
                <w:p w:rsidR="00AE165B" w:rsidRPr="00AE165B" w:rsidRDefault="00AE165B" w:rsidP="003310B7">
                  <w:pPr>
                    <w:rPr>
                      <w:rFonts w:ascii="Times New Roman" w:hAnsi="Times New Roman"/>
                      <w:b/>
                    </w:rPr>
                  </w:pPr>
                  <w:r w:rsidRPr="00AE165B">
                    <w:rPr>
                      <w:rFonts w:ascii="Times New Roman" w:hAnsi="Times New Roman"/>
                      <w:b/>
                    </w:rPr>
                    <w:t>iba na veľké podniky (250 a viac zamestnancov)</w:t>
                  </w:r>
                </w:p>
              </w:tc>
            </w:tr>
            <w:tr w:rsidR="00AE165B" w:rsidRPr="00AE165B" w:rsidTr="003310B7">
              <w:tc>
                <w:tcPr>
                  <w:tcW w:w="436" w:type="dxa"/>
                  <w:tcBorders>
                    <w:top w:val="nil"/>
                    <w:left w:val="nil"/>
                    <w:bottom w:val="nil"/>
                    <w:right w:val="nil"/>
                  </w:tcBorders>
                </w:tcPr>
                <w:p w:rsidR="00AE165B" w:rsidRPr="00AE165B" w:rsidRDefault="00AE165B" w:rsidP="003310B7">
                  <w:pPr>
                    <w:jc w:val="center"/>
                    <w:rPr>
                      <w:rFonts w:ascii="Times New Roman" w:hAnsi="Times New Roman"/>
                    </w:rPr>
                  </w:pPr>
                  <w:r w:rsidRPr="00AE165B">
                    <w:rPr>
                      <w:rFonts w:ascii="MS Mincho" w:eastAsia="MS Mincho" w:hAnsi="MS Mincho" w:cs="MS Mincho" w:hint="eastAsia"/>
                    </w:rPr>
                    <w:t>☒</w:t>
                  </w:r>
                </w:p>
              </w:tc>
              <w:tc>
                <w:tcPr>
                  <w:tcW w:w="8545" w:type="dxa"/>
                  <w:tcBorders>
                    <w:top w:val="nil"/>
                    <w:left w:val="nil"/>
                    <w:bottom w:val="nil"/>
                    <w:right w:val="nil"/>
                  </w:tcBorders>
                </w:tcPr>
                <w:p w:rsidR="00AE165B" w:rsidRPr="00AE165B" w:rsidRDefault="00AE165B" w:rsidP="003310B7">
                  <w:pPr>
                    <w:rPr>
                      <w:rFonts w:ascii="Times New Roman" w:hAnsi="Times New Roman"/>
                    </w:rPr>
                  </w:pPr>
                  <w:r w:rsidRPr="00AE165B">
                    <w:rPr>
                      <w:rFonts w:ascii="Times New Roman" w:hAnsi="Times New Roman"/>
                      <w:b/>
                    </w:rPr>
                    <w:t>na všetky kategórie podnikov</w:t>
                  </w:r>
                </w:p>
              </w:tc>
            </w:tr>
          </w:tbl>
          <w:p w:rsidR="00AE165B" w:rsidRPr="00AE165B" w:rsidRDefault="00AE165B" w:rsidP="003310B7">
            <w:pPr>
              <w:rPr>
                <w:rFonts w:ascii="Times New Roman" w:hAnsi="Times New Roman"/>
                <w:b/>
              </w:rPr>
            </w:pPr>
          </w:p>
        </w:tc>
      </w:tr>
      <w:tr w:rsidR="00AE165B" w:rsidRPr="00AE165B" w:rsidTr="003310B7">
        <w:tc>
          <w:tcPr>
            <w:tcW w:w="9212" w:type="dxa"/>
            <w:shd w:val="clear" w:color="auto" w:fill="D9D9D9" w:themeFill="background1" w:themeFillShade="D9"/>
          </w:tcPr>
          <w:p w:rsidR="00AE165B" w:rsidRPr="00AE165B" w:rsidRDefault="00AE165B" w:rsidP="003310B7">
            <w:pPr>
              <w:rPr>
                <w:rFonts w:ascii="Times New Roman" w:hAnsi="Times New Roman"/>
                <w:b/>
              </w:rPr>
            </w:pPr>
            <w:r w:rsidRPr="00AE165B">
              <w:rPr>
                <w:rFonts w:ascii="Times New Roman" w:hAnsi="Times New Roman"/>
                <w:b/>
              </w:rPr>
              <w:t>3.1 Dotknuté podnikateľské subjekty</w:t>
            </w:r>
          </w:p>
          <w:p w:rsidR="00AE165B" w:rsidRPr="00AE165B" w:rsidRDefault="00AE165B" w:rsidP="003310B7">
            <w:pPr>
              <w:ind w:left="284"/>
              <w:rPr>
                <w:rFonts w:ascii="Times New Roman" w:hAnsi="Times New Roman"/>
                <w:b/>
              </w:rPr>
            </w:pPr>
            <w:r w:rsidRPr="00AE165B">
              <w:rPr>
                <w:rFonts w:ascii="Times New Roman" w:hAnsi="Times New Roman"/>
              </w:rPr>
              <w:t xml:space="preserve"> - </w:t>
            </w:r>
            <w:r w:rsidRPr="00AE165B">
              <w:rPr>
                <w:rFonts w:ascii="Times New Roman" w:hAnsi="Times New Roman"/>
                <w:b/>
              </w:rPr>
              <w:t>z toho MSP</w:t>
            </w:r>
          </w:p>
        </w:tc>
      </w:tr>
      <w:tr w:rsidR="00AE165B" w:rsidRPr="00AE165B" w:rsidTr="003310B7">
        <w:tc>
          <w:tcPr>
            <w:tcW w:w="9212" w:type="dxa"/>
          </w:tcPr>
          <w:p w:rsidR="00AE165B" w:rsidRPr="00AE165B" w:rsidRDefault="00AE165B" w:rsidP="003310B7">
            <w:pPr>
              <w:rPr>
                <w:rFonts w:ascii="Times New Roman" w:hAnsi="Times New Roman"/>
                <w:i/>
              </w:rPr>
            </w:pPr>
            <w:r w:rsidRPr="00AE165B">
              <w:rPr>
                <w:rFonts w:ascii="Times New Roman" w:hAnsi="Times New Roman"/>
                <w:i/>
              </w:rPr>
              <w:t>Uveďte, aké podnikateľské subjekty budú predkladaným návrhom ovplyvnené.</w:t>
            </w:r>
          </w:p>
          <w:p w:rsidR="00AE165B" w:rsidRPr="00AE165B" w:rsidRDefault="00AE165B" w:rsidP="003310B7">
            <w:pPr>
              <w:rPr>
                <w:rFonts w:ascii="Times New Roman" w:hAnsi="Times New Roman"/>
                <w:i/>
              </w:rPr>
            </w:pPr>
            <w:r w:rsidRPr="00AE165B">
              <w:rPr>
                <w:rFonts w:ascii="Times New Roman" w:hAnsi="Times New Roman"/>
                <w:i/>
              </w:rPr>
              <w:t>Aký je ich počet?</w:t>
            </w:r>
          </w:p>
        </w:tc>
      </w:tr>
      <w:tr w:rsidR="00AE165B" w:rsidRPr="00AE165B" w:rsidTr="003310B7">
        <w:trPr>
          <w:trHeight w:val="1440"/>
        </w:trPr>
        <w:tc>
          <w:tcPr>
            <w:tcW w:w="9212" w:type="dxa"/>
          </w:tcPr>
          <w:p w:rsidR="00AE165B" w:rsidRPr="00AE165B" w:rsidRDefault="00AE165B" w:rsidP="003310B7">
            <w:pPr>
              <w:jc w:val="both"/>
              <w:rPr>
                <w:rFonts w:ascii="Times New Roman" w:hAnsi="Times New Roman"/>
              </w:rPr>
            </w:pPr>
            <w:r w:rsidRPr="00AE165B">
              <w:rPr>
                <w:rFonts w:ascii="Times New Roman" w:hAnsi="Times New Roman"/>
              </w:rPr>
              <w:t>Navrhovanou právnou úpravou dochádza k pozitívnemu vplyvu na podnikateľské subjekty, nakoľko časť z nich nebude platiť poistné na sociálne poistenie z tzv.13-teho resp. 14-teho platu, čo bude znamenať zníženie ich priamych nákladov. Na základe údajov o poistných vzťahoch poistencov zo Sociálnej poisťovne sa odhaduje počet dotknutých zamestnávateľov na úrovni cca 14 tis. v prípade tzv. 14. platu a na úrovni cca 21 tis. v prípade tzv. 13. platu.</w:t>
            </w:r>
          </w:p>
        </w:tc>
      </w:tr>
      <w:tr w:rsidR="00AE165B" w:rsidRPr="00AE165B" w:rsidTr="003310B7">
        <w:trPr>
          <w:trHeight w:val="339"/>
        </w:trPr>
        <w:tc>
          <w:tcPr>
            <w:tcW w:w="9212" w:type="dxa"/>
            <w:shd w:val="clear" w:color="auto" w:fill="D9D9D9" w:themeFill="background1" w:themeFillShade="D9"/>
          </w:tcPr>
          <w:p w:rsidR="00AE165B" w:rsidRPr="00AE165B" w:rsidRDefault="00AE165B" w:rsidP="003310B7">
            <w:pPr>
              <w:rPr>
                <w:rFonts w:ascii="Times New Roman" w:hAnsi="Times New Roman"/>
                <w:b/>
              </w:rPr>
            </w:pPr>
            <w:r w:rsidRPr="00AE165B">
              <w:rPr>
                <w:rFonts w:ascii="Times New Roman" w:hAnsi="Times New Roman"/>
                <w:b/>
              </w:rPr>
              <w:t>3.2 Vyhodnotenie konzultácií</w:t>
            </w:r>
          </w:p>
          <w:p w:rsidR="00AE165B" w:rsidRPr="00AE165B" w:rsidRDefault="00AE165B" w:rsidP="003310B7">
            <w:pPr>
              <w:rPr>
                <w:rFonts w:ascii="Times New Roman" w:hAnsi="Times New Roman"/>
                <w:b/>
              </w:rPr>
            </w:pPr>
            <w:r w:rsidRPr="00AE165B">
              <w:rPr>
                <w:rFonts w:ascii="Times New Roman" w:hAnsi="Times New Roman"/>
              </w:rPr>
              <w:t xml:space="preserve">       - </w:t>
            </w:r>
            <w:r w:rsidRPr="00AE165B">
              <w:rPr>
                <w:rFonts w:ascii="Times New Roman" w:hAnsi="Times New Roman"/>
                <w:b/>
              </w:rPr>
              <w:t>z toho MSP</w:t>
            </w:r>
          </w:p>
        </w:tc>
      </w:tr>
      <w:tr w:rsidR="00AE165B" w:rsidRPr="00AE165B" w:rsidTr="003310B7">
        <w:trPr>
          <w:trHeight w:val="557"/>
        </w:trPr>
        <w:tc>
          <w:tcPr>
            <w:tcW w:w="9212" w:type="dxa"/>
          </w:tcPr>
          <w:p w:rsidR="00AE165B" w:rsidRPr="00AE165B" w:rsidRDefault="00AE165B" w:rsidP="003310B7">
            <w:pPr>
              <w:rPr>
                <w:rFonts w:ascii="Times New Roman" w:hAnsi="Times New Roman"/>
                <w:i/>
              </w:rPr>
            </w:pPr>
            <w:r w:rsidRPr="00AE165B">
              <w:rPr>
                <w:rFonts w:ascii="Times New Roman" w:hAnsi="Times New Roman"/>
                <w:i/>
              </w:rPr>
              <w:t>Uveďte, akou formou (verejné alebo cielené konzultácie a prečo) a s kým bol návrh konzultovaný.</w:t>
            </w:r>
          </w:p>
          <w:p w:rsidR="00AE165B" w:rsidRPr="00AE165B" w:rsidRDefault="00AE165B" w:rsidP="003310B7">
            <w:pPr>
              <w:rPr>
                <w:rFonts w:ascii="Times New Roman" w:hAnsi="Times New Roman"/>
                <w:i/>
              </w:rPr>
            </w:pPr>
            <w:r w:rsidRPr="00AE165B">
              <w:rPr>
                <w:rFonts w:ascii="Times New Roman" w:hAnsi="Times New Roman"/>
                <w:i/>
              </w:rPr>
              <w:t>Ako dlho trvali konzultácie?</w:t>
            </w:r>
          </w:p>
          <w:p w:rsidR="00AE165B" w:rsidRPr="00AE165B" w:rsidRDefault="00AE165B" w:rsidP="003310B7">
            <w:pPr>
              <w:rPr>
                <w:rFonts w:ascii="Times New Roman" w:hAnsi="Times New Roman"/>
                <w:i/>
              </w:rPr>
            </w:pPr>
            <w:r w:rsidRPr="00AE165B">
              <w:rPr>
                <w:rFonts w:ascii="Times New Roman" w:hAnsi="Times New Roman"/>
                <w:i/>
              </w:rPr>
              <w:t xml:space="preserve">Uveďte hlavné body konzultácií a výsledky konzultácií. </w:t>
            </w:r>
          </w:p>
        </w:tc>
      </w:tr>
      <w:tr w:rsidR="00AE165B" w:rsidRPr="00AE165B" w:rsidTr="003310B7">
        <w:trPr>
          <w:trHeight w:val="1440"/>
        </w:trPr>
        <w:tc>
          <w:tcPr>
            <w:tcW w:w="9212" w:type="dxa"/>
          </w:tcPr>
          <w:p w:rsidR="00AE165B" w:rsidRPr="00AE165B" w:rsidRDefault="00AE165B" w:rsidP="003310B7">
            <w:pPr>
              <w:jc w:val="both"/>
              <w:rPr>
                <w:rFonts w:ascii="Times New Roman" w:hAnsi="Times New Roman"/>
                <w:color w:val="000000"/>
              </w:rPr>
            </w:pPr>
          </w:p>
        </w:tc>
      </w:tr>
      <w:tr w:rsidR="00AE165B" w:rsidRPr="00AE165B" w:rsidTr="003310B7">
        <w:tc>
          <w:tcPr>
            <w:tcW w:w="9212" w:type="dxa"/>
            <w:shd w:val="clear" w:color="auto" w:fill="D9D9D9" w:themeFill="background1" w:themeFillShade="D9"/>
          </w:tcPr>
          <w:p w:rsidR="00AE165B" w:rsidRPr="00AE165B" w:rsidRDefault="00AE165B" w:rsidP="003310B7">
            <w:pPr>
              <w:rPr>
                <w:rFonts w:ascii="Times New Roman" w:hAnsi="Times New Roman"/>
                <w:b/>
              </w:rPr>
            </w:pPr>
            <w:r w:rsidRPr="00AE165B">
              <w:rPr>
                <w:rFonts w:ascii="Times New Roman" w:hAnsi="Times New Roman"/>
                <w:b/>
              </w:rPr>
              <w:t>3.3 Náklady regulácie</w:t>
            </w:r>
          </w:p>
          <w:p w:rsidR="00AE165B" w:rsidRPr="00AE165B" w:rsidRDefault="00AE165B" w:rsidP="003310B7">
            <w:pPr>
              <w:rPr>
                <w:rFonts w:ascii="Times New Roman" w:hAnsi="Times New Roman"/>
                <w:b/>
              </w:rPr>
            </w:pPr>
            <w:r w:rsidRPr="00AE165B">
              <w:rPr>
                <w:rFonts w:ascii="Times New Roman" w:hAnsi="Times New Roman"/>
              </w:rPr>
              <w:t xml:space="preserve">      - </w:t>
            </w:r>
            <w:r w:rsidRPr="00AE165B">
              <w:rPr>
                <w:rFonts w:ascii="Times New Roman" w:hAnsi="Times New Roman"/>
                <w:b/>
              </w:rPr>
              <w:t>z toho MSP</w:t>
            </w:r>
          </w:p>
        </w:tc>
      </w:tr>
      <w:tr w:rsidR="00AE165B" w:rsidRPr="00AE165B" w:rsidTr="003310B7">
        <w:tc>
          <w:tcPr>
            <w:tcW w:w="9212" w:type="dxa"/>
          </w:tcPr>
          <w:p w:rsidR="00AE165B" w:rsidRPr="00AE165B" w:rsidRDefault="00AE165B" w:rsidP="003310B7">
            <w:pPr>
              <w:rPr>
                <w:rFonts w:ascii="Times New Roman" w:hAnsi="Times New Roman"/>
                <w:b/>
                <w:i/>
              </w:rPr>
            </w:pPr>
            <w:r w:rsidRPr="00AE165B">
              <w:rPr>
                <w:rFonts w:ascii="Times New Roman" w:hAnsi="Times New Roman"/>
                <w:b/>
                <w:i/>
              </w:rPr>
              <w:t>3.3.1 Priame finančné náklady</w:t>
            </w:r>
          </w:p>
          <w:p w:rsidR="00AE165B" w:rsidRPr="00AE165B" w:rsidRDefault="00AE165B" w:rsidP="003310B7">
            <w:pPr>
              <w:rPr>
                <w:rFonts w:ascii="Times New Roman" w:hAnsi="Times New Roman"/>
                <w:i/>
              </w:rPr>
            </w:pPr>
            <w:r w:rsidRPr="00AE165B">
              <w:rPr>
                <w:rFonts w:ascii="Times New Roman" w:hAnsi="Times New Roman"/>
                <w:i/>
              </w:rPr>
              <w:t xml:space="preserve">Dochádza k zvýšeniu/zníženiu priamych finančných nákladov (poplatky, odvody, dane clá...)? Ak áno, popíšte a vyčíslite ich. Uveďte tiež spôsob ich výpočtu. </w:t>
            </w:r>
          </w:p>
        </w:tc>
      </w:tr>
      <w:tr w:rsidR="00AE165B" w:rsidRPr="00AE165B" w:rsidTr="003310B7">
        <w:tc>
          <w:tcPr>
            <w:tcW w:w="9212" w:type="dxa"/>
          </w:tcPr>
          <w:p w:rsidR="00AE165B" w:rsidRPr="00AE165B" w:rsidRDefault="00AE165B" w:rsidP="003310B7">
            <w:pPr>
              <w:jc w:val="both"/>
              <w:rPr>
                <w:rFonts w:ascii="Times New Roman" w:hAnsi="Times New Roman"/>
              </w:rPr>
            </w:pPr>
            <w:r w:rsidRPr="00AE165B">
              <w:rPr>
                <w:rFonts w:ascii="Times New Roman" w:hAnsi="Times New Roman"/>
              </w:rPr>
              <w:t xml:space="preserve">Očakáva sa, že navrhovanou právnou úpravou dôjde k zníženiu priamych nákladov zamestnávateľov vplyvom nižšieho zaplateného poistného na sociálne poistenie o cca 9,6 mil. eur ročne na tzv. 14. plat a o cca 32,5 mil. eur ročne na tzv. 13. plat. </w:t>
            </w:r>
          </w:p>
          <w:p w:rsidR="00AE165B" w:rsidRPr="00AE165B" w:rsidRDefault="00AE165B" w:rsidP="003310B7">
            <w:pPr>
              <w:jc w:val="both"/>
              <w:rPr>
                <w:rFonts w:ascii="Times New Roman" w:hAnsi="Times New Roman"/>
              </w:rPr>
            </w:pPr>
          </w:p>
        </w:tc>
      </w:tr>
      <w:tr w:rsidR="00AE165B" w:rsidRPr="00AE165B" w:rsidTr="003310B7">
        <w:tc>
          <w:tcPr>
            <w:tcW w:w="9212" w:type="dxa"/>
          </w:tcPr>
          <w:p w:rsidR="00AE165B" w:rsidRPr="00AE165B" w:rsidRDefault="00AE165B" w:rsidP="003310B7">
            <w:pPr>
              <w:rPr>
                <w:rFonts w:ascii="Times New Roman" w:hAnsi="Times New Roman"/>
                <w:b/>
                <w:i/>
              </w:rPr>
            </w:pPr>
            <w:r w:rsidRPr="00AE165B">
              <w:rPr>
                <w:rFonts w:ascii="Times New Roman" w:hAnsi="Times New Roman"/>
                <w:b/>
                <w:i/>
              </w:rPr>
              <w:t>3.3.2 Nepriame finančné náklady</w:t>
            </w:r>
          </w:p>
          <w:p w:rsidR="00AE165B" w:rsidRPr="00AE165B" w:rsidRDefault="00AE165B" w:rsidP="003310B7">
            <w:pPr>
              <w:rPr>
                <w:rFonts w:ascii="Times New Roman" w:hAnsi="Times New Roman"/>
                <w:i/>
              </w:rPr>
            </w:pPr>
            <w:r w:rsidRPr="00AE165B">
              <w:rPr>
                <w:rFonts w:ascii="Times New Roman" w:hAnsi="Times New Roman"/>
                <w:i/>
              </w:rPr>
              <w:t>Vyžaduje si predkladaný návrh dodatočné náklady na nákup tovarov alebo služieb? Zvyšuje predkladaný návrh náklady súvisiace so zamestnávaním? Ak áno, popíšte a vyčíslite ich. Uveďte tiež spôsob ich výpočtu.</w:t>
            </w:r>
          </w:p>
        </w:tc>
      </w:tr>
      <w:tr w:rsidR="00AE165B" w:rsidRPr="00AE165B" w:rsidTr="003310B7">
        <w:tc>
          <w:tcPr>
            <w:tcW w:w="9212" w:type="dxa"/>
          </w:tcPr>
          <w:p w:rsidR="00AE165B" w:rsidRPr="00AE165B" w:rsidRDefault="00AE165B" w:rsidP="003310B7">
            <w:pPr>
              <w:rPr>
                <w:rFonts w:ascii="Times New Roman" w:hAnsi="Times New Roman"/>
              </w:rPr>
            </w:pPr>
            <w:r w:rsidRPr="00AE165B">
              <w:rPr>
                <w:rFonts w:ascii="Times New Roman" w:hAnsi="Times New Roman"/>
              </w:rPr>
              <w:t>Nedochádza k nepriamym finančným nákladom.</w:t>
            </w:r>
          </w:p>
          <w:p w:rsidR="00AE165B" w:rsidRPr="00AE165B" w:rsidRDefault="00AE165B" w:rsidP="003310B7">
            <w:pPr>
              <w:jc w:val="both"/>
              <w:rPr>
                <w:rFonts w:ascii="Times New Roman" w:hAnsi="Times New Roman"/>
                <w:b/>
                <w:i/>
              </w:rPr>
            </w:pPr>
          </w:p>
        </w:tc>
      </w:tr>
      <w:tr w:rsidR="00AE165B" w:rsidRPr="00AE165B" w:rsidTr="003310B7">
        <w:tc>
          <w:tcPr>
            <w:tcW w:w="9212" w:type="dxa"/>
          </w:tcPr>
          <w:p w:rsidR="00AE165B" w:rsidRPr="00AE165B" w:rsidRDefault="00AE165B" w:rsidP="003310B7">
            <w:pPr>
              <w:rPr>
                <w:rFonts w:ascii="Times New Roman" w:hAnsi="Times New Roman"/>
                <w:b/>
                <w:i/>
              </w:rPr>
            </w:pPr>
            <w:r w:rsidRPr="00AE165B">
              <w:rPr>
                <w:rFonts w:ascii="Times New Roman" w:hAnsi="Times New Roman"/>
                <w:b/>
                <w:i/>
              </w:rPr>
              <w:t>3.3.3 Administratívne náklady</w:t>
            </w:r>
          </w:p>
          <w:p w:rsidR="00AE165B" w:rsidRPr="00AE165B" w:rsidRDefault="00AE165B" w:rsidP="003310B7">
            <w:pPr>
              <w:rPr>
                <w:rFonts w:ascii="Times New Roman" w:hAnsi="Times New Roman"/>
                <w:i/>
              </w:rPr>
            </w:pPr>
            <w:r w:rsidRPr="00AE165B">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E165B" w:rsidRPr="00AE165B" w:rsidTr="003310B7">
        <w:tc>
          <w:tcPr>
            <w:tcW w:w="9212" w:type="dxa"/>
          </w:tcPr>
          <w:p w:rsidR="00AE165B" w:rsidRPr="00AE165B" w:rsidRDefault="00AE165B" w:rsidP="003310B7">
            <w:pPr>
              <w:jc w:val="both"/>
              <w:rPr>
                <w:rFonts w:ascii="Times New Roman" w:hAnsi="Times New Roman"/>
              </w:rPr>
            </w:pPr>
            <w:r w:rsidRPr="00AE165B">
              <w:rPr>
                <w:rFonts w:ascii="Times New Roman" w:hAnsi="Times New Roman"/>
              </w:rPr>
              <w:t>Nedochádza k zvýšeniu administratívnych nákladov zamestnávateľov</w:t>
            </w:r>
          </w:p>
        </w:tc>
      </w:tr>
      <w:tr w:rsidR="00AE165B" w:rsidRPr="00AE165B" w:rsidTr="003310B7">
        <w:trPr>
          <w:trHeight w:val="2318"/>
        </w:trPr>
        <w:tc>
          <w:tcPr>
            <w:tcW w:w="9212" w:type="dxa"/>
          </w:tcPr>
          <w:p w:rsidR="00AE165B" w:rsidRPr="00AE165B" w:rsidRDefault="00AE165B" w:rsidP="003310B7">
            <w:pPr>
              <w:rPr>
                <w:rFonts w:ascii="Times New Roman" w:hAnsi="Times New Roman"/>
                <w:b/>
                <w:i/>
              </w:rPr>
            </w:pPr>
            <w:r w:rsidRPr="00AE165B">
              <w:rPr>
                <w:rFonts w:ascii="Times New Roman" w:hAnsi="Times New Roman"/>
                <w:b/>
                <w:i/>
              </w:rPr>
              <w:lastRenderedPageBreak/>
              <w:t>3.3.4 Súhrnná tabuľka nákladov regulácie</w:t>
            </w:r>
          </w:p>
          <w:p w:rsidR="00AE165B" w:rsidRPr="00AE165B" w:rsidRDefault="00AE165B" w:rsidP="003310B7">
            <w:pPr>
              <w:rPr>
                <w:rFonts w:ascii="Times New Roman" w:hAnsi="Times New Roman"/>
                <w:b/>
                <w:i/>
              </w:rPr>
            </w:pPr>
          </w:p>
          <w:p w:rsidR="00AE165B" w:rsidRPr="00AE165B" w:rsidRDefault="00AE165B" w:rsidP="003310B7">
            <w:pPr>
              <w:rPr>
                <w:rFonts w:ascii="Times New Roman" w:hAnsi="Times New Roman"/>
                <w:b/>
                <w:i/>
              </w:rPr>
            </w:pPr>
            <w:r w:rsidRPr="00AE165B">
              <w:rPr>
                <w:rFonts w:ascii="Times New Roman" w:hAnsi="Times New Roman"/>
                <w:b/>
                <w:i/>
              </w:rPr>
              <w:t>Rok 2019</w:t>
            </w:r>
          </w:p>
          <w:tbl>
            <w:tblPr>
              <w:tblStyle w:val="Mriekatabuky"/>
              <w:tblW w:w="0" w:type="auto"/>
              <w:tblLook w:val="04A0" w:firstRow="1" w:lastRow="0" w:firstColumn="1" w:lastColumn="0" w:noHBand="0" w:noVBand="1"/>
            </w:tblPr>
            <w:tblGrid>
              <w:gridCol w:w="2993"/>
              <w:gridCol w:w="2994"/>
              <w:gridCol w:w="2994"/>
            </w:tblGrid>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Priemerné náklady na 1 podnikateľa</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Náklady na celé podnikateľské prostredie</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-684,30*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-9 580 000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b/>
                      <w:i/>
                    </w:rPr>
                  </w:pPr>
                  <w:r w:rsidRPr="00AE165B">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b/>
                      <w:i/>
                    </w:rPr>
                  </w:pPr>
                  <w:r w:rsidRPr="00AE165B">
                    <w:rPr>
                      <w:rFonts w:ascii="Times New Roman" w:hAnsi="Times New Roman"/>
                      <w:b/>
                      <w:i/>
                    </w:rPr>
                    <w:t>-684,30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b/>
                      <w:i/>
                    </w:rPr>
                  </w:pPr>
                  <w:r w:rsidRPr="00AE165B">
                    <w:rPr>
                      <w:rFonts w:ascii="Times New Roman" w:hAnsi="Times New Roman"/>
                      <w:b/>
                      <w:i/>
                    </w:rPr>
                    <w:t>-9 580 000</w:t>
                  </w:r>
                </w:p>
              </w:tc>
            </w:tr>
          </w:tbl>
          <w:p w:rsidR="00AE165B" w:rsidRPr="00AE165B" w:rsidRDefault="00AE165B" w:rsidP="003310B7">
            <w:pPr>
              <w:rPr>
                <w:rFonts w:ascii="Times New Roman" w:hAnsi="Times New Roman"/>
                <w:b/>
                <w:i/>
              </w:rPr>
            </w:pPr>
            <w:r w:rsidRPr="00AE165B">
              <w:rPr>
                <w:rFonts w:ascii="Times New Roman" w:hAnsi="Times New Roman"/>
                <w:i/>
                <w:sz w:val="18"/>
                <w:szCs w:val="18"/>
              </w:rPr>
              <w:t xml:space="preserve">* Udávané náklady na 1 zamestnávateľa sú priemerom jednotlivých vplyvov na jedného zamestnávateľa. Výpočet = náklady na celé podnikateľské prostredie / počet dotknutých zamestnávateľov = -9 580 000 / 14 000 = -684,3 eur.   </w:t>
            </w:r>
          </w:p>
          <w:p w:rsidR="00AE165B" w:rsidRPr="00AE165B" w:rsidRDefault="00AE165B" w:rsidP="003310B7">
            <w:pPr>
              <w:rPr>
                <w:rFonts w:ascii="Times New Roman" w:hAnsi="Times New Roman"/>
                <w:b/>
                <w:i/>
              </w:rPr>
            </w:pPr>
          </w:p>
          <w:p w:rsidR="00AE165B" w:rsidRPr="00AE165B" w:rsidRDefault="00AE165B" w:rsidP="003310B7">
            <w:pPr>
              <w:rPr>
                <w:rFonts w:ascii="Times New Roman" w:hAnsi="Times New Roman"/>
                <w:b/>
                <w:i/>
              </w:rPr>
            </w:pPr>
            <w:r w:rsidRPr="00AE165B">
              <w:rPr>
                <w:rFonts w:ascii="Times New Roman" w:hAnsi="Times New Roman"/>
                <w:b/>
                <w:i/>
              </w:rPr>
              <w:t>Rok 2020</w:t>
            </w:r>
          </w:p>
          <w:tbl>
            <w:tblPr>
              <w:tblStyle w:val="Mriekatabuky"/>
              <w:tblW w:w="0" w:type="auto"/>
              <w:tblLook w:val="04A0" w:firstRow="1" w:lastRow="0" w:firstColumn="1" w:lastColumn="0" w:noHBand="0" w:noVBand="1"/>
            </w:tblPr>
            <w:tblGrid>
              <w:gridCol w:w="2993"/>
              <w:gridCol w:w="2994"/>
              <w:gridCol w:w="2994"/>
            </w:tblGrid>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Priemerné náklady na 1 podnikateľa</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Náklady na celé podnikateľské prostredie</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-684,30*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-9 580 000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b/>
                      <w:i/>
                    </w:rPr>
                  </w:pPr>
                  <w:r w:rsidRPr="00AE165B">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b/>
                      <w:i/>
                    </w:rPr>
                  </w:pPr>
                  <w:r w:rsidRPr="00AE165B">
                    <w:rPr>
                      <w:rFonts w:ascii="Times New Roman" w:hAnsi="Times New Roman"/>
                      <w:b/>
                      <w:i/>
                    </w:rPr>
                    <w:t>-684,30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b/>
                      <w:i/>
                    </w:rPr>
                  </w:pPr>
                  <w:r w:rsidRPr="00AE165B">
                    <w:rPr>
                      <w:rFonts w:ascii="Times New Roman" w:hAnsi="Times New Roman"/>
                      <w:b/>
                      <w:i/>
                    </w:rPr>
                    <w:t>-9 580 000</w:t>
                  </w:r>
                </w:p>
              </w:tc>
            </w:tr>
          </w:tbl>
          <w:p w:rsidR="00AE165B" w:rsidRPr="00AE165B" w:rsidRDefault="00AE165B" w:rsidP="003310B7">
            <w:pPr>
              <w:rPr>
                <w:rFonts w:ascii="Times New Roman" w:hAnsi="Times New Roman"/>
                <w:i/>
                <w:sz w:val="18"/>
                <w:szCs w:val="18"/>
              </w:rPr>
            </w:pPr>
            <w:r w:rsidRPr="00AE165B">
              <w:rPr>
                <w:rFonts w:ascii="Times New Roman" w:hAnsi="Times New Roman"/>
                <w:i/>
                <w:sz w:val="18"/>
                <w:szCs w:val="18"/>
              </w:rPr>
              <w:t xml:space="preserve">* Udávané náklady na 1 zamestnávateľa sú priemerom jednotlivých vplyvov na jedného zamestnávateľa. Výpočet = náklady na celé podnikateľské prostredie / počet dotknutých zamestnávateľov = -9 580 000 / 14 000 = -684,3 eur.  </w:t>
            </w:r>
          </w:p>
          <w:p w:rsidR="00AE165B" w:rsidRPr="00AE165B" w:rsidRDefault="00AE165B" w:rsidP="003310B7">
            <w:pPr>
              <w:rPr>
                <w:rFonts w:ascii="Times New Roman" w:hAnsi="Times New Roman"/>
                <w:b/>
                <w:i/>
              </w:rPr>
            </w:pPr>
          </w:p>
          <w:p w:rsidR="00AE165B" w:rsidRPr="00AE165B" w:rsidRDefault="00AE165B" w:rsidP="003310B7">
            <w:pPr>
              <w:rPr>
                <w:rFonts w:ascii="Times New Roman" w:hAnsi="Times New Roman"/>
                <w:b/>
                <w:i/>
              </w:rPr>
            </w:pPr>
            <w:r w:rsidRPr="00AE165B">
              <w:rPr>
                <w:rFonts w:ascii="Times New Roman" w:hAnsi="Times New Roman"/>
                <w:b/>
                <w:i/>
              </w:rPr>
              <w:t xml:space="preserve"> Rok 2021</w:t>
            </w:r>
          </w:p>
          <w:tbl>
            <w:tblPr>
              <w:tblStyle w:val="Mriekatabuky"/>
              <w:tblW w:w="0" w:type="auto"/>
              <w:tblLook w:val="04A0" w:firstRow="1" w:lastRow="0" w:firstColumn="1" w:lastColumn="0" w:noHBand="0" w:noVBand="1"/>
            </w:tblPr>
            <w:tblGrid>
              <w:gridCol w:w="2993"/>
              <w:gridCol w:w="2994"/>
              <w:gridCol w:w="2994"/>
            </w:tblGrid>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Priemerné náklady na 1 podnikateľa</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Náklady na celé podnikateľské prostredie</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-2 001,90*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-42 040 000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i/>
                    </w:rPr>
                  </w:pPr>
                  <w:r w:rsidRPr="00AE165B">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jc w:val="center"/>
                    <w:rPr>
                      <w:rFonts w:ascii="Times New Roman" w:hAnsi="Times New Roman"/>
                      <w:i/>
                    </w:rPr>
                  </w:pPr>
                  <w:r w:rsidRPr="00AE165B">
                    <w:rPr>
                      <w:rFonts w:ascii="Times New Roman" w:hAnsi="Times New Roman"/>
                      <w:i/>
                    </w:rPr>
                    <w:t>0</w:t>
                  </w:r>
                </w:p>
              </w:tc>
            </w:tr>
            <w:tr w:rsidR="00AE165B" w:rsidRPr="00AE165B" w:rsidTr="003310B7">
              <w:tc>
                <w:tcPr>
                  <w:tcW w:w="2993" w:type="dxa"/>
                  <w:tcBorders>
                    <w:top w:val="single" w:sz="4" w:space="0" w:color="auto"/>
                    <w:left w:val="single" w:sz="4" w:space="0" w:color="auto"/>
                    <w:bottom w:val="single" w:sz="4" w:space="0" w:color="auto"/>
                    <w:right w:val="single" w:sz="4" w:space="0" w:color="auto"/>
                  </w:tcBorders>
                </w:tcPr>
                <w:p w:rsidR="00AE165B" w:rsidRPr="00AE165B" w:rsidRDefault="00AE165B" w:rsidP="003310B7">
                  <w:pPr>
                    <w:rPr>
                      <w:rFonts w:ascii="Times New Roman" w:hAnsi="Times New Roman"/>
                      <w:b/>
                      <w:i/>
                    </w:rPr>
                  </w:pPr>
                  <w:r w:rsidRPr="00AE165B">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9040FD" w:rsidP="003310B7">
                  <w:pPr>
                    <w:jc w:val="center"/>
                    <w:rPr>
                      <w:rFonts w:ascii="Times New Roman" w:hAnsi="Times New Roman"/>
                      <w:b/>
                      <w:i/>
                    </w:rPr>
                  </w:pPr>
                  <w:r>
                    <w:rPr>
                      <w:rFonts w:ascii="Times New Roman" w:hAnsi="Times New Roman"/>
                      <w:b/>
                      <w:i/>
                    </w:rPr>
                    <w:t>-</w:t>
                  </w:r>
                  <w:r w:rsidR="00AE165B" w:rsidRPr="00AE165B">
                    <w:rPr>
                      <w:rFonts w:ascii="Times New Roman" w:hAnsi="Times New Roman"/>
                      <w:b/>
                      <w:i/>
                    </w:rPr>
                    <w:t>2 001,90</w:t>
                  </w:r>
                </w:p>
              </w:tc>
              <w:tc>
                <w:tcPr>
                  <w:tcW w:w="2994" w:type="dxa"/>
                  <w:tcBorders>
                    <w:top w:val="single" w:sz="4" w:space="0" w:color="auto"/>
                    <w:left w:val="single" w:sz="4" w:space="0" w:color="auto"/>
                    <w:bottom w:val="single" w:sz="4" w:space="0" w:color="auto"/>
                    <w:right w:val="single" w:sz="4" w:space="0" w:color="auto"/>
                  </w:tcBorders>
                </w:tcPr>
                <w:p w:rsidR="00AE165B" w:rsidRPr="00AE165B" w:rsidRDefault="009040FD" w:rsidP="003310B7">
                  <w:pPr>
                    <w:jc w:val="center"/>
                    <w:rPr>
                      <w:rFonts w:ascii="Times New Roman" w:hAnsi="Times New Roman"/>
                      <w:b/>
                      <w:i/>
                    </w:rPr>
                  </w:pPr>
                  <w:r>
                    <w:rPr>
                      <w:rFonts w:ascii="Times New Roman" w:hAnsi="Times New Roman"/>
                      <w:b/>
                      <w:i/>
                    </w:rPr>
                    <w:t>-</w:t>
                  </w:r>
                  <w:r w:rsidR="00AE165B" w:rsidRPr="00AE165B">
                    <w:rPr>
                      <w:rFonts w:ascii="Times New Roman" w:hAnsi="Times New Roman"/>
                      <w:b/>
                      <w:i/>
                    </w:rPr>
                    <w:t>42 040 000</w:t>
                  </w:r>
                </w:p>
              </w:tc>
            </w:tr>
          </w:tbl>
          <w:p w:rsidR="00AE165B" w:rsidRPr="00AE165B" w:rsidRDefault="00AE165B" w:rsidP="003310B7">
            <w:pPr>
              <w:jc w:val="both"/>
              <w:rPr>
                <w:rFonts w:ascii="Times New Roman" w:hAnsi="Times New Roman"/>
                <w:i/>
                <w:sz w:val="18"/>
                <w:szCs w:val="18"/>
              </w:rPr>
            </w:pPr>
            <w:r w:rsidRPr="00AE165B">
              <w:rPr>
                <w:rFonts w:ascii="Times New Roman" w:hAnsi="Times New Roman"/>
                <w:i/>
                <w:sz w:val="18"/>
                <w:szCs w:val="18"/>
              </w:rPr>
              <w:t xml:space="preserve">* Udávané náklady na 1 zamestnávateľa sú priemerom jednotlivých vplyvov na jedného zamestnávateľa. Výpočet = náklady na celé podnikateľské prostredie / počet dotknutých zamestnávateľov = 42 040 000 / 21 000 = 2 001,9 eur.     </w:t>
            </w:r>
          </w:p>
          <w:p w:rsidR="00AE165B" w:rsidRPr="00AE165B" w:rsidRDefault="00AE165B" w:rsidP="003310B7">
            <w:pPr>
              <w:rPr>
                <w:rFonts w:ascii="Times New Roman" w:hAnsi="Times New Roman"/>
                <w:i/>
                <w:sz w:val="18"/>
                <w:szCs w:val="18"/>
              </w:rPr>
            </w:pPr>
          </w:p>
        </w:tc>
      </w:tr>
      <w:tr w:rsidR="00AE165B" w:rsidRPr="00AE165B" w:rsidTr="003310B7">
        <w:tc>
          <w:tcPr>
            <w:tcW w:w="9212" w:type="dxa"/>
            <w:shd w:val="clear" w:color="auto" w:fill="D9D9D9" w:themeFill="background1" w:themeFillShade="D9"/>
          </w:tcPr>
          <w:p w:rsidR="00AE165B" w:rsidRPr="00AE165B" w:rsidRDefault="00AE165B" w:rsidP="003310B7">
            <w:pPr>
              <w:rPr>
                <w:rFonts w:ascii="Times New Roman" w:hAnsi="Times New Roman"/>
                <w:b/>
              </w:rPr>
            </w:pPr>
            <w:r w:rsidRPr="00AE165B">
              <w:rPr>
                <w:rFonts w:ascii="Times New Roman" w:hAnsi="Times New Roman"/>
                <w:b/>
              </w:rPr>
              <w:t>3.4 Konkurencieschopnosť a správanie sa podnikov na trhu</w:t>
            </w:r>
          </w:p>
          <w:p w:rsidR="00AE165B" w:rsidRPr="00AE165B" w:rsidRDefault="00AE165B" w:rsidP="003310B7">
            <w:pPr>
              <w:rPr>
                <w:rFonts w:ascii="Times New Roman" w:hAnsi="Times New Roman"/>
              </w:rPr>
            </w:pPr>
            <w:r w:rsidRPr="00AE165B">
              <w:rPr>
                <w:rFonts w:ascii="Times New Roman" w:hAnsi="Times New Roman"/>
                <w:b/>
              </w:rPr>
              <w:t xml:space="preserve">       </w:t>
            </w:r>
            <w:r w:rsidRPr="00AE165B">
              <w:rPr>
                <w:rFonts w:ascii="Times New Roman" w:hAnsi="Times New Roman"/>
              </w:rPr>
              <w:t xml:space="preserve">- </w:t>
            </w:r>
            <w:r w:rsidRPr="00AE165B">
              <w:rPr>
                <w:rFonts w:ascii="Times New Roman" w:hAnsi="Times New Roman"/>
                <w:b/>
              </w:rPr>
              <w:t>z toho MSP</w:t>
            </w:r>
          </w:p>
        </w:tc>
      </w:tr>
      <w:tr w:rsidR="00AE165B" w:rsidRPr="00AE165B" w:rsidTr="003310B7">
        <w:tc>
          <w:tcPr>
            <w:tcW w:w="9212" w:type="dxa"/>
          </w:tcPr>
          <w:p w:rsidR="00AE165B" w:rsidRPr="00AE165B" w:rsidRDefault="00AE165B" w:rsidP="003310B7">
            <w:pPr>
              <w:jc w:val="both"/>
              <w:rPr>
                <w:rFonts w:ascii="Times New Roman" w:hAnsi="Times New Roman"/>
                <w:i/>
              </w:rPr>
            </w:pPr>
            <w:r w:rsidRPr="00AE165B">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AE165B" w:rsidRPr="00AE165B" w:rsidRDefault="00AE165B" w:rsidP="003310B7">
            <w:pPr>
              <w:jc w:val="both"/>
              <w:rPr>
                <w:rFonts w:ascii="Times New Roman" w:hAnsi="Times New Roman"/>
                <w:i/>
              </w:rPr>
            </w:pPr>
            <w:r w:rsidRPr="00AE165B">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AE165B" w:rsidRPr="00AE165B" w:rsidRDefault="00AE165B" w:rsidP="003310B7">
            <w:pPr>
              <w:jc w:val="both"/>
              <w:rPr>
                <w:rFonts w:ascii="Times New Roman" w:hAnsi="Times New Roman"/>
                <w:i/>
              </w:rPr>
            </w:pPr>
            <w:r w:rsidRPr="00AE165B">
              <w:rPr>
                <w:rFonts w:ascii="Times New Roman" w:hAnsi="Times New Roman"/>
                <w:i/>
              </w:rPr>
              <w:t>Ako ovplyvní cenu alebo dostupnosť základných zdrojov (suroviny, mechanizmy, pracovná sila, energie atď.)?</w:t>
            </w:r>
          </w:p>
          <w:p w:rsidR="00AE165B" w:rsidRPr="00AE165B" w:rsidRDefault="00AE165B" w:rsidP="003310B7">
            <w:pPr>
              <w:jc w:val="both"/>
              <w:rPr>
                <w:rFonts w:ascii="Times New Roman" w:hAnsi="Times New Roman"/>
                <w:i/>
              </w:rPr>
            </w:pPr>
            <w:r w:rsidRPr="00AE165B">
              <w:rPr>
                <w:rFonts w:ascii="Times New Roman" w:hAnsi="Times New Roman"/>
                <w:i/>
              </w:rPr>
              <w:t>Ovplyvňuje prístup k financiám? Ak áno, ako?</w:t>
            </w:r>
          </w:p>
        </w:tc>
      </w:tr>
      <w:tr w:rsidR="00AE165B" w:rsidRPr="00AE165B" w:rsidTr="003310B7">
        <w:trPr>
          <w:trHeight w:val="427"/>
        </w:trPr>
        <w:tc>
          <w:tcPr>
            <w:tcW w:w="9212" w:type="dxa"/>
          </w:tcPr>
          <w:p w:rsidR="00AE165B" w:rsidRPr="00AE165B" w:rsidRDefault="00AE165B" w:rsidP="003310B7">
            <w:pPr>
              <w:rPr>
                <w:rFonts w:ascii="Times New Roman" w:hAnsi="Times New Roman"/>
                <w:i/>
              </w:rPr>
            </w:pPr>
            <w:r w:rsidRPr="00AE165B">
              <w:rPr>
                <w:rFonts w:ascii="Times New Roman" w:hAnsi="Times New Roman"/>
              </w:rPr>
              <w:t xml:space="preserve">Nedochádza  k vplyvu na konkurencieschopnosť a správanie sa podnikov na trhu.  </w:t>
            </w:r>
          </w:p>
        </w:tc>
      </w:tr>
      <w:tr w:rsidR="00AE165B" w:rsidRPr="00AE165B" w:rsidTr="003310B7">
        <w:tc>
          <w:tcPr>
            <w:tcW w:w="9212" w:type="dxa"/>
            <w:shd w:val="clear" w:color="auto" w:fill="D9D9D9" w:themeFill="background1" w:themeFillShade="D9"/>
          </w:tcPr>
          <w:p w:rsidR="00AE165B" w:rsidRPr="00AE165B" w:rsidRDefault="00AE165B" w:rsidP="003310B7">
            <w:pPr>
              <w:rPr>
                <w:rFonts w:ascii="Times New Roman" w:hAnsi="Times New Roman"/>
                <w:b/>
              </w:rPr>
            </w:pPr>
            <w:r w:rsidRPr="00AE165B">
              <w:rPr>
                <w:rFonts w:ascii="Times New Roman" w:hAnsi="Times New Roman"/>
                <w:b/>
              </w:rPr>
              <w:t xml:space="preserve">3.5 Inovácie </w:t>
            </w:r>
          </w:p>
          <w:p w:rsidR="00AE165B" w:rsidRPr="00AE165B" w:rsidRDefault="00AE165B" w:rsidP="003310B7">
            <w:pPr>
              <w:rPr>
                <w:rFonts w:ascii="Times New Roman" w:hAnsi="Times New Roman"/>
                <w:b/>
              </w:rPr>
            </w:pPr>
            <w:r w:rsidRPr="00AE165B">
              <w:rPr>
                <w:rFonts w:ascii="Times New Roman" w:hAnsi="Times New Roman"/>
              </w:rPr>
              <w:t xml:space="preserve">       - </w:t>
            </w:r>
            <w:r w:rsidRPr="00AE165B">
              <w:rPr>
                <w:rFonts w:ascii="Times New Roman" w:hAnsi="Times New Roman"/>
                <w:b/>
              </w:rPr>
              <w:t>z toho MSP</w:t>
            </w:r>
          </w:p>
        </w:tc>
      </w:tr>
      <w:tr w:rsidR="00AE165B" w:rsidRPr="00AE165B" w:rsidTr="003310B7">
        <w:tc>
          <w:tcPr>
            <w:tcW w:w="9212" w:type="dxa"/>
          </w:tcPr>
          <w:p w:rsidR="00AE165B" w:rsidRPr="00AE165B" w:rsidRDefault="00AE165B" w:rsidP="003310B7">
            <w:pPr>
              <w:rPr>
                <w:rFonts w:ascii="Times New Roman" w:hAnsi="Times New Roman"/>
                <w:i/>
              </w:rPr>
            </w:pPr>
            <w:r w:rsidRPr="00AE165B">
              <w:rPr>
                <w:rFonts w:ascii="Times New Roman" w:hAnsi="Times New Roman"/>
                <w:i/>
              </w:rPr>
              <w:t>Uveďte, ako podporuje navrhovaná zmena inovácie.</w:t>
            </w:r>
          </w:p>
          <w:p w:rsidR="00AE165B" w:rsidRPr="00AE165B" w:rsidRDefault="00AE165B" w:rsidP="003310B7">
            <w:pPr>
              <w:rPr>
                <w:rFonts w:ascii="Times New Roman" w:hAnsi="Times New Roman"/>
                <w:i/>
              </w:rPr>
            </w:pPr>
            <w:r w:rsidRPr="00AE165B">
              <w:rPr>
                <w:rFonts w:ascii="Times New Roman" w:hAnsi="Times New Roman"/>
                <w:i/>
              </w:rPr>
              <w:t>Zjednodušuje uvedenie alebo rozšírenie nových výrobných metód, technológií a výrobkov na trh?</w:t>
            </w:r>
          </w:p>
          <w:p w:rsidR="00AE165B" w:rsidRPr="00AE165B" w:rsidRDefault="00AE165B" w:rsidP="003310B7">
            <w:pPr>
              <w:rPr>
                <w:rFonts w:ascii="Times New Roman" w:hAnsi="Times New Roman"/>
                <w:i/>
              </w:rPr>
            </w:pPr>
            <w:r w:rsidRPr="00AE165B">
              <w:rPr>
                <w:rFonts w:ascii="Times New Roman" w:hAnsi="Times New Roman"/>
                <w:i/>
              </w:rPr>
              <w:t>Uveďte, ako vplýva navrhovaná zmena na jednotlivé práva duševného vlastníctva (napr. patenty, ochranné známky, autorské práva, vlastníctvo know-how).</w:t>
            </w:r>
          </w:p>
          <w:p w:rsidR="00AE165B" w:rsidRPr="00AE165B" w:rsidRDefault="00AE165B" w:rsidP="003310B7">
            <w:pPr>
              <w:rPr>
                <w:rFonts w:ascii="Times New Roman" w:hAnsi="Times New Roman"/>
                <w:i/>
              </w:rPr>
            </w:pPr>
            <w:r w:rsidRPr="00AE165B">
              <w:rPr>
                <w:rFonts w:ascii="Times New Roman" w:hAnsi="Times New Roman"/>
                <w:i/>
              </w:rPr>
              <w:lastRenderedPageBreak/>
              <w:t>Podporuje vyššiu efektivitu výroby/využívania zdrojov? Ak áno, ako?</w:t>
            </w:r>
          </w:p>
          <w:p w:rsidR="00AE165B" w:rsidRPr="00AE165B" w:rsidRDefault="00AE165B" w:rsidP="003310B7">
            <w:pPr>
              <w:rPr>
                <w:rFonts w:ascii="Times New Roman" w:hAnsi="Times New Roman"/>
              </w:rPr>
            </w:pPr>
            <w:r w:rsidRPr="00AE165B">
              <w:rPr>
                <w:rFonts w:ascii="Times New Roman" w:hAnsi="Times New Roman"/>
                <w:i/>
              </w:rPr>
              <w:t>Vytvorí zmena nové pracovné miesta pre zamestnancov výskumu a vývoja v SR?</w:t>
            </w:r>
          </w:p>
        </w:tc>
      </w:tr>
      <w:tr w:rsidR="00AE165B" w:rsidRPr="00AE165B" w:rsidTr="003310B7">
        <w:trPr>
          <w:trHeight w:val="70"/>
        </w:trPr>
        <w:tc>
          <w:tcPr>
            <w:tcW w:w="9212" w:type="dxa"/>
          </w:tcPr>
          <w:p w:rsidR="00AE165B" w:rsidRPr="00AE165B" w:rsidRDefault="00AE165B" w:rsidP="003310B7">
            <w:pPr>
              <w:rPr>
                <w:rFonts w:ascii="Times New Roman" w:hAnsi="Times New Roman"/>
                <w:i/>
              </w:rPr>
            </w:pPr>
            <w:r w:rsidRPr="00AE165B">
              <w:rPr>
                <w:rFonts w:ascii="Times New Roman" w:hAnsi="Times New Roman"/>
              </w:rPr>
              <w:lastRenderedPageBreak/>
              <w:t xml:space="preserve">Nedochádza k vplyvu na inovácie.  </w:t>
            </w:r>
          </w:p>
        </w:tc>
      </w:tr>
    </w:tbl>
    <w:p w:rsidR="00AE165B" w:rsidRPr="00AE165B" w:rsidRDefault="00AE165B" w:rsidP="00AE165B">
      <w:pPr>
        <w:rPr>
          <w:b/>
        </w:rPr>
      </w:pPr>
    </w:p>
    <w:p w:rsidR="00AE165B" w:rsidRP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F954CF" w:rsidRDefault="00F954CF"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9040FD" w:rsidRDefault="009040FD"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trHeight w:val="534"/>
          <w:jc w:val="center"/>
        </w:trPr>
        <w:tc>
          <w:tcPr>
            <w:tcW w:w="5000" w:type="pct"/>
            <w:shd w:val="clear" w:color="auto" w:fill="D9D9D9"/>
          </w:tcPr>
          <w:p w:rsidR="00AE165B" w:rsidRPr="006A2393" w:rsidRDefault="00AE165B" w:rsidP="003310B7">
            <w:pPr>
              <w:ind w:left="-284" w:firstLine="284"/>
              <w:jc w:val="center"/>
              <w:rPr>
                <w:b/>
              </w:rPr>
            </w:pPr>
            <w:r w:rsidRPr="006A2393">
              <w:rPr>
                <w:b/>
                <w:sz w:val="28"/>
              </w:rPr>
              <w:t>Analýza sociálnych vplyvov</w:t>
            </w:r>
          </w:p>
          <w:p w:rsidR="00AE165B" w:rsidRPr="006A2393" w:rsidRDefault="00AE165B" w:rsidP="003310B7">
            <w:pPr>
              <w:jc w:val="center"/>
              <w:rPr>
                <w:b/>
              </w:rPr>
            </w:pPr>
            <w:r w:rsidRPr="006A2393">
              <w:rPr>
                <w:b/>
              </w:rPr>
              <w:t>Vplyvy na hospodárenie domácností, prístup k zdrojom, právam, tovarom a službám, sociálnu inklúziu, rovnosť príležitostí a rodovú rovnosť a vplyvy na zamestnanosť</w:t>
            </w:r>
          </w:p>
        </w:tc>
      </w:tr>
      <w:tr w:rsidR="00AE165B" w:rsidRPr="006A2393" w:rsidTr="003310B7">
        <w:trPr>
          <w:jc w:val="center"/>
        </w:trPr>
        <w:tc>
          <w:tcPr>
            <w:tcW w:w="5000" w:type="pct"/>
            <w:tcBorders>
              <w:bottom w:val="nil"/>
            </w:tcBorders>
            <w:shd w:val="clear" w:color="auto" w:fill="D9D9D9"/>
          </w:tcPr>
          <w:p w:rsidR="00AE165B" w:rsidRPr="006A2393" w:rsidRDefault="00AE165B" w:rsidP="003310B7">
            <w:pPr>
              <w:rPr>
                <w:b/>
              </w:rPr>
            </w:pPr>
            <w:r w:rsidRPr="006A2393">
              <w:rPr>
                <w:b/>
              </w:rPr>
              <w:t>4.1 Identifikujte, popíšte a kvantifikujte vplyv na hospodárenie domácností a špecifikujte ovplyvnené skupiny domácností, ktoré budú pozitívne/negatívne ovplyvnené.</w:t>
            </w:r>
          </w:p>
        </w:tc>
      </w:tr>
    </w:tbl>
    <w:p w:rsidR="00AE165B" w:rsidRPr="006A2393" w:rsidRDefault="00AE165B" w:rsidP="00AE165B">
      <w:pPr>
        <w:shd w:val="clear" w:color="auto" w:fill="F2F2F2"/>
        <w:rPr>
          <w:i/>
          <w:sz w:val="20"/>
          <w:szCs w:val="20"/>
        </w:rPr>
        <w:sectPr w:rsidR="00AE165B" w:rsidRPr="006A2393" w:rsidSect="00AE165B">
          <w:headerReference w:type="default" r:id="rId9"/>
          <w:footerReference w:type="default" r:id="rId10"/>
          <w:footnotePr>
            <w:numFmt w:val="chicago"/>
          </w:footnotePr>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trHeight w:val="736"/>
          <w:jc w:val="center"/>
        </w:trPr>
        <w:tc>
          <w:tcPr>
            <w:tcW w:w="5000" w:type="pct"/>
            <w:shd w:val="clear" w:color="auto" w:fill="F2F2F2"/>
          </w:tcPr>
          <w:p w:rsidR="00AE165B" w:rsidRPr="006A2393" w:rsidRDefault="00AE165B" w:rsidP="003310B7">
            <w:pPr>
              <w:shd w:val="clear" w:color="auto" w:fill="F2F2F2"/>
              <w:rPr>
                <w:i/>
                <w:sz w:val="20"/>
                <w:szCs w:val="20"/>
              </w:rPr>
            </w:pPr>
            <w:r w:rsidRPr="006A2393">
              <w:rPr>
                <w:i/>
                <w:sz w:val="20"/>
                <w:szCs w:val="20"/>
              </w:rPr>
              <w:lastRenderedPageBreak/>
              <w:t xml:space="preserve">Vedie návrh k zvýšeniu alebo zníženiu príjmov alebo výdavkov domácností? </w:t>
            </w:r>
          </w:p>
          <w:p w:rsidR="00AE165B" w:rsidRPr="006A2393" w:rsidRDefault="00AE165B" w:rsidP="003310B7">
            <w:pPr>
              <w:shd w:val="clear" w:color="auto" w:fill="F2F2F2"/>
              <w:rPr>
                <w:i/>
                <w:sz w:val="20"/>
                <w:szCs w:val="20"/>
              </w:rPr>
            </w:pPr>
            <w:r w:rsidRPr="006A2393">
              <w:rPr>
                <w:i/>
                <w:sz w:val="20"/>
                <w:szCs w:val="20"/>
              </w:rPr>
              <w:t xml:space="preserve">Ktoré skupiny domácností/obyvateľstva sú takto ovplyvnené a akým spôsobom? </w:t>
            </w:r>
          </w:p>
          <w:p w:rsidR="00AE165B" w:rsidRPr="006A2393" w:rsidRDefault="00AE165B" w:rsidP="003310B7">
            <w:pPr>
              <w:shd w:val="clear" w:color="auto" w:fill="F2F2F2"/>
              <w:rPr>
                <w:rFonts w:ascii="Calibri" w:hAnsi="Calibri"/>
                <w:i/>
                <w:sz w:val="20"/>
                <w:szCs w:val="20"/>
              </w:rPr>
            </w:pPr>
            <w:r w:rsidRPr="006A2393">
              <w:rPr>
                <w:i/>
                <w:sz w:val="20"/>
                <w:szCs w:val="20"/>
              </w:rPr>
              <w:t>Sú medzi potenciálne ovplyvnenými skupinami skupiny v riziku chudoby alebo sociálneho vylúčenia?</w:t>
            </w:r>
          </w:p>
        </w:tc>
      </w:tr>
    </w:tbl>
    <w:p w:rsidR="00AE165B" w:rsidRPr="006A2393" w:rsidRDefault="00AE165B" w:rsidP="00AE165B">
      <w:pPr>
        <w:rPr>
          <w:i/>
          <w:sz w:val="20"/>
          <w:szCs w:val="20"/>
        </w:rPr>
        <w:sectPr w:rsidR="00AE165B" w:rsidRPr="006A2393" w:rsidSect="003310B7">
          <w:footnotePr>
            <w:numFmt w:val="chicago"/>
          </w:footnotePr>
          <w:type w:val="continuous"/>
          <w:pgSz w:w="11906" w:h="16838"/>
          <w:pgMar w:top="1134" w:right="1418" w:bottom="1134" w:left="1418" w:header="510" w:footer="567" w:gutter="0"/>
          <w:cols w:space="708"/>
          <w:docGrid w:linePitch="360"/>
        </w:sectPr>
      </w:pP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963"/>
        <w:gridCol w:w="4802"/>
      </w:tblGrid>
      <w:tr w:rsidR="00AE165B" w:rsidRPr="006A2393" w:rsidTr="003310B7">
        <w:trPr>
          <w:trHeight w:val="1705"/>
          <w:jc w:val="center"/>
        </w:trPr>
        <w:tc>
          <w:tcPr>
            <w:tcW w:w="2541" w:type="pct"/>
            <w:tcBorders>
              <w:top w:val="nil"/>
              <w:bottom w:val="dotted" w:sz="4" w:space="0" w:color="auto"/>
            </w:tcBorders>
          </w:tcPr>
          <w:p w:rsidR="00AE165B" w:rsidRPr="006A2393" w:rsidRDefault="00AE165B" w:rsidP="003310B7">
            <w:pPr>
              <w:rPr>
                <w:i/>
                <w:sz w:val="20"/>
                <w:szCs w:val="20"/>
              </w:rPr>
            </w:pPr>
            <w:r w:rsidRPr="006A2393">
              <w:rPr>
                <w:i/>
                <w:sz w:val="20"/>
                <w:szCs w:val="20"/>
              </w:rPr>
              <w:lastRenderedPageBreak/>
              <w:t xml:space="preserve">Popíšte </w:t>
            </w:r>
            <w:r w:rsidRPr="006A2393">
              <w:rPr>
                <w:b/>
                <w:i/>
                <w:sz w:val="20"/>
                <w:szCs w:val="20"/>
              </w:rPr>
              <w:t>pozitívny</w:t>
            </w:r>
            <w:r w:rsidRPr="006A2393">
              <w:rPr>
                <w:i/>
                <w:sz w:val="20"/>
                <w:szCs w:val="20"/>
              </w:rPr>
              <w:t xml:space="preserve"> vplyv na hospodárenie domácností s uvedením, či ide o zvýšenie príjmov alebo zníženie výdavkov:</w:t>
            </w:r>
          </w:p>
        </w:tc>
        <w:tc>
          <w:tcPr>
            <w:tcW w:w="2459" w:type="pct"/>
            <w:tcBorders>
              <w:top w:val="nil"/>
              <w:bottom w:val="dotted" w:sz="4" w:space="0" w:color="auto"/>
            </w:tcBorders>
          </w:tcPr>
          <w:p w:rsidR="00AE165B" w:rsidRPr="006A2393" w:rsidRDefault="00AE165B" w:rsidP="003310B7">
            <w:pPr>
              <w:jc w:val="both"/>
              <w:rPr>
                <w:sz w:val="20"/>
                <w:szCs w:val="20"/>
              </w:rPr>
            </w:pPr>
            <w:r>
              <w:rPr>
                <w:sz w:val="20"/>
                <w:szCs w:val="20"/>
              </w:rPr>
              <w:t>Uvedená právna úprava</w:t>
            </w:r>
            <w:r w:rsidRPr="00C7498C">
              <w:rPr>
                <w:sz w:val="20"/>
                <w:szCs w:val="20"/>
              </w:rPr>
              <w:t xml:space="preserve"> </w:t>
            </w:r>
            <w:r>
              <w:rPr>
                <w:sz w:val="20"/>
                <w:szCs w:val="20"/>
              </w:rPr>
              <w:t>má pozitívny vplyv</w:t>
            </w:r>
            <w:r w:rsidRPr="00C7498C">
              <w:rPr>
                <w:sz w:val="20"/>
                <w:szCs w:val="20"/>
              </w:rPr>
              <w:t xml:space="preserve"> na hospodárenie domácností, nakoľko niektoré osoby v</w:t>
            </w:r>
            <w:r>
              <w:rPr>
                <w:sz w:val="20"/>
                <w:szCs w:val="20"/>
              </w:rPr>
              <w:t> </w:t>
            </w:r>
            <w:r w:rsidRPr="00C7498C">
              <w:rPr>
                <w:sz w:val="20"/>
                <w:szCs w:val="20"/>
              </w:rPr>
              <w:t>pracovnoprávnom vzťahu nebudú platiť poistné na sociálne poistenie z 13/14-steho platu, čo zvýši ich čistý príjem.</w:t>
            </w:r>
          </w:p>
        </w:tc>
      </w:tr>
      <w:tr w:rsidR="00AE165B" w:rsidRPr="006A2393" w:rsidTr="003310B7">
        <w:trPr>
          <w:trHeight w:val="624"/>
          <w:jc w:val="center"/>
        </w:trPr>
        <w:tc>
          <w:tcPr>
            <w:tcW w:w="2541" w:type="pct"/>
            <w:tcBorders>
              <w:top w:val="dotted" w:sz="4" w:space="0" w:color="auto"/>
            </w:tcBorders>
          </w:tcPr>
          <w:p w:rsidR="00AE165B" w:rsidRPr="006A2393" w:rsidRDefault="00AE165B" w:rsidP="003310B7">
            <w:pPr>
              <w:rPr>
                <w:i/>
                <w:sz w:val="20"/>
                <w:szCs w:val="20"/>
              </w:rPr>
            </w:pPr>
            <w:r w:rsidRPr="006A2393">
              <w:rPr>
                <w:i/>
                <w:sz w:val="20"/>
                <w:szCs w:val="20"/>
              </w:rPr>
              <w:t xml:space="preserve">Špecifikujte </w:t>
            </w:r>
            <w:r w:rsidRPr="006A2393">
              <w:rPr>
                <w:b/>
                <w:i/>
                <w:sz w:val="20"/>
                <w:szCs w:val="20"/>
              </w:rPr>
              <w:t>pozitívne</w:t>
            </w:r>
            <w:r w:rsidRPr="006A2393">
              <w:rPr>
                <w:i/>
                <w:sz w:val="20"/>
                <w:szCs w:val="20"/>
              </w:rPr>
              <w:t xml:space="preserve"> ovplyvnené skupiny:</w:t>
            </w:r>
          </w:p>
          <w:p w:rsidR="00AE165B" w:rsidRPr="006A2393" w:rsidRDefault="00AE165B" w:rsidP="003310B7">
            <w:pPr>
              <w:rPr>
                <w:i/>
                <w:sz w:val="20"/>
                <w:szCs w:val="20"/>
              </w:rPr>
            </w:pPr>
          </w:p>
          <w:p w:rsidR="00AE165B" w:rsidRPr="006A2393" w:rsidRDefault="00AE165B" w:rsidP="003310B7">
            <w:pPr>
              <w:rPr>
                <w:i/>
                <w:sz w:val="20"/>
                <w:szCs w:val="20"/>
              </w:rPr>
            </w:pPr>
          </w:p>
        </w:tc>
        <w:tc>
          <w:tcPr>
            <w:tcW w:w="2459" w:type="pct"/>
            <w:tcBorders>
              <w:top w:val="dotted" w:sz="4" w:space="0" w:color="auto"/>
            </w:tcBorders>
          </w:tcPr>
          <w:p w:rsidR="00AE165B" w:rsidRDefault="00AE165B" w:rsidP="003310B7">
            <w:pPr>
              <w:jc w:val="both"/>
              <w:rPr>
                <w:sz w:val="20"/>
                <w:szCs w:val="20"/>
              </w:rPr>
            </w:pPr>
            <w:r>
              <w:rPr>
                <w:sz w:val="20"/>
                <w:szCs w:val="20"/>
              </w:rPr>
              <w:t>O</w:t>
            </w:r>
            <w:r w:rsidRPr="00C7498C">
              <w:rPr>
                <w:sz w:val="20"/>
                <w:szCs w:val="20"/>
              </w:rPr>
              <w:t>soby</w:t>
            </w:r>
            <w:r>
              <w:rPr>
                <w:sz w:val="20"/>
                <w:szCs w:val="20"/>
              </w:rPr>
              <w:t xml:space="preserve"> s nárokom na tzv. 13. a 14. plat</w:t>
            </w:r>
            <w:r w:rsidRPr="00C7498C">
              <w:rPr>
                <w:sz w:val="20"/>
                <w:szCs w:val="20"/>
              </w:rPr>
              <w:t>.</w:t>
            </w:r>
            <w:r>
              <w:rPr>
                <w:sz w:val="20"/>
                <w:szCs w:val="20"/>
              </w:rPr>
              <w:t xml:space="preserve"> </w:t>
            </w:r>
          </w:p>
          <w:p w:rsidR="004E22A7" w:rsidRDefault="004E22A7" w:rsidP="003310B7">
            <w:pPr>
              <w:jc w:val="both"/>
              <w:rPr>
                <w:sz w:val="20"/>
                <w:szCs w:val="20"/>
              </w:rPr>
            </w:pPr>
          </w:p>
          <w:p w:rsidR="00AE165B" w:rsidRDefault="00AE165B" w:rsidP="003310B7">
            <w:pPr>
              <w:jc w:val="both"/>
              <w:rPr>
                <w:sz w:val="20"/>
                <w:szCs w:val="20"/>
              </w:rPr>
            </w:pPr>
            <w:r>
              <w:rPr>
                <w:sz w:val="20"/>
                <w:szCs w:val="20"/>
              </w:rPr>
              <w:t>Podmienky nároku na 13. plat:</w:t>
            </w:r>
          </w:p>
          <w:p w:rsidR="00AE165B" w:rsidRPr="00C7498C" w:rsidRDefault="00AE165B" w:rsidP="003310B7">
            <w:pPr>
              <w:ind w:left="603" w:hanging="223"/>
              <w:jc w:val="both"/>
              <w:rPr>
                <w:sz w:val="20"/>
                <w:szCs w:val="20"/>
              </w:rPr>
            </w:pPr>
            <w:r w:rsidRPr="00C7498C">
              <w:rPr>
                <w:sz w:val="20"/>
                <w:szCs w:val="20"/>
              </w:rPr>
              <w:t>•</w:t>
            </w:r>
            <w:r w:rsidRPr="00C7498C">
              <w:rPr>
                <w:sz w:val="20"/>
                <w:szCs w:val="20"/>
              </w:rPr>
              <w:tab/>
              <w:t>13. plat sa poskytuje v júni príslušného kalendárneho roka,</w:t>
            </w:r>
          </w:p>
          <w:p w:rsidR="00AE165B" w:rsidRPr="00C7498C" w:rsidRDefault="00AE165B" w:rsidP="003310B7">
            <w:pPr>
              <w:ind w:left="603" w:hanging="223"/>
              <w:jc w:val="both"/>
              <w:rPr>
                <w:sz w:val="20"/>
                <w:szCs w:val="20"/>
              </w:rPr>
            </w:pPr>
            <w:r w:rsidRPr="00C7498C">
              <w:rPr>
                <w:sz w:val="20"/>
                <w:szCs w:val="20"/>
              </w:rPr>
              <w:t>•</w:t>
            </w:r>
            <w:r w:rsidRPr="00C7498C">
              <w:rPr>
                <w:sz w:val="20"/>
                <w:szCs w:val="20"/>
              </w:rPr>
              <w:tab/>
              <w:t>13. plat je poskytnutý  najmenej vo</w:t>
            </w:r>
            <w:r>
              <w:rPr>
                <w:sz w:val="20"/>
                <w:szCs w:val="20"/>
              </w:rPr>
              <w:t xml:space="preserve"> výške</w:t>
            </w:r>
            <w:r w:rsidRPr="00C7498C">
              <w:rPr>
                <w:sz w:val="20"/>
                <w:szCs w:val="20"/>
              </w:rPr>
              <w:t xml:space="preserve"> 500 eur,</w:t>
            </w:r>
          </w:p>
          <w:p w:rsidR="00AE165B" w:rsidRDefault="00AE165B" w:rsidP="003310B7">
            <w:pPr>
              <w:ind w:left="603" w:hanging="223"/>
              <w:jc w:val="both"/>
              <w:rPr>
                <w:sz w:val="20"/>
                <w:szCs w:val="20"/>
              </w:rPr>
            </w:pPr>
            <w:r>
              <w:rPr>
                <w:sz w:val="20"/>
                <w:szCs w:val="20"/>
              </w:rPr>
              <w:t>•</w:t>
            </w:r>
            <w:r>
              <w:rPr>
                <w:sz w:val="20"/>
                <w:szCs w:val="20"/>
              </w:rPr>
              <w:tab/>
              <w:t xml:space="preserve">k </w:t>
            </w:r>
            <w:r w:rsidRPr="00C7498C">
              <w:rPr>
                <w:sz w:val="20"/>
                <w:szCs w:val="20"/>
              </w:rPr>
              <w:t>30. aprílu 2021 je zamestnanec u</w:t>
            </w:r>
            <w:r w:rsidR="004E22A7">
              <w:rPr>
                <w:sz w:val="20"/>
                <w:szCs w:val="20"/>
              </w:rPr>
              <w:t> </w:t>
            </w:r>
            <w:r w:rsidRPr="00C7498C">
              <w:rPr>
                <w:sz w:val="20"/>
                <w:szCs w:val="20"/>
              </w:rPr>
              <w:t>zamestnávateľa v pracovnoprávnom vzťahu nepretržite najmenej 24 mesiacov.</w:t>
            </w:r>
          </w:p>
          <w:p w:rsidR="00AE165B" w:rsidRDefault="00AE165B" w:rsidP="003310B7">
            <w:pPr>
              <w:rPr>
                <w:sz w:val="20"/>
                <w:szCs w:val="20"/>
              </w:rPr>
            </w:pPr>
          </w:p>
          <w:p w:rsidR="00AE165B" w:rsidRDefault="00AE165B" w:rsidP="003310B7">
            <w:pPr>
              <w:rPr>
                <w:sz w:val="20"/>
                <w:szCs w:val="20"/>
              </w:rPr>
            </w:pPr>
            <w:r>
              <w:rPr>
                <w:sz w:val="20"/>
                <w:szCs w:val="20"/>
              </w:rPr>
              <w:t xml:space="preserve">Podmienky nároku na 14. plat: </w:t>
            </w:r>
          </w:p>
          <w:p w:rsidR="00AE165B" w:rsidRPr="00C7498C" w:rsidRDefault="00AE165B" w:rsidP="003310B7">
            <w:pPr>
              <w:ind w:left="603" w:hanging="223"/>
              <w:jc w:val="both"/>
              <w:rPr>
                <w:sz w:val="20"/>
                <w:szCs w:val="20"/>
              </w:rPr>
            </w:pPr>
            <w:r w:rsidRPr="00C7498C">
              <w:rPr>
                <w:sz w:val="20"/>
                <w:szCs w:val="20"/>
              </w:rPr>
              <w:t>•</w:t>
            </w:r>
            <w:r w:rsidRPr="00C7498C">
              <w:rPr>
                <w:sz w:val="20"/>
                <w:szCs w:val="20"/>
              </w:rPr>
              <w:tab/>
              <w:t>14. plat sa poskytuje v decembri príslušného kalendárneho roka,</w:t>
            </w:r>
          </w:p>
          <w:p w:rsidR="00AE165B" w:rsidRPr="00C7498C" w:rsidRDefault="00AE165B" w:rsidP="003310B7">
            <w:pPr>
              <w:ind w:left="603" w:hanging="223"/>
              <w:jc w:val="both"/>
              <w:rPr>
                <w:sz w:val="20"/>
                <w:szCs w:val="20"/>
              </w:rPr>
            </w:pPr>
            <w:r w:rsidRPr="00C7498C">
              <w:rPr>
                <w:sz w:val="20"/>
                <w:szCs w:val="20"/>
              </w:rPr>
              <w:t>•</w:t>
            </w:r>
            <w:r w:rsidRPr="00C7498C">
              <w:rPr>
                <w:sz w:val="20"/>
                <w:szCs w:val="20"/>
              </w:rPr>
              <w:tab/>
              <w:t>14. plat je poskytnutý najmenej vo výške priemerného mesačného zárobku zamestnanca,</w:t>
            </w:r>
          </w:p>
          <w:p w:rsidR="00AE165B" w:rsidRPr="00C7498C" w:rsidRDefault="00AE165B" w:rsidP="004E22A7">
            <w:pPr>
              <w:ind w:left="603" w:hanging="223"/>
              <w:jc w:val="both"/>
              <w:rPr>
                <w:sz w:val="20"/>
                <w:szCs w:val="20"/>
              </w:rPr>
            </w:pPr>
            <w:r w:rsidRPr="00C7498C">
              <w:rPr>
                <w:sz w:val="20"/>
                <w:szCs w:val="20"/>
              </w:rPr>
              <w:t>•</w:t>
            </w:r>
            <w:r w:rsidRPr="00C7498C">
              <w:rPr>
                <w:sz w:val="20"/>
                <w:szCs w:val="20"/>
              </w:rPr>
              <w:tab/>
              <w:t>k 31. októbru príslušného kalendárneho roka je zamestnanec u zamestnávateľa v</w:t>
            </w:r>
            <w:r w:rsidR="004E22A7">
              <w:rPr>
                <w:sz w:val="20"/>
                <w:szCs w:val="20"/>
              </w:rPr>
              <w:t> </w:t>
            </w:r>
            <w:r w:rsidRPr="00C7498C">
              <w:rPr>
                <w:sz w:val="20"/>
                <w:szCs w:val="20"/>
              </w:rPr>
              <w:t>pracovnoprávnom vzťahu nepretržite najmenej 48 mesiacov,</w:t>
            </w:r>
          </w:p>
        </w:tc>
      </w:tr>
      <w:tr w:rsidR="00AE165B" w:rsidRPr="006A2393" w:rsidTr="003310B7">
        <w:trPr>
          <w:trHeight w:val="759"/>
          <w:jc w:val="center"/>
        </w:trPr>
        <w:tc>
          <w:tcPr>
            <w:tcW w:w="2541" w:type="pct"/>
            <w:tcBorders>
              <w:bottom w:val="dotted" w:sz="4" w:space="0" w:color="auto"/>
            </w:tcBorders>
          </w:tcPr>
          <w:p w:rsidR="00AE165B" w:rsidRPr="006A2393" w:rsidRDefault="00AE165B" w:rsidP="003310B7">
            <w:pPr>
              <w:rPr>
                <w:i/>
                <w:sz w:val="20"/>
                <w:szCs w:val="20"/>
              </w:rPr>
            </w:pPr>
            <w:r w:rsidRPr="006A2393">
              <w:rPr>
                <w:i/>
                <w:sz w:val="20"/>
                <w:szCs w:val="20"/>
              </w:rPr>
              <w:t xml:space="preserve">Popíšte </w:t>
            </w:r>
            <w:r w:rsidRPr="006A2393">
              <w:rPr>
                <w:b/>
                <w:i/>
                <w:sz w:val="20"/>
                <w:szCs w:val="20"/>
              </w:rPr>
              <w:t xml:space="preserve">negatívny </w:t>
            </w:r>
            <w:r w:rsidRPr="006A2393">
              <w:rPr>
                <w:i/>
                <w:sz w:val="20"/>
                <w:szCs w:val="20"/>
              </w:rPr>
              <w:t>vplyv na hospodárenie domácností s uvedením, či ide o zníženie príjmov alebo zvýšenie výdavkov:</w:t>
            </w:r>
          </w:p>
        </w:tc>
        <w:tc>
          <w:tcPr>
            <w:tcW w:w="2459" w:type="pct"/>
            <w:tcBorders>
              <w:bottom w:val="dotted" w:sz="4" w:space="0" w:color="auto"/>
            </w:tcBorders>
          </w:tcPr>
          <w:p w:rsidR="00AE165B" w:rsidRPr="006A2393" w:rsidRDefault="00AE165B" w:rsidP="003310B7">
            <w:pPr>
              <w:jc w:val="both"/>
              <w:rPr>
                <w:sz w:val="20"/>
                <w:szCs w:val="20"/>
              </w:rPr>
            </w:pPr>
            <w:r w:rsidRPr="006A2393">
              <w:rPr>
                <w:sz w:val="20"/>
                <w:szCs w:val="20"/>
              </w:rPr>
              <w:t>Bez vplyvu</w:t>
            </w:r>
          </w:p>
        </w:tc>
      </w:tr>
      <w:tr w:rsidR="00AE165B" w:rsidRPr="006A2393" w:rsidTr="003310B7">
        <w:trPr>
          <w:trHeight w:val="624"/>
          <w:jc w:val="center"/>
        </w:trPr>
        <w:tc>
          <w:tcPr>
            <w:tcW w:w="2541" w:type="pct"/>
            <w:tcBorders>
              <w:top w:val="dotted" w:sz="4" w:space="0" w:color="auto"/>
            </w:tcBorders>
          </w:tcPr>
          <w:p w:rsidR="00AE165B" w:rsidRPr="006A2393" w:rsidRDefault="00AE165B" w:rsidP="003310B7">
            <w:pPr>
              <w:rPr>
                <w:i/>
                <w:sz w:val="20"/>
                <w:szCs w:val="20"/>
              </w:rPr>
            </w:pPr>
            <w:r w:rsidRPr="006A2393">
              <w:rPr>
                <w:i/>
                <w:sz w:val="20"/>
                <w:szCs w:val="20"/>
              </w:rPr>
              <w:t xml:space="preserve">Špecifikujte </w:t>
            </w:r>
            <w:r w:rsidRPr="006A2393">
              <w:rPr>
                <w:b/>
                <w:i/>
                <w:sz w:val="20"/>
                <w:szCs w:val="20"/>
              </w:rPr>
              <w:t>negatívne</w:t>
            </w:r>
            <w:r w:rsidRPr="006A2393">
              <w:rPr>
                <w:i/>
                <w:sz w:val="20"/>
                <w:szCs w:val="20"/>
              </w:rPr>
              <w:t xml:space="preserve"> ovplyvnené skupiny:</w:t>
            </w:r>
          </w:p>
        </w:tc>
        <w:tc>
          <w:tcPr>
            <w:tcW w:w="2459" w:type="pct"/>
            <w:tcBorders>
              <w:top w:val="dotted" w:sz="4" w:space="0" w:color="auto"/>
            </w:tcBorders>
          </w:tcPr>
          <w:p w:rsidR="00AE165B" w:rsidRPr="006A2393" w:rsidRDefault="00AE165B" w:rsidP="003310B7">
            <w:pPr>
              <w:jc w:val="both"/>
              <w:rPr>
                <w:sz w:val="20"/>
                <w:szCs w:val="20"/>
                <w:lang w:val="en-US"/>
              </w:rPr>
            </w:pPr>
            <w:r w:rsidRPr="006A2393">
              <w:rPr>
                <w:sz w:val="20"/>
                <w:szCs w:val="20"/>
                <w:lang w:val="en-US"/>
              </w:rPr>
              <w:t xml:space="preserve">Bez </w:t>
            </w:r>
            <w:r w:rsidRPr="006A2393">
              <w:rPr>
                <w:sz w:val="20"/>
                <w:szCs w:val="20"/>
              </w:rPr>
              <w:t>vplyvu</w:t>
            </w:r>
          </w:p>
        </w:tc>
      </w:tr>
      <w:tr w:rsidR="00AE165B" w:rsidRPr="006A2393" w:rsidTr="003310B7">
        <w:trPr>
          <w:trHeight w:val="680"/>
          <w:jc w:val="center"/>
        </w:trPr>
        <w:tc>
          <w:tcPr>
            <w:tcW w:w="2541" w:type="pct"/>
            <w:tcBorders>
              <w:bottom w:val="nil"/>
            </w:tcBorders>
          </w:tcPr>
          <w:p w:rsidR="00AE165B" w:rsidRPr="006A2393" w:rsidRDefault="00AE165B" w:rsidP="003310B7">
            <w:pPr>
              <w:rPr>
                <w:i/>
                <w:sz w:val="20"/>
                <w:szCs w:val="20"/>
              </w:rPr>
            </w:pPr>
            <w:r w:rsidRPr="006A2393">
              <w:rPr>
                <w:i/>
                <w:sz w:val="20"/>
                <w:szCs w:val="20"/>
              </w:rPr>
              <w:t xml:space="preserve">Špecifikujte ovplyvnené skupiny </w:t>
            </w:r>
            <w:r w:rsidRPr="006A2393">
              <w:rPr>
                <w:b/>
                <w:i/>
                <w:sz w:val="20"/>
                <w:szCs w:val="20"/>
              </w:rPr>
              <w:t>v riziku chudoby alebo sociálneho vylúčenia</w:t>
            </w:r>
            <w:r w:rsidRPr="006A2393">
              <w:rPr>
                <w:i/>
                <w:sz w:val="20"/>
                <w:szCs w:val="20"/>
              </w:rPr>
              <w:t xml:space="preserve"> a popíšte vplyv:</w:t>
            </w:r>
          </w:p>
        </w:tc>
        <w:tc>
          <w:tcPr>
            <w:tcW w:w="2459" w:type="pct"/>
            <w:tcBorders>
              <w:bottom w:val="nil"/>
            </w:tcBorders>
          </w:tcPr>
          <w:p w:rsidR="00AE165B" w:rsidRPr="006A2393" w:rsidRDefault="00AE165B" w:rsidP="003310B7">
            <w:pPr>
              <w:jc w:val="both"/>
              <w:rPr>
                <w:sz w:val="20"/>
                <w:szCs w:val="20"/>
              </w:rPr>
            </w:pPr>
            <w:r w:rsidRPr="006A2393">
              <w:rPr>
                <w:sz w:val="20"/>
                <w:szCs w:val="20"/>
              </w:rPr>
              <w:t>Návrh zákona nemá výrazne pozitívnejší a rovnako ani výrazne negatívnejší vplyv na skupiny osôb v riziku chudoby alebo sociálnom vylúčení.</w:t>
            </w:r>
          </w:p>
        </w:tc>
      </w:tr>
    </w:tbl>
    <w:p w:rsidR="00AE165B" w:rsidRPr="006A2393" w:rsidRDefault="00AE165B" w:rsidP="00AE165B">
      <w:pPr>
        <w:jc w:val="both"/>
        <w:rPr>
          <w:i/>
          <w:sz w:val="20"/>
          <w:szCs w:val="20"/>
        </w:rPr>
        <w:sectPr w:rsidR="00AE165B" w:rsidRPr="006A2393" w:rsidSect="003310B7">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trHeight w:val="680"/>
          <w:jc w:val="center"/>
        </w:trPr>
        <w:tc>
          <w:tcPr>
            <w:tcW w:w="5000" w:type="pct"/>
            <w:shd w:val="clear" w:color="auto" w:fill="F2F2F2" w:themeFill="background1" w:themeFillShade="F2"/>
          </w:tcPr>
          <w:p w:rsidR="00AE165B" w:rsidRPr="006A2393" w:rsidRDefault="00AE165B" w:rsidP="003310B7">
            <w:pPr>
              <w:jc w:val="both"/>
              <w:rPr>
                <w:i/>
                <w:sz w:val="20"/>
                <w:szCs w:val="20"/>
              </w:rPr>
            </w:pPr>
            <w:r w:rsidRPr="006A2393">
              <w:rPr>
                <w:i/>
                <w:sz w:val="20"/>
                <w:szCs w:val="20"/>
              </w:rPr>
              <w:lastRenderedPageBreak/>
              <w:t>Kvantifikujte rast alebo pokles príjmov/výdavkov za jednotlivé ovplyvnené skupiny domácností / skupiny jednotlivcov a počet obyvateľstva/domácností ovplyvnených predkladaným materiálom.</w:t>
            </w:r>
          </w:p>
          <w:p w:rsidR="00AE165B" w:rsidRPr="006A2393" w:rsidRDefault="00AE165B" w:rsidP="003310B7">
            <w:pPr>
              <w:jc w:val="both"/>
              <w:rPr>
                <w:i/>
                <w:sz w:val="20"/>
                <w:szCs w:val="20"/>
              </w:rPr>
            </w:pPr>
            <w:r w:rsidRPr="006A2393">
              <w:rPr>
                <w:i/>
                <w:sz w:val="20"/>
                <w:szCs w:val="20"/>
              </w:rPr>
              <w:t>V prípade vyššieho počtu ovplyvnených skupín doplňte do tabuľky ďalšie riadky.</w:t>
            </w:r>
          </w:p>
          <w:p w:rsidR="00AE165B" w:rsidRPr="006A2393" w:rsidRDefault="00AE165B" w:rsidP="003310B7">
            <w:pPr>
              <w:tabs>
                <w:tab w:val="left" w:pos="3505"/>
              </w:tabs>
              <w:rPr>
                <w:sz w:val="20"/>
                <w:szCs w:val="20"/>
              </w:rPr>
            </w:pPr>
            <w:r w:rsidRPr="006A2393">
              <w:rPr>
                <w:i/>
                <w:sz w:val="20"/>
                <w:szCs w:val="20"/>
              </w:rPr>
              <w:t>V prípade, ak neuvádzate kvantifikáciu, uveďte dôvod.</w:t>
            </w:r>
          </w:p>
        </w:tc>
      </w:tr>
    </w:tbl>
    <w:p w:rsidR="00AE165B" w:rsidRPr="006A2393" w:rsidRDefault="00AE165B" w:rsidP="00AE165B">
      <w:pPr>
        <w:jc w:val="both"/>
        <w:rPr>
          <w:b/>
          <w:i/>
          <w:sz w:val="20"/>
          <w:szCs w:val="20"/>
        </w:rPr>
        <w:sectPr w:rsidR="00AE165B" w:rsidRPr="006A2393" w:rsidSect="003310B7">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AE165B" w:rsidRPr="006A2393" w:rsidTr="003310B7">
        <w:trPr>
          <w:trHeight w:val="265"/>
          <w:jc w:val="center"/>
        </w:trPr>
        <w:tc>
          <w:tcPr>
            <w:tcW w:w="5000" w:type="pct"/>
            <w:gridSpan w:val="2"/>
          </w:tcPr>
          <w:p w:rsidR="00AE165B" w:rsidRPr="006A2393" w:rsidRDefault="00AE165B" w:rsidP="003310B7">
            <w:pPr>
              <w:jc w:val="both"/>
              <w:rPr>
                <w:i/>
                <w:sz w:val="20"/>
                <w:szCs w:val="20"/>
              </w:rPr>
            </w:pPr>
            <w:r w:rsidRPr="006A2393">
              <w:rPr>
                <w:b/>
                <w:i/>
                <w:sz w:val="20"/>
                <w:szCs w:val="20"/>
              </w:rPr>
              <w:lastRenderedPageBreak/>
              <w:t xml:space="preserve">Ovplyvnená skupina č. 1: </w:t>
            </w:r>
            <w:r>
              <w:rPr>
                <w:b/>
                <w:i/>
                <w:sz w:val="20"/>
                <w:szCs w:val="20"/>
              </w:rPr>
              <w:t>Osoby, ktorým bude poskytnutý 13. resp. 14. plat s odvodovou úľavou na sociálne poistenie</w:t>
            </w:r>
            <w:r w:rsidRPr="006A2393">
              <w:rPr>
                <w:b/>
                <w:i/>
                <w:sz w:val="20"/>
                <w:szCs w:val="20"/>
              </w:rPr>
              <w:t>.</w:t>
            </w:r>
          </w:p>
        </w:tc>
      </w:tr>
      <w:tr w:rsidR="00AE165B" w:rsidRPr="006A2393" w:rsidTr="003310B7">
        <w:trPr>
          <w:trHeight w:val="587"/>
          <w:jc w:val="center"/>
        </w:trPr>
        <w:tc>
          <w:tcPr>
            <w:tcW w:w="2500" w:type="pct"/>
            <w:tcBorders>
              <w:bottom w:val="single" w:sz="4" w:space="0" w:color="BFBFBF" w:themeColor="background1" w:themeShade="BF"/>
            </w:tcBorders>
          </w:tcPr>
          <w:p w:rsidR="00AE165B" w:rsidRPr="006A2393" w:rsidRDefault="00AE165B" w:rsidP="003310B7">
            <w:pPr>
              <w:rPr>
                <w:i/>
                <w:sz w:val="20"/>
                <w:szCs w:val="20"/>
              </w:rPr>
            </w:pPr>
            <w:r w:rsidRPr="006A2393">
              <w:rPr>
                <w:i/>
                <w:sz w:val="20"/>
                <w:szCs w:val="20"/>
              </w:rPr>
              <w:t>Pozitívny vplyv - priemerný rast príjmov/pokles výdavkov v skupine v eurách a/alebo v % / obdobie:</w:t>
            </w:r>
          </w:p>
        </w:tc>
        <w:tc>
          <w:tcPr>
            <w:tcW w:w="2500" w:type="pct"/>
            <w:tcBorders>
              <w:bottom w:val="single" w:sz="4" w:space="0" w:color="BFBFBF" w:themeColor="background1" w:themeShade="BF"/>
            </w:tcBorders>
          </w:tcPr>
          <w:p w:rsidR="00AE165B" w:rsidRPr="006A2393" w:rsidRDefault="00AE165B" w:rsidP="003310B7">
            <w:pPr>
              <w:jc w:val="both"/>
              <w:rPr>
                <w:sz w:val="20"/>
                <w:szCs w:val="20"/>
              </w:rPr>
            </w:pPr>
            <w:r w:rsidRPr="006A2393">
              <w:rPr>
                <w:sz w:val="20"/>
                <w:szCs w:val="20"/>
              </w:rPr>
              <w:t xml:space="preserve">Návrh zákona má pozitívny vplyv na uvedenú skupinu poberateľov. </w:t>
            </w:r>
            <w:r>
              <w:rPr>
                <w:sz w:val="20"/>
                <w:szCs w:val="20"/>
              </w:rPr>
              <w:t xml:space="preserve">Priemerné zvýšenie čistého príjmu poistencov vplyvom neplatenia poistného na sociálne poistenie zo sumy 500 eur pri tzv. 13. a 14. plate sa odhaduje na úrovni cca 47 eur. </w:t>
            </w:r>
          </w:p>
          <w:p w:rsidR="00AE165B" w:rsidRPr="006A2393" w:rsidRDefault="00AE165B" w:rsidP="003310B7">
            <w:pPr>
              <w:jc w:val="both"/>
              <w:rPr>
                <w:sz w:val="20"/>
                <w:szCs w:val="20"/>
              </w:rPr>
            </w:pPr>
          </w:p>
        </w:tc>
      </w:tr>
      <w:tr w:rsidR="00AE165B" w:rsidRPr="006A2393" w:rsidTr="003310B7">
        <w:trPr>
          <w:trHeight w:val="497"/>
          <w:jc w:val="center"/>
        </w:trPr>
        <w:tc>
          <w:tcPr>
            <w:tcW w:w="2500" w:type="pct"/>
            <w:tcBorders>
              <w:top w:val="single" w:sz="4" w:space="0" w:color="BFBFBF" w:themeColor="background1" w:themeShade="BF"/>
              <w:bottom w:val="single" w:sz="4" w:space="0" w:color="BFBFBF" w:themeColor="background1" w:themeShade="BF"/>
            </w:tcBorders>
          </w:tcPr>
          <w:p w:rsidR="00AE165B" w:rsidRPr="006A2393" w:rsidRDefault="00AE165B" w:rsidP="003310B7">
            <w:pPr>
              <w:rPr>
                <w:rFonts w:ascii="Calibri" w:hAnsi="Calibri"/>
                <w:i/>
                <w:sz w:val="20"/>
                <w:szCs w:val="20"/>
              </w:rPr>
            </w:pPr>
            <w:r w:rsidRPr="006A2393">
              <w:rPr>
                <w:i/>
                <w:sz w:val="20"/>
                <w:szCs w:val="20"/>
              </w:rPr>
              <w:lastRenderedPageBreak/>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tcPr>
          <w:p w:rsidR="00AE165B" w:rsidRPr="006A2393" w:rsidRDefault="00AE165B" w:rsidP="003310B7">
            <w:pPr>
              <w:jc w:val="both"/>
              <w:rPr>
                <w:sz w:val="20"/>
                <w:szCs w:val="20"/>
              </w:rPr>
            </w:pPr>
            <w:r w:rsidRPr="006A2393">
              <w:rPr>
                <w:sz w:val="20"/>
                <w:szCs w:val="20"/>
              </w:rPr>
              <w:t xml:space="preserve">Uvedený návrh zákona nemá negatívny vplyv na dotknutú skupinu osôb.  </w:t>
            </w:r>
          </w:p>
        </w:tc>
      </w:tr>
      <w:tr w:rsidR="00AE165B" w:rsidRPr="006A2393" w:rsidTr="003310B7">
        <w:trPr>
          <w:trHeight w:val="363"/>
          <w:jc w:val="center"/>
        </w:trPr>
        <w:tc>
          <w:tcPr>
            <w:tcW w:w="2500" w:type="pct"/>
            <w:tcBorders>
              <w:top w:val="single" w:sz="4" w:space="0" w:color="BFBFBF" w:themeColor="background1" w:themeShade="BF"/>
            </w:tcBorders>
          </w:tcPr>
          <w:p w:rsidR="00AE165B" w:rsidRPr="006A2393" w:rsidRDefault="00AE165B" w:rsidP="003310B7">
            <w:pPr>
              <w:rPr>
                <w:rFonts w:ascii="Calibri" w:hAnsi="Calibri"/>
                <w:i/>
                <w:sz w:val="20"/>
                <w:szCs w:val="20"/>
              </w:rPr>
            </w:pPr>
            <w:r w:rsidRPr="006A2393">
              <w:rPr>
                <w:i/>
                <w:sz w:val="20"/>
                <w:szCs w:val="20"/>
              </w:rPr>
              <w:t>Veľkosť skupiny (počet obyvateľov):</w:t>
            </w:r>
          </w:p>
        </w:tc>
        <w:tc>
          <w:tcPr>
            <w:tcW w:w="2500" w:type="pct"/>
            <w:tcBorders>
              <w:top w:val="single" w:sz="4" w:space="0" w:color="BFBFBF" w:themeColor="background1" w:themeShade="BF"/>
            </w:tcBorders>
          </w:tcPr>
          <w:p w:rsidR="00AE165B" w:rsidRPr="006A2393" w:rsidRDefault="00AE165B" w:rsidP="003310B7">
            <w:pPr>
              <w:jc w:val="both"/>
              <w:rPr>
                <w:sz w:val="20"/>
                <w:szCs w:val="20"/>
              </w:rPr>
            </w:pPr>
            <w:r w:rsidRPr="006A2393">
              <w:rPr>
                <w:sz w:val="20"/>
                <w:szCs w:val="20"/>
              </w:rPr>
              <w:t>Počet dotknutých osôb sa odhaduje v rokoch 2019 a</w:t>
            </w:r>
            <w:r>
              <w:rPr>
                <w:sz w:val="20"/>
                <w:szCs w:val="20"/>
              </w:rPr>
              <w:t xml:space="preserve"> 2020 na úrovni </w:t>
            </w:r>
            <w:r w:rsidRPr="006A2393">
              <w:rPr>
                <w:sz w:val="20"/>
                <w:szCs w:val="20"/>
              </w:rPr>
              <w:t xml:space="preserve">približne </w:t>
            </w:r>
            <w:r>
              <w:rPr>
                <w:sz w:val="20"/>
                <w:szCs w:val="20"/>
              </w:rPr>
              <w:t>76 900</w:t>
            </w:r>
            <w:r w:rsidRPr="006A2393">
              <w:rPr>
                <w:sz w:val="20"/>
                <w:szCs w:val="20"/>
              </w:rPr>
              <w:t xml:space="preserve"> osôb </w:t>
            </w:r>
            <w:r>
              <w:rPr>
                <w:sz w:val="20"/>
                <w:szCs w:val="20"/>
              </w:rPr>
              <w:t>a v roku 2021 na úrovni približne 260 600 osôb</w:t>
            </w:r>
            <w:r w:rsidRPr="006A2393">
              <w:rPr>
                <w:sz w:val="20"/>
                <w:szCs w:val="20"/>
              </w:rPr>
              <w:t>.</w:t>
            </w:r>
            <w:r>
              <w:rPr>
                <w:sz w:val="20"/>
                <w:szCs w:val="20"/>
              </w:rPr>
              <w:t xml:space="preserve"> Zvýšenie počtu dotknutých osôb v roku 2021 súvisí s tým, že v roku 2021 bude možné si prvýkrát uplatniť odvodovú úľavu na 13. plat, kde sú podmienky nároku nastavené jemnejšie ako je tomu pri 14. plate.</w:t>
            </w:r>
          </w:p>
        </w:tc>
      </w:tr>
      <w:tr w:rsidR="00AE165B" w:rsidRPr="006A2393" w:rsidTr="003310B7">
        <w:trPr>
          <w:trHeight w:val="670"/>
          <w:jc w:val="center"/>
        </w:trPr>
        <w:tc>
          <w:tcPr>
            <w:tcW w:w="2500" w:type="pct"/>
          </w:tcPr>
          <w:p w:rsidR="00AE165B" w:rsidRPr="006A2393" w:rsidRDefault="00AE165B" w:rsidP="003310B7">
            <w:pPr>
              <w:jc w:val="both"/>
              <w:rPr>
                <w:i/>
              </w:rPr>
            </w:pPr>
            <w:r w:rsidRPr="006A2393">
              <w:rPr>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AE165B" w:rsidRPr="006A2393" w:rsidRDefault="00AE165B" w:rsidP="003310B7">
            <w:pPr>
              <w:jc w:val="both"/>
              <w:rPr>
                <w:sz w:val="20"/>
                <w:szCs w:val="20"/>
              </w:rPr>
            </w:pPr>
            <w:r w:rsidRPr="006A2393">
              <w:rPr>
                <w:sz w:val="20"/>
                <w:szCs w:val="20"/>
              </w:rPr>
              <w:t>Návrh zákona nemá výrazne pozitívnejší a rovnako ani výrazne negatívnejší vplyv na skupiny osôb v riziku chudoby alebo sociálnom vylúčení.</w:t>
            </w:r>
          </w:p>
        </w:tc>
      </w:tr>
      <w:tr w:rsidR="00AE165B" w:rsidRPr="006A2393" w:rsidTr="003310B7">
        <w:trPr>
          <w:trHeight w:val="340"/>
          <w:jc w:val="center"/>
        </w:trPr>
        <w:tc>
          <w:tcPr>
            <w:tcW w:w="5000" w:type="pct"/>
            <w:gridSpan w:val="2"/>
          </w:tcPr>
          <w:p w:rsidR="00AE165B" w:rsidRPr="006A2393" w:rsidRDefault="00AE165B" w:rsidP="003310B7">
            <w:pPr>
              <w:jc w:val="both"/>
              <w:rPr>
                <w:sz w:val="20"/>
                <w:szCs w:val="20"/>
              </w:rPr>
            </w:pPr>
            <w:r w:rsidRPr="006A2393">
              <w:rPr>
                <w:b/>
                <w:i/>
                <w:sz w:val="20"/>
                <w:szCs w:val="20"/>
              </w:rPr>
              <w:t>Ovplyvnená skupina č. 2</w:t>
            </w:r>
            <w:r>
              <w:rPr>
                <w:b/>
                <w:i/>
                <w:sz w:val="20"/>
                <w:szCs w:val="20"/>
              </w:rPr>
              <w:t>:</w:t>
            </w:r>
          </w:p>
        </w:tc>
      </w:tr>
      <w:tr w:rsidR="00AE165B" w:rsidRPr="006A2393" w:rsidTr="003310B7">
        <w:trPr>
          <w:trHeight w:val="670"/>
          <w:jc w:val="center"/>
        </w:trPr>
        <w:tc>
          <w:tcPr>
            <w:tcW w:w="2500" w:type="pct"/>
          </w:tcPr>
          <w:p w:rsidR="00AE165B" w:rsidRPr="006A2393" w:rsidRDefault="00AE165B" w:rsidP="003310B7">
            <w:pPr>
              <w:jc w:val="both"/>
              <w:rPr>
                <w:i/>
                <w:sz w:val="20"/>
                <w:szCs w:val="20"/>
              </w:rPr>
            </w:pPr>
            <w:r w:rsidRPr="006A2393">
              <w:rPr>
                <w:i/>
                <w:sz w:val="20"/>
                <w:szCs w:val="20"/>
              </w:rPr>
              <w:t>Pozitívny vplyv - priemerný rast príjmov/pokles výdavkov v skupine v eurách a/alebo v % / obdobie:</w:t>
            </w:r>
          </w:p>
        </w:tc>
        <w:tc>
          <w:tcPr>
            <w:tcW w:w="2500" w:type="pct"/>
          </w:tcPr>
          <w:p w:rsidR="00AE165B" w:rsidRPr="006A2393" w:rsidRDefault="00AE165B" w:rsidP="003310B7">
            <w:pPr>
              <w:jc w:val="both"/>
              <w:rPr>
                <w:sz w:val="20"/>
                <w:szCs w:val="20"/>
              </w:rPr>
            </w:pPr>
          </w:p>
        </w:tc>
      </w:tr>
      <w:tr w:rsidR="00AE165B" w:rsidRPr="006A2393" w:rsidTr="003310B7">
        <w:trPr>
          <w:trHeight w:val="670"/>
          <w:jc w:val="center"/>
        </w:trPr>
        <w:tc>
          <w:tcPr>
            <w:tcW w:w="2500" w:type="pct"/>
          </w:tcPr>
          <w:p w:rsidR="00AE165B" w:rsidRPr="006A2393" w:rsidRDefault="00AE165B" w:rsidP="003310B7">
            <w:pPr>
              <w:rPr>
                <w:rFonts w:ascii="Calibri" w:hAnsi="Calibri"/>
                <w:i/>
                <w:sz w:val="20"/>
                <w:szCs w:val="20"/>
              </w:rPr>
            </w:pPr>
            <w:r w:rsidRPr="006A2393">
              <w:rPr>
                <w:i/>
                <w:sz w:val="20"/>
                <w:szCs w:val="20"/>
              </w:rPr>
              <w:t xml:space="preserve">Negatívny vplyv - priemerný pokles príjmov/ rast výdavkov v skupine v eurách a/alebo v % / obdobie: </w:t>
            </w:r>
          </w:p>
        </w:tc>
        <w:tc>
          <w:tcPr>
            <w:tcW w:w="2500" w:type="pct"/>
          </w:tcPr>
          <w:p w:rsidR="00AE165B" w:rsidRPr="006A2393" w:rsidRDefault="00AE165B" w:rsidP="003310B7">
            <w:pPr>
              <w:jc w:val="both"/>
              <w:rPr>
                <w:sz w:val="20"/>
                <w:szCs w:val="20"/>
              </w:rPr>
            </w:pPr>
          </w:p>
        </w:tc>
      </w:tr>
      <w:tr w:rsidR="00AE165B" w:rsidRPr="006A2393" w:rsidTr="003310B7">
        <w:trPr>
          <w:trHeight w:val="670"/>
          <w:jc w:val="center"/>
        </w:trPr>
        <w:tc>
          <w:tcPr>
            <w:tcW w:w="2500" w:type="pct"/>
          </w:tcPr>
          <w:p w:rsidR="00AE165B" w:rsidRPr="006A2393" w:rsidRDefault="00AE165B" w:rsidP="003310B7">
            <w:pPr>
              <w:rPr>
                <w:rFonts w:ascii="Calibri" w:hAnsi="Calibri"/>
                <w:i/>
                <w:sz w:val="20"/>
                <w:szCs w:val="20"/>
              </w:rPr>
            </w:pPr>
            <w:r w:rsidRPr="006A2393">
              <w:rPr>
                <w:i/>
                <w:sz w:val="20"/>
                <w:szCs w:val="20"/>
              </w:rPr>
              <w:t>Veľkosť skupiny (počet obyvateľov):</w:t>
            </w:r>
          </w:p>
        </w:tc>
        <w:tc>
          <w:tcPr>
            <w:tcW w:w="2500" w:type="pct"/>
          </w:tcPr>
          <w:p w:rsidR="00AE165B" w:rsidRPr="006A2393" w:rsidRDefault="00AE165B" w:rsidP="003310B7">
            <w:pPr>
              <w:jc w:val="both"/>
              <w:rPr>
                <w:sz w:val="20"/>
                <w:szCs w:val="20"/>
              </w:rPr>
            </w:pPr>
          </w:p>
        </w:tc>
      </w:tr>
      <w:tr w:rsidR="00AE165B" w:rsidRPr="006A2393" w:rsidTr="003310B7">
        <w:trPr>
          <w:trHeight w:val="670"/>
          <w:jc w:val="center"/>
        </w:trPr>
        <w:tc>
          <w:tcPr>
            <w:tcW w:w="2500" w:type="pct"/>
          </w:tcPr>
          <w:p w:rsidR="00AE165B" w:rsidRPr="006A2393" w:rsidRDefault="00AE165B" w:rsidP="003310B7">
            <w:pPr>
              <w:jc w:val="both"/>
              <w:rPr>
                <w:i/>
              </w:rPr>
            </w:pPr>
            <w:r w:rsidRPr="006A2393">
              <w:rPr>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AE165B" w:rsidRPr="006A2393" w:rsidRDefault="00AE165B" w:rsidP="003310B7">
            <w:pPr>
              <w:jc w:val="both"/>
              <w:rPr>
                <w:sz w:val="20"/>
                <w:szCs w:val="20"/>
              </w:rPr>
            </w:pPr>
          </w:p>
        </w:tc>
      </w:tr>
    </w:tbl>
    <w:p w:rsidR="00AE165B" w:rsidRPr="006A2393" w:rsidRDefault="00AE165B" w:rsidP="00AE165B">
      <w:pPr>
        <w:rPr>
          <w:b/>
        </w:rPr>
      </w:pPr>
    </w:p>
    <w:p w:rsidR="00AE165B" w:rsidRPr="006A2393" w:rsidRDefault="00AE165B" w:rsidP="00AE165B">
      <w:pPr>
        <w:rPr>
          <w:b/>
        </w:rPr>
        <w:sectPr w:rsidR="00AE165B" w:rsidRPr="006A2393" w:rsidSect="003310B7">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trHeight w:val="339"/>
          <w:jc w:val="center"/>
        </w:trPr>
        <w:tc>
          <w:tcPr>
            <w:tcW w:w="5000" w:type="pct"/>
            <w:shd w:val="clear" w:color="auto" w:fill="D9D9D9"/>
          </w:tcPr>
          <w:p w:rsidR="00AE165B" w:rsidRPr="006A2393" w:rsidRDefault="00AE165B" w:rsidP="003310B7">
            <w:pPr>
              <w:rPr>
                <w:b/>
              </w:rPr>
            </w:pPr>
            <w:r w:rsidRPr="006A2393">
              <w:rPr>
                <w:b/>
              </w:rPr>
              <w:lastRenderedPageBreak/>
              <w:t>4.2 Identifikujte, popíšte a kvantifikujte vplyvy na prístup k zdrojom, právam, tovarom a službám u jednotlivých ovplyvnených skupín obyvateľstva a vplyv na sociálnu inklúziu.</w:t>
            </w:r>
          </w:p>
        </w:tc>
      </w:tr>
      <w:tr w:rsidR="00AE165B" w:rsidRPr="006A2393" w:rsidTr="003310B7">
        <w:trPr>
          <w:trHeight w:val="290"/>
          <w:jc w:val="center"/>
        </w:trPr>
        <w:tc>
          <w:tcPr>
            <w:tcW w:w="5000" w:type="pct"/>
            <w:shd w:val="clear" w:color="auto" w:fill="F2F2F2"/>
          </w:tcPr>
          <w:p w:rsidR="00AE165B" w:rsidRPr="006A2393" w:rsidRDefault="00AE165B" w:rsidP="003310B7">
            <w:pPr>
              <w:jc w:val="both"/>
              <w:rPr>
                <w:i/>
                <w:sz w:val="20"/>
              </w:rPr>
            </w:pPr>
            <w:r w:rsidRPr="006A2393">
              <w:rPr>
                <w:i/>
                <w:sz w:val="20"/>
              </w:rPr>
              <w:t xml:space="preserve">Má návrh vplyv na prístup k zdrojom, právam, tovarom a službám? </w:t>
            </w:r>
          </w:p>
          <w:p w:rsidR="00AE165B" w:rsidRPr="006A2393" w:rsidRDefault="00AE165B" w:rsidP="003310B7">
            <w:pPr>
              <w:jc w:val="both"/>
              <w:rPr>
                <w:rFonts w:ascii="Calibri" w:hAnsi="Calibri"/>
                <w:i/>
              </w:rPr>
            </w:pPr>
            <w:r w:rsidRPr="006A2393">
              <w:rPr>
                <w:i/>
                <w:sz w:val="20"/>
              </w:rPr>
              <w:t>Špecifikujete ovplyvnené skupiny obyvateľstva a charakter zmeny v prístupnosti s ohľadom na dostupnosť finančnú, geografickú, kvalitu, organizovanie a pod. Uveďte veľkosť jednotlivých ovplyvnených skupín.</w:t>
            </w:r>
          </w:p>
        </w:tc>
      </w:tr>
    </w:tbl>
    <w:p w:rsidR="00AE165B" w:rsidRPr="006A2393" w:rsidRDefault="00AE165B" w:rsidP="00AE165B">
      <w:pPr>
        <w:jc w:val="both"/>
        <w:rPr>
          <w:i/>
          <w:sz w:val="18"/>
          <w:szCs w:val="18"/>
        </w:rPr>
        <w:sectPr w:rsidR="00AE165B" w:rsidRPr="006A2393" w:rsidSect="003310B7">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AE165B" w:rsidRPr="006A2393" w:rsidTr="003310B7">
        <w:trPr>
          <w:trHeight w:val="557"/>
          <w:jc w:val="center"/>
        </w:trPr>
        <w:tc>
          <w:tcPr>
            <w:tcW w:w="1993" w:type="pct"/>
          </w:tcPr>
          <w:p w:rsidR="00AE165B" w:rsidRPr="006A2393" w:rsidRDefault="00AE165B" w:rsidP="003310B7">
            <w:pPr>
              <w:jc w:val="both"/>
              <w:rPr>
                <w:i/>
                <w:sz w:val="18"/>
                <w:szCs w:val="18"/>
              </w:rPr>
            </w:pPr>
            <w:r w:rsidRPr="006A2393">
              <w:rPr>
                <w:i/>
                <w:sz w:val="18"/>
                <w:szCs w:val="18"/>
              </w:rPr>
              <w:lastRenderedPageBreak/>
              <w:t>Rozumie sa najmä na prístup k:</w:t>
            </w:r>
          </w:p>
          <w:p w:rsidR="00AE165B" w:rsidRPr="006A2393" w:rsidRDefault="00AE165B" w:rsidP="00AE165B">
            <w:pPr>
              <w:numPr>
                <w:ilvl w:val="0"/>
                <w:numId w:val="39"/>
              </w:numPr>
              <w:jc w:val="both"/>
              <w:rPr>
                <w:i/>
                <w:sz w:val="18"/>
                <w:szCs w:val="18"/>
              </w:rPr>
            </w:pPr>
            <w:r w:rsidRPr="006A2393">
              <w:rPr>
                <w:i/>
                <w:sz w:val="18"/>
                <w:szCs w:val="18"/>
              </w:rPr>
              <w:t xml:space="preserve">sociálnej ochrane, sociálno-právnej ochrane, sociálnym službám (vrátane služieb starostlivosti o deti, starších ľudí a ľudí so zdravotným postihnutím), </w:t>
            </w:r>
          </w:p>
          <w:p w:rsidR="00AE165B" w:rsidRPr="006A2393" w:rsidRDefault="00AE165B" w:rsidP="00AE165B">
            <w:pPr>
              <w:numPr>
                <w:ilvl w:val="0"/>
                <w:numId w:val="39"/>
              </w:numPr>
              <w:jc w:val="both"/>
              <w:rPr>
                <w:i/>
                <w:sz w:val="18"/>
                <w:szCs w:val="18"/>
              </w:rPr>
            </w:pPr>
            <w:r w:rsidRPr="006A2393">
              <w:rPr>
                <w:i/>
                <w:sz w:val="18"/>
                <w:szCs w:val="18"/>
              </w:rPr>
              <w:t>kvalitnej práci, ochrane zdravia, dôstojnosti a bezpečnosti pri práci pre zamestnancov a existujúcim zamestnaneckým právam,</w:t>
            </w:r>
          </w:p>
          <w:p w:rsidR="00AE165B" w:rsidRPr="006A2393" w:rsidRDefault="00AE165B" w:rsidP="00AE165B">
            <w:pPr>
              <w:numPr>
                <w:ilvl w:val="0"/>
                <w:numId w:val="39"/>
              </w:numPr>
              <w:jc w:val="both"/>
              <w:rPr>
                <w:i/>
                <w:sz w:val="18"/>
                <w:szCs w:val="18"/>
              </w:rPr>
            </w:pPr>
            <w:r w:rsidRPr="006A2393">
              <w:rPr>
                <w:i/>
                <w:sz w:val="18"/>
                <w:szCs w:val="18"/>
              </w:rPr>
              <w:t xml:space="preserve">pomoci pri úhrade výdavkov súvisiacich so zdravotným postihnutím, </w:t>
            </w:r>
          </w:p>
          <w:p w:rsidR="00AE165B" w:rsidRPr="006A2393" w:rsidRDefault="00AE165B" w:rsidP="00AE165B">
            <w:pPr>
              <w:numPr>
                <w:ilvl w:val="0"/>
                <w:numId w:val="39"/>
              </w:numPr>
              <w:jc w:val="both"/>
              <w:rPr>
                <w:i/>
                <w:sz w:val="18"/>
                <w:szCs w:val="18"/>
              </w:rPr>
            </w:pPr>
            <w:r w:rsidRPr="006A2393">
              <w:rPr>
                <w:i/>
                <w:sz w:val="18"/>
                <w:szCs w:val="18"/>
              </w:rPr>
              <w:t>zamestnaniu, na trh práce (napr. uľahčenie zosúladenia rodinných a pracovných povinností, služby zamestnanosti), k školeniam, odbornému vzdelávaniu a príprave na trh práce,</w:t>
            </w:r>
          </w:p>
          <w:p w:rsidR="00AE165B" w:rsidRPr="006A2393" w:rsidRDefault="00AE165B" w:rsidP="00AE165B">
            <w:pPr>
              <w:numPr>
                <w:ilvl w:val="0"/>
                <w:numId w:val="39"/>
              </w:numPr>
              <w:jc w:val="both"/>
              <w:rPr>
                <w:i/>
                <w:sz w:val="18"/>
                <w:szCs w:val="18"/>
              </w:rPr>
            </w:pPr>
            <w:r w:rsidRPr="006A2393">
              <w:rPr>
                <w:i/>
                <w:sz w:val="18"/>
                <w:szCs w:val="18"/>
              </w:rPr>
              <w:t xml:space="preserve">zdravotnej starostlivosti vrátane cenovo dostupných pomôcok pre občanov so zdravotným postihnutím, </w:t>
            </w:r>
          </w:p>
          <w:p w:rsidR="00AE165B" w:rsidRPr="006A2393" w:rsidRDefault="00AE165B" w:rsidP="00AE165B">
            <w:pPr>
              <w:numPr>
                <w:ilvl w:val="0"/>
                <w:numId w:val="39"/>
              </w:numPr>
              <w:jc w:val="both"/>
              <w:rPr>
                <w:i/>
                <w:sz w:val="18"/>
                <w:szCs w:val="18"/>
              </w:rPr>
            </w:pPr>
            <w:r w:rsidRPr="006A2393">
              <w:rPr>
                <w:i/>
                <w:sz w:val="18"/>
                <w:szCs w:val="18"/>
              </w:rPr>
              <w:t>k formálnemu i neformálnemu vzdelávaniu a celo</w:t>
            </w:r>
            <w:r w:rsidRPr="006A2393">
              <w:rPr>
                <w:i/>
                <w:sz w:val="18"/>
                <w:szCs w:val="18"/>
              </w:rPr>
              <w:softHyphen/>
              <w:t xml:space="preserve">životnému vzdelávaniu, </w:t>
            </w:r>
          </w:p>
          <w:p w:rsidR="00AE165B" w:rsidRPr="006A2393" w:rsidRDefault="00AE165B" w:rsidP="00AE165B">
            <w:pPr>
              <w:numPr>
                <w:ilvl w:val="0"/>
                <w:numId w:val="39"/>
              </w:numPr>
              <w:jc w:val="both"/>
              <w:rPr>
                <w:i/>
                <w:sz w:val="18"/>
                <w:szCs w:val="18"/>
              </w:rPr>
            </w:pPr>
            <w:r w:rsidRPr="006A2393">
              <w:rPr>
                <w:i/>
                <w:sz w:val="18"/>
                <w:szCs w:val="18"/>
              </w:rPr>
              <w:t>bývaniu a súvisiacim základným komunálnym službám,</w:t>
            </w:r>
          </w:p>
          <w:p w:rsidR="00AE165B" w:rsidRPr="006A2393" w:rsidRDefault="00AE165B" w:rsidP="00AE165B">
            <w:pPr>
              <w:numPr>
                <w:ilvl w:val="0"/>
                <w:numId w:val="39"/>
              </w:numPr>
              <w:jc w:val="both"/>
              <w:rPr>
                <w:i/>
                <w:sz w:val="18"/>
                <w:szCs w:val="18"/>
              </w:rPr>
            </w:pPr>
            <w:r w:rsidRPr="006A2393">
              <w:rPr>
                <w:i/>
                <w:sz w:val="18"/>
                <w:szCs w:val="18"/>
              </w:rPr>
              <w:t>doprave,</w:t>
            </w:r>
          </w:p>
          <w:p w:rsidR="00AE165B" w:rsidRPr="006A2393" w:rsidRDefault="00AE165B" w:rsidP="00AE165B">
            <w:pPr>
              <w:numPr>
                <w:ilvl w:val="0"/>
                <w:numId w:val="39"/>
              </w:numPr>
              <w:jc w:val="both"/>
              <w:rPr>
                <w:i/>
                <w:sz w:val="18"/>
                <w:szCs w:val="18"/>
              </w:rPr>
            </w:pPr>
            <w:r w:rsidRPr="006A2393">
              <w:rPr>
                <w:i/>
                <w:sz w:val="18"/>
                <w:szCs w:val="18"/>
              </w:rPr>
              <w:t>ďalším službám najmä službám všeobecného záujmu a tovarom,</w:t>
            </w:r>
          </w:p>
          <w:p w:rsidR="00AE165B" w:rsidRPr="006A2393" w:rsidRDefault="00AE165B" w:rsidP="00AE165B">
            <w:pPr>
              <w:numPr>
                <w:ilvl w:val="0"/>
                <w:numId w:val="39"/>
              </w:numPr>
              <w:jc w:val="both"/>
              <w:rPr>
                <w:i/>
                <w:sz w:val="18"/>
                <w:szCs w:val="18"/>
              </w:rPr>
            </w:pPr>
            <w:r w:rsidRPr="006A2393">
              <w:rPr>
                <w:i/>
                <w:sz w:val="18"/>
                <w:szCs w:val="18"/>
              </w:rPr>
              <w:t xml:space="preserve">spravodlivosti, právnej ochrane, právnym </w:t>
            </w:r>
            <w:r w:rsidRPr="006A2393">
              <w:rPr>
                <w:i/>
                <w:sz w:val="18"/>
                <w:szCs w:val="18"/>
              </w:rPr>
              <w:lastRenderedPageBreak/>
              <w:t>službám,</w:t>
            </w:r>
          </w:p>
          <w:p w:rsidR="00AE165B" w:rsidRPr="006A2393" w:rsidRDefault="00AE165B" w:rsidP="00AE165B">
            <w:pPr>
              <w:numPr>
                <w:ilvl w:val="0"/>
                <w:numId w:val="39"/>
              </w:numPr>
              <w:jc w:val="both"/>
              <w:rPr>
                <w:i/>
                <w:sz w:val="18"/>
                <w:szCs w:val="18"/>
              </w:rPr>
            </w:pPr>
            <w:r w:rsidRPr="006A2393">
              <w:rPr>
                <w:i/>
                <w:sz w:val="18"/>
                <w:szCs w:val="18"/>
              </w:rPr>
              <w:t>informáciám</w:t>
            </w:r>
          </w:p>
          <w:p w:rsidR="00AE165B" w:rsidRPr="006A2393" w:rsidRDefault="00AE165B" w:rsidP="00AE165B">
            <w:pPr>
              <w:numPr>
                <w:ilvl w:val="0"/>
                <w:numId w:val="39"/>
              </w:numPr>
              <w:jc w:val="both"/>
              <w:rPr>
                <w:rFonts w:ascii="Calibri" w:hAnsi="Calibri"/>
                <w:i/>
                <w:sz w:val="20"/>
                <w:szCs w:val="20"/>
              </w:rPr>
            </w:pPr>
            <w:r w:rsidRPr="006A2393">
              <w:rPr>
                <w:i/>
                <w:sz w:val="18"/>
                <w:szCs w:val="18"/>
              </w:rPr>
              <w:t>k iným právam (napr. politickým).</w:t>
            </w:r>
          </w:p>
        </w:tc>
        <w:tc>
          <w:tcPr>
            <w:tcW w:w="3007" w:type="pct"/>
          </w:tcPr>
          <w:p w:rsidR="00AE165B" w:rsidRPr="00D86B2E" w:rsidRDefault="00AE165B" w:rsidP="003310B7">
            <w:pPr>
              <w:pStyle w:val="Odsekzoznamu"/>
              <w:ind w:left="17"/>
              <w:rPr>
                <w:sz w:val="20"/>
                <w:szCs w:val="20"/>
                <w:lang w:val="en-US"/>
              </w:rPr>
            </w:pPr>
            <w:r>
              <w:rPr>
                <w:sz w:val="20"/>
                <w:szCs w:val="20"/>
              </w:rPr>
              <w:lastRenderedPageBreak/>
              <w:t>Bez vplyvu.</w:t>
            </w:r>
          </w:p>
        </w:tc>
      </w:tr>
    </w:tbl>
    <w:p w:rsidR="00AE165B" w:rsidRPr="006A2393" w:rsidRDefault="00AE165B" w:rsidP="00AE165B">
      <w:pPr>
        <w:jc w:val="both"/>
        <w:rPr>
          <w:i/>
          <w:sz w:val="20"/>
          <w:szCs w:val="20"/>
        </w:rPr>
        <w:sectPr w:rsidR="00AE165B" w:rsidRPr="006A2393" w:rsidSect="003310B7">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jc w:val="center"/>
        </w:trPr>
        <w:tc>
          <w:tcPr>
            <w:tcW w:w="5000" w:type="pct"/>
            <w:shd w:val="clear" w:color="auto" w:fill="F2F2F2"/>
          </w:tcPr>
          <w:p w:rsidR="00AE165B" w:rsidRPr="006A2393" w:rsidRDefault="00AE165B" w:rsidP="003310B7">
            <w:pPr>
              <w:jc w:val="both"/>
              <w:rPr>
                <w:i/>
                <w:sz w:val="20"/>
                <w:szCs w:val="20"/>
              </w:rPr>
            </w:pPr>
            <w:r w:rsidRPr="006A2393">
              <w:rPr>
                <w:i/>
                <w:sz w:val="20"/>
                <w:szCs w:val="20"/>
              </w:rPr>
              <w:lastRenderedPageBreak/>
              <w:t xml:space="preserve">Má návrh významný vplyv na niektorú zo zraniteľných skupín obyvateľstva alebo skupín v riziku chudoby alebo sociálneho vylúčenia? </w:t>
            </w:r>
          </w:p>
          <w:p w:rsidR="00AE165B" w:rsidRPr="006A2393" w:rsidRDefault="00AE165B" w:rsidP="003310B7">
            <w:pPr>
              <w:jc w:val="both"/>
              <w:rPr>
                <w:rFonts w:ascii="Calibri" w:hAnsi="Calibri"/>
                <w:i/>
              </w:rPr>
            </w:pPr>
            <w:r w:rsidRPr="006A2393">
              <w:rPr>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AE165B" w:rsidRPr="006A2393" w:rsidRDefault="00AE165B" w:rsidP="00AE165B">
      <w:pPr>
        <w:jc w:val="both"/>
        <w:rPr>
          <w:i/>
          <w:sz w:val="18"/>
          <w:szCs w:val="18"/>
        </w:rPr>
        <w:sectPr w:rsidR="00AE165B" w:rsidRPr="006A2393" w:rsidSect="003310B7">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AE165B" w:rsidRPr="006A2393" w:rsidTr="003310B7">
        <w:trPr>
          <w:trHeight w:val="677"/>
          <w:jc w:val="center"/>
        </w:trPr>
        <w:tc>
          <w:tcPr>
            <w:tcW w:w="1993" w:type="pct"/>
          </w:tcPr>
          <w:p w:rsidR="00AE165B" w:rsidRPr="006A2393" w:rsidRDefault="00AE165B" w:rsidP="003310B7">
            <w:pPr>
              <w:jc w:val="both"/>
              <w:rPr>
                <w:i/>
                <w:sz w:val="18"/>
                <w:szCs w:val="18"/>
              </w:rPr>
            </w:pPr>
            <w:r w:rsidRPr="006A2393">
              <w:rPr>
                <w:i/>
                <w:sz w:val="18"/>
                <w:szCs w:val="18"/>
              </w:rPr>
              <w:lastRenderedPageBreak/>
              <w:t>Zraniteľné skupiny alebo skupiny v riziku chudoby alebo sociálneho vylúčenia sú napr.:</w:t>
            </w:r>
          </w:p>
          <w:p w:rsidR="00AE165B" w:rsidRPr="006A2393" w:rsidRDefault="00AE165B" w:rsidP="00AE165B">
            <w:pPr>
              <w:numPr>
                <w:ilvl w:val="0"/>
                <w:numId w:val="40"/>
              </w:numPr>
              <w:jc w:val="both"/>
              <w:rPr>
                <w:i/>
                <w:sz w:val="18"/>
                <w:szCs w:val="18"/>
              </w:rPr>
            </w:pPr>
            <w:r w:rsidRPr="006A2393">
              <w:rPr>
                <w:i/>
                <w:sz w:val="18"/>
                <w:szCs w:val="18"/>
              </w:rPr>
              <w:t>domácnosti s nízkym príjmom (napr. žijúce iba zo sociálnych príjmov, alebo z príjmov pod hranicou rizika chudoby, alebo s príjmom pod životným minimom, alebo patriace medzi 25% domácností s najnižším príjmom),</w:t>
            </w:r>
          </w:p>
          <w:p w:rsidR="00AE165B" w:rsidRPr="006A2393" w:rsidRDefault="00AE165B" w:rsidP="00AE165B">
            <w:pPr>
              <w:numPr>
                <w:ilvl w:val="0"/>
                <w:numId w:val="40"/>
              </w:numPr>
              <w:jc w:val="both"/>
              <w:rPr>
                <w:i/>
                <w:sz w:val="18"/>
                <w:szCs w:val="18"/>
              </w:rPr>
            </w:pPr>
            <w:r w:rsidRPr="006A2393">
              <w:rPr>
                <w:i/>
                <w:sz w:val="18"/>
                <w:szCs w:val="18"/>
              </w:rPr>
              <w:t>nezamestnaní, najmä dlhodobo nezamestnaní, mladí nezamestnaní a nezamestnaní nad 50 rokov,</w:t>
            </w:r>
          </w:p>
          <w:p w:rsidR="00AE165B" w:rsidRPr="006A2393" w:rsidRDefault="00AE165B" w:rsidP="00AE165B">
            <w:pPr>
              <w:numPr>
                <w:ilvl w:val="0"/>
                <w:numId w:val="40"/>
              </w:numPr>
              <w:jc w:val="both"/>
              <w:rPr>
                <w:i/>
                <w:sz w:val="18"/>
                <w:szCs w:val="18"/>
              </w:rPr>
            </w:pPr>
            <w:r w:rsidRPr="006A2393">
              <w:rPr>
                <w:i/>
                <w:sz w:val="18"/>
                <w:szCs w:val="18"/>
              </w:rPr>
              <w:t>deti (0 – 17),</w:t>
            </w:r>
          </w:p>
          <w:p w:rsidR="00AE165B" w:rsidRPr="006A2393" w:rsidRDefault="00AE165B" w:rsidP="00AE165B">
            <w:pPr>
              <w:numPr>
                <w:ilvl w:val="0"/>
                <w:numId w:val="40"/>
              </w:numPr>
              <w:jc w:val="both"/>
              <w:rPr>
                <w:i/>
                <w:sz w:val="18"/>
                <w:szCs w:val="18"/>
              </w:rPr>
            </w:pPr>
            <w:r w:rsidRPr="006A2393">
              <w:rPr>
                <w:i/>
                <w:sz w:val="18"/>
                <w:szCs w:val="18"/>
              </w:rPr>
              <w:t>mladí ľudia (18 – 25 rokov),</w:t>
            </w:r>
          </w:p>
          <w:p w:rsidR="00AE165B" w:rsidRPr="006A2393" w:rsidRDefault="00AE165B" w:rsidP="00AE165B">
            <w:pPr>
              <w:numPr>
                <w:ilvl w:val="0"/>
                <w:numId w:val="40"/>
              </w:numPr>
              <w:jc w:val="both"/>
              <w:rPr>
                <w:i/>
                <w:sz w:val="18"/>
                <w:szCs w:val="18"/>
              </w:rPr>
            </w:pPr>
            <w:r w:rsidRPr="006A2393">
              <w:rPr>
                <w:i/>
                <w:sz w:val="18"/>
                <w:szCs w:val="18"/>
              </w:rPr>
              <w:t>starší ľudia, napr. ľudia vo veku nad 65 rokov alebo dôchodcovia,</w:t>
            </w:r>
          </w:p>
          <w:p w:rsidR="00AE165B" w:rsidRPr="006A2393" w:rsidRDefault="00AE165B" w:rsidP="00AE165B">
            <w:pPr>
              <w:numPr>
                <w:ilvl w:val="0"/>
                <w:numId w:val="40"/>
              </w:numPr>
              <w:jc w:val="both"/>
              <w:rPr>
                <w:i/>
                <w:sz w:val="18"/>
                <w:szCs w:val="18"/>
              </w:rPr>
            </w:pPr>
            <w:r w:rsidRPr="006A2393">
              <w:rPr>
                <w:i/>
                <w:sz w:val="18"/>
                <w:szCs w:val="18"/>
              </w:rPr>
              <w:t>ľudia so zdravotným postihnutím,</w:t>
            </w:r>
          </w:p>
          <w:p w:rsidR="00AE165B" w:rsidRPr="006A2393" w:rsidRDefault="00AE165B" w:rsidP="00AE165B">
            <w:pPr>
              <w:numPr>
                <w:ilvl w:val="0"/>
                <w:numId w:val="40"/>
              </w:numPr>
              <w:jc w:val="both"/>
              <w:rPr>
                <w:i/>
                <w:sz w:val="18"/>
                <w:szCs w:val="18"/>
              </w:rPr>
            </w:pPr>
            <w:r w:rsidRPr="006A2393">
              <w:rPr>
                <w:i/>
                <w:sz w:val="18"/>
                <w:szCs w:val="18"/>
              </w:rPr>
              <w:t xml:space="preserve">marginalizované rómske komunity </w:t>
            </w:r>
          </w:p>
          <w:p w:rsidR="00AE165B" w:rsidRPr="006A2393" w:rsidRDefault="00AE165B" w:rsidP="00AE165B">
            <w:pPr>
              <w:numPr>
                <w:ilvl w:val="0"/>
                <w:numId w:val="40"/>
              </w:numPr>
              <w:jc w:val="both"/>
              <w:rPr>
                <w:i/>
                <w:sz w:val="18"/>
                <w:szCs w:val="18"/>
              </w:rPr>
            </w:pPr>
            <w:r w:rsidRPr="006A2393">
              <w:rPr>
                <w:i/>
                <w:sz w:val="18"/>
                <w:szCs w:val="18"/>
              </w:rPr>
              <w:t>domácnosti s 3 a viac deťmi,</w:t>
            </w:r>
          </w:p>
          <w:p w:rsidR="00AE165B" w:rsidRPr="006A2393" w:rsidRDefault="00AE165B" w:rsidP="00AE165B">
            <w:pPr>
              <w:numPr>
                <w:ilvl w:val="0"/>
                <w:numId w:val="40"/>
              </w:numPr>
              <w:jc w:val="both"/>
              <w:rPr>
                <w:i/>
                <w:sz w:val="18"/>
                <w:szCs w:val="18"/>
              </w:rPr>
            </w:pPr>
            <w:r w:rsidRPr="006A2393">
              <w:rPr>
                <w:i/>
                <w:sz w:val="18"/>
                <w:szCs w:val="18"/>
              </w:rPr>
              <w:t>jednorodičovské domácnosti s deťmi (neúplné rodiny, ktoré tvoria najmä osamelé matky s deťmi),</w:t>
            </w:r>
          </w:p>
          <w:p w:rsidR="00AE165B" w:rsidRPr="006A2393" w:rsidRDefault="00AE165B" w:rsidP="00AE165B">
            <w:pPr>
              <w:numPr>
                <w:ilvl w:val="0"/>
                <w:numId w:val="40"/>
              </w:numPr>
              <w:jc w:val="both"/>
              <w:rPr>
                <w:i/>
                <w:sz w:val="18"/>
                <w:szCs w:val="18"/>
              </w:rPr>
            </w:pPr>
            <w:r w:rsidRPr="006A2393">
              <w:rPr>
                <w:i/>
                <w:sz w:val="18"/>
                <w:szCs w:val="18"/>
              </w:rPr>
              <w:t>príslušníci tretích krajín, azylanti, žiadatelia o azyl,</w:t>
            </w:r>
          </w:p>
          <w:p w:rsidR="00AE165B" w:rsidRPr="006A2393" w:rsidRDefault="00AE165B" w:rsidP="00AE165B">
            <w:pPr>
              <w:numPr>
                <w:ilvl w:val="0"/>
                <w:numId w:val="40"/>
              </w:numPr>
              <w:jc w:val="both"/>
              <w:rPr>
                <w:rFonts w:ascii="Calibri" w:hAnsi="Calibri"/>
                <w:i/>
                <w:sz w:val="18"/>
                <w:szCs w:val="18"/>
              </w:rPr>
            </w:pPr>
            <w:r w:rsidRPr="006A2393">
              <w:rPr>
                <w:i/>
                <w:sz w:val="18"/>
                <w:szCs w:val="18"/>
              </w:rPr>
              <w:t>iné zraniteľné skupiny, ako sú napr. bezdomovci, ľudia opúšťajúci detské domovy alebo iné inštitucionálne zariadenia</w:t>
            </w:r>
          </w:p>
        </w:tc>
        <w:tc>
          <w:tcPr>
            <w:tcW w:w="3007" w:type="pct"/>
          </w:tcPr>
          <w:p w:rsidR="00AE165B" w:rsidRPr="006A2393" w:rsidRDefault="00AE165B" w:rsidP="003310B7">
            <w:pPr>
              <w:jc w:val="both"/>
              <w:rPr>
                <w:sz w:val="20"/>
                <w:szCs w:val="20"/>
              </w:rPr>
            </w:pPr>
            <w:r w:rsidRPr="006A2393">
              <w:rPr>
                <w:sz w:val="20"/>
                <w:szCs w:val="20"/>
              </w:rPr>
              <w:t>Bez vplyvu.</w:t>
            </w:r>
          </w:p>
          <w:p w:rsidR="00AE165B" w:rsidRPr="006A2393" w:rsidRDefault="00AE165B" w:rsidP="003310B7">
            <w:pPr>
              <w:jc w:val="both"/>
              <w:rPr>
                <w:sz w:val="20"/>
              </w:rPr>
            </w:pPr>
          </w:p>
        </w:tc>
      </w:tr>
    </w:tbl>
    <w:p w:rsidR="00AE165B" w:rsidRPr="006A2393" w:rsidRDefault="00AE165B" w:rsidP="00AE165B"/>
    <w:p w:rsidR="00AE165B" w:rsidRPr="006A2393" w:rsidRDefault="00AE165B" w:rsidP="00AE165B">
      <w:pPr>
        <w:rPr>
          <w:b/>
        </w:rPr>
        <w:sectPr w:rsidR="00AE165B" w:rsidRPr="006A2393" w:rsidSect="003310B7">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jc w:val="center"/>
        </w:trPr>
        <w:tc>
          <w:tcPr>
            <w:tcW w:w="5000" w:type="pct"/>
            <w:shd w:val="clear" w:color="auto" w:fill="D9D9D9"/>
          </w:tcPr>
          <w:p w:rsidR="00AE165B" w:rsidRPr="006A2393" w:rsidRDefault="00AE165B" w:rsidP="003310B7">
            <w:pPr>
              <w:rPr>
                <w:b/>
              </w:rPr>
            </w:pPr>
            <w:r w:rsidRPr="006A2393">
              <w:rPr>
                <w:b/>
              </w:rPr>
              <w:lastRenderedPageBreak/>
              <w:t>4.3 Identifikujte a popíšte vplyv na rovnosť príležitostí.</w:t>
            </w:r>
          </w:p>
          <w:p w:rsidR="00AE165B" w:rsidRPr="006A2393" w:rsidRDefault="00AE165B" w:rsidP="003310B7">
            <w:pPr>
              <w:ind w:left="340"/>
              <w:jc w:val="both"/>
              <w:rPr>
                <w:rFonts w:ascii="Calibri" w:hAnsi="Calibri"/>
              </w:rPr>
            </w:pPr>
            <w:r w:rsidRPr="006A2393">
              <w:rPr>
                <w:b/>
              </w:rPr>
              <w:t>Identifikujte, popíšte a kvantifikujte vplyv na rodovú rovnosť.</w:t>
            </w:r>
          </w:p>
        </w:tc>
      </w:tr>
      <w:tr w:rsidR="00AE165B" w:rsidRPr="006A2393" w:rsidTr="003310B7">
        <w:trPr>
          <w:jc w:val="center"/>
        </w:trPr>
        <w:tc>
          <w:tcPr>
            <w:tcW w:w="5000" w:type="pct"/>
            <w:shd w:val="clear" w:color="auto" w:fill="F2F2F2"/>
          </w:tcPr>
          <w:p w:rsidR="00AE165B" w:rsidRPr="006A2393" w:rsidRDefault="00AE165B" w:rsidP="003310B7">
            <w:pPr>
              <w:jc w:val="both"/>
              <w:rPr>
                <w:i/>
              </w:rPr>
            </w:pPr>
            <w:r w:rsidRPr="006A2393">
              <w:rPr>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AE165B" w:rsidRPr="006A2393" w:rsidRDefault="00AE165B" w:rsidP="00AE165B">
      <w:pPr>
        <w:rPr>
          <w:sz w:val="20"/>
        </w:rPr>
        <w:sectPr w:rsidR="00AE165B" w:rsidRPr="006A2393" w:rsidSect="003310B7">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trHeight w:val="928"/>
          <w:jc w:val="center"/>
        </w:trPr>
        <w:tc>
          <w:tcPr>
            <w:tcW w:w="5000" w:type="pct"/>
            <w:tcBorders>
              <w:top w:val="nil"/>
              <w:bottom w:val="nil"/>
            </w:tcBorders>
          </w:tcPr>
          <w:p w:rsidR="00AE165B" w:rsidRPr="006A2393" w:rsidRDefault="00AE165B" w:rsidP="003310B7">
            <w:pPr>
              <w:jc w:val="both"/>
              <w:rPr>
                <w:sz w:val="20"/>
                <w:szCs w:val="20"/>
              </w:rPr>
            </w:pPr>
            <w:r w:rsidRPr="006A2393">
              <w:rPr>
                <w:sz w:val="20"/>
                <w:szCs w:val="20"/>
              </w:rPr>
              <w:lastRenderedPageBreak/>
              <w:t>Návrh zákona dodržiava povinnosť rovnakého zaobchádzania so skupinami alebo jednotlivcami na základe pohlavia, rasy, etnicity, náboženstva alebo viery, zdravotného postihnutia a sexuálnej orientácie. Návrh zákona nemá vplyv na rovnosť príležitostí.</w:t>
            </w:r>
          </w:p>
          <w:p w:rsidR="00AE165B" w:rsidRPr="006A2393" w:rsidRDefault="00AE165B" w:rsidP="003310B7">
            <w:pPr>
              <w:rPr>
                <w:i/>
                <w:sz w:val="20"/>
              </w:rPr>
            </w:pPr>
          </w:p>
        </w:tc>
      </w:tr>
    </w:tbl>
    <w:p w:rsidR="00AE165B" w:rsidRPr="006A2393" w:rsidRDefault="00AE165B" w:rsidP="00AE165B">
      <w:pPr>
        <w:rPr>
          <w:i/>
          <w:sz w:val="20"/>
          <w:szCs w:val="20"/>
        </w:rPr>
        <w:sectPr w:rsidR="00AE165B" w:rsidRPr="006A2393" w:rsidSect="003310B7">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E165B" w:rsidRPr="006A2393" w:rsidTr="003310B7">
        <w:trPr>
          <w:trHeight w:val="345"/>
          <w:jc w:val="center"/>
        </w:trPr>
        <w:tc>
          <w:tcPr>
            <w:tcW w:w="5000" w:type="pct"/>
            <w:shd w:val="clear" w:color="auto" w:fill="F2F2F2"/>
            <w:vAlign w:val="center"/>
          </w:tcPr>
          <w:p w:rsidR="00AE165B" w:rsidRPr="006A2393" w:rsidRDefault="00AE165B" w:rsidP="003310B7">
            <w:pPr>
              <w:rPr>
                <w:i/>
                <w:sz w:val="20"/>
                <w:szCs w:val="20"/>
              </w:rPr>
            </w:pPr>
            <w:r w:rsidRPr="006A2393">
              <w:rPr>
                <w:i/>
                <w:sz w:val="20"/>
                <w:szCs w:val="20"/>
              </w:rPr>
              <w:lastRenderedPageBreak/>
              <w:t>Môže mať návrh odlišný vplyv na ženy a mužov? Podporuje návrh rovnosť medzi ženami a mužmi alebo naopak bude viesť k zväčšovaniu rodových nerovností? Popíšte vplyvy.</w:t>
            </w:r>
          </w:p>
        </w:tc>
      </w:tr>
    </w:tbl>
    <w:p w:rsidR="00AE165B" w:rsidRPr="006A2393" w:rsidRDefault="00AE165B" w:rsidP="00AE165B">
      <w:pPr>
        <w:jc w:val="both"/>
        <w:rPr>
          <w:i/>
          <w:sz w:val="18"/>
          <w:szCs w:val="18"/>
        </w:rPr>
        <w:sectPr w:rsidR="00AE165B" w:rsidRPr="006A2393" w:rsidSect="003310B7">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AE165B" w:rsidRPr="006A2393" w:rsidTr="003310B7">
        <w:trPr>
          <w:trHeight w:val="1235"/>
          <w:jc w:val="center"/>
        </w:trPr>
        <w:tc>
          <w:tcPr>
            <w:tcW w:w="1993" w:type="pct"/>
          </w:tcPr>
          <w:p w:rsidR="00AE165B" w:rsidRPr="006A2393" w:rsidRDefault="00AE165B" w:rsidP="003310B7">
            <w:pPr>
              <w:jc w:val="both"/>
              <w:rPr>
                <w:i/>
                <w:sz w:val="18"/>
                <w:szCs w:val="18"/>
              </w:rPr>
            </w:pPr>
            <w:r w:rsidRPr="006A2393">
              <w:rPr>
                <w:i/>
                <w:sz w:val="18"/>
                <w:szCs w:val="18"/>
              </w:rPr>
              <w:lastRenderedPageBreak/>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AE165B" w:rsidRPr="006A2393" w:rsidRDefault="00AE165B" w:rsidP="00AE165B">
            <w:pPr>
              <w:numPr>
                <w:ilvl w:val="0"/>
                <w:numId w:val="40"/>
              </w:numPr>
              <w:jc w:val="both"/>
              <w:rPr>
                <w:i/>
                <w:sz w:val="18"/>
                <w:szCs w:val="18"/>
              </w:rPr>
            </w:pPr>
            <w:r w:rsidRPr="006A2393">
              <w:rPr>
                <w:i/>
                <w:sz w:val="18"/>
                <w:szCs w:val="18"/>
              </w:rPr>
              <w:t xml:space="preserve">podpora vyrovnávania ekonomickej nezávislosti, </w:t>
            </w:r>
          </w:p>
          <w:p w:rsidR="00AE165B" w:rsidRPr="006A2393" w:rsidRDefault="00AE165B" w:rsidP="00AE165B">
            <w:pPr>
              <w:numPr>
                <w:ilvl w:val="0"/>
                <w:numId w:val="40"/>
              </w:numPr>
              <w:jc w:val="both"/>
              <w:rPr>
                <w:i/>
                <w:sz w:val="18"/>
                <w:szCs w:val="18"/>
              </w:rPr>
            </w:pPr>
            <w:r w:rsidRPr="006A2393">
              <w:rPr>
                <w:i/>
                <w:sz w:val="18"/>
                <w:szCs w:val="18"/>
              </w:rPr>
              <w:t xml:space="preserve">zosúladenie pracovného, súkromného a rodinného života, </w:t>
            </w:r>
          </w:p>
          <w:p w:rsidR="00AE165B" w:rsidRPr="006A2393" w:rsidRDefault="00AE165B" w:rsidP="00AE165B">
            <w:pPr>
              <w:numPr>
                <w:ilvl w:val="0"/>
                <w:numId w:val="40"/>
              </w:numPr>
              <w:jc w:val="both"/>
              <w:rPr>
                <w:i/>
                <w:sz w:val="18"/>
                <w:szCs w:val="18"/>
              </w:rPr>
            </w:pPr>
            <w:r w:rsidRPr="006A2393">
              <w:rPr>
                <w:i/>
                <w:sz w:val="18"/>
                <w:szCs w:val="18"/>
              </w:rPr>
              <w:t xml:space="preserve">podpora rovnej participácie na rozhodovaní, </w:t>
            </w:r>
          </w:p>
          <w:p w:rsidR="00AE165B" w:rsidRPr="006A2393" w:rsidRDefault="00AE165B" w:rsidP="00AE165B">
            <w:pPr>
              <w:numPr>
                <w:ilvl w:val="0"/>
                <w:numId w:val="40"/>
              </w:numPr>
              <w:jc w:val="both"/>
              <w:rPr>
                <w:i/>
                <w:sz w:val="18"/>
                <w:szCs w:val="18"/>
              </w:rPr>
            </w:pPr>
            <w:r w:rsidRPr="006A2393">
              <w:rPr>
                <w:i/>
                <w:sz w:val="18"/>
                <w:szCs w:val="18"/>
              </w:rPr>
              <w:t xml:space="preserve">boj proti rodovo podmienenému násiliu a obchodovaniu s ľuďmi, </w:t>
            </w:r>
          </w:p>
          <w:p w:rsidR="00AE165B" w:rsidRPr="006A2393" w:rsidRDefault="00AE165B" w:rsidP="00AE165B">
            <w:pPr>
              <w:numPr>
                <w:ilvl w:val="0"/>
                <w:numId w:val="40"/>
              </w:numPr>
              <w:jc w:val="both"/>
              <w:rPr>
                <w:i/>
                <w:sz w:val="18"/>
                <w:szCs w:val="18"/>
              </w:rPr>
            </w:pPr>
            <w:r w:rsidRPr="006A2393">
              <w:rPr>
                <w:i/>
                <w:sz w:val="18"/>
                <w:szCs w:val="18"/>
              </w:rPr>
              <w:t>eliminácia rodových stereotypov.</w:t>
            </w:r>
          </w:p>
        </w:tc>
        <w:tc>
          <w:tcPr>
            <w:tcW w:w="3007" w:type="pct"/>
          </w:tcPr>
          <w:p w:rsidR="00AE165B" w:rsidRPr="006A2393" w:rsidRDefault="00AE165B" w:rsidP="003310B7">
            <w:pPr>
              <w:jc w:val="both"/>
              <w:rPr>
                <w:sz w:val="20"/>
                <w:szCs w:val="20"/>
              </w:rPr>
            </w:pPr>
            <w:r w:rsidRPr="006A2393">
              <w:rPr>
                <w:sz w:val="20"/>
                <w:szCs w:val="20"/>
              </w:rPr>
              <w:t>Bez vplyvu.</w:t>
            </w:r>
          </w:p>
          <w:p w:rsidR="00AE165B" w:rsidRPr="006A2393" w:rsidRDefault="00AE165B" w:rsidP="003310B7">
            <w:pPr>
              <w:tabs>
                <w:tab w:val="left" w:pos="2212"/>
              </w:tabs>
              <w:rPr>
                <w:sz w:val="20"/>
                <w:szCs w:val="20"/>
              </w:rPr>
            </w:pPr>
            <w:r w:rsidRPr="006A2393">
              <w:rPr>
                <w:sz w:val="20"/>
                <w:szCs w:val="20"/>
              </w:rPr>
              <w:tab/>
            </w:r>
          </w:p>
        </w:tc>
      </w:tr>
    </w:tbl>
    <w:p w:rsidR="00AE165B" w:rsidRPr="006A2393" w:rsidRDefault="00AE165B" w:rsidP="00AE165B">
      <w:pPr>
        <w:rPr>
          <w:b/>
        </w:rPr>
        <w:sectPr w:rsidR="00AE165B" w:rsidRPr="006A2393" w:rsidSect="003310B7">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30"/>
        <w:gridCol w:w="5778"/>
      </w:tblGrid>
      <w:tr w:rsidR="00AE165B" w:rsidRPr="006A2393" w:rsidTr="00AE165B">
        <w:trPr>
          <w:jc w:val="center"/>
        </w:trPr>
        <w:tc>
          <w:tcPr>
            <w:tcW w:w="4998" w:type="pct"/>
            <w:gridSpan w:val="2"/>
            <w:shd w:val="clear" w:color="auto" w:fill="D9D9D9"/>
          </w:tcPr>
          <w:p w:rsidR="00AE165B" w:rsidRPr="006A2393" w:rsidRDefault="00AE165B" w:rsidP="003310B7">
            <w:pPr>
              <w:rPr>
                <w:b/>
              </w:rPr>
            </w:pPr>
            <w:r w:rsidRPr="006A2393">
              <w:rPr>
                <w:b/>
              </w:rPr>
              <w:lastRenderedPageBreak/>
              <w:t>4.4 Identifikujte, popíšte a kvantifikujte vplyvy na zamestnanosť a na trh práce.</w:t>
            </w:r>
          </w:p>
          <w:p w:rsidR="00AE165B" w:rsidRPr="006A2393" w:rsidRDefault="00AE165B" w:rsidP="003310B7">
            <w:pPr>
              <w:jc w:val="both"/>
              <w:rPr>
                <w:i/>
              </w:rPr>
            </w:pPr>
            <w:r w:rsidRPr="006A2393">
              <w:rPr>
                <w:i/>
              </w:rPr>
              <w:t xml:space="preserve">V prípade kladnej odpovede pripojte </w:t>
            </w:r>
            <w:r w:rsidRPr="006A2393">
              <w:rPr>
                <w:b/>
                <w:i/>
              </w:rPr>
              <w:t>odôvodnenie</w:t>
            </w:r>
            <w:r w:rsidRPr="006A2393">
              <w:rPr>
                <w:i/>
              </w:rPr>
              <w:t xml:space="preserve"> v súlade s Metodickým postupom pre analýzu sociálnych vplyvov.</w:t>
            </w:r>
          </w:p>
        </w:tc>
      </w:tr>
      <w:tr w:rsidR="00AE165B" w:rsidRPr="006A2393" w:rsidTr="003310B7">
        <w:trPr>
          <w:trHeight w:val="287"/>
          <w:jc w:val="center"/>
        </w:trPr>
        <w:tc>
          <w:tcPr>
            <w:tcW w:w="5000" w:type="pct"/>
            <w:gridSpan w:val="2"/>
            <w:tcBorders>
              <w:top w:val="nil"/>
            </w:tcBorders>
            <w:shd w:val="clear" w:color="auto" w:fill="F2F2F2"/>
          </w:tcPr>
          <w:p w:rsidR="00AE165B" w:rsidRPr="006A2393" w:rsidRDefault="00AE165B" w:rsidP="003310B7">
            <w:pPr>
              <w:rPr>
                <w:i/>
                <w:sz w:val="20"/>
                <w:szCs w:val="20"/>
              </w:rPr>
            </w:pPr>
            <w:r w:rsidRPr="006A2393">
              <w:rPr>
                <w:i/>
                <w:sz w:val="20"/>
                <w:szCs w:val="20"/>
              </w:rPr>
              <w:t>Uľahčuje návrh vznik nových pracovných miest? Ak áno, ako? Ak je to možné, doplňte kvantifikáciu.</w:t>
            </w:r>
          </w:p>
        </w:tc>
      </w:tr>
      <w:tr w:rsidR="00AE165B" w:rsidRPr="006A2393" w:rsidTr="003310B7">
        <w:trPr>
          <w:trHeight w:val="567"/>
          <w:jc w:val="center"/>
        </w:trPr>
        <w:tc>
          <w:tcPr>
            <w:tcW w:w="1993" w:type="pct"/>
            <w:tcBorders>
              <w:top w:val="nil"/>
            </w:tcBorders>
            <w:shd w:val="clear" w:color="auto" w:fill="FFFFFF"/>
          </w:tcPr>
          <w:p w:rsidR="00AE165B" w:rsidRPr="006A2393" w:rsidRDefault="00AE165B" w:rsidP="003310B7">
            <w:pPr>
              <w:rPr>
                <w:i/>
                <w:sz w:val="18"/>
                <w:szCs w:val="18"/>
              </w:rPr>
            </w:pPr>
            <w:r w:rsidRPr="006A2393">
              <w:rPr>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tcBorders>
            <w:shd w:val="clear" w:color="auto" w:fill="FFFFFF"/>
          </w:tcPr>
          <w:p w:rsidR="00AE165B" w:rsidRPr="006A2393" w:rsidRDefault="00AE165B" w:rsidP="003310B7">
            <w:pPr>
              <w:rPr>
                <w:sz w:val="20"/>
                <w:szCs w:val="18"/>
              </w:rPr>
            </w:pPr>
            <w:r w:rsidRPr="006A2393">
              <w:rPr>
                <w:sz w:val="20"/>
                <w:szCs w:val="20"/>
              </w:rPr>
              <w:t>Návrh zákona nemá vplyv na vznik nových pracovných miest.</w:t>
            </w:r>
          </w:p>
        </w:tc>
      </w:tr>
      <w:tr w:rsidR="00AE165B" w:rsidRPr="006A2393" w:rsidTr="003310B7">
        <w:trPr>
          <w:trHeight w:val="270"/>
          <w:jc w:val="center"/>
        </w:trPr>
        <w:tc>
          <w:tcPr>
            <w:tcW w:w="5000" w:type="pct"/>
            <w:gridSpan w:val="2"/>
            <w:shd w:val="clear" w:color="auto" w:fill="F2F2F2"/>
          </w:tcPr>
          <w:p w:rsidR="00AE165B" w:rsidRPr="006A2393" w:rsidRDefault="00AE165B" w:rsidP="003310B7">
            <w:pPr>
              <w:rPr>
                <w:i/>
                <w:sz w:val="20"/>
                <w:szCs w:val="20"/>
              </w:rPr>
            </w:pPr>
            <w:r w:rsidRPr="006A2393">
              <w:rPr>
                <w:i/>
                <w:sz w:val="20"/>
                <w:szCs w:val="20"/>
              </w:rPr>
              <w:t>Vedie návrh k zániku pracovných miest?</w:t>
            </w:r>
            <w:r w:rsidRPr="006A2393">
              <w:rPr>
                <w:sz w:val="20"/>
                <w:szCs w:val="20"/>
              </w:rPr>
              <w:t xml:space="preserve"> </w:t>
            </w:r>
            <w:r w:rsidRPr="006A2393">
              <w:rPr>
                <w:i/>
                <w:sz w:val="20"/>
                <w:szCs w:val="20"/>
              </w:rPr>
              <w:t>Ak áno, ako a akých? Ak je to možné, doplňte kvantifikáciu.</w:t>
            </w:r>
          </w:p>
        </w:tc>
      </w:tr>
      <w:tr w:rsidR="00AE165B" w:rsidRPr="006A2393" w:rsidTr="003310B7">
        <w:trPr>
          <w:trHeight w:val="454"/>
          <w:jc w:val="center"/>
        </w:trPr>
        <w:tc>
          <w:tcPr>
            <w:tcW w:w="1993" w:type="pct"/>
            <w:shd w:val="clear" w:color="auto" w:fill="FFFFFF"/>
          </w:tcPr>
          <w:p w:rsidR="00AE165B" w:rsidRPr="006A2393" w:rsidRDefault="00AE165B" w:rsidP="003310B7">
            <w:pPr>
              <w:rPr>
                <w:i/>
                <w:sz w:val="18"/>
                <w:szCs w:val="18"/>
              </w:rPr>
            </w:pPr>
            <w:r w:rsidRPr="006A2393">
              <w:rPr>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shd w:val="clear" w:color="auto" w:fill="FFFFFF"/>
          </w:tcPr>
          <w:p w:rsidR="00AE165B" w:rsidRPr="006A2393" w:rsidRDefault="00AE165B" w:rsidP="003310B7">
            <w:pPr>
              <w:rPr>
                <w:sz w:val="20"/>
                <w:szCs w:val="18"/>
              </w:rPr>
            </w:pPr>
            <w:r w:rsidRPr="006A2393">
              <w:rPr>
                <w:sz w:val="20"/>
                <w:szCs w:val="20"/>
              </w:rPr>
              <w:t>Návrh zákona nemá vplyv na zánik pracovných miest.</w:t>
            </w:r>
          </w:p>
        </w:tc>
      </w:tr>
      <w:tr w:rsidR="00AE165B" w:rsidRPr="006A2393" w:rsidTr="003310B7">
        <w:trPr>
          <w:trHeight w:val="248"/>
          <w:jc w:val="center"/>
        </w:trPr>
        <w:tc>
          <w:tcPr>
            <w:tcW w:w="5000" w:type="pct"/>
            <w:gridSpan w:val="2"/>
            <w:shd w:val="clear" w:color="auto" w:fill="F2F2F2"/>
          </w:tcPr>
          <w:p w:rsidR="00AE165B" w:rsidRPr="006A2393" w:rsidRDefault="00AE165B" w:rsidP="003310B7">
            <w:pPr>
              <w:rPr>
                <w:sz w:val="20"/>
                <w:szCs w:val="20"/>
              </w:rPr>
            </w:pPr>
            <w:r w:rsidRPr="006A2393">
              <w:rPr>
                <w:i/>
                <w:sz w:val="20"/>
                <w:szCs w:val="20"/>
              </w:rPr>
              <w:t>Ovplyvňuje návrh dopyt po práci?</w:t>
            </w:r>
            <w:r w:rsidRPr="006A2393">
              <w:rPr>
                <w:sz w:val="20"/>
                <w:szCs w:val="20"/>
              </w:rPr>
              <w:t xml:space="preserve"> </w:t>
            </w:r>
            <w:r w:rsidRPr="006A2393">
              <w:rPr>
                <w:i/>
                <w:sz w:val="20"/>
                <w:szCs w:val="20"/>
              </w:rPr>
              <w:t>Ak áno, ako?</w:t>
            </w:r>
          </w:p>
        </w:tc>
      </w:tr>
      <w:tr w:rsidR="00AE165B" w:rsidRPr="006A2393" w:rsidTr="003310B7">
        <w:trPr>
          <w:trHeight w:val="209"/>
          <w:jc w:val="center"/>
        </w:trPr>
        <w:tc>
          <w:tcPr>
            <w:tcW w:w="1993" w:type="pct"/>
            <w:shd w:val="clear" w:color="auto" w:fill="FFFFFF"/>
          </w:tcPr>
          <w:p w:rsidR="00AE165B" w:rsidRPr="006A2393" w:rsidRDefault="00AE165B" w:rsidP="003310B7">
            <w:pPr>
              <w:rPr>
                <w:i/>
                <w:sz w:val="18"/>
                <w:szCs w:val="18"/>
              </w:rPr>
            </w:pPr>
            <w:r w:rsidRPr="006A2393">
              <w:rPr>
                <w:i/>
                <w:sz w:val="18"/>
                <w:szCs w:val="18"/>
              </w:rPr>
              <w:t>Dopyt po práci závisí na jednej strane na produkcii tovarov a služieb v ekonomike a na druhej strane na cene práce.</w:t>
            </w:r>
          </w:p>
        </w:tc>
        <w:tc>
          <w:tcPr>
            <w:tcW w:w="3007" w:type="pct"/>
            <w:shd w:val="clear" w:color="auto" w:fill="FFFFFF"/>
          </w:tcPr>
          <w:p w:rsidR="00AE165B" w:rsidRPr="006A2393" w:rsidRDefault="00AE165B" w:rsidP="003310B7">
            <w:pPr>
              <w:jc w:val="both"/>
              <w:rPr>
                <w:strike/>
                <w:sz w:val="20"/>
                <w:szCs w:val="18"/>
              </w:rPr>
            </w:pPr>
            <w:r w:rsidRPr="006A2393">
              <w:rPr>
                <w:sz w:val="20"/>
                <w:szCs w:val="20"/>
              </w:rPr>
              <w:t xml:space="preserve">Bez vplyvu. </w:t>
            </w:r>
          </w:p>
        </w:tc>
      </w:tr>
      <w:tr w:rsidR="00AE165B" w:rsidRPr="006A2393" w:rsidTr="003310B7">
        <w:trPr>
          <w:trHeight w:val="208"/>
          <w:jc w:val="center"/>
        </w:trPr>
        <w:tc>
          <w:tcPr>
            <w:tcW w:w="5000" w:type="pct"/>
            <w:gridSpan w:val="2"/>
            <w:shd w:val="clear" w:color="auto" w:fill="F2F2F2"/>
          </w:tcPr>
          <w:p w:rsidR="00AE165B" w:rsidRPr="006A2393" w:rsidRDefault="00AE165B" w:rsidP="003310B7">
            <w:pPr>
              <w:rPr>
                <w:sz w:val="20"/>
                <w:szCs w:val="20"/>
              </w:rPr>
            </w:pPr>
            <w:r w:rsidRPr="006A2393">
              <w:rPr>
                <w:i/>
                <w:sz w:val="20"/>
                <w:szCs w:val="20"/>
              </w:rPr>
              <w:t>Má návrh dosah na fungovanie trhu práce?</w:t>
            </w:r>
            <w:r w:rsidRPr="006A2393">
              <w:rPr>
                <w:sz w:val="20"/>
                <w:szCs w:val="20"/>
              </w:rPr>
              <w:t xml:space="preserve"> </w:t>
            </w:r>
            <w:r w:rsidRPr="006A2393">
              <w:rPr>
                <w:i/>
                <w:sz w:val="20"/>
                <w:szCs w:val="20"/>
              </w:rPr>
              <w:t>Ak áno, aký?</w:t>
            </w:r>
          </w:p>
        </w:tc>
      </w:tr>
      <w:tr w:rsidR="00AE165B" w:rsidRPr="006A2393" w:rsidTr="003310B7">
        <w:trPr>
          <w:trHeight w:val="794"/>
          <w:jc w:val="center"/>
        </w:trPr>
        <w:tc>
          <w:tcPr>
            <w:tcW w:w="1993" w:type="pct"/>
            <w:shd w:val="clear" w:color="auto" w:fill="FFFFFF"/>
          </w:tcPr>
          <w:p w:rsidR="00AE165B" w:rsidRPr="006A2393" w:rsidRDefault="00AE165B" w:rsidP="003310B7">
            <w:pPr>
              <w:rPr>
                <w:i/>
                <w:sz w:val="18"/>
                <w:szCs w:val="18"/>
              </w:rPr>
            </w:pPr>
            <w:r w:rsidRPr="006A2393">
              <w:rPr>
                <w:i/>
                <w:sz w:val="18"/>
                <w:szCs w:val="18"/>
              </w:rPr>
              <w:t>Týka sa makroekonomických dosahov ako je napr. participácia na trhu práce, dlhodobá nezamestnanosť, regionálne rozdiely v mierach zamestnanosti.</w:t>
            </w:r>
            <w:r w:rsidRPr="006A2393">
              <w:rPr>
                <w:sz w:val="18"/>
                <w:szCs w:val="18"/>
              </w:rPr>
              <w:t xml:space="preserve"> </w:t>
            </w:r>
            <w:r w:rsidRPr="006A2393">
              <w:rPr>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shd w:val="clear" w:color="auto" w:fill="FFFFFF"/>
          </w:tcPr>
          <w:p w:rsidR="00AE165B" w:rsidRPr="006A2393" w:rsidRDefault="00AE165B" w:rsidP="003310B7">
            <w:pPr>
              <w:jc w:val="both"/>
              <w:rPr>
                <w:sz w:val="20"/>
                <w:szCs w:val="20"/>
              </w:rPr>
            </w:pPr>
            <w:r w:rsidRPr="006A2393">
              <w:rPr>
                <w:sz w:val="20"/>
                <w:szCs w:val="20"/>
              </w:rPr>
              <w:t>Bez vplyvu.</w:t>
            </w:r>
          </w:p>
          <w:p w:rsidR="00AE165B" w:rsidRPr="006A2393" w:rsidRDefault="00AE165B" w:rsidP="003310B7">
            <w:pPr>
              <w:jc w:val="both"/>
              <w:rPr>
                <w:sz w:val="20"/>
                <w:szCs w:val="20"/>
              </w:rPr>
            </w:pPr>
          </w:p>
          <w:p w:rsidR="00AE165B" w:rsidRPr="006A2393" w:rsidRDefault="00AE165B" w:rsidP="003310B7">
            <w:pPr>
              <w:pStyle w:val="Textkomentra"/>
              <w:rPr>
                <w:szCs w:val="18"/>
              </w:rPr>
            </w:pPr>
          </w:p>
        </w:tc>
      </w:tr>
      <w:tr w:rsidR="00AE165B" w:rsidRPr="006A2393" w:rsidTr="003310B7">
        <w:trPr>
          <w:trHeight w:val="324"/>
          <w:jc w:val="center"/>
        </w:trPr>
        <w:tc>
          <w:tcPr>
            <w:tcW w:w="5000" w:type="pct"/>
            <w:gridSpan w:val="2"/>
            <w:shd w:val="clear" w:color="auto" w:fill="F2F2F2"/>
          </w:tcPr>
          <w:p w:rsidR="00AE165B" w:rsidRPr="006A2393" w:rsidRDefault="00AE165B" w:rsidP="003310B7">
            <w:pPr>
              <w:rPr>
                <w:sz w:val="20"/>
                <w:szCs w:val="20"/>
              </w:rPr>
            </w:pPr>
            <w:r w:rsidRPr="006A2393">
              <w:rPr>
                <w:i/>
                <w:sz w:val="20"/>
                <w:szCs w:val="20"/>
              </w:rPr>
              <w:t>Má návrh špecifické negatívne dôsledky pre isté skupiny profesií, skupín zamestnancov či živnostníkov?</w:t>
            </w:r>
            <w:r w:rsidRPr="006A2393">
              <w:rPr>
                <w:sz w:val="20"/>
                <w:szCs w:val="20"/>
              </w:rPr>
              <w:t xml:space="preserve"> </w:t>
            </w:r>
            <w:r w:rsidRPr="006A2393">
              <w:rPr>
                <w:i/>
                <w:sz w:val="20"/>
                <w:szCs w:val="20"/>
              </w:rPr>
              <w:t>Ak áno, aké a pre ktoré skupiny?</w:t>
            </w:r>
          </w:p>
        </w:tc>
      </w:tr>
      <w:tr w:rsidR="00AE165B" w:rsidRPr="006A2393" w:rsidTr="003310B7">
        <w:trPr>
          <w:trHeight w:val="216"/>
          <w:jc w:val="center"/>
        </w:trPr>
        <w:tc>
          <w:tcPr>
            <w:tcW w:w="1993" w:type="pct"/>
            <w:shd w:val="clear" w:color="auto" w:fill="FFFFFF"/>
          </w:tcPr>
          <w:p w:rsidR="00AE165B" w:rsidRPr="006A2393" w:rsidRDefault="00AE165B" w:rsidP="003310B7">
            <w:pPr>
              <w:rPr>
                <w:i/>
                <w:sz w:val="18"/>
                <w:szCs w:val="18"/>
              </w:rPr>
            </w:pPr>
            <w:r w:rsidRPr="006A2393">
              <w:rPr>
                <w:i/>
                <w:sz w:val="18"/>
                <w:szCs w:val="18"/>
              </w:rPr>
              <w:t>Návrh môže ohrozovať napr. pracovníkov istých profesií favorizovaním špecifických aktivít či technológií.</w:t>
            </w:r>
          </w:p>
        </w:tc>
        <w:tc>
          <w:tcPr>
            <w:tcW w:w="3007" w:type="pct"/>
            <w:shd w:val="clear" w:color="auto" w:fill="FFFFFF"/>
          </w:tcPr>
          <w:p w:rsidR="00AE165B" w:rsidRPr="006A2393" w:rsidRDefault="00AE165B" w:rsidP="003310B7">
            <w:pPr>
              <w:rPr>
                <w:sz w:val="20"/>
                <w:szCs w:val="18"/>
              </w:rPr>
            </w:pPr>
            <w:r w:rsidRPr="006A2393">
              <w:rPr>
                <w:sz w:val="20"/>
                <w:szCs w:val="20"/>
              </w:rPr>
              <w:t>Návrh zákona nemá negatívne dôsledky pre žiadne skupiny profesií.</w:t>
            </w:r>
          </w:p>
        </w:tc>
      </w:tr>
      <w:tr w:rsidR="00AE165B" w:rsidRPr="006A2393" w:rsidTr="003310B7">
        <w:trPr>
          <w:trHeight w:val="219"/>
          <w:jc w:val="center"/>
        </w:trPr>
        <w:tc>
          <w:tcPr>
            <w:tcW w:w="5000" w:type="pct"/>
            <w:gridSpan w:val="2"/>
            <w:shd w:val="clear" w:color="auto" w:fill="F2F2F2"/>
          </w:tcPr>
          <w:p w:rsidR="00AE165B" w:rsidRPr="006A2393" w:rsidRDefault="00AE165B" w:rsidP="003310B7">
            <w:pPr>
              <w:rPr>
                <w:sz w:val="20"/>
                <w:szCs w:val="20"/>
              </w:rPr>
            </w:pPr>
            <w:r w:rsidRPr="006A2393">
              <w:rPr>
                <w:i/>
                <w:sz w:val="20"/>
                <w:szCs w:val="20"/>
              </w:rPr>
              <w:t>Ovplyvňuje návrh špecifické vekové skupiny zamestnancov? Ak áno, aké? Akým spôsobom?</w:t>
            </w:r>
          </w:p>
        </w:tc>
      </w:tr>
      <w:tr w:rsidR="00AE165B" w:rsidRPr="00994C53" w:rsidTr="003310B7">
        <w:trPr>
          <w:trHeight w:val="497"/>
          <w:jc w:val="center"/>
        </w:trPr>
        <w:tc>
          <w:tcPr>
            <w:tcW w:w="1993" w:type="pct"/>
            <w:shd w:val="clear" w:color="auto" w:fill="FFFFFF"/>
          </w:tcPr>
          <w:p w:rsidR="00AE165B" w:rsidRPr="006A2393" w:rsidRDefault="00AE165B" w:rsidP="003310B7">
            <w:pPr>
              <w:rPr>
                <w:i/>
                <w:sz w:val="18"/>
                <w:szCs w:val="18"/>
              </w:rPr>
            </w:pPr>
            <w:r w:rsidRPr="006A2393">
              <w:rPr>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shd w:val="clear" w:color="auto" w:fill="FFFFFF"/>
          </w:tcPr>
          <w:p w:rsidR="00AE165B" w:rsidRPr="006538C5" w:rsidRDefault="00AE165B" w:rsidP="003310B7">
            <w:pPr>
              <w:jc w:val="both"/>
              <w:rPr>
                <w:sz w:val="20"/>
                <w:szCs w:val="18"/>
              </w:rPr>
            </w:pPr>
            <w:r w:rsidRPr="006A2393">
              <w:rPr>
                <w:sz w:val="20"/>
                <w:szCs w:val="20"/>
              </w:rPr>
              <w:t>Návrh zákona nemá vplyv na špecifické vekové skupiny zamestnancov.</w:t>
            </w:r>
          </w:p>
        </w:tc>
      </w:tr>
    </w:tbl>
    <w:p w:rsidR="00AE165B" w:rsidRDefault="00AE165B" w:rsidP="00AE165B">
      <w:pPr>
        <w:outlineLvl w:val="0"/>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p w:rsidR="00AE165B" w:rsidRDefault="00AE165B" w:rsidP="009650F3">
      <w:pPr>
        <w:ind w:left="851"/>
        <w:jc w:val="both"/>
        <w:rPr>
          <w:b/>
          <w:bCs/>
          <w:caps/>
          <w:color w:val="000000"/>
          <w:spacing w:val="30"/>
          <w:sz w:val="23"/>
          <w:szCs w:val="23"/>
        </w:rPr>
      </w:pPr>
    </w:p>
    <w:tbl>
      <w:tblPr>
        <w:tblW w:w="97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559"/>
        <w:gridCol w:w="1985"/>
        <w:gridCol w:w="1560"/>
        <w:gridCol w:w="1701"/>
        <w:gridCol w:w="992"/>
      </w:tblGrid>
      <w:tr w:rsidR="00AE165B" w:rsidRPr="005C4B9C" w:rsidTr="003310B7">
        <w:trPr>
          <w:trHeight w:val="20"/>
        </w:trPr>
        <w:tc>
          <w:tcPr>
            <w:tcW w:w="9797" w:type="dxa"/>
            <w:gridSpan w:val="5"/>
            <w:shd w:val="clear" w:color="auto" w:fill="BFBFBF"/>
            <w:vAlign w:val="center"/>
          </w:tcPr>
          <w:p w:rsidR="00AE165B" w:rsidRPr="005C4B9C" w:rsidRDefault="00AE165B" w:rsidP="003310B7">
            <w:pPr>
              <w:jc w:val="center"/>
              <w:rPr>
                <w:b/>
                <w:bCs/>
                <w:sz w:val="28"/>
                <w:szCs w:val="28"/>
              </w:rPr>
            </w:pPr>
            <w:r w:rsidRPr="005C4B9C">
              <w:rPr>
                <w:b/>
                <w:bCs/>
                <w:sz w:val="28"/>
                <w:szCs w:val="28"/>
              </w:rPr>
              <w:lastRenderedPageBreak/>
              <w:t>Analýza vplyvov na informatizáciu spoločnosti</w:t>
            </w:r>
          </w:p>
          <w:p w:rsidR="00AE165B" w:rsidRPr="005C4B9C" w:rsidRDefault="00AE165B" w:rsidP="003310B7">
            <w:pPr>
              <w:jc w:val="center"/>
              <w:rPr>
                <w:b/>
                <w:i/>
                <w:iCs/>
                <w:sz w:val="2"/>
                <w:szCs w:val="22"/>
              </w:rPr>
            </w:pPr>
            <w:r w:rsidRPr="005C4B9C">
              <w:rPr>
                <w:b/>
              </w:rPr>
              <w:t>Budovanie základných pilierov informatizácie</w:t>
            </w:r>
          </w:p>
        </w:tc>
      </w:tr>
      <w:tr w:rsidR="00AE165B" w:rsidRPr="005C4B9C" w:rsidTr="003310B7">
        <w:trPr>
          <w:trHeight w:val="681"/>
        </w:trPr>
        <w:tc>
          <w:tcPr>
            <w:tcW w:w="3559" w:type="dxa"/>
            <w:shd w:val="clear" w:color="auto" w:fill="C0C0C0"/>
            <w:vAlign w:val="center"/>
          </w:tcPr>
          <w:p w:rsidR="00AE165B" w:rsidRPr="005C4B9C" w:rsidRDefault="00AE165B" w:rsidP="003310B7">
            <w:pPr>
              <w:jc w:val="center"/>
              <w:rPr>
                <w:b/>
                <w:szCs w:val="22"/>
              </w:rPr>
            </w:pPr>
            <w:r w:rsidRPr="005C4B9C">
              <w:rPr>
                <w:b/>
                <w:szCs w:val="22"/>
              </w:rPr>
              <w:t>Obsah</w:t>
            </w:r>
          </w:p>
        </w:tc>
        <w:tc>
          <w:tcPr>
            <w:tcW w:w="1985" w:type="dxa"/>
            <w:shd w:val="clear" w:color="auto" w:fill="C0C0C0"/>
            <w:vAlign w:val="center"/>
          </w:tcPr>
          <w:p w:rsidR="00AE165B" w:rsidRPr="005C4B9C" w:rsidRDefault="00AE165B" w:rsidP="003310B7">
            <w:pPr>
              <w:jc w:val="center"/>
              <w:rPr>
                <w:b/>
                <w:szCs w:val="22"/>
              </w:rPr>
            </w:pPr>
            <w:r w:rsidRPr="005C4B9C">
              <w:rPr>
                <w:b/>
                <w:szCs w:val="22"/>
              </w:rPr>
              <w:t>A – nová služba</w:t>
            </w:r>
          </w:p>
          <w:p w:rsidR="00AE165B" w:rsidRPr="005C4B9C" w:rsidRDefault="00AE165B" w:rsidP="003310B7">
            <w:pPr>
              <w:jc w:val="center"/>
              <w:rPr>
                <w:i/>
                <w:iCs/>
                <w:szCs w:val="22"/>
              </w:rPr>
            </w:pPr>
            <w:r w:rsidRPr="005C4B9C">
              <w:rPr>
                <w:b/>
                <w:szCs w:val="22"/>
              </w:rPr>
              <w:t>B – zmena služby</w:t>
            </w:r>
          </w:p>
        </w:tc>
        <w:tc>
          <w:tcPr>
            <w:tcW w:w="1560" w:type="dxa"/>
            <w:shd w:val="clear" w:color="auto" w:fill="C0C0C0"/>
            <w:vAlign w:val="center"/>
          </w:tcPr>
          <w:p w:rsidR="00AE165B" w:rsidRPr="005C4B9C" w:rsidRDefault="00AE165B" w:rsidP="003310B7">
            <w:pPr>
              <w:jc w:val="center"/>
              <w:rPr>
                <w:i/>
                <w:iCs/>
                <w:szCs w:val="22"/>
              </w:rPr>
            </w:pPr>
          </w:p>
          <w:p w:rsidR="00AE165B" w:rsidRPr="005C4B9C" w:rsidRDefault="00AE165B" w:rsidP="003310B7">
            <w:pPr>
              <w:spacing w:after="200"/>
              <w:jc w:val="center"/>
              <w:rPr>
                <w:szCs w:val="22"/>
              </w:rPr>
            </w:pPr>
            <w:r w:rsidRPr="005C4B9C">
              <w:rPr>
                <w:b/>
                <w:szCs w:val="22"/>
              </w:rPr>
              <w:t>Kód služby</w:t>
            </w:r>
          </w:p>
        </w:tc>
        <w:tc>
          <w:tcPr>
            <w:tcW w:w="1701" w:type="dxa"/>
            <w:shd w:val="clear" w:color="auto" w:fill="C0C0C0"/>
            <w:vAlign w:val="center"/>
          </w:tcPr>
          <w:p w:rsidR="00AE165B" w:rsidRPr="005C4B9C" w:rsidRDefault="00AE165B" w:rsidP="003310B7">
            <w:pPr>
              <w:jc w:val="center"/>
              <w:rPr>
                <w:b/>
                <w:szCs w:val="22"/>
              </w:rPr>
            </w:pPr>
          </w:p>
          <w:p w:rsidR="00AE165B" w:rsidRPr="005C4B9C" w:rsidRDefault="00AE165B" w:rsidP="003310B7">
            <w:pPr>
              <w:jc w:val="center"/>
              <w:rPr>
                <w:i/>
                <w:iCs/>
                <w:szCs w:val="22"/>
              </w:rPr>
            </w:pPr>
            <w:r w:rsidRPr="005C4B9C">
              <w:rPr>
                <w:b/>
                <w:szCs w:val="22"/>
              </w:rPr>
              <w:t>Názov služby</w:t>
            </w:r>
          </w:p>
        </w:tc>
        <w:tc>
          <w:tcPr>
            <w:tcW w:w="992" w:type="dxa"/>
            <w:shd w:val="clear" w:color="auto" w:fill="C0C0C0"/>
            <w:vAlign w:val="center"/>
          </w:tcPr>
          <w:p w:rsidR="00AE165B" w:rsidRPr="005C4B9C" w:rsidRDefault="00AE165B" w:rsidP="003310B7">
            <w:pPr>
              <w:jc w:val="center"/>
              <w:rPr>
                <w:b/>
                <w:szCs w:val="22"/>
              </w:rPr>
            </w:pPr>
            <w:r>
              <w:rPr>
                <w:b/>
                <w:szCs w:val="22"/>
              </w:rPr>
              <w:t>Úroveň elektroni</w:t>
            </w:r>
            <w:r w:rsidRPr="005C4B9C">
              <w:rPr>
                <w:b/>
                <w:szCs w:val="22"/>
              </w:rPr>
              <w:t>zácie služby</w:t>
            </w:r>
          </w:p>
          <w:p w:rsidR="00AE165B" w:rsidRPr="005C4B9C" w:rsidRDefault="00AE165B" w:rsidP="003310B7">
            <w:pPr>
              <w:jc w:val="center"/>
              <w:rPr>
                <w:i/>
                <w:iCs/>
                <w:szCs w:val="22"/>
              </w:rPr>
            </w:pPr>
            <w:r w:rsidRPr="005C4B9C">
              <w:rPr>
                <w:b/>
                <w:szCs w:val="22"/>
              </w:rPr>
              <w:t>(0 až 5)</w:t>
            </w:r>
          </w:p>
        </w:tc>
      </w:tr>
      <w:tr w:rsidR="00AE165B" w:rsidRPr="005C4B9C" w:rsidTr="003310B7">
        <w:trPr>
          <w:trHeight w:val="2113"/>
        </w:trPr>
        <w:tc>
          <w:tcPr>
            <w:tcW w:w="3559" w:type="dxa"/>
          </w:tcPr>
          <w:p w:rsidR="00AE165B" w:rsidRPr="005C4B9C" w:rsidRDefault="00AE165B" w:rsidP="003310B7">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AE165B" w:rsidRPr="005C4B9C" w:rsidRDefault="00AE165B" w:rsidP="003310B7">
            <w:pPr>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szCs w:val="22"/>
              </w:rPr>
              <w:t xml:space="preserve"> </w:t>
            </w:r>
          </w:p>
        </w:tc>
        <w:tc>
          <w:tcPr>
            <w:tcW w:w="1985" w:type="dxa"/>
          </w:tcPr>
          <w:p w:rsidR="00AE165B" w:rsidRPr="003247DB" w:rsidRDefault="00AE165B" w:rsidP="003310B7">
            <w:pPr>
              <w:jc w:val="center"/>
              <w:rPr>
                <w:b/>
                <w:sz w:val="22"/>
                <w:szCs w:val="22"/>
              </w:rPr>
            </w:pPr>
            <w:r w:rsidRPr="003247DB">
              <w:rPr>
                <w:b/>
                <w:sz w:val="22"/>
                <w:szCs w:val="22"/>
              </w:rPr>
              <w:t>-</w:t>
            </w:r>
          </w:p>
        </w:tc>
        <w:tc>
          <w:tcPr>
            <w:tcW w:w="1560" w:type="dxa"/>
          </w:tcPr>
          <w:p w:rsidR="00AE165B" w:rsidRPr="003247DB" w:rsidRDefault="00AE165B" w:rsidP="003310B7">
            <w:pPr>
              <w:jc w:val="center"/>
              <w:rPr>
                <w:b/>
                <w:sz w:val="16"/>
                <w:szCs w:val="16"/>
              </w:rPr>
            </w:pPr>
            <w:r w:rsidRPr="003247DB">
              <w:rPr>
                <w:b/>
                <w:sz w:val="16"/>
                <w:szCs w:val="16"/>
              </w:rPr>
              <w:t>-</w:t>
            </w:r>
          </w:p>
        </w:tc>
        <w:tc>
          <w:tcPr>
            <w:tcW w:w="1701" w:type="dxa"/>
          </w:tcPr>
          <w:p w:rsidR="00AE165B" w:rsidRPr="003247DB" w:rsidRDefault="00AE165B" w:rsidP="003310B7">
            <w:pPr>
              <w:jc w:val="center"/>
              <w:rPr>
                <w:b/>
                <w:sz w:val="16"/>
                <w:szCs w:val="16"/>
              </w:rPr>
            </w:pPr>
            <w:r w:rsidRPr="003247DB">
              <w:rPr>
                <w:b/>
                <w:sz w:val="16"/>
                <w:szCs w:val="16"/>
              </w:rPr>
              <w:t>-</w:t>
            </w:r>
          </w:p>
        </w:tc>
        <w:tc>
          <w:tcPr>
            <w:tcW w:w="992" w:type="dxa"/>
          </w:tcPr>
          <w:p w:rsidR="00AE165B" w:rsidRPr="003247DB" w:rsidRDefault="00AE165B" w:rsidP="003310B7">
            <w:pPr>
              <w:jc w:val="center"/>
              <w:rPr>
                <w:b/>
                <w:sz w:val="16"/>
                <w:szCs w:val="16"/>
              </w:rPr>
            </w:pPr>
            <w:r w:rsidRPr="003247DB">
              <w:rPr>
                <w:b/>
                <w:sz w:val="16"/>
                <w:szCs w:val="16"/>
              </w:rPr>
              <w:t>-</w:t>
            </w:r>
          </w:p>
        </w:tc>
      </w:tr>
      <w:tr w:rsidR="00AE165B" w:rsidRPr="005C4B9C" w:rsidTr="003310B7">
        <w:trPr>
          <w:trHeight w:val="20"/>
        </w:trPr>
        <w:tc>
          <w:tcPr>
            <w:tcW w:w="3559" w:type="dxa"/>
            <w:shd w:val="clear" w:color="auto" w:fill="C0C0C0"/>
            <w:vAlign w:val="center"/>
          </w:tcPr>
          <w:p w:rsidR="00AE165B" w:rsidRPr="005C4B9C" w:rsidRDefault="00AE165B" w:rsidP="003310B7">
            <w:pPr>
              <w:jc w:val="center"/>
              <w:rPr>
                <w:b/>
                <w:szCs w:val="22"/>
              </w:rPr>
            </w:pPr>
            <w:r w:rsidRPr="005C4B9C">
              <w:rPr>
                <w:b/>
                <w:szCs w:val="22"/>
              </w:rPr>
              <w:t>Infraštruktúra</w:t>
            </w:r>
          </w:p>
        </w:tc>
        <w:tc>
          <w:tcPr>
            <w:tcW w:w="1985" w:type="dxa"/>
            <w:shd w:val="clear" w:color="auto" w:fill="C0C0C0"/>
            <w:vAlign w:val="center"/>
          </w:tcPr>
          <w:p w:rsidR="00AE165B" w:rsidRPr="005C4B9C" w:rsidRDefault="00AE165B" w:rsidP="003310B7">
            <w:pPr>
              <w:jc w:val="center"/>
              <w:rPr>
                <w:b/>
                <w:szCs w:val="22"/>
              </w:rPr>
            </w:pPr>
            <w:r w:rsidRPr="005C4B9C">
              <w:rPr>
                <w:b/>
                <w:szCs w:val="22"/>
              </w:rPr>
              <w:t>A – nový systém</w:t>
            </w:r>
          </w:p>
          <w:p w:rsidR="00AE165B" w:rsidRPr="005C4B9C" w:rsidRDefault="00AE165B" w:rsidP="003310B7">
            <w:pPr>
              <w:jc w:val="center"/>
              <w:rPr>
                <w:b/>
                <w:szCs w:val="22"/>
              </w:rPr>
            </w:pPr>
            <w:r w:rsidRPr="005C4B9C">
              <w:rPr>
                <w:b/>
                <w:szCs w:val="22"/>
              </w:rPr>
              <w:t>B – zmena systému</w:t>
            </w:r>
          </w:p>
        </w:tc>
        <w:tc>
          <w:tcPr>
            <w:tcW w:w="1560" w:type="dxa"/>
            <w:shd w:val="clear" w:color="auto" w:fill="C0C0C0"/>
            <w:vAlign w:val="center"/>
          </w:tcPr>
          <w:p w:rsidR="00AE165B" w:rsidRPr="005C4B9C" w:rsidRDefault="00AE165B" w:rsidP="003310B7">
            <w:pPr>
              <w:jc w:val="center"/>
              <w:rPr>
                <w:b/>
                <w:szCs w:val="22"/>
              </w:rPr>
            </w:pPr>
            <w:r w:rsidRPr="005C4B9C">
              <w:rPr>
                <w:b/>
                <w:szCs w:val="22"/>
              </w:rPr>
              <w:t>Kód systému</w:t>
            </w:r>
          </w:p>
        </w:tc>
        <w:tc>
          <w:tcPr>
            <w:tcW w:w="2693" w:type="dxa"/>
            <w:gridSpan w:val="2"/>
            <w:shd w:val="clear" w:color="auto" w:fill="C0C0C0"/>
            <w:vAlign w:val="center"/>
          </w:tcPr>
          <w:p w:rsidR="00AE165B" w:rsidRPr="0091431A" w:rsidRDefault="00AE165B" w:rsidP="003310B7">
            <w:pPr>
              <w:jc w:val="center"/>
              <w:rPr>
                <w:b/>
                <w:sz w:val="16"/>
                <w:szCs w:val="16"/>
              </w:rPr>
            </w:pPr>
            <w:r w:rsidRPr="006B5B60">
              <w:rPr>
                <w:b/>
                <w:szCs w:val="22"/>
              </w:rPr>
              <w:t>Názov systému</w:t>
            </w:r>
          </w:p>
        </w:tc>
      </w:tr>
      <w:tr w:rsidR="00AE165B" w:rsidRPr="005C4B9C" w:rsidTr="003310B7">
        <w:trPr>
          <w:trHeight w:val="20"/>
        </w:trPr>
        <w:tc>
          <w:tcPr>
            <w:tcW w:w="3559" w:type="dxa"/>
          </w:tcPr>
          <w:p w:rsidR="00AE165B" w:rsidRPr="005C4B9C" w:rsidRDefault="00AE165B" w:rsidP="003310B7">
            <w:pPr>
              <w:jc w:val="both"/>
            </w:pPr>
            <w:r w:rsidRPr="005C4B9C">
              <w:rPr>
                <w:b/>
              </w:rPr>
              <w:t>6.2.</w:t>
            </w:r>
            <w:r w:rsidRPr="005C4B9C">
              <w:t xml:space="preserve"> Predpokladá predložený návrh zmenu existujúceho alebo vytvorenie nového informačného systému verejnej správy?</w:t>
            </w:r>
          </w:p>
          <w:p w:rsidR="00AE165B" w:rsidRPr="005C4B9C" w:rsidRDefault="00AE165B" w:rsidP="003310B7">
            <w:pPr>
              <w:spacing w:line="20" w:lineRule="atLeast"/>
              <w:jc w:val="both"/>
            </w:pPr>
            <w:r w:rsidRPr="005C4B9C">
              <w:rPr>
                <w:i/>
                <w:iCs/>
              </w:rPr>
              <w:t>(Ak áno, uveďte zmenu systému alebo vytvorenie nového systému, ďalej jeho kód a názov z centrálneho metainformačného systému verejnej správy.)</w:t>
            </w:r>
          </w:p>
        </w:tc>
        <w:tc>
          <w:tcPr>
            <w:tcW w:w="1985" w:type="dxa"/>
          </w:tcPr>
          <w:p w:rsidR="00AE165B" w:rsidRPr="00BD4379" w:rsidRDefault="00AE165B" w:rsidP="003310B7">
            <w:pPr>
              <w:jc w:val="center"/>
              <w:rPr>
                <w:iCs/>
              </w:rPr>
            </w:pPr>
          </w:p>
          <w:p w:rsidR="00AE165B" w:rsidRPr="00BD4379" w:rsidRDefault="00AE165B" w:rsidP="003310B7">
            <w:pPr>
              <w:rPr>
                <w:iCs/>
              </w:rPr>
            </w:pPr>
          </w:p>
          <w:p w:rsidR="00AE165B" w:rsidRPr="00BD4379" w:rsidRDefault="00AE165B" w:rsidP="003310B7">
            <w:pPr>
              <w:jc w:val="center"/>
              <w:rPr>
                <w:iCs/>
              </w:rPr>
            </w:pPr>
            <w:r w:rsidRPr="00BD4379">
              <w:rPr>
                <w:iCs/>
              </w:rPr>
              <w:t>B</w:t>
            </w:r>
          </w:p>
          <w:p w:rsidR="00AE165B" w:rsidRPr="00BD4379" w:rsidRDefault="00AE165B" w:rsidP="003310B7">
            <w:pPr>
              <w:jc w:val="center"/>
              <w:rPr>
                <w:iCs/>
              </w:rPr>
            </w:pPr>
          </w:p>
          <w:p w:rsidR="00AE165B" w:rsidRPr="00BD4379" w:rsidRDefault="00AE165B" w:rsidP="003310B7">
            <w:pPr>
              <w:jc w:val="center"/>
              <w:rPr>
                <w:iCs/>
              </w:rPr>
            </w:pPr>
          </w:p>
          <w:p w:rsidR="00AE165B" w:rsidRPr="00BD4379" w:rsidRDefault="00AE165B" w:rsidP="003310B7">
            <w:pPr>
              <w:jc w:val="center"/>
              <w:rPr>
                <w:iCs/>
              </w:rPr>
            </w:pPr>
          </w:p>
          <w:p w:rsidR="00AE165B" w:rsidRPr="00BD4379" w:rsidRDefault="00AE165B" w:rsidP="003310B7">
            <w:pPr>
              <w:jc w:val="center"/>
              <w:rPr>
                <w:iCs/>
              </w:rPr>
            </w:pPr>
          </w:p>
        </w:tc>
        <w:tc>
          <w:tcPr>
            <w:tcW w:w="1560" w:type="dxa"/>
          </w:tcPr>
          <w:p w:rsidR="00AE165B" w:rsidRDefault="00AE165B" w:rsidP="003310B7">
            <w:pPr>
              <w:pStyle w:val="Zkladntext"/>
              <w:spacing w:before="40" w:after="40"/>
              <w:jc w:val="center"/>
              <w:rPr>
                <w:color w:val="333333"/>
                <w:sz w:val="20"/>
                <w:shd w:val="clear" w:color="auto" w:fill="FFFFFF"/>
              </w:rPr>
            </w:pPr>
            <w:r w:rsidRPr="00BD4379">
              <w:rPr>
                <w:color w:val="333333"/>
                <w:sz w:val="20"/>
                <w:shd w:val="clear" w:color="auto" w:fill="FFFFFF"/>
              </w:rPr>
              <w:t>isvs_278</w:t>
            </w:r>
          </w:p>
          <w:p w:rsidR="00836C33" w:rsidRPr="009040FD" w:rsidRDefault="00836C33" w:rsidP="003310B7">
            <w:pPr>
              <w:pStyle w:val="Zkladntext"/>
              <w:spacing w:before="40" w:after="40"/>
              <w:jc w:val="center"/>
              <w:rPr>
                <w:sz w:val="20"/>
                <w:szCs w:val="20"/>
              </w:rPr>
            </w:pPr>
            <w:r w:rsidRPr="009040FD">
              <w:rPr>
                <w:color w:val="333333"/>
                <w:sz w:val="20"/>
                <w:szCs w:val="20"/>
                <w:shd w:val="clear" w:color="auto" w:fill="FFFFFF"/>
              </w:rPr>
              <w:t>isvs_550</w:t>
            </w:r>
          </w:p>
        </w:tc>
        <w:tc>
          <w:tcPr>
            <w:tcW w:w="2693" w:type="dxa"/>
            <w:gridSpan w:val="2"/>
          </w:tcPr>
          <w:p w:rsidR="00AE165B" w:rsidRDefault="00AE165B" w:rsidP="003310B7">
            <w:pPr>
              <w:jc w:val="center"/>
            </w:pPr>
            <w:r w:rsidRPr="00BD4379">
              <w:rPr>
                <w:iCs/>
              </w:rPr>
              <w:t>Informačný systém služieb zamestnanosti (ISSZ)</w:t>
            </w:r>
            <w:r w:rsidRPr="00BD4379">
              <w:t xml:space="preserve"> </w:t>
            </w:r>
          </w:p>
          <w:p w:rsidR="00836C33" w:rsidRDefault="00836C33" w:rsidP="003310B7">
            <w:pPr>
              <w:jc w:val="center"/>
            </w:pPr>
          </w:p>
          <w:p w:rsidR="00836C33" w:rsidRPr="00BD4379" w:rsidRDefault="00836C33" w:rsidP="003310B7">
            <w:pPr>
              <w:jc w:val="center"/>
            </w:pPr>
            <w:r>
              <w:t>Informačný systém</w:t>
            </w:r>
            <w:r w:rsidRPr="00836C33">
              <w:t xml:space="preserve"> poistenia v nezamestnanosti a garančného poistenia (PvN a GP)</w:t>
            </w:r>
          </w:p>
        </w:tc>
      </w:tr>
      <w:tr w:rsidR="00AE165B" w:rsidRPr="005C4B9C" w:rsidTr="003310B7">
        <w:trPr>
          <w:trHeight w:val="20"/>
        </w:trPr>
        <w:tc>
          <w:tcPr>
            <w:tcW w:w="3559" w:type="dxa"/>
            <w:shd w:val="clear" w:color="auto" w:fill="BFBFBF"/>
            <w:vAlign w:val="center"/>
          </w:tcPr>
          <w:p w:rsidR="00AE165B" w:rsidRPr="005C4B9C" w:rsidRDefault="00AE165B" w:rsidP="003310B7">
            <w:pPr>
              <w:spacing w:line="20" w:lineRule="atLeast"/>
              <w:ind w:hanging="55"/>
              <w:jc w:val="center"/>
              <w:rPr>
                <w:b/>
                <w:szCs w:val="22"/>
              </w:rPr>
            </w:pPr>
            <w:r w:rsidRPr="005C4B9C">
              <w:rPr>
                <w:b/>
                <w:szCs w:val="22"/>
              </w:rPr>
              <w:t>Financovanie procesu informatizácie</w:t>
            </w:r>
          </w:p>
        </w:tc>
        <w:tc>
          <w:tcPr>
            <w:tcW w:w="1985" w:type="dxa"/>
            <w:shd w:val="clear" w:color="auto" w:fill="BFBFBF"/>
            <w:vAlign w:val="center"/>
          </w:tcPr>
          <w:p w:rsidR="00AE165B" w:rsidRPr="003247DB" w:rsidRDefault="00AE165B" w:rsidP="003310B7">
            <w:pPr>
              <w:jc w:val="center"/>
              <w:rPr>
                <w:b/>
                <w:i/>
                <w:iCs/>
                <w:szCs w:val="22"/>
              </w:rPr>
            </w:pPr>
            <w:r w:rsidRPr="003247DB">
              <w:rPr>
                <w:b/>
                <w:szCs w:val="22"/>
              </w:rPr>
              <w:t>Rezortná úroveň</w:t>
            </w:r>
          </w:p>
        </w:tc>
        <w:tc>
          <w:tcPr>
            <w:tcW w:w="1560" w:type="dxa"/>
            <w:shd w:val="clear" w:color="auto" w:fill="BFBFBF"/>
            <w:vAlign w:val="center"/>
          </w:tcPr>
          <w:p w:rsidR="00AE165B" w:rsidRPr="003247DB" w:rsidRDefault="00AE165B" w:rsidP="003310B7">
            <w:pPr>
              <w:jc w:val="center"/>
              <w:rPr>
                <w:b/>
                <w:i/>
                <w:iCs/>
                <w:szCs w:val="22"/>
              </w:rPr>
            </w:pPr>
            <w:r w:rsidRPr="003247DB">
              <w:rPr>
                <w:b/>
                <w:szCs w:val="22"/>
              </w:rPr>
              <w:t>Nadrezortná úroveň</w:t>
            </w:r>
          </w:p>
          <w:p w:rsidR="00AE165B" w:rsidRPr="003247DB" w:rsidRDefault="00AE165B" w:rsidP="003310B7">
            <w:pPr>
              <w:jc w:val="center"/>
              <w:rPr>
                <w:b/>
                <w:szCs w:val="22"/>
              </w:rPr>
            </w:pPr>
          </w:p>
        </w:tc>
        <w:tc>
          <w:tcPr>
            <w:tcW w:w="2693" w:type="dxa"/>
            <w:gridSpan w:val="2"/>
            <w:shd w:val="clear" w:color="auto" w:fill="BFBFBF"/>
            <w:vAlign w:val="center"/>
          </w:tcPr>
          <w:p w:rsidR="00AE165B" w:rsidRPr="003247DB" w:rsidRDefault="00AE165B" w:rsidP="003310B7">
            <w:pPr>
              <w:rPr>
                <w:b/>
                <w:szCs w:val="22"/>
              </w:rPr>
            </w:pPr>
            <w:r w:rsidRPr="003247DB">
              <w:rPr>
                <w:b/>
                <w:szCs w:val="22"/>
              </w:rPr>
              <w:t>A - z prostriedkov EÚ   B - z ďalších zdrojov financovania</w:t>
            </w:r>
          </w:p>
        </w:tc>
      </w:tr>
      <w:tr w:rsidR="00AE165B" w:rsidRPr="005C4B9C" w:rsidTr="003310B7">
        <w:trPr>
          <w:trHeight w:val="20"/>
        </w:trPr>
        <w:tc>
          <w:tcPr>
            <w:tcW w:w="3559" w:type="dxa"/>
          </w:tcPr>
          <w:p w:rsidR="00AE165B" w:rsidRPr="005C4B9C" w:rsidRDefault="00AE165B" w:rsidP="003310B7">
            <w:pPr>
              <w:jc w:val="both"/>
              <w:rPr>
                <w:szCs w:val="22"/>
              </w:rPr>
            </w:pPr>
            <w:r w:rsidRPr="005C4B9C">
              <w:rPr>
                <w:b/>
                <w:szCs w:val="22"/>
              </w:rPr>
              <w:t>6.3.</w:t>
            </w:r>
            <w:r w:rsidRPr="005C4B9C">
              <w:rPr>
                <w:szCs w:val="22"/>
              </w:rPr>
              <w:t xml:space="preserve"> Vyžaduje si proces informatizácie  finančné investície?</w:t>
            </w:r>
          </w:p>
          <w:p w:rsidR="00AE165B" w:rsidRPr="005C4B9C" w:rsidRDefault="00AE165B" w:rsidP="003310B7">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985" w:type="dxa"/>
          </w:tcPr>
          <w:p w:rsidR="00AE165B" w:rsidRDefault="00AE165B" w:rsidP="003310B7">
            <w:pPr>
              <w:jc w:val="center"/>
              <w:rPr>
                <w:iCs/>
              </w:rPr>
            </w:pPr>
            <w:r w:rsidRPr="00BD4379">
              <w:rPr>
                <w:iCs/>
              </w:rPr>
              <w:t>MPSVR SR – 07E0401 Špecializovaná štátna správa</w:t>
            </w:r>
          </w:p>
          <w:p w:rsidR="00836C33" w:rsidRDefault="00836C33" w:rsidP="003310B7">
            <w:pPr>
              <w:jc w:val="center"/>
              <w:rPr>
                <w:iCs/>
              </w:rPr>
            </w:pPr>
          </w:p>
          <w:p w:rsidR="00836C33" w:rsidRPr="00BD4379" w:rsidRDefault="00836C33" w:rsidP="003310B7">
            <w:pPr>
              <w:jc w:val="center"/>
              <w:rPr>
                <w:iCs/>
              </w:rPr>
            </w:pPr>
            <w:r>
              <w:rPr>
                <w:iCs/>
              </w:rPr>
              <w:t>Sociálna poisťovňa – Správny fond</w:t>
            </w:r>
          </w:p>
          <w:p w:rsidR="00AE165B" w:rsidRPr="00BD4379" w:rsidRDefault="00AE165B" w:rsidP="003310B7">
            <w:pPr>
              <w:jc w:val="center"/>
              <w:rPr>
                <w:iCs/>
              </w:rPr>
            </w:pPr>
          </w:p>
        </w:tc>
        <w:tc>
          <w:tcPr>
            <w:tcW w:w="1560" w:type="dxa"/>
          </w:tcPr>
          <w:p w:rsidR="00AE165B" w:rsidRPr="00BD4379" w:rsidRDefault="00AE165B" w:rsidP="003310B7">
            <w:pPr>
              <w:jc w:val="center"/>
              <w:rPr>
                <w:iCs/>
              </w:rPr>
            </w:pPr>
          </w:p>
          <w:p w:rsidR="00AE165B" w:rsidRPr="00BD4379" w:rsidRDefault="00AE165B" w:rsidP="003310B7">
            <w:pPr>
              <w:jc w:val="center"/>
              <w:rPr>
                <w:iCs/>
              </w:rPr>
            </w:pPr>
            <w:r w:rsidRPr="00BD4379">
              <w:rPr>
                <w:iCs/>
              </w:rPr>
              <w:t>-</w:t>
            </w:r>
          </w:p>
        </w:tc>
        <w:tc>
          <w:tcPr>
            <w:tcW w:w="2693" w:type="dxa"/>
            <w:gridSpan w:val="2"/>
          </w:tcPr>
          <w:p w:rsidR="00AE165B" w:rsidRPr="00BD4379" w:rsidRDefault="00AE165B" w:rsidP="003310B7">
            <w:pPr>
              <w:jc w:val="center"/>
              <w:rPr>
                <w:iCs/>
              </w:rPr>
            </w:pPr>
          </w:p>
          <w:p w:rsidR="00AE165B" w:rsidRPr="00BD4379" w:rsidRDefault="00AE165B" w:rsidP="003310B7">
            <w:pPr>
              <w:jc w:val="center"/>
              <w:rPr>
                <w:iCs/>
              </w:rPr>
            </w:pPr>
            <w:r w:rsidRPr="00BD4379">
              <w:rPr>
                <w:iCs/>
              </w:rPr>
              <w:t>B</w:t>
            </w:r>
          </w:p>
        </w:tc>
      </w:tr>
    </w:tbl>
    <w:p w:rsidR="00AE165B" w:rsidRPr="005C4B9C" w:rsidRDefault="00AE165B" w:rsidP="00AE165B">
      <w:pPr>
        <w:rPr>
          <w:b/>
          <w:bCs/>
        </w:rPr>
      </w:pPr>
    </w:p>
    <w:p w:rsidR="00AE165B" w:rsidRPr="005C4B9C" w:rsidRDefault="00AE165B" w:rsidP="00AE165B">
      <w:pPr>
        <w:autoSpaceDE w:val="0"/>
        <w:autoSpaceDN w:val="0"/>
        <w:adjustRightInd w:val="0"/>
        <w:jc w:val="center"/>
        <w:rPr>
          <w:b/>
          <w:bCs/>
          <w:color w:val="000000"/>
          <w:sz w:val="28"/>
          <w:szCs w:val="28"/>
          <w:lang w:eastAsia="en-US"/>
        </w:rPr>
      </w:pPr>
    </w:p>
    <w:p w:rsidR="00AE165B" w:rsidRPr="005C4B9C" w:rsidRDefault="00AE165B" w:rsidP="00AE165B">
      <w:pPr>
        <w:autoSpaceDE w:val="0"/>
        <w:autoSpaceDN w:val="0"/>
        <w:adjustRightInd w:val="0"/>
        <w:jc w:val="center"/>
        <w:rPr>
          <w:b/>
          <w:bCs/>
          <w:color w:val="000000"/>
          <w:sz w:val="28"/>
          <w:szCs w:val="28"/>
          <w:lang w:eastAsia="en-US"/>
        </w:rPr>
      </w:pPr>
    </w:p>
    <w:p w:rsidR="00AE165B" w:rsidRPr="005C4B9C" w:rsidRDefault="00AE165B" w:rsidP="00AE165B">
      <w:pPr>
        <w:autoSpaceDE w:val="0"/>
        <w:autoSpaceDN w:val="0"/>
        <w:adjustRightInd w:val="0"/>
        <w:jc w:val="center"/>
        <w:rPr>
          <w:b/>
          <w:bCs/>
          <w:color w:val="000000"/>
          <w:sz w:val="28"/>
          <w:szCs w:val="28"/>
          <w:lang w:eastAsia="en-US"/>
        </w:rPr>
      </w:pPr>
    </w:p>
    <w:p w:rsidR="00AE165B" w:rsidRPr="00732E57" w:rsidRDefault="00AE165B" w:rsidP="00AE165B">
      <w:pPr>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AE165B" w:rsidRPr="005C4B9C" w:rsidTr="003310B7">
        <w:trPr>
          <w:trHeight w:val="822"/>
        </w:trPr>
        <w:tc>
          <w:tcPr>
            <w:tcW w:w="9371" w:type="dxa"/>
            <w:shd w:val="clear" w:color="auto" w:fill="BFBFBF"/>
            <w:vAlign w:val="center"/>
          </w:tcPr>
          <w:p w:rsidR="00AE165B" w:rsidRPr="00B1784E" w:rsidRDefault="00AE165B" w:rsidP="003310B7">
            <w:pPr>
              <w:jc w:val="center"/>
              <w:rPr>
                <w:b/>
                <w:bCs/>
                <w:sz w:val="32"/>
                <w:szCs w:val="32"/>
              </w:rPr>
            </w:pPr>
            <w:r w:rsidRPr="00B1784E">
              <w:rPr>
                <w:b/>
                <w:bCs/>
                <w:sz w:val="32"/>
                <w:szCs w:val="32"/>
              </w:rPr>
              <w:lastRenderedPageBreak/>
              <w:t xml:space="preserve">Analýza </w:t>
            </w:r>
            <w:r w:rsidRPr="00964DDF">
              <w:rPr>
                <w:b/>
                <w:bCs/>
                <w:sz w:val="32"/>
                <w:szCs w:val="32"/>
              </w:rPr>
              <w:t>vplyvov na služby verejnej správy pre občana</w:t>
            </w:r>
          </w:p>
          <w:p w:rsidR="00AE165B" w:rsidRPr="005C4B9C" w:rsidRDefault="00AE165B" w:rsidP="003310B7">
            <w:pPr>
              <w:rPr>
                <w:b/>
                <w:i/>
                <w:iCs/>
                <w:sz w:val="2"/>
                <w:szCs w:val="22"/>
              </w:rPr>
            </w:pPr>
          </w:p>
        </w:tc>
      </w:tr>
      <w:tr w:rsidR="00AE165B" w:rsidRPr="005C4B9C" w:rsidTr="003310B7">
        <w:trPr>
          <w:trHeight w:val="367"/>
        </w:trPr>
        <w:tc>
          <w:tcPr>
            <w:tcW w:w="9371" w:type="dxa"/>
            <w:shd w:val="clear" w:color="auto" w:fill="C0C0C0"/>
            <w:vAlign w:val="center"/>
          </w:tcPr>
          <w:p w:rsidR="00AE165B" w:rsidRPr="00AB307C" w:rsidRDefault="00AE165B" w:rsidP="003310B7">
            <w:pPr>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AE165B" w:rsidRPr="005C4B9C" w:rsidTr="003310B7">
        <w:trPr>
          <w:trHeight w:val="316"/>
        </w:trPr>
        <w:tc>
          <w:tcPr>
            <w:tcW w:w="9371" w:type="dxa"/>
          </w:tcPr>
          <w:p w:rsidR="00AE165B" w:rsidRPr="00F36EF9" w:rsidRDefault="00AE165B" w:rsidP="003310B7">
            <w:pPr>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AE165B" w:rsidRPr="005C4B9C" w:rsidTr="003310B7">
        <w:trPr>
          <w:trHeight w:val="296"/>
        </w:trPr>
        <w:tc>
          <w:tcPr>
            <w:tcW w:w="9371" w:type="dxa"/>
          </w:tcPr>
          <w:p w:rsidR="00AE165B" w:rsidRPr="005C4B9C" w:rsidRDefault="00AE165B" w:rsidP="003310B7">
            <w:pPr>
              <w:rPr>
                <w:b/>
                <w:i/>
                <w:sz w:val="22"/>
                <w:szCs w:val="22"/>
              </w:rPr>
            </w:pPr>
            <w:r w:rsidRPr="00F36EF9">
              <w:rPr>
                <w:i/>
                <w:sz w:val="22"/>
                <w:szCs w:val="22"/>
              </w:rPr>
              <w:t>Zmena existujúcej služby (konkretizujte a popíšte)</w:t>
            </w:r>
            <w:r>
              <w:rPr>
                <w:i/>
                <w:sz w:val="22"/>
                <w:szCs w:val="22"/>
              </w:rPr>
              <w:t xml:space="preserve"> </w:t>
            </w:r>
          </w:p>
        </w:tc>
      </w:tr>
      <w:tr w:rsidR="00AE165B" w:rsidRPr="005C4B9C" w:rsidTr="003310B7">
        <w:trPr>
          <w:trHeight w:val="655"/>
        </w:trPr>
        <w:tc>
          <w:tcPr>
            <w:tcW w:w="9371" w:type="dxa"/>
          </w:tcPr>
          <w:p w:rsidR="00AE165B" w:rsidRPr="00053944" w:rsidRDefault="00AE165B" w:rsidP="003310B7">
            <w:pPr>
              <w:rPr>
                <w:b/>
                <w:i/>
                <w:sz w:val="22"/>
                <w:szCs w:val="22"/>
              </w:rPr>
            </w:pPr>
            <w:r w:rsidRPr="00053944">
              <w:rPr>
                <w:b/>
                <w:i/>
                <w:sz w:val="22"/>
                <w:szCs w:val="22"/>
              </w:rPr>
              <w:t>Navrhovaná právna úprava zavádza možnosť podania žiadosti o dávku v nezamestnanosti na miestne príslušnom úrade práce</w:t>
            </w:r>
            <w:r>
              <w:rPr>
                <w:b/>
                <w:i/>
                <w:sz w:val="22"/>
                <w:szCs w:val="22"/>
              </w:rPr>
              <w:t>, sociálnych vecí a rodiny</w:t>
            </w:r>
            <w:r w:rsidRPr="00053944">
              <w:rPr>
                <w:b/>
                <w:i/>
                <w:sz w:val="22"/>
                <w:szCs w:val="22"/>
              </w:rPr>
              <w:t>, čo má pozitívny vplyv na občana, nakoľko v súvislosti so svojim nárokom na dávku v nezamestnanosti nebude musieť navštíviť pobočku Sociálnej poisťovne. Rovnako pozitívny vplyv na občana bude mať zmena, podľa ktorej sa nebude musieť osobne zúčastniť lekárskej posudkovej činnosti, ak tak určí posudkový lekár a o svoju osobnú účasť poistenec nepožiada.</w:t>
            </w:r>
          </w:p>
        </w:tc>
      </w:tr>
      <w:tr w:rsidR="00AE165B" w:rsidRPr="005C4B9C" w:rsidTr="003310B7">
        <w:trPr>
          <w:trHeight w:val="212"/>
        </w:trPr>
        <w:tc>
          <w:tcPr>
            <w:tcW w:w="9371" w:type="dxa"/>
          </w:tcPr>
          <w:p w:rsidR="00AE165B" w:rsidRPr="00F36EF9" w:rsidRDefault="00AE165B" w:rsidP="003310B7">
            <w:pPr>
              <w:rPr>
                <w:i/>
                <w:sz w:val="22"/>
                <w:szCs w:val="22"/>
              </w:rPr>
            </w:pPr>
            <w:r w:rsidRPr="00F36EF9">
              <w:rPr>
                <w:i/>
                <w:sz w:val="22"/>
                <w:szCs w:val="22"/>
              </w:rPr>
              <w:t>Nová služba (konkretizujte a popíšte)</w:t>
            </w:r>
          </w:p>
        </w:tc>
      </w:tr>
      <w:tr w:rsidR="00AE165B" w:rsidRPr="005C4B9C" w:rsidTr="003310B7">
        <w:trPr>
          <w:trHeight w:val="598"/>
        </w:trPr>
        <w:tc>
          <w:tcPr>
            <w:tcW w:w="9371" w:type="dxa"/>
          </w:tcPr>
          <w:p w:rsidR="00AE165B" w:rsidRPr="00F36EF9" w:rsidRDefault="00AE165B" w:rsidP="003310B7">
            <w:pPr>
              <w:rPr>
                <w:i/>
                <w:sz w:val="22"/>
                <w:szCs w:val="22"/>
              </w:rPr>
            </w:pPr>
          </w:p>
        </w:tc>
      </w:tr>
      <w:tr w:rsidR="00AE165B" w:rsidRPr="005C4B9C" w:rsidTr="003310B7">
        <w:trPr>
          <w:trHeight w:val="248"/>
        </w:trPr>
        <w:tc>
          <w:tcPr>
            <w:tcW w:w="9371" w:type="dxa"/>
          </w:tcPr>
          <w:p w:rsidR="00AE165B" w:rsidRPr="00F36EF9" w:rsidRDefault="00AE165B" w:rsidP="003310B7">
            <w:pPr>
              <w:rPr>
                <w:b/>
              </w:rPr>
            </w:pPr>
            <w:r w:rsidRPr="00F36EF9">
              <w:rPr>
                <w:b/>
              </w:rPr>
              <w:t>7.1.2 Špecifikácia služby verejnej správy, ktorá je dotknutá návrhom</w:t>
            </w:r>
          </w:p>
        </w:tc>
      </w:tr>
      <w:tr w:rsidR="00AE165B" w:rsidRPr="005C4B9C" w:rsidTr="003310B7">
        <w:trPr>
          <w:trHeight w:val="248"/>
        </w:trPr>
        <w:tc>
          <w:tcPr>
            <w:tcW w:w="9371" w:type="dxa"/>
          </w:tcPr>
          <w:p w:rsidR="00AE165B" w:rsidRPr="00F36EF9" w:rsidRDefault="00AE165B" w:rsidP="003310B7">
            <w:pPr>
              <w:rPr>
                <w:i/>
                <w:sz w:val="22"/>
                <w:szCs w:val="22"/>
              </w:rPr>
            </w:pPr>
            <w:r w:rsidRPr="00D3615C">
              <w:rPr>
                <w:i/>
                <w:sz w:val="22"/>
                <w:szCs w:val="22"/>
              </w:rPr>
              <w:t xml:space="preserve">Názov služby </w:t>
            </w:r>
          </w:p>
        </w:tc>
      </w:tr>
      <w:tr w:rsidR="00AE165B" w:rsidRPr="005C4B9C" w:rsidTr="003310B7">
        <w:trPr>
          <w:trHeight w:val="545"/>
        </w:trPr>
        <w:tc>
          <w:tcPr>
            <w:tcW w:w="9371" w:type="dxa"/>
          </w:tcPr>
          <w:p w:rsidR="00AE165B" w:rsidRPr="00053944" w:rsidRDefault="00AE165B" w:rsidP="003310B7">
            <w:pPr>
              <w:rPr>
                <w:b/>
                <w:i/>
                <w:sz w:val="22"/>
                <w:szCs w:val="22"/>
              </w:rPr>
            </w:pPr>
            <w:r w:rsidRPr="00053944">
              <w:rPr>
                <w:b/>
                <w:i/>
                <w:sz w:val="22"/>
                <w:szCs w:val="22"/>
              </w:rPr>
              <w:t>Podanie žiadosti o dávku v nezamestnanosti, výkon lekárskej posudkovej činnosti bez potreby účasti občana v prípade, ak tak určí posudkový lekár a občan o svoju osobnú účasť poistenec nepožiada.</w:t>
            </w:r>
          </w:p>
        </w:tc>
      </w:tr>
      <w:tr w:rsidR="00AE165B" w:rsidRPr="005C4B9C" w:rsidTr="003310B7">
        <w:trPr>
          <w:trHeight w:val="248"/>
        </w:trPr>
        <w:tc>
          <w:tcPr>
            <w:tcW w:w="9371" w:type="dxa"/>
          </w:tcPr>
          <w:p w:rsidR="00AE165B" w:rsidRPr="00F36EF9" w:rsidRDefault="00AE165B" w:rsidP="003310B7">
            <w:pPr>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AE165B" w:rsidRPr="005C4B9C" w:rsidTr="003310B7">
        <w:trPr>
          <w:trHeight w:val="630"/>
        </w:trPr>
        <w:tc>
          <w:tcPr>
            <w:tcW w:w="9371" w:type="dxa"/>
          </w:tcPr>
          <w:p w:rsidR="00AE165B" w:rsidRPr="00053944" w:rsidRDefault="00AE165B" w:rsidP="003310B7">
            <w:pPr>
              <w:rPr>
                <w:b/>
                <w:i/>
                <w:sz w:val="22"/>
                <w:szCs w:val="22"/>
              </w:rPr>
            </w:pPr>
            <w:r w:rsidRPr="00053944">
              <w:rPr>
                <w:b/>
                <w:i/>
                <w:sz w:val="22"/>
                <w:szCs w:val="22"/>
              </w:rPr>
              <w:t>Zákon č. 5/2004 Z. z. o službách zamestnanosti a o zmene a doplnení niektorých zákonov v znení neskorších predpisov</w:t>
            </w:r>
          </w:p>
          <w:p w:rsidR="00AE165B" w:rsidRPr="00950ED1" w:rsidRDefault="00AE165B" w:rsidP="003310B7">
            <w:pPr>
              <w:rPr>
                <w:i/>
                <w:sz w:val="22"/>
                <w:szCs w:val="22"/>
              </w:rPr>
            </w:pPr>
            <w:r w:rsidRPr="00053944">
              <w:rPr>
                <w:b/>
                <w:i/>
                <w:sz w:val="22"/>
                <w:szCs w:val="22"/>
              </w:rPr>
              <w:t>Zákon č. 461/2003 Z. z. o sociálnom poistení v znení neskorších predpisov</w:t>
            </w:r>
          </w:p>
        </w:tc>
      </w:tr>
      <w:tr w:rsidR="00AE165B" w:rsidRPr="005C4B9C" w:rsidTr="003310B7">
        <w:trPr>
          <w:trHeight w:val="220"/>
        </w:trPr>
        <w:tc>
          <w:tcPr>
            <w:tcW w:w="9371" w:type="dxa"/>
          </w:tcPr>
          <w:p w:rsidR="00AE165B" w:rsidRPr="00F36EF9" w:rsidRDefault="00AE165B" w:rsidP="003310B7">
            <w:pPr>
              <w:rPr>
                <w:b/>
                <w:i/>
                <w:sz w:val="22"/>
                <w:szCs w:val="22"/>
              </w:rPr>
            </w:pPr>
            <w:r>
              <w:rPr>
                <w:i/>
                <w:sz w:val="22"/>
                <w:szCs w:val="22"/>
              </w:rPr>
              <w:t xml:space="preserve">Subjekt, ktorý je na základe platnej právnej úpravy oprávnený službu poskytovať </w:t>
            </w:r>
          </w:p>
        </w:tc>
      </w:tr>
      <w:tr w:rsidR="00AE165B" w:rsidRPr="005C4B9C" w:rsidTr="003310B7">
        <w:trPr>
          <w:trHeight w:val="587"/>
        </w:trPr>
        <w:tc>
          <w:tcPr>
            <w:tcW w:w="9371" w:type="dxa"/>
          </w:tcPr>
          <w:p w:rsidR="00AE165B" w:rsidRDefault="00AE165B" w:rsidP="003310B7">
            <w:pPr>
              <w:rPr>
                <w:b/>
                <w:i/>
                <w:sz w:val="22"/>
                <w:szCs w:val="22"/>
              </w:rPr>
            </w:pPr>
            <w:r w:rsidRPr="00053944">
              <w:rPr>
                <w:b/>
                <w:i/>
                <w:sz w:val="22"/>
                <w:szCs w:val="22"/>
              </w:rPr>
              <w:t>Úrady práce, sociálnych vecí a rodiny SR</w:t>
            </w:r>
            <w:r>
              <w:rPr>
                <w:b/>
                <w:i/>
                <w:sz w:val="22"/>
                <w:szCs w:val="22"/>
              </w:rPr>
              <w:t>/Ústredie práce, sociálnych vecí a rodiny SR</w:t>
            </w:r>
          </w:p>
          <w:p w:rsidR="00AE165B" w:rsidRPr="00AE0A98" w:rsidRDefault="00AE165B" w:rsidP="003310B7">
            <w:pPr>
              <w:rPr>
                <w:b/>
                <w:i/>
                <w:sz w:val="22"/>
                <w:szCs w:val="22"/>
              </w:rPr>
            </w:pPr>
            <w:r>
              <w:rPr>
                <w:b/>
                <w:i/>
                <w:sz w:val="22"/>
                <w:szCs w:val="22"/>
              </w:rPr>
              <w:t>pobočky/Ústredie Sociálnej poisťovne</w:t>
            </w:r>
          </w:p>
        </w:tc>
      </w:tr>
      <w:tr w:rsidR="00AE165B" w:rsidRPr="005C4B9C" w:rsidTr="003310B7">
        <w:trPr>
          <w:trHeight w:val="423"/>
        </w:trPr>
        <w:tc>
          <w:tcPr>
            <w:tcW w:w="9371" w:type="dxa"/>
          </w:tcPr>
          <w:p w:rsidR="00AE165B" w:rsidRPr="005C4B9C" w:rsidRDefault="00AE165B" w:rsidP="003310B7">
            <w:pPr>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AE165B" w:rsidRPr="005C4B9C" w:rsidTr="003310B7">
        <w:trPr>
          <w:trHeight w:val="256"/>
        </w:trPr>
        <w:tc>
          <w:tcPr>
            <w:tcW w:w="9371" w:type="dxa"/>
          </w:tcPr>
          <w:p w:rsidR="00AE165B" w:rsidRPr="00F36EF9" w:rsidRDefault="00AE165B" w:rsidP="003310B7">
            <w:pPr>
              <w:rPr>
                <w:b/>
                <w:i/>
                <w:sz w:val="22"/>
                <w:szCs w:val="22"/>
              </w:rPr>
            </w:pPr>
            <w:r w:rsidRPr="00F36EF9">
              <w:rPr>
                <w:i/>
                <w:sz w:val="22"/>
                <w:szCs w:val="22"/>
              </w:rPr>
              <w:t xml:space="preserve">Priamy vplyv (popíšte) </w:t>
            </w:r>
          </w:p>
        </w:tc>
      </w:tr>
      <w:tr w:rsidR="00AE165B" w:rsidRPr="005C4B9C" w:rsidTr="003310B7">
        <w:trPr>
          <w:trHeight w:val="543"/>
        </w:trPr>
        <w:tc>
          <w:tcPr>
            <w:tcW w:w="9371" w:type="dxa"/>
          </w:tcPr>
          <w:p w:rsidR="00AE165B" w:rsidRPr="00053944" w:rsidRDefault="00AE165B" w:rsidP="003310B7">
            <w:pPr>
              <w:rPr>
                <w:b/>
                <w:i/>
                <w:sz w:val="22"/>
                <w:szCs w:val="22"/>
              </w:rPr>
            </w:pPr>
            <w:r w:rsidRPr="00053944">
              <w:rPr>
                <w:b/>
                <w:i/>
                <w:sz w:val="22"/>
                <w:szCs w:val="22"/>
              </w:rPr>
              <w:t>Navrhovaná právna úprava má priamy vplyv na službu verejnej správy</w:t>
            </w:r>
          </w:p>
        </w:tc>
      </w:tr>
      <w:tr w:rsidR="00AE165B" w:rsidRPr="005C4B9C" w:rsidTr="003310B7">
        <w:trPr>
          <w:trHeight w:val="20"/>
        </w:trPr>
        <w:tc>
          <w:tcPr>
            <w:tcW w:w="9371" w:type="dxa"/>
          </w:tcPr>
          <w:p w:rsidR="00AE165B" w:rsidRPr="00F36EF9" w:rsidRDefault="00AE165B" w:rsidP="003310B7">
            <w:pPr>
              <w:rPr>
                <w:b/>
                <w:i/>
                <w:sz w:val="22"/>
                <w:szCs w:val="22"/>
              </w:rPr>
            </w:pPr>
            <w:r w:rsidRPr="00F36EF9">
              <w:rPr>
                <w:i/>
                <w:sz w:val="22"/>
                <w:szCs w:val="22"/>
              </w:rPr>
              <w:t xml:space="preserve">Nepriamy vplyv (popíšte) </w:t>
            </w:r>
          </w:p>
        </w:tc>
      </w:tr>
      <w:tr w:rsidR="00AE165B" w:rsidRPr="005C4B9C" w:rsidTr="003310B7">
        <w:trPr>
          <w:trHeight w:val="616"/>
        </w:trPr>
        <w:tc>
          <w:tcPr>
            <w:tcW w:w="9371" w:type="dxa"/>
          </w:tcPr>
          <w:p w:rsidR="00AE165B" w:rsidRPr="005C4B9C" w:rsidRDefault="00AE165B" w:rsidP="003310B7">
            <w:pPr>
              <w:rPr>
                <w:b/>
                <w:i/>
                <w:sz w:val="22"/>
                <w:szCs w:val="22"/>
              </w:rPr>
            </w:pPr>
            <w:r w:rsidRPr="007909DE">
              <w:rPr>
                <w:i/>
                <w:sz w:val="22"/>
                <w:szCs w:val="22"/>
              </w:rPr>
              <w:t>Bez vplyvu</w:t>
            </w:r>
          </w:p>
        </w:tc>
      </w:tr>
      <w:tr w:rsidR="00AE165B" w:rsidRPr="005C4B9C" w:rsidTr="003310B7">
        <w:trPr>
          <w:trHeight w:val="20"/>
        </w:trPr>
        <w:tc>
          <w:tcPr>
            <w:tcW w:w="9371" w:type="dxa"/>
            <w:shd w:val="clear" w:color="auto" w:fill="C0C0C0"/>
            <w:vAlign w:val="center"/>
          </w:tcPr>
          <w:p w:rsidR="00AE165B" w:rsidRPr="00B1784E" w:rsidRDefault="00AE165B" w:rsidP="003310B7">
            <w:pPr>
              <w:jc w:val="center"/>
              <w:rPr>
                <w:b/>
                <w:sz w:val="28"/>
                <w:szCs w:val="28"/>
              </w:rPr>
            </w:pPr>
            <w:r>
              <w:rPr>
                <w:b/>
                <w:sz w:val="28"/>
                <w:szCs w:val="28"/>
              </w:rPr>
              <w:t>7.2 Vplyv služieb verejnej správy na</w:t>
            </w:r>
            <w:r w:rsidRPr="00B1784E">
              <w:rPr>
                <w:b/>
                <w:sz w:val="28"/>
                <w:szCs w:val="28"/>
              </w:rPr>
              <w:t xml:space="preserve"> občana</w:t>
            </w:r>
          </w:p>
        </w:tc>
      </w:tr>
      <w:tr w:rsidR="00AE165B" w:rsidRPr="005C4B9C" w:rsidTr="003310B7">
        <w:trPr>
          <w:trHeight w:val="388"/>
        </w:trPr>
        <w:tc>
          <w:tcPr>
            <w:tcW w:w="9371" w:type="dxa"/>
          </w:tcPr>
          <w:p w:rsidR="00AE165B" w:rsidRDefault="00AE165B" w:rsidP="003310B7">
            <w:pPr>
              <w:rPr>
                <w:b/>
              </w:rPr>
            </w:pPr>
            <w:r>
              <w:rPr>
                <w:b/>
              </w:rPr>
              <w:t>7.2</w:t>
            </w:r>
            <w:r w:rsidRPr="00B1784E">
              <w:rPr>
                <w:b/>
              </w:rPr>
              <w:t>.</w:t>
            </w:r>
            <w:r>
              <w:rPr>
                <w:b/>
              </w:rPr>
              <w:t xml:space="preserve">1 Náklady </w:t>
            </w:r>
          </w:p>
        </w:tc>
      </w:tr>
      <w:tr w:rsidR="00AE165B" w:rsidRPr="005C4B9C" w:rsidTr="003310B7">
        <w:trPr>
          <w:trHeight w:val="226"/>
        </w:trPr>
        <w:tc>
          <w:tcPr>
            <w:tcW w:w="9371" w:type="dxa"/>
          </w:tcPr>
          <w:p w:rsidR="00AE165B" w:rsidRDefault="00AE165B" w:rsidP="003310B7">
            <w:pPr>
              <w:rPr>
                <w:b/>
              </w:rPr>
            </w:pPr>
            <w:r>
              <w:rPr>
                <w:i/>
              </w:rPr>
              <w:t xml:space="preserve">Zníženie priamych finančných nákladov </w:t>
            </w:r>
          </w:p>
        </w:tc>
      </w:tr>
      <w:tr w:rsidR="00AE165B" w:rsidRPr="005C4B9C" w:rsidTr="003310B7">
        <w:trPr>
          <w:trHeight w:val="599"/>
        </w:trPr>
        <w:tc>
          <w:tcPr>
            <w:tcW w:w="9371" w:type="dxa"/>
          </w:tcPr>
          <w:p w:rsidR="00AE165B" w:rsidRDefault="00AE165B" w:rsidP="003310B7">
            <w:pPr>
              <w:rPr>
                <w:i/>
              </w:rPr>
            </w:pPr>
            <w:r>
              <w:rPr>
                <w:i/>
              </w:rPr>
              <w:t>Bez vplyvu</w:t>
            </w:r>
          </w:p>
        </w:tc>
      </w:tr>
      <w:tr w:rsidR="00AE165B" w:rsidRPr="005C4B9C" w:rsidTr="003310B7">
        <w:trPr>
          <w:trHeight w:val="294"/>
        </w:trPr>
        <w:tc>
          <w:tcPr>
            <w:tcW w:w="9371" w:type="dxa"/>
          </w:tcPr>
          <w:p w:rsidR="00AE165B" w:rsidRPr="00E43AA2" w:rsidRDefault="00AE165B" w:rsidP="003310B7">
            <w:pPr>
              <w:rPr>
                <w:i/>
              </w:rPr>
            </w:pPr>
            <w:r w:rsidRPr="00E43AA2">
              <w:rPr>
                <w:i/>
              </w:rPr>
              <w:t xml:space="preserve">Zvýšenie </w:t>
            </w:r>
            <w:r>
              <w:rPr>
                <w:i/>
              </w:rPr>
              <w:t>priamych finančných nákladov</w:t>
            </w:r>
          </w:p>
        </w:tc>
      </w:tr>
      <w:tr w:rsidR="00AE165B" w:rsidRPr="005C4B9C" w:rsidTr="003310B7">
        <w:trPr>
          <w:trHeight w:val="572"/>
        </w:trPr>
        <w:tc>
          <w:tcPr>
            <w:tcW w:w="9371" w:type="dxa"/>
          </w:tcPr>
          <w:p w:rsidR="00AE165B" w:rsidRPr="00E43AA2" w:rsidRDefault="00AE165B" w:rsidP="003310B7">
            <w:pPr>
              <w:rPr>
                <w:i/>
              </w:rPr>
            </w:pPr>
            <w:r>
              <w:rPr>
                <w:i/>
              </w:rPr>
              <w:t>Bez vplyvu</w:t>
            </w:r>
          </w:p>
        </w:tc>
      </w:tr>
      <w:tr w:rsidR="00AE165B" w:rsidRPr="005C4B9C" w:rsidTr="003310B7">
        <w:trPr>
          <w:trHeight w:val="214"/>
        </w:trPr>
        <w:tc>
          <w:tcPr>
            <w:tcW w:w="9371" w:type="dxa"/>
          </w:tcPr>
          <w:p w:rsidR="00AE165B" w:rsidRPr="00E43AA2" w:rsidRDefault="00AE165B" w:rsidP="003310B7">
            <w:pPr>
              <w:rPr>
                <w:i/>
              </w:rPr>
            </w:pPr>
            <w:r>
              <w:rPr>
                <w:i/>
              </w:rPr>
              <w:t>Zníženie nepriamych finančných nákladov</w:t>
            </w:r>
          </w:p>
        </w:tc>
      </w:tr>
      <w:tr w:rsidR="00AE165B" w:rsidRPr="005C4B9C" w:rsidTr="003310B7">
        <w:trPr>
          <w:trHeight w:val="707"/>
        </w:trPr>
        <w:tc>
          <w:tcPr>
            <w:tcW w:w="9371" w:type="dxa"/>
          </w:tcPr>
          <w:p w:rsidR="00AE165B" w:rsidRPr="00053944" w:rsidRDefault="00AE165B" w:rsidP="003310B7">
            <w:pPr>
              <w:rPr>
                <w:b/>
                <w:i/>
                <w:sz w:val="22"/>
                <w:szCs w:val="22"/>
              </w:rPr>
            </w:pPr>
            <w:r w:rsidRPr="00053944">
              <w:rPr>
                <w:b/>
                <w:i/>
                <w:sz w:val="22"/>
                <w:szCs w:val="22"/>
              </w:rPr>
              <w:lastRenderedPageBreak/>
              <w:t>Navrhovanou právnou úpravou sa znižujú náklady spojené s dopravou k miestu poskytovania služby.</w:t>
            </w:r>
          </w:p>
        </w:tc>
      </w:tr>
      <w:tr w:rsidR="00AE165B" w:rsidRPr="005C4B9C" w:rsidTr="003310B7">
        <w:trPr>
          <w:trHeight w:val="388"/>
        </w:trPr>
        <w:tc>
          <w:tcPr>
            <w:tcW w:w="9371" w:type="dxa"/>
          </w:tcPr>
          <w:p w:rsidR="00AE165B" w:rsidRPr="00E43AA2" w:rsidRDefault="00AE165B" w:rsidP="003310B7">
            <w:pPr>
              <w:rPr>
                <w:i/>
              </w:rPr>
            </w:pPr>
            <w:r w:rsidRPr="00E43AA2">
              <w:rPr>
                <w:i/>
              </w:rPr>
              <w:t xml:space="preserve">Zvýšenie </w:t>
            </w:r>
            <w:r>
              <w:rPr>
                <w:i/>
              </w:rPr>
              <w:t>nepriamych finančných nákladov</w:t>
            </w:r>
          </w:p>
        </w:tc>
      </w:tr>
      <w:tr w:rsidR="00AE165B" w:rsidRPr="005C4B9C" w:rsidTr="003310B7">
        <w:trPr>
          <w:trHeight w:val="800"/>
        </w:trPr>
        <w:tc>
          <w:tcPr>
            <w:tcW w:w="9371" w:type="dxa"/>
          </w:tcPr>
          <w:p w:rsidR="00AE165B" w:rsidRPr="00E43AA2" w:rsidRDefault="00AE165B" w:rsidP="003310B7">
            <w:pPr>
              <w:rPr>
                <w:i/>
              </w:rPr>
            </w:pPr>
            <w:r>
              <w:rPr>
                <w:i/>
              </w:rPr>
              <w:t>Bez vplyvu</w:t>
            </w:r>
          </w:p>
        </w:tc>
      </w:tr>
      <w:tr w:rsidR="00AE165B" w:rsidRPr="005C4B9C" w:rsidTr="003310B7">
        <w:trPr>
          <w:trHeight w:val="388"/>
        </w:trPr>
        <w:tc>
          <w:tcPr>
            <w:tcW w:w="9371" w:type="dxa"/>
          </w:tcPr>
          <w:p w:rsidR="00AE165B" w:rsidRPr="00B1031A" w:rsidRDefault="00AE165B" w:rsidP="003310B7">
            <w:pPr>
              <w:rPr>
                <w:i/>
                <w:iCs/>
              </w:rPr>
            </w:pPr>
            <w:r>
              <w:rPr>
                <w:b/>
              </w:rPr>
              <w:t xml:space="preserve">7.2.2 </w:t>
            </w:r>
            <w:r w:rsidRPr="00B1784E">
              <w:rPr>
                <w:b/>
              </w:rPr>
              <w:t xml:space="preserve">Časový </w:t>
            </w:r>
            <w:r>
              <w:rPr>
                <w:b/>
              </w:rPr>
              <w:t>vplyv</w:t>
            </w:r>
            <w:r w:rsidRPr="00B1784E">
              <w:rPr>
                <w:b/>
              </w:rPr>
              <w:t xml:space="preserve"> </w:t>
            </w:r>
          </w:p>
        </w:tc>
      </w:tr>
      <w:tr w:rsidR="00AE165B" w:rsidRPr="005C4B9C" w:rsidTr="003310B7">
        <w:trPr>
          <w:trHeight w:val="20"/>
        </w:trPr>
        <w:tc>
          <w:tcPr>
            <w:tcW w:w="9371" w:type="dxa"/>
          </w:tcPr>
          <w:p w:rsidR="00AE165B" w:rsidRPr="00B007AE" w:rsidRDefault="00AE165B" w:rsidP="003310B7">
            <w:pPr>
              <w:rPr>
                <w:b/>
              </w:rPr>
            </w:pPr>
            <w:r w:rsidRPr="00B007AE">
              <w:rPr>
                <w:i/>
              </w:rPr>
              <w:t>Zvýšenie času vybavenia požiadavky (popíšte)</w:t>
            </w:r>
          </w:p>
        </w:tc>
      </w:tr>
      <w:tr w:rsidR="00AE165B" w:rsidRPr="005C4B9C" w:rsidTr="003310B7">
        <w:trPr>
          <w:trHeight w:val="703"/>
        </w:trPr>
        <w:tc>
          <w:tcPr>
            <w:tcW w:w="9371" w:type="dxa"/>
          </w:tcPr>
          <w:p w:rsidR="00AE165B" w:rsidRPr="003C3251" w:rsidRDefault="00AE165B" w:rsidP="003310B7">
            <w:pPr>
              <w:rPr>
                <w:b/>
              </w:rPr>
            </w:pPr>
            <w:r w:rsidRPr="00C61A34">
              <w:rPr>
                <w:i/>
              </w:rPr>
              <w:t>Bez vplyvu</w:t>
            </w:r>
          </w:p>
        </w:tc>
      </w:tr>
      <w:tr w:rsidR="00AE165B" w:rsidRPr="005C4B9C" w:rsidTr="003310B7">
        <w:trPr>
          <w:trHeight w:val="20"/>
        </w:trPr>
        <w:tc>
          <w:tcPr>
            <w:tcW w:w="9371" w:type="dxa"/>
          </w:tcPr>
          <w:p w:rsidR="00AE165B" w:rsidRPr="00B007AE" w:rsidRDefault="00AE165B" w:rsidP="003310B7">
            <w:pPr>
              <w:rPr>
                <w:b/>
              </w:rPr>
            </w:pPr>
            <w:r w:rsidRPr="00B007AE">
              <w:rPr>
                <w:i/>
              </w:rPr>
              <w:t>Zníženie času  vybavenia požiadavky (popíšte)</w:t>
            </w:r>
          </w:p>
        </w:tc>
      </w:tr>
      <w:tr w:rsidR="00AE165B" w:rsidRPr="005C4B9C" w:rsidTr="003310B7">
        <w:trPr>
          <w:trHeight w:val="729"/>
        </w:trPr>
        <w:tc>
          <w:tcPr>
            <w:tcW w:w="9371" w:type="dxa"/>
          </w:tcPr>
          <w:p w:rsidR="00AE165B" w:rsidRPr="00053944" w:rsidRDefault="00AE165B" w:rsidP="003310B7">
            <w:pPr>
              <w:rPr>
                <w:b/>
              </w:rPr>
            </w:pPr>
            <w:r w:rsidRPr="00053944">
              <w:rPr>
                <w:b/>
                <w:i/>
                <w:sz w:val="22"/>
                <w:szCs w:val="22"/>
              </w:rPr>
              <w:t>Podania žiadosti o dávku v nezamestnanosti na miestne príslušnom úrade práce, bude mať pozitívny vplyv na zníženie času potrebného na vybavenie žiadosti o dávku v nezamestnanosti, nakoľko v súvislosti so svojim nárokom na dávku v nezamestnanosti nebude musieť občan navštíviť pobočku Sociálnej poisťovne. Rovnako pozitívny časový vplyv  na občana bude mať aj zmena, podľa ktorej sa nebude musieť osobne zúčastniť lekárskej posudkovej činnosti, ak tak určí posudkový lekár a o svoju osobnú účasť poistenec nepožiada.</w:t>
            </w:r>
          </w:p>
        </w:tc>
      </w:tr>
      <w:tr w:rsidR="00AE165B" w:rsidRPr="005C4B9C" w:rsidTr="003310B7">
        <w:trPr>
          <w:trHeight w:val="424"/>
        </w:trPr>
        <w:tc>
          <w:tcPr>
            <w:tcW w:w="9371" w:type="dxa"/>
          </w:tcPr>
          <w:p w:rsidR="00AE165B" w:rsidRDefault="00AE165B" w:rsidP="003310B7">
            <w:pPr>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AE165B" w:rsidRPr="005C4B9C" w:rsidRDefault="00AE165B" w:rsidP="003310B7">
            <w:pPr>
              <w:rPr>
                <w:i/>
                <w:iCs/>
              </w:rPr>
            </w:pPr>
            <w:r>
              <w:rPr>
                <w:i/>
                <w:iCs/>
              </w:rPr>
              <w:t>Špecifikujte skupinu občanov, ktorá bude návrhom ovplyvnená (napr. držitelia vodičských oprávnení). Aká je  veľkosť tejto skupiny?</w:t>
            </w:r>
          </w:p>
        </w:tc>
      </w:tr>
      <w:tr w:rsidR="00AE165B" w:rsidRPr="005C4B9C" w:rsidTr="003310B7">
        <w:trPr>
          <w:trHeight w:val="734"/>
        </w:trPr>
        <w:tc>
          <w:tcPr>
            <w:tcW w:w="9371" w:type="dxa"/>
          </w:tcPr>
          <w:p w:rsidR="00AE165B" w:rsidRPr="00053944" w:rsidRDefault="00AE165B" w:rsidP="003310B7">
            <w:pPr>
              <w:rPr>
                <w:b/>
                <w:i/>
                <w:iCs/>
              </w:rPr>
            </w:pPr>
            <w:r w:rsidRPr="00053944">
              <w:rPr>
                <w:b/>
                <w:i/>
                <w:sz w:val="22"/>
                <w:szCs w:val="22"/>
              </w:rPr>
              <w:t>Žiadatelia o dávku v nezamestnanosti a niektoré o</w:t>
            </w:r>
            <w:r>
              <w:rPr>
                <w:b/>
                <w:i/>
                <w:sz w:val="22"/>
                <w:szCs w:val="22"/>
              </w:rPr>
              <w:t>soby s dlhodobo nepriaznivým zdravotným stavom</w:t>
            </w:r>
            <w:r w:rsidRPr="00053944">
              <w:rPr>
                <w:b/>
                <w:i/>
                <w:sz w:val="22"/>
                <w:szCs w:val="22"/>
              </w:rPr>
              <w:t>, ktoré sa musia zúčastňovať lekárskej posudkovej činnosti.</w:t>
            </w:r>
          </w:p>
        </w:tc>
      </w:tr>
      <w:tr w:rsidR="00AE165B" w:rsidRPr="005C4B9C" w:rsidTr="003310B7">
        <w:trPr>
          <w:trHeight w:val="20"/>
        </w:trPr>
        <w:tc>
          <w:tcPr>
            <w:tcW w:w="9371" w:type="dxa"/>
          </w:tcPr>
          <w:p w:rsidR="00AE165B" w:rsidRPr="005C4B9C" w:rsidRDefault="00AE165B" w:rsidP="003310B7">
            <w:pPr>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AE165B" w:rsidRPr="005C4B9C" w:rsidTr="003310B7">
        <w:trPr>
          <w:trHeight w:val="20"/>
        </w:trPr>
        <w:tc>
          <w:tcPr>
            <w:tcW w:w="9371" w:type="dxa"/>
          </w:tcPr>
          <w:p w:rsidR="00AE165B" w:rsidRPr="00B007AE" w:rsidRDefault="00AE165B" w:rsidP="003310B7">
            <w:pPr>
              <w:rPr>
                <w:i/>
                <w:iCs/>
              </w:rPr>
            </w:pPr>
            <w:r w:rsidRPr="00B007AE">
              <w:rPr>
                <w:i/>
                <w:iCs/>
              </w:rPr>
              <w:t xml:space="preserve">Nové povinnosti (identifikujte) </w:t>
            </w:r>
          </w:p>
        </w:tc>
      </w:tr>
      <w:tr w:rsidR="00AE165B" w:rsidRPr="005C4B9C" w:rsidTr="003310B7">
        <w:trPr>
          <w:trHeight w:val="726"/>
        </w:trPr>
        <w:tc>
          <w:tcPr>
            <w:tcW w:w="9371" w:type="dxa"/>
          </w:tcPr>
          <w:p w:rsidR="00AE165B" w:rsidRPr="005C4B9C" w:rsidRDefault="00AE165B" w:rsidP="003310B7">
            <w:pPr>
              <w:rPr>
                <w:i/>
                <w:iCs/>
              </w:rPr>
            </w:pPr>
            <w:r>
              <w:rPr>
                <w:i/>
                <w:iCs/>
              </w:rPr>
              <w:t>Bez vplyvu</w:t>
            </w:r>
          </w:p>
        </w:tc>
      </w:tr>
      <w:tr w:rsidR="00AE165B" w:rsidRPr="005C4B9C" w:rsidTr="003310B7">
        <w:trPr>
          <w:trHeight w:val="20"/>
        </w:trPr>
        <w:tc>
          <w:tcPr>
            <w:tcW w:w="9371" w:type="dxa"/>
          </w:tcPr>
          <w:p w:rsidR="00AE165B" w:rsidRPr="00B007AE" w:rsidRDefault="00AE165B" w:rsidP="003310B7">
            <w:pPr>
              <w:rPr>
                <w:i/>
                <w:iCs/>
              </w:rPr>
            </w:pPr>
            <w:r w:rsidRPr="00B007AE">
              <w:rPr>
                <w:i/>
                <w:iCs/>
              </w:rPr>
              <w:t>Zanikajúce povinnosti (identifikujte)</w:t>
            </w:r>
          </w:p>
        </w:tc>
      </w:tr>
      <w:tr w:rsidR="00AE165B" w:rsidRPr="005C4B9C" w:rsidTr="003310B7">
        <w:trPr>
          <w:trHeight w:val="609"/>
        </w:trPr>
        <w:tc>
          <w:tcPr>
            <w:tcW w:w="9371" w:type="dxa"/>
          </w:tcPr>
          <w:p w:rsidR="00AE165B" w:rsidRDefault="00AE165B" w:rsidP="003310B7">
            <w:pPr>
              <w:rPr>
                <w:i/>
                <w:iCs/>
              </w:rPr>
            </w:pPr>
            <w:r w:rsidRPr="00053944">
              <w:rPr>
                <w:b/>
                <w:i/>
                <w:sz w:val="22"/>
                <w:szCs w:val="22"/>
              </w:rPr>
              <w:t>Možnosť podania žiadosti o dávku v nezamestnanosti na miestne príslušnom úrade práce, má pozitívny vplyv na občana, nakoľko v súvislosti so svojim nárokom na dávku v nezamestnanosti nebude musieť navštíviť pobočku Sociálnej poisťovne. Rovnako pozitívny vplyv na občana bude mať zmena, podľa ktorej sa nebude musieť osobne zúčastniť lekárskej posudkovej činnosti, ak tak určí posudkový lekár a o svoju osobnú účasť poistenec nepožiada.</w:t>
            </w:r>
          </w:p>
          <w:p w:rsidR="00AE165B" w:rsidRPr="00B1784E" w:rsidRDefault="00AE165B" w:rsidP="003310B7">
            <w:pPr>
              <w:rPr>
                <w:i/>
                <w:iCs/>
              </w:rPr>
            </w:pPr>
          </w:p>
        </w:tc>
      </w:tr>
      <w:tr w:rsidR="00AE165B" w:rsidRPr="005C4B9C" w:rsidTr="003310B7">
        <w:trPr>
          <w:trHeight w:val="20"/>
        </w:trPr>
        <w:tc>
          <w:tcPr>
            <w:tcW w:w="9371" w:type="dxa"/>
            <w:shd w:val="clear" w:color="auto" w:fill="BFBFBF"/>
            <w:vAlign w:val="center"/>
          </w:tcPr>
          <w:p w:rsidR="00AE165B" w:rsidRPr="00B1784E" w:rsidRDefault="00AE165B" w:rsidP="003310B7">
            <w:pPr>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AE165B" w:rsidRPr="005C4B9C" w:rsidTr="003310B7">
        <w:trPr>
          <w:trHeight w:val="390"/>
        </w:trPr>
        <w:tc>
          <w:tcPr>
            <w:tcW w:w="9371" w:type="dxa"/>
          </w:tcPr>
          <w:p w:rsidR="00AE165B" w:rsidRDefault="00AE165B" w:rsidP="003310B7">
            <w:pPr>
              <w:rPr>
                <w:b/>
              </w:rPr>
            </w:pPr>
            <w:r>
              <w:rPr>
                <w:b/>
              </w:rPr>
              <w:t>7.3.1</w:t>
            </w:r>
            <w:r w:rsidRPr="00B1784E">
              <w:rPr>
                <w:b/>
              </w:rPr>
              <w:t xml:space="preserve"> Ktoré sú dotknuté subjekty </w:t>
            </w:r>
            <w:r>
              <w:rPr>
                <w:b/>
              </w:rPr>
              <w:t>verejnej správy</w:t>
            </w:r>
            <w:r w:rsidRPr="00B1784E">
              <w:rPr>
                <w:b/>
              </w:rPr>
              <w:t xml:space="preserve">? </w:t>
            </w:r>
          </w:p>
          <w:p w:rsidR="00AE165B" w:rsidRPr="00435B44" w:rsidRDefault="00AE165B" w:rsidP="003310B7">
            <w:pPr>
              <w:rPr>
                <w:i/>
                <w:iCs/>
              </w:rPr>
            </w:pPr>
            <w:r>
              <w:rPr>
                <w:i/>
              </w:rPr>
              <w:t xml:space="preserve">Ktoré subjekty verejnej správy sú účastné procesu poskytnutia služby? </w:t>
            </w:r>
          </w:p>
        </w:tc>
      </w:tr>
      <w:tr w:rsidR="00AE165B" w:rsidRPr="005C4B9C" w:rsidTr="003310B7">
        <w:trPr>
          <w:trHeight w:val="733"/>
        </w:trPr>
        <w:tc>
          <w:tcPr>
            <w:tcW w:w="9371" w:type="dxa"/>
          </w:tcPr>
          <w:p w:rsidR="00AE165B" w:rsidRDefault="00AE165B" w:rsidP="003310B7">
            <w:pPr>
              <w:rPr>
                <w:b/>
                <w:i/>
                <w:sz w:val="22"/>
                <w:szCs w:val="22"/>
              </w:rPr>
            </w:pPr>
            <w:r w:rsidRPr="00AE0A98">
              <w:rPr>
                <w:b/>
                <w:i/>
                <w:sz w:val="22"/>
                <w:szCs w:val="22"/>
              </w:rPr>
              <w:t>Úrady práce, sociálnych vecí a</w:t>
            </w:r>
            <w:r>
              <w:rPr>
                <w:b/>
                <w:i/>
                <w:sz w:val="22"/>
                <w:szCs w:val="22"/>
              </w:rPr>
              <w:t> </w:t>
            </w:r>
            <w:r w:rsidRPr="00AE0A98">
              <w:rPr>
                <w:b/>
                <w:i/>
                <w:sz w:val="22"/>
                <w:szCs w:val="22"/>
              </w:rPr>
              <w:t>rodiny</w:t>
            </w:r>
          </w:p>
          <w:p w:rsidR="00AE165B" w:rsidRPr="00053944" w:rsidRDefault="00AE165B" w:rsidP="003310B7">
            <w:pPr>
              <w:rPr>
                <w:b/>
              </w:rPr>
            </w:pPr>
            <w:r>
              <w:rPr>
                <w:b/>
                <w:i/>
                <w:sz w:val="22"/>
                <w:szCs w:val="22"/>
              </w:rPr>
              <w:t>Sociálna poisťovňa</w:t>
            </w:r>
          </w:p>
        </w:tc>
      </w:tr>
      <w:tr w:rsidR="00AE165B" w:rsidRPr="005C4B9C" w:rsidTr="003310B7">
        <w:trPr>
          <w:trHeight w:val="20"/>
        </w:trPr>
        <w:tc>
          <w:tcPr>
            <w:tcW w:w="9371" w:type="dxa"/>
          </w:tcPr>
          <w:p w:rsidR="00AE165B" w:rsidRPr="005C4B9C" w:rsidRDefault="00AE165B" w:rsidP="003310B7">
            <w:pPr>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AE165B" w:rsidRPr="005C4B9C" w:rsidTr="003310B7">
        <w:trPr>
          <w:trHeight w:val="20"/>
        </w:trPr>
        <w:tc>
          <w:tcPr>
            <w:tcW w:w="9371" w:type="dxa"/>
          </w:tcPr>
          <w:p w:rsidR="00AE165B" w:rsidRPr="00B007AE" w:rsidRDefault="00AE165B" w:rsidP="003310B7">
            <w:pPr>
              <w:rPr>
                <w:i/>
                <w:iCs/>
              </w:rPr>
            </w:pPr>
            <w:r w:rsidRPr="00B007AE">
              <w:rPr>
                <w:i/>
                <w:iCs/>
              </w:rPr>
              <w:t>Nové povinnosti (identifikujte)</w:t>
            </w:r>
          </w:p>
        </w:tc>
      </w:tr>
      <w:tr w:rsidR="00AE165B" w:rsidRPr="005C4B9C" w:rsidTr="003310B7">
        <w:trPr>
          <w:trHeight w:val="674"/>
        </w:trPr>
        <w:tc>
          <w:tcPr>
            <w:tcW w:w="9371" w:type="dxa"/>
          </w:tcPr>
          <w:p w:rsidR="00AE165B" w:rsidRPr="00053944" w:rsidRDefault="00AE165B" w:rsidP="003310B7">
            <w:pPr>
              <w:rPr>
                <w:b/>
                <w:i/>
                <w:iCs/>
              </w:rPr>
            </w:pPr>
            <w:r w:rsidRPr="00053944">
              <w:rPr>
                <w:b/>
                <w:i/>
                <w:sz w:val="22"/>
                <w:szCs w:val="22"/>
              </w:rPr>
              <w:lastRenderedPageBreak/>
              <w:t xml:space="preserve">Miestne príslušným úradom práce, sociálnych vecí a rodiny vzniká oznamovacia povinnosť </w:t>
            </w:r>
            <w:r>
              <w:rPr>
                <w:b/>
                <w:i/>
                <w:sz w:val="22"/>
                <w:szCs w:val="22"/>
              </w:rPr>
              <w:t>zaslať</w:t>
            </w:r>
            <w:r w:rsidRPr="00053944">
              <w:rPr>
                <w:b/>
                <w:i/>
                <w:sz w:val="22"/>
                <w:szCs w:val="22"/>
              </w:rPr>
              <w:t xml:space="preserve"> Sociálnej</w:t>
            </w:r>
            <w:r>
              <w:rPr>
                <w:b/>
                <w:i/>
                <w:sz w:val="22"/>
                <w:szCs w:val="22"/>
              </w:rPr>
              <w:t xml:space="preserve"> poisťovni žiadosť o začatie konania o priznanie dávky</w:t>
            </w:r>
            <w:r w:rsidRPr="00053944">
              <w:rPr>
                <w:b/>
                <w:i/>
                <w:sz w:val="22"/>
                <w:szCs w:val="22"/>
              </w:rPr>
              <w:t xml:space="preserve"> v nezamestnanosti.</w:t>
            </w:r>
          </w:p>
        </w:tc>
      </w:tr>
      <w:tr w:rsidR="00AE165B" w:rsidRPr="005C4B9C" w:rsidTr="003310B7">
        <w:trPr>
          <w:trHeight w:val="20"/>
        </w:trPr>
        <w:tc>
          <w:tcPr>
            <w:tcW w:w="9371" w:type="dxa"/>
          </w:tcPr>
          <w:p w:rsidR="00AE165B" w:rsidRPr="00B007AE" w:rsidRDefault="00AE165B" w:rsidP="003310B7">
            <w:pPr>
              <w:rPr>
                <w:i/>
                <w:iCs/>
              </w:rPr>
            </w:pPr>
            <w:r w:rsidRPr="00B007AE">
              <w:rPr>
                <w:i/>
                <w:iCs/>
              </w:rPr>
              <w:t>Zanikajúce povinnosti (identifikujte)</w:t>
            </w:r>
          </w:p>
        </w:tc>
      </w:tr>
      <w:tr w:rsidR="00AE165B" w:rsidRPr="005C4B9C" w:rsidTr="003310B7">
        <w:trPr>
          <w:trHeight w:val="859"/>
        </w:trPr>
        <w:tc>
          <w:tcPr>
            <w:tcW w:w="9371" w:type="dxa"/>
          </w:tcPr>
          <w:p w:rsidR="00AE165B" w:rsidRPr="00B1784E" w:rsidRDefault="00AE165B" w:rsidP="003310B7">
            <w:pPr>
              <w:rPr>
                <w:i/>
                <w:iCs/>
              </w:rPr>
            </w:pPr>
          </w:p>
        </w:tc>
      </w:tr>
    </w:tbl>
    <w:p w:rsidR="00AE165B" w:rsidRDefault="00AE165B" w:rsidP="006549B8">
      <w:pPr>
        <w:autoSpaceDE w:val="0"/>
        <w:autoSpaceDN w:val="0"/>
        <w:jc w:val="center"/>
        <w:rPr>
          <w:rFonts w:eastAsia="Calibri"/>
          <w:b/>
          <w:bCs/>
          <w:color w:val="000000"/>
          <w:sz w:val="36"/>
          <w:szCs w:val="28"/>
          <w:lang w:eastAsia="en-US"/>
        </w:rPr>
      </w:pPr>
    </w:p>
    <w:sectPr w:rsidR="00AE165B" w:rsidSect="00C6317C">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9BD" w:rsidRDefault="003F59BD">
      <w:r>
        <w:separator/>
      </w:r>
    </w:p>
  </w:endnote>
  <w:endnote w:type="continuationSeparator" w:id="0">
    <w:p w:rsidR="003F59BD" w:rsidRDefault="003F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altName w:val="Palatino"/>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60" w:rsidRPr="0085776A" w:rsidRDefault="00303660">
    <w:pPr>
      <w:pStyle w:val="Pta"/>
      <w:jc w:val="center"/>
      <w:rPr>
        <w:sz w:val="22"/>
        <w:szCs w:val="22"/>
      </w:rPr>
    </w:pPr>
  </w:p>
  <w:p w:rsidR="00303660" w:rsidRPr="001D6749" w:rsidRDefault="00303660">
    <w:pPr>
      <w:pStyle w:val="Pt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60" w:rsidRPr="001D6749" w:rsidRDefault="00303660">
    <w:pPr>
      <w:pStyle w:val="Pta"/>
      <w:jc w:val="right"/>
    </w:pPr>
    <w:r w:rsidRPr="001D6749">
      <w:fldChar w:fldCharType="begin"/>
    </w:r>
    <w:r w:rsidRPr="001D6749">
      <w:instrText>PAGE   \* MERGEFORMAT</w:instrText>
    </w:r>
    <w:r w:rsidRPr="001D6749">
      <w:fldChar w:fldCharType="separate"/>
    </w:r>
    <w:r w:rsidR="009040FD">
      <w:rPr>
        <w:noProof/>
      </w:rPr>
      <w:t>16</w:t>
    </w:r>
    <w:r w:rsidRPr="001D674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60" w:rsidRDefault="00303660" w:rsidP="00E130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03660" w:rsidRDefault="00303660" w:rsidP="00714570">
    <w:pPr>
      <w:pStyle w:val="Pt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60" w:rsidRDefault="00303660" w:rsidP="00714570">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9BD" w:rsidRDefault="003F59BD">
      <w:r>
        <w:separator/>
      </w:r>
    </w:p>
  </w:footnote>
  <w:footnote w:type="continuationSeparator" w:id="0">
    <w:p w:rsidR="003F59BD" w:rsidRDefault="003F5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60" w:rsidRPr="00CD4982" w:rsidRDefault="00303660" w:rsidP="003310B7">
    <w:pPr>
      <w:tabs>
        <w:tab w:val="center" w:pos="4536"/>
        <w:tab w:val="right" w:pos="9072"/>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60" w:rsidRPr="00CD4982" w:rsidRDefault="00303660" w:rsidP="003310B7">
    <w:pPr>
      <w:tabs>
        <w:tab w:val="center" w:pos="4536"/>
        <w:tab w:val="right"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AA9"/>
    <w:multiLevelType w:val="hybridMultilevel"/>
    <w:tmpl w:val="BCF0F850"/>
    <w:lvl w:ilvl="0" w:tplc="A3C67340">
      <w:start w:val="5"/>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nsid w:val="0E8230F0"/>
    <w:multiLevelType w:val="multilevel"/>
    <w:tmpl w:val="4BD47384"/>
    <w:lvl w:ilvl="0">
      <w:start w:val="4"/>
      <w:numFmt w:val="decimal"/>
      <w:lvlText w:val="%1."/>
      <w:lvlJc w:val="left"/>
      <w:pPr>
        <w:ind w:left="425" w:hanging="425"/>
      </w:pPr>
      <w:rPr>
        <w:rFonts w:cs="Times New Roman" w:hint="default"/>
        <w:b/>
        <w:bCs/>
      </w:rPr>
    </w:lvl>
    <w:lvl w:ilvl="1">
      <w:start w:val="1"/>
      <w:numFmt w:val="lowerLetter"/>
      <w:lvlText w:val="%2)"/>
      <w:lvlJc w:val="left"/>
      <w:pPr>
        <w:ind w:left="850" w:hanging="425"/>
      </w:pPr>
      <w:rPr>
        <w:rFonts w:cs="Times New Roman" w:hint="default"/>
      </w:rPr>
    </w:lvl>
    <w:lvl w:ilvl="2">
      <w:start w:val="1"/>
      <w:numFmt w:val="decimal"/>
      <w:lvlText w:val="%3.)"/>
      <w:lvlJc w:val="left"/>
      <w:pPr>
        <w:ind w:left="1275" w:hanging="425"/>
      </w:pPr>
      <w:rPr>
        <w:rFonts w:cs="Times New Roman" w:hint="default"/>
      </w:rPr>
    </w:lvl>
    <w:lvl w:ilvl="3">
      <w:start w:val="1"/>
      <w:numFmt w:val="lowerLetter"/>
      <w:lvlText w:val="%4)"/>
      <w:lvlJc w:val="left"/>
      <w:pPr>
        <w:ind w:left="1983" w:hanging="708"/>
      </w:pPr>
      <w:rPr>
        <w:rFonts w:cs="Times New Roman" w:hint="default"/>
      </w:rPr>
    </w:lvl>
    <w:lvl w:ilvl="4">
      <w:start w:val="1"/>
      <w:numFmt w:val="decimal"/>
      <w:lvlText w:val="(%5)"/>
      <w:lvlJc w:val="left"/>
      <w:pPr>
        <w:ind w:left="2691" w:hanging="708"/>
      </w:pPr>
      <w:rPr>
        <w:rFonts w:cs="Times New Roman" w:hint="default"/>
      </w:rPr>
    </w:lvl>
    <w:lvl w:ilvl="5">
      <w:start w:val="1"/>
      <w:numFmt w:val="lowerLetter"/>
      <w:lvlText w:val="(%6)"/>
      <w:lvlJc w:val="left"/>
      <w:pPr>
        <w:ind w:left="3399" w:hanging="708"/>
      </w:pPr>
      <w:rPr>
        <w:rFonts w:cs="Times New Roman" w:hint="default"/>
      </w:rPr>
    </w:lvl>
    <w:lvl w:ilvl="6">
      <w:start w:val="1"/>
      <w:numFmt w:val="lowerRoman"/>
      <w:lvlText w:val="(%7)"/>
      <w:lvlJc w:val="left"/>
      <w:pPr>
        <w:ind w:left="4107" w:hanging="708"/>
      </w:pPr>
      <w:rPr>
        <w:rFonts w:cs="Times New Roman" w:hint="default"/>
      </w:rPr>
    </w:lvl>
    <w:lvl w:ilvl="7">
      <w:start w:val="1"/>
      <w:numFmt w:val="lowerLetter"/>
      <w:lvlText w:val="(%8)"/>
      <w:lvlJc w:val="left"/>
      <w:pPr>
        <w:ind w:left="4815" w:hanging="708"/>
      </w:pPr>
      <w:rPr>
        <w:rFonts w:cs="Times New Roman" w:hint="default"/>
      </w:rPr>
    </w:lvl>
    <w:lvl w:ilvl="8">
      <w:start w:val="1"/>
      <w:numFmt w:val="lowerRoman"/>
      <w:lvlText w:val="(%9)"/>
      <w:lvlJc w:val="left"/>
      <w:pPr>
        <w:ind w:left="5523" w:hanging="708"/>
      </w:pPr>
      <w:rPr>
        <w:rFonts w:cs="Times New Roman" w:hint="default"/>
      </w:rPr>
    </w:lvl>
  </w:abstractNum>
  <w:abstractNum w:abstractNumId="3">
    <w:nsid w:val="17F25C9B"/>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8180A1C"/>
    <w:multiLevelType w:val="hybridMultilevel"/>
    <w:tmpl w:val="A496B04A"/>
    <w:lvl w:ilvl="0" w:tplc="041B0017">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9517605"/>
    <w:multiLevelType w:val="hybridMultilevel"/>
    <w:tmpl w:val="356255AE"/>
    <w:lvl w:ilvl="0" w:tplc="A1EEB890">
      <w:start w:val="1"/>
      <w:numFmt w:val="lowerLetter"/>
      <w:lvlText w:val="%1)"/>
      <w:lvlJc w:val="left"/>
      <w:pPr>
        <w:tabs>
          <w:tab w:val="num" w:pos="420"/>
        </w:tabs>
        <w:ind w:left="4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20BD3327"/>
    <w:multiLevelType w:val="hybridMultilevel"/>
    <w:tmpl w:val="B7BE710C"/>
    <w:lvl w:ilvl="0" w:tplc="BCCEA70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nsid w:val="20FC1164"/>
    <w:multiLevelType w:val="hybridMultilevel"/>
    <w:tmpl w:val="9B5A5C66"/>
    <w:lvl w:ilvl="0" w:tplc="3A4A7CC8">
      <w:start w:val="1"/>
      <w:numFmt w:val="lowerLetter"/>
      <w:lvlText w:val="%1)"/>
      <w:lvlJc w:val="left"/>
      <w:pPr>
        <w:ind w:left="1065" w:hanging="705"/>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1114DE3"/>
    <w:multiLevelType w:val="hybridMultilevel"/>
    <w:tmpl w:val="818C58F8"/>
    <w:lvl w:ilvl="0" w:tplc="B76897D0">
      <w:start w:val="3"/>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234C611D"/>
    <w:multiLevelType w:val="hybridMultilevel"/>
    <w:tmpl w:val="ABC65E1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24BA33A9"/>
    <w:multiLevelType w:val="hybridMultilevel"/>
    <w:tmpl w:val="DA300C7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4F4578E"/>
    <w:multiLevelType w:val="hybridMultilevel"/>
    <w:tmpl w:val="BA7E25DA"/>
    <w:lvl w:ilvl="0" w:tplc="6AE2DC16">
      <w:start w:val="1"/>
      <w:numFmt w:val="decimal"/>
      <w:lvlText w:val="%1."/>
      <w:lvlJc w:val="left"/>
      <w:pPr>
        <w:tabs>
          <w:tab w:val="num" w:pos="0"/>
        </w:tabs>
        <w:ind w:hanging="360"/>
      </w:pPr>
      <w:rPr>
        <w:rFonts w:cs="Times New Roman" w:hint="default"/>
        <w:b/>
      </w:rPr>
    </w:lvl>
    <w:lvl w:ilvl="1" w:tplc="041B0019" w:tentative="1">
      <w:start w:val="1"/>
      <w:numFmt w:val="lowerLetter"/>
      <w:lvlText w:val="%2."/>
      <w:lvlJc w:val="left"/>
      <w:pPr>
        <w:tabs>
          <w:tab w:val="num" w:pos="720"/>
        </w:tabs>
        <w:ind w:left="720" w:hanging="360"/>
      </w:pPr>
      <w:rPr>
        <w:rFonts w:cs="Times New Roman"/>
      </w:rPr>
    </w:lvl>
    <w:lvl w:ilvl="2" w:tplc="041B001B" w:tentative="1">
      <w:start w:val="1"/>
      <w:numFmt w:val="lowerRoman"/>
      <w:lvlText w:val="%3."/>
      <w:lvlJc w:val="right"/>
      <w:pPr>
        <w:tabs>
          <w:tab w:val="num" w:pos="1440"/>
        </w:tabs>
        <w:ind w:left="1440" w:hanging="180"/>
      </w:pPr>
      <w:rPr>
        <w:rFonts w:cs="Times New Roman"/>
      </w:rPr>
    </w:lvl>
    <w:lvl w:ilvl="3" w:tplc="041B000F" w:tentative="1">
      <w:start w:val="1"/>
      <w:numFmt w:val="decimal"/>
      <w:lvlText w:val="%4."/>
      <w:lvlJc w:val="left"/>
      <w:pPr>
        <w:tabs>
          <w:tab w:val="num" w:pos="2160"/>
        </w:tabs>
        <w:ind w:left="2160" w:hanging="360"/>
      </w:pPr>
      <w:rPr>
        <w:rFonts w:cs="Times New Roman"/>
      </w:rPr>
    </w:lvl>
    <w:lvl w:ilvl="4" w:tplc="041B0019" w:tentative="1">
      <w:start w:val="1"/>
      <w:numFmt w:val="lowerLetter"/>
      <w:lvlText w:val="%5."/>
      <w:lvlJc w:val="left"/>
      <w:pPr>
        <w:tabs>
          <w:tab w:val="num" w:pos="2880"/>
        </w:tabs>
        <w:ind w:left="2880" w:hanging="360"/>
      </w:pPr>
      <w:rPr>
        <w:rFonts w:cs="Times New Roman"/>
      </w:rPr>
    </w:lvl>
    <w:lvl w:ilvl="5" w:tplc="041B001B" w:tentative="1">
      <w:start w:val="1"/>
      <w:numFmt w:val="lowerRoman"/>
      <w:lvlText w:val="%6."/>
      <w:lvlJc w:val="right"/>
      <w:pPr>
        <w:tabs>
          <w:tab w:val="num" w:pos="3600"/>
        </w:tabs>
        <w:ind w:left="3600" w:hanging="180"/>
      </w:pPr>
      <w:rPr>
        <w:rFonts w:cs="Times New Roman"/>
      </w:rPr>
    </w:lvl>
    <w:lvl w:ilvl="6" w:tplc="041B000F" w:tentative="1">
      <w:start w:val="1"/>
      <w:numFmt w:val="decimal"/>
      <w:lvlText w:val="%7."/>
      <w:lvlJc w:val="left"/>
      <w:pPr>
        <w:tabs>
          <w:tab w:val="num" w:pos="4320"/>
        </w:tabs>
        <w:ind w:left="4320" w:hanging="360"/>
      </w:pPr>
      <w:rPr>
        <w:rFonts w:cs="Times New Roman"/>
      </w:rPr>
    </w:lvl>
    <w:lvl w:ilvl="7" w:tplc="041B0019" w:tentative="1">
      <w:start w:val="1"/>
      <w:numFmt w:val="lowerLetter"/>
      <w:lvlText w:val="%8."/>
      <w:lvlJc w:val="left"/>
      <w:pPr>
        <w:tabs>
          <w:tab w:val="num" w:pos="5040"/>
        </w:tabs>
        <w:ind w:left="5040" w:hanging="360"/>
      </w:pPr>
      <w:rPr>
        <w:rFonts w:cs="Times New Roman"/>
      </w:rPr>
    </w:lvl>
    <w:lvl w:ilvl="8" w:tplc="041B001B" w:tentative="1">
      <w:start w:val="1"/>
      <w:numFmt w:val="lowerRoman"/>
      <w:lvlText w:val="%9."/>
      <w:lvlJc w:val="right"/>
      <w:pPr>
        <w:tabs>
          <w:tab w:val="num" w:pos="5760"/>
        </w:tabs>
        <w:ind w:left="5760" w:hanging="180"/>
      </w:pPr>
      <w:rPr>
        <w:rFonts w:cs="Times New Roman"/>
      </w:rPr>
    </w:lvl>
  </w:abstractNum>
  <w:abstractNum w:abstractNumId="12">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2AF652D9"/>
    <w:multiLevelType w:val="hybridMultilevel"/>
    <w:tmpl w:val="2C0896B2"/>
    <w:lvl w:ilvl="0" w:tplc="1A882B80">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CA45916"/>
    <w:multiLevelType w:val="hybridMultilevel"/>
    <w:tmpl w:val="311C7530"/>
    <w:lvl w:ilvl="0" w:tplc="37900FA2">
      <w:start w:val="1"/>
      <w:numFmt w:val="lowerLetter"/>
      <w:lvlText w:val="%1)"/>
      <w:lvlJc w:val="left"/>
      <w:pPr>
        <w:ind w:left="360" w:hanging="360"/>
      </w:pPr>
      <w:rPr>
        <w:rFonts w:cs="Times New Roman" w:hint="default"/>
        <w:i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2DB829A6"/>
    <w:multiLevelType w:val="hybridMultilevel"/>
    <w:tmpl w:val="F562575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2F201BC7"/>
    <w:multiLevelType w:val="hybridMultilevel"/>
    <w:tmpl w:val="AB44DEDC"/>
    <w:lvl w:ilvl="0" w:tplc="79ECBE6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3440678"/>
    <w:multiLevelType w:val="hybridMultilevel"/>
    <w:tmpl w:val="1A50C50E"/>
    <w:lvl w:ilvl="0" w:tplc="E3746076">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nsid w:val="3C7F1379"/>
    <w:multiLevelType w:val="hybridMultilevel"/>
    <w:tmpl w:val="87AC6A3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CD5742E"/>
    <w:multiLevelType w:val="hybridMultilevel"/>
    <w:tmpl w:val="113223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2">
    <w:nsid w:val="4EBC3747"/>
    <w:multiLevelType w:val="hybridMultilevel"/>
    <w:tmpl w:val="915853CE"/>
    <w:lvl w:ilvl="0" w:tplc="3A4A7CC8">
      <w:start w:val="1"/>
      <w:numFmt w:val="lowerLetter"/>
      <w:lvlText w:val="%1)"/>
      <w:lvlJc w:val="left"/>
      <w:pPr>
        <w:ind w:left="1065" w:hanging="705"/>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547269E0"/>
    <w:multiLevelType w:val="hybridMultilevel"/>
    <w:tmpl w:val="5C2A36A8"/>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nsid w:val="55363F10"/>
    <w:multiLevelType w:val="hybridMultilevel"/>
    <w:tmpl w:val="F356C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88E77C9"/>
    <w:multiLevelType w:val="hybridMultilevel"/>
    <w:tmpl w:val="AB14BEFC"/>
    <w:lvl w:ilvl="0" w:tplc="041B0017">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nsid w:val="591251CF"/>
    <w:multiLevelType w:val="hybridMultilevel"/>
    <w:tmpl w:val="1074943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5A216555"/>
    <w:multiLevelType w:val="hybridMultilevel"/>
    <w:tmpl w:val="B2D4F3F4"/>
    <w:lvl w:ilvl="0" w:tplc="79ECBE6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8">
    <w:nsid w:val="5C9B77D4"/>
    <w:multiLevelType w:val="multilevel"/>
    <w:tmpl w:val="DE04D5CA"/>
    <w:lvl w:ilvl="0">
      <w:start w:val="4"/>
      <w:numFmt w:val="decimal"/>
      <w:lvlText w:val="%1."/>
      <w:lvlJc w:val="left"/>
      <w:pPr>
        <w:ind w:left="425" w:hanging="425"/>
      </w:pPr>
      <w:rPr>
        <w:rFonts w:cs="Times New Roman" w:hint="default"/>
        <w:b/>
        <w:bCs/>
      </w:rPr>
    </w:lvl>
    <w:lvl w:ilvl="1">
      <w:start w:val="1"/>
      <w:numFmt w:val="lowerLetter"/>
      <w:lvlText w:val="%2)"/>
      <w:lvlJc w:val="left"/>
      <w:pPr>
        <w:ind w:left="850" w:hanging="425"/>
      </w:pPr>
      <w:rPr>
        <w:rFonts w:cs="Times New Roman" w:hint="default"/>
      </w:rPr>
    </w:lvl>
    <w:lvl w:ilvl="2">
      <w:start w:val="1"/>
      <w:numFmt w:val="decimal"/>
      <w:lvlText w:val="%3.)"/>
      <w:lvlJc w:val="left"/>
      <w:pPr>
        <w:ind w:left="1275" w:hanging="425"/>
      </w:pPr>
      <w:rPr>
        <w:rFonts w:cs="Times New Roman" w:hint="default"/>
      </w:rPr>
    </w:lvl>
    <w:lvl w:ilvl="3">
      <w:start w:val="1"/>
      <w:numFmt w:val="lowerLetter"/>
      <w:lvlText w:val="%4)"/>
      <w:lvlJc w:val="left"/>
      <w:pPr>
        <w:ind w:left="1983" w:hanging="708"/>
      </w:pPr>
      <w:rPr>
        <w:rFonts w:cs="Times New Roman" w:hint="default"/>
      </w:rPr>
    </w:lvl>
    <w:lvl w:ilvl="4">
      <w:start w:val="1"/>
      <w:numFmt w:val="decimal"/>
      <w:lvlText w:val="(%5)"/>
      <w:lvlJc w:val="left"/>
      <w:pPr>
        <w:ind w:left="2691" w:hanging="708"/>
      </w:pPr>
      <w:rPr>
        <w:rFonts w:cs="Times New Roman" w:hint="default"/>
      </w:rPr>
    </w:lvl>
    <w:lvl w:ilvl="5">
      <w:start w:val="1"/>
      <w:numFmt w:val="lowerLetter"/>
      <w:lvlText w:val="(%6)"/>
      <w:lvlJc w:val="left"/>
      <w:pPr>
        <w:ind w:left="3399" w:hanging="708"/>
      </w:pPr>
      <w:rPr>
        <w:rFonts w:cs="Times New Roman" w:hint="default"/>
      </w:rPr>
    </w:lvl>
    <w:lvl w:ilvl="6">
      <w:start w:val="1"/>
      <w:numFmt w:val="lowerRoman"/>
      <w:lvlText w:val="(%7)"/>
      <w:lvlJc w:val="left"/>
      <w:pPr>
        <w:ind w:left="4107" w:hanging="708"/>
      </w:pPr>
      <w:rPr>
        <w:rFonts w:cs="Times New Roman" w:hint="default"/>
      </w:rPr>
    </w:lvl>
    <w:lvl w:ilvl="7">
      <w:start w:val="1"/>
      <w:numFmt w:val="lowerLetter"/>
      <w:lvlText w:val="(%8)"/>
      <w:lvlJc w:val="left"/>
      <w:pPr>
        <w:ind w:left="4815" w:hanging="708"/>
      </w:pPr>
      <w:rPr>
        <w:rFonts w:cs="Times New Roman" w:hint="default"/>
      </w:rPr>
    </w:lvl>
    <w:lvl w:ilvl="8">
      <w:start w:val="1"/>
      <w:numFmt w:val="lowerRoman"/>
      <w:lvlText w:val="(%9)"/>
      <w:lvlJc w:val="left"/>
      <w:pPr>
        <w:ind w:left="5523" w:hanging="708"/>
      </w:pPr>
      <w:rPr>
        <w:rFonts w:cs="Times New Roman" w:hint="default"/>
      </w:rPr>
    </w:lvl>
  </w:abstractNum>
  <w:abstractNum w:abstractNumId="29">
    <w:nsid w:val="5F050971"/>
    <w:multiLevelType w:val="hybridMultilevel"/>
    <w:tmpl w:val="7F487B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2">
    <w:nsid w:val="6CF42B97"/>
    <w:multiLevelType w:val="hybridMultilevel"/>
    <w:tmpl w:val="F1528B6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nsid w:val="716C19C8"/>
    <w:multiLevelType w:val="hybridMultilevel"/>
    <w:tmpl w:val="CB981B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40D689F"/>
    <w:multiLevelType w:val="hybridMultilevel"/>
    <w:tmpl w:val="0986CC38"/>
    <w:lvl w:ilvl="0" w:tplc="00000000">
      <w:start w:val="1"/>
      <w:numFmt w:val="lowerLetter"/>
      <w:lvlText w:val="%1)"/>
      <w:lvlJc w:val="left"/>
      <w:pPr>
        <w:tabs>
          <w:tab w:val="num" w:pos="720"/>
        </w:tabs>
        <w:ind w:left="720" w:hanging="360"/>
      </w:pPr>
      <w:rPr>
        <w:rFonts w:ascii="Times New Roman" w:hAnsi="Times New Roman" w:cs="Times New Roman"/>
      </w:rPr>
    </w:lvl>
    <w:lvl w:ilvl="1" w:tplc="00000001">
      <w:start w:val="1"/>
      <w:numFmt w:val="decimal"/>
      <w:lvlText w:val="%2."/>
      <w:lvlJc w:val="left"/>
      <w:pPr>
        <w:tabs>
          <w:tab w:val="num" w:pos="1440"/>
        </w:tabs>
        <w:ind w:left="1440" w:hanging="360"/>
      </w:pPr>
      <w:rPr>
        <w:rFonts w:ascii="Times New Roman" w:hAnsi="Times New Roman" w:cs="Times New Roman"/>
      </w:rPr>
    </w:lvl>
    <w:lvl w:ilvl="2" w:tplc="00000002">
      <w:start w:val="1"/>
      <w:numFmt w:val="lowerRoman"/>
      <w:lvlText w:val="%3."/>
      <w:lvlJc w:val="right"/>
      <w:pPr>
        <w:tabs>
          <w:tab w:val="num" w:pos="2160"/>
        </w:tabs>
        <w:ind w:left="2160" w:hanging="180"/>
      </w:pPr>
      <w:rPr>
        <w:rFonts w:ascii="Times New Roman" w:hAnsi="Times New Roman" w:cs="Times New Roman"/>
      </w:rPr>
    </w:lvl>
    <w:lvl w:ilvl="3" w:tplc="00000003">
      <w:start w:val="1"/>
      <w:numFmt w:val="decimal"/>
      <w:lvlText w:val="%4."/>
      <w:lvlJc w:val="left"/>
      <w:pPr>
        <w:tabs>
          <w:tab w:val="num" w:pos="2880"/>
        </w:tabs>
        <w:ind w:left="2880" w:hanging="360"/>
      </w:pPr>
      <w:rPr>
        <w:rFonts w:ascii="Times New Roman" w:hAnsi="Times New Roman" w:cs="Times New Roman"/>
      </w:rPr>
    </w:lvl>
    <w:lvl w:ilvl="4" w:tplc="00000004">
      <w:start w:val="1"/>
      <w:numFmt w:val="lowerLetter"/>
      <w:lvlText w:val="%5."/>
      <w:lvlJc w:val="left"/>
      <w:pPr>
        <w:tabs>
          <w:tab w:val="num" w:pos="3600"/>
        </w:tabs>
        <w:ind w:left="3600" w:hanging="360"/>
      </w:pPr>
      <w:rPr>
        <w:rFonts w:ascii="Times New Roman" w:hAnsi="Times New Roman" w:cs="Times New Roman"/>
      </w:rPr>
    </w:lvl>
    <w:lvl w:ilvl="5" w:tplc="00000005">
      <w:start w:val="1"/>
      <w:numFmt w:val="lowerRoman"/>
      <w:lvlText w:val="%6."/>
      <w:lvlJc w:val="right"/>
      <w:pPr>
        <w:tabs>
          <w:tab w:val="num" w:pos="4320"/>
        </w:tabs>
        <w:ind w:left="4320" w:hanging="180"/>
      </w:pPr>
      <w:rPr>
        <w:rFonts w:ascii="Times New Roman" w:hAnsi="Times New Roman" w:cs="Times New Roman"/>
      </w:rPr>
    </w:lvl>
    <w:lvl w:ilvl="6" w:tplc="00000006">
      <w:start w:val="1"/>
      <w:numFmt w:val="decimal"/>
      <w:lvlText w:val="%7."/>
      <w:lvlJc w:val="left"/>
      <w:pPr>
        <w:tabs>
          <w:tab w:val="num" w:pos="5040"/>
        </w:tabs>
        <w:ind w:left="5040" w:hanging="360"/>
      </w:pPr>
      <w:rPr>
        <w:rFonts w:ascii="Times New Roman" w:hAnsi="Times New Roman" w:cs="Times New Roman"/>
      </w:rPr>
    </w:lvl>
    <w:lvl w:ilvl="7" w:tplc="00000007">
      <w:start w:val="1"/>
      <w:numFmt w:val="lowerLetter"/>
      <w:lvlText w:val="%8."/>
      <w:lvlJc w:val="left"/>
      <w:pPr>
        <w:tabs>
          <w:tab w:val="num" w:pos="5760"/>
        </w:tabs>
        <w:ind w:left="5760" w:hanging="360"/>
      </w:pPr>
      <w:rPr>
        <w:rFonts w:ascii="Times New Roman" w:hAnsi="Times New Roman" w:cs="Times New Roman"/>
      </w:rPr>
    </w:lvl>
    <w:lvl w:ilvl="8" w:tplc="00000008">
      <w:start w:val="1"/>
      <w:numFmt w:val="lowerRoman"/>
      <w:lvlText w:val="%9."/>
      <w:lvlJc w:val="right"/>
      <w:pPr>
        <w:tabs>
          <w:tab w:val="num" w:pos="6480"/>
        </w:tabs>
        <w:ind w:left="6480" w:hanging="180"/>
      </w:pPr>
      <w:rPr>
        <w:rFonts w:ascii="Times New Roman" w:hAnsi="Times New Roman" w:cs="Times New Roman"/>
      </w:rPr>
    </w:lvl>
  </w:abstractNum>
  <w:abstractNum w:abstractNumId="35">
    <w:nsid w:val="7EE74063"/>
    <w:multiLevelType w:val="hybridMultilevel"/>
    <w:tmpl w:val="CA6E7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7F2745D0"/>
    <w:multiLevelType w:val="hybridMultilevel"/>
    <w:tmpl w:val="15106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1211"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1"/>
  </w:num>
  <w:num w:numId="9">
    <w:abstractNumId w:val="14"/>
  </w:num>
  <w:num w:numId="10">
    <w:abstractNumId w:val="23"/>
  </w:num>
  <w:num w:numId="11">
    <w:abstractNumId w:val="1"/>
  </w:num>
  <w:num w:numId="12">
    <w:abstractNumId w:val="30"/>
  </w:num>
  <w:num w:numId="13">
    <w:abstractNumId w:val="3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2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num>
  <w:num w:numId="17">
    <w:abstractNumId w:val="19"/>
  </w:num>
  <w:num w:numId="18">
    <w:abstractNumId w:val="15"/>
  </w:num>
  <w:num w:numId="19">
    <w:abstractNumId w:val="0"/>
  </w:num>
  <w:num w:numId="20">
    <w:abstractNumId w:val="31"/>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33"/>
  </w:num>
  <w:num w:numId="22">
    <w:abstractNumId w:val="4"/>
  </w:num>
  <w:num w:numId="23">
    <w:abstractNumId w:val="29"/>
  </w:num>
  <w:num w:numId="24">
    <w:abstractNumId w:val="27"/>
  </w:num>
  <w:num w:numId="25">
    <w:abstractNumId w:val="16"/>
  </w:num>
  <w:num w:numId="26">
    <w:abstractNumId w:val="22"/>
  </w:num>
  <w:num w:numId="27">
    <w:abstractNumId w:val="7"/>
  </w:num>
  <w:num w:numId="28">
    <w:abstractNumId w:val="26"/>
  </w:num>
  <w:num w:numId="29">
    <w:abstractNumId w:val="24"/>
  </w:num>
  <w:num w:numId="30">
    <w:abstractNumId w:val="13"/>
  </w:num>
  <w:num w:numId="31">
    <w:abstractNumId w:val="6"/>
  </w:num>
  <w:num w:numId="32">
    <w:abstractNumId w:val="3"/>
  </w:num>
  <w:num w:numId="33">
    <w:abstractNumId w:val="18"/>
  </w:num>
  <w:num w:numId="34">
    <w:abstractNumId w:val="10"/>
  </w:num>
  <w:num w:numId="35">
    <w:abstractNumId w:val="9"/>
  </w:num>
  <w:num w:numId="36">
    <w:abstractNumId w:val="28"/>
  </w:num>
  <w:num w:numId="37">
    <w:abstractNumId w:val="2"/>
  </w:num>
  <w:num w:numId="38">
    <w:abstractNumId w:val="36"/>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CB"/>
    <w:rsid w:val="000007E9"/>
    <w:rsid w:val="00000D04"/>
    <w:rsid w:val="0000268E"/>
    <w:rsid w:val="000026D7"/>
    <w:rsid w:val="000037B6"/>
    <w:rsid w:val="0000437A"/>
    <w:rsid w:val="00004D1C"/>
    <w:rsid w:val="00004F4B"/>
    <w:rsid w:val="00006E0B"/>
    <w:rsid w:val="00007DC8"/>
    <w:rsid w:val="00011099"/>
    <w:rsid w:val="00012FDB"/>
    <w:rsid w:val="0001344B"/>
    <w:rsid w:val="00013AA1"/>
    <w:rsid w:val="00014FE4"/>
    <w:rsid w:val="00016083"/>
    <w:rsid w:val="00016D42"/>
    <w:rsid w:val="000175B8"/>
    <w:rsid w:val="00020313"/>
    <w:rsid w:val="0002094B"/>
    <w:rsid w:val="00021F4A"/>
    <w:rsid w:val="0002213A"/>
    <w:rsid w:val="0002272C"/>
    <w:rsid w:val="00024AFB"/>
    <w:rsid w:val="00027AD6"/>
    <w:rsid w:val="00030B47"/>
    <w:rsid w:val="00030F61"/>
    <w:rsid w:val="000315A4"/>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80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31A8"/>
    <w:rsid w:val="00075452"/>
    <w:rsid w:val="000767D6"/>
    <w:rsid w:val="0007684A"/>
    <w:rsid w:val="000809E0"/>
    <w:rsid w:val="00081693"/>
    <w:rsid w:val="000829E5"/>
    <w:rsid w:val="00082FF8"/>
    <w:rsid w:val="00083166"/>
    <w:rsid w:val="00084078"/>
    <w:rsid w:val="000844AA"/>
    <w:rsid w:val="00085F9C"/>
    <w:rsid w:val="00086558"/>
    <w:rsid w:val="00087083"/>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1EB"/>
    <w:rsid w:val="000B0848"/>
    <w:rsid w:val="000B1F82"/>
    <w:rsid w:val="000B1F8C"/>
    <w:rsid w:val="000B321B"/>
    <w:rsid w:val="000B593D"/>
    <w:rsid w:val="000B6CE4"/>
    <w:rsid w:val="000B770B"/>
    <w:rsid w:val="000B7C8E"/>
    <w:rsid w:val="000C0119"/>
    <w:rsid w:val="000C02B9"/>
    <w:rsid w:val="000C0D8D"/>
    <w:rsid w:val="000C0E3C"/>
    <w:rsid w:val="000C13B7"/>
    <w:rsid w:val="000C2091"/>
    <w:rsid w:val="000C322E"/>
    <w:rsid w:val="000C3685"/>
    <w:rsid w:val="000C3C29"/>
    <w:rsid w:val="000C4608"/>
    <w:rsid w:val="000C4AE3"/>
    <w:rsid w:val="000C6516"/>
    <w:rsid w:val="000C76B9"/>
    <w:rsid w:val="000C78D1"/>
    <w:rsid w:val="000D0829"/>
    <w:rsid w:val="000D121E"/>
    <w:rsid w:val="000D3088"/>
    <w:rsid w:val="000D34B3"/>
    <w:rsid w:val="000D3AAF"/>
    <w:rsid w:val="000D44CB"/>
    <w:rsid w:val="000D4782"/>
    <w:rsid w:val="000D48C0"/>
    <w:rsid w:val="000D6821"/>
    <w:rsid w:val="000D76DB"/>
    <w:rsid w:val="000E0FC3"/>
    <w:rsid w:val="000E16DB"/>
    <w:rsid w:val="000E45B0"/>
    <w:rsid w:val="000E4651"/>
    <w:rsid w:val="000E59B4"/>
    <w:rsid w:val="000E6969"/>
    <w:rsid w:val="000E69F1"/>
    <w:rsid w:val="000E7383"/>
    <w:rsid w:val="000F2EE6"/>
    <w:rsid w:val="000F3991"/>
    <w:rsid w:val="000F3C35"/>
    <w:rsid w:val="000F42D8"/>
    <w:rsid w:val="000F65F6"/>
    <w:rsid w:val="000F7968"/>
    <w:rsid w:val="0010162D"/>
    <w:rsid w:val="00102CAF"/>
    <w:rsid w:val="00103D4C"/>
    <w:rsid w:val="00104B5F"/>
    <w:rsid w:val="00106800"/>
    <w:rsid w:val="00106C80"/>
    <w:rsid w:val="00111127"/>
    <w:rsid w:val="00111271"/>
    <w:rsid w:val="001114DA"/>
    <w:rsid w:val="0011220D"/>
    <w:rsid w:val="001132D7"/>
    <w:rsid w:val="001139FB"/>
    <w:rsid w:val="001149EA"/>
    <w:rsid w:val="00115651"/>
    <w:rsid w:val="00117635"/>
    <w:rsid w:val="0012197D"/>
    <w:rsid w:val="00121E57"/>
    <w:rsid w:val="001243A6"/>
    <w:rsid w:val="00125137"/>
    <w:rsid w:val="00125D8B"/>
    <w:rsid w:val="001310B8"/>
    <w:rsid w:val="001311D0"/>
    <w:rsid w:val="00131A7D"/>
    <w:rsid w:val="00131EB7"/>
    <w:rsid w:val="00133868"/>
    <w:rsid w:val="00135188"/>
    <w:rsid w:val="001359EE"/>
    <w:rsid w:val="00135B00"/>
    <w:rsid w:val="001373C0"/>
    <w:rsid w:val="001409E3"/>
    <w:rsid w:val="00141162"/>
    <w:rsid w:val="00141C50"/>
    <w:rsid w:val="0014240D"/>
    <w:rsid w:val="00143D42"/>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6B18"/>
    <w:rsid w:val="00157609"/>
    <w:rsid w:val="00160E88"/>
    <w:rsid w:val="0016193D"/>
    <w:rsid w:val="001630CE"/>
    <w:rsid w:val="00163198"/>
    <w:rsid w:val="00170F6A"/>
    <w:rsid w:val="001733E7"/>
    <w:rsid w:val="001750F6"/>
    <w:rsid w:val="001752F0"/>
    <w:rsid w:val="001756DF"/>
    <w:rsid w:val="0017583D"/>
    <w:rsid w:val="0017615E"/>
    <w:rsid w:val="00176733"/>
    <w:rsid w:val="00176947"/>
    <w:rsid w:val="00184132"/>
    <w:rsid w:val="00184F45"/>
    <w:rsid w:val="001854F6"/>
    <w:rsid w:val="00185CF5"/>
    <w:rsid w:val="00186F91"/>
    <w:rsid w:val="00186F98"/>
    <w:rsid w:val="00187B13"/>
    <w:rsid w:val="00187D59"/>
    <w:rsid w:val="0019026A"/>
    <w:rsid w:val="001939DC"/>
    <w:rsid w:val="00194CAF"/>
    <w:rsid w:val="00195450"/>
    <w:rsid w:val="0019554A"/>
    <w:rsid w:val="00195B0C"/>
    <w:rsid w:val="00196440"/>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2198"/>
    <w:rsid w:val="001C3DC6"/>
    <w:rsid w:val="001C6D8B"/>
    <w:rsid w:val="001C71FC"/>
    <w:rsid w:val="001C738C"/>
    <w:rsid w:val="001D0A94"/>
    <w:rsid w:val="001D0E4C"/>
    <w:rsid w:val="001D14F5"/>
    <w:rsid w:val="001D2FFA"/>
    <w:rsid w:val="001D3276"/>
    <w:rsid w:val="001D3F46"/>
    <w:rsid w:val="001D5325"/>
    <w:rsid w:val="001D58FE"/>
    <w:rsid w:val="001D6094"/>
    <w:rsid w:val="001D6B9A"/>
    <w:rsid w:val="001D70F9"/>
    <w:rsid w:val="001D7DCE"/>
    <w:rsid w:val="001E0241"/>
    <w:rsid w:val="001E228B"/>
    <w:rsid w:val="001E5F4A"/>
    <w:rsid w:val="001F155C"/>
    <w:rsid w:val="001F4A40"/>
    <w:rsid w:val="001F63A9"/>
    <w:rsid w:val="002008E3"/>
    <w:rsid w:val="002045C2"/>
    <w:rsid w:val="00205456"/>
    <w:rsid w:val="00205BD8"/>
    <w:rsid w:val="00210428"/>
    <w:rsid w:val="00212D14"/>
    <w:rsid w:val="002147AA"/>
    <w:rsid w:val="0021496E"/>
    <w:rsid w:val="00214A76"/>
    <w:rsid w:val="00215D24"/>
    <w:rsid w:val="002161C0"/>
    <w:rsid w:val="0021660D"/>
    <w:rsid w:val="002171D3"/>
    <w:rsid w:val="00217416"/>
    <w:rsid w:val="00220777"/>
    <w:rsid w:val="00220D52"/>
    <w:rsid w:val="00223568"/>
    <w:rsid w:val="00223CE0"/>
    <w:rsid w:val="00224801"/>
    <w:rsid w:val="002254B8"/>
    <w:rsid w:val="002255C7"/>
    <w:rsid w:val="00225FB1"/>
    <w:rsid w:val="002267F3"/>
    <w:rsid w:val="00226E94"/>
    <w:rsid w:val="00227BBB"/>
    <w:rsid w:val="00231C2F"/>
    <w:rsid w:val="00231E87"/>
    <w:rsid w:val="002327D5"/>
    <w:rsid w:val="00234331"/>
    <w:rsid w:val="00234F60"/>
    <w:rsid w:val="00236DB3"/>
    <w:rsid w:val="00240DC2"/>
    <w:rsid w:val="002415D2"/>
    <w:rsid w:val="00243C5E"/>
    <w:rsid w:val="002441C1"/>
    <w:rsid w:val="002459CB"/>
    <w:rsid w:val="00245E50"/>
    <w:rsid w:val="00246972"/>
    <w:rsid w:val="00246E89"/>
    <w:rsid w:val="002472DB"/>
    <w:rsid w:val="0025002C"/>
    <w:rsid w:val="00250AF0"/>
    <w:rsid w:val="00253581"/>
    <w:rsid w:val="002538F4"/>
    <w:rsid w:val="00254AFE"/>
    <w:rsid w:val="002555BD"/>
    <w:rsid w:val="00255A6A"/>
    <w:rsid w:val="00257D64"/>
    <w:rsid w:val="00262A97"/>
    <w:rsid w:val="00262B16"/>
    <w:rsid w:val="00264061"/>
    <w:rsid w:val="00265977"/>
    <w:rsid w:val="00265ABF"/>
    <w:rsid w:val="0026684C"/>
    <w:rsid w:val="00270FC9"/>
    <w:rsid w:val="00271074"/>
    <w:rsid w:val="00273351"/>
    <w:rsid w:val="002738F0"/>
    <w:rsid w:val="00274E25"/>
    <w:rsid w:val="002750CD"/>
    <w:rsid w:val="00275177"/>
    <w:rsid w:val="002774B3"/>
    <w:rsid w:val="00277D23"/>
    <w:rsid w:val="002808A2"/>
    <w:rsid w:val="0028246F"/>
    <w:rsid w:val="00282F64"/>
    <w:rsid w:val="0028316F"/>
    <w:rsid w:val="0028345D"/>
    <w:rsid w:val="00284095"/>
    <w:rsid w:val="00284DEC"/>
    <w:rsid w:val="00286D66"/>
    <w:rsid w:val="002903A3"/>
    <w:rsid w:val="00292267"/>
    <w:rsid w:val="002924B6"/>
    <w:rsid w:val="0029320B"/>
    <w:rsid w:val="00293E0C"/>
    <w:rsid w:val="00294046"/>
    <w:rsid w:val="0029420C"/>
    <w:rsid w:val="00296BCC"/>
    <w:rsid w:val="00296F76"/>
    <w:rsid w:val="002975FA"/>
    <w:rsid w:val="002A05CA"/>
    <w:rsid w:val="002A2F1D"/>
    <w:rsid w:val="002A3BF6"/>
    <w:rsid w:val="002A3D84"/>
    <w:rsid w:val="002A47B3"/>
    <w:rsid w:val="002A522B"/>
    <w:rsid w:val="002A59B0"/>
    <w:rsid w:val="002B0A5B"/>
    <w:rsid w:val="002B1F28"/>
    <w:rsid w:val="002B23EE"/>
    <w:rsid w:val="002B4FE8"/>
    <w:rsid w:val="002B53A6"/>
    <w:rsid w:val="002B61B1"/>
    <w:rsid w:val="002B6992"/>
    <w:rsid w:val="002B6C2A"/>
    <w:rsid w:val="002C0B64"/>
    <w:rsid w:val="002C1C9C"/>
    <w:rsid w:val="002C428D"/>
    <w:rsid w:val="002C5FA3"/>
    <w:rsid w:val="002C613E"/>
    <w:rsid w:val="002C61B0"/>
    <w:rsid w:val="002D12CA"/>
    <w:rsid w:val="002D12E4"/>
    <w:rsid w:val="002D146A"/>
    <w:rsid w:val="002D2423"/>
    <w:rsid w:val="002D3EF8"/>
    <w:rsid w:val="002D44BF"/>
    <w:rsid w:val="002D4709"/>
    <w:rsid w:val="002D5316"/>
    <w:rsid w:val="002D6136"/>
    <w:rsid w:val="002E00A6"/>
    <w:rsid w:val="002E2044"/>
    <w:rsid w:val="002E23B3"/>
    <w:rsid w:val="002E4114"/>
    <w:rsid w:val="002E48CB"/>
    <w:rsid w:val="002E58CC"/>
    <w:rsid w:val="002E5922"/>
    <w:rsid w:val="002E5BC4"/>
    <w:rsid w:val="002F0DCE"/>
    <w:rsid w:val="002F18FE"/>
    <w:rsid w:val="002F1B53"/>
    <w:rsid w:val="002F22CB"/>
    <w:rsid w:val="002F5AD1"/>
    <w:rsid w:val="002F6B9C"/>
    <w:rsid w:val="002F6D80"/>
    <w:rsid w:val="002F7692"/>
    <w:rsid w:val="003009C3"/>
    <w:rsid w:val="003017FB"/>
    <w:rsid w:val="00301D17"/>
    <w:rsid w:val="00303660"/>
    <w:rsid w:val="00303D37"/>
    <w:rsid w:val="00307ED8"/>
    <w:rsid w:val="003122D2"/>
    <w:rsid w:val="00314D7B"/>
    <w:rsid w:val="00314E97"/>
    <w:rsid w:val="003150C6"/>
    <w:rsid w:val="0031512B"/>
    <w:rsid w:val="0031556A"/>
    <w:rsid w:val="0031577B"/>
    <w:rsid w:val="003160B3"/>
    <w:rsid w:val="003160E7"/>
    <w:rsid w:val="00316F11"/>
    <w:rsid w:val="00321029"/>
    <w:rsid w:val="00322D9A"/>
    <w:rsid w:val="00322E35"/>
    <w:rsid w:val="0032340A"/>
    <w:rsid w:val="003275C4"/>
    <w:rsid w:val="00330208"/>
    <w:rsid w:val="00330F0A"/>
    <w:rsid w:val="00330F99"/>
    <w:rsid w:val="003310B7"/>
    <w:rsid w:val="00332F73"/>
    <w:rsid w:val="00333A25"/>
    <w:rsid w:val="00333CEF"/>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036"/>
    <w:rsid w:val="00363774"/>
    <w:rsid w:val="003640F9"/>
    <w:rsid w:val="00364433"/>
    <w:rsid w:val="00364763"/>
    <w:rsid w:val="003721ED"/>
    <w:rsid w:val="0037235D"/>
    <w:rsid w:val="003725AB"/>
    <w:rsid w:val="00373CE6"/>
    <w:rsid w:val="003767EE"/>
    <w:rsid w:val="003772B5"/>
    <w:rsid w:val="00377EEE"/>
    <w:rsid w:val="00380562"/>
    <w:rsid w:val="00381037"/>
    <w:rsid w:val="0038119E"/>
    <w:rsid w:val="0038342B"/>
    <w:rsid w:val="0038430E"/>
    <w:rsid w:val="00385440"/>
    <w:rsid w:val="003866A3"/>
    <w:rsid w:val="00387A92"/>
    <w:rsid w:val="00390172"/>
    <w:rsid w:val="003906C1"/>
    <w:rsid w:val="00391795"/>
    <w:rsid w:val="00393261"/>
    <w:rsid w:val="0039396D"/>
    <w:rsid w:val="00393B13"/>
    <w:rsid w:val="003940FC"/>
    <w:rsid w:val="003947FB"/>
    <w:rsid w:val="00395FEB"/>
    <w:rsid w:val="003A09A3"/>
    <w:rsid w:val="003A0A1B"/>
    <w:rsid w:val="003A265F"/>
    <w:rsid w:val="003A2BF8"/>
    <w:rsid w:val="003A5A19"/>
    <w:rsid w:val="003A75AD"/>
    <w:rsid w:val="003B1A35"/>
    <w:rsid w:val="003B28C4"/>
    <w:rsid w:val="003B6A09"/>
    <w:rsid w:val="003B755E"/>
    <w:rsid w:val="003C05F0"/>
    <w:rsid w:val="003C0EAB"/>
    <w:rsid w:val="003C1DCB"/>
    <w:rsid w:val="003C2EAF"/>
    <w:rsid w:val="003C4A46"/>
    <w:rsid w:val="003C5F42"/>
    <w:rsid w:val="003D0C29"/>
    <w:rsid w:val="003D43D9"/>
    <w:rsid w:val="003D57A6"/>
    <w:rsid w:val="003D7305"/>
    <w:rsid w:val="003D77CE"/>
    <w:rsid w:val="003E0FD0"/>
    <w:rsid w:val="003E3D06"/>
    <w:rsid w:val="003E42E2"/>
    <w:rsid w:val="003E43DA"/>
    <w:rsid w:val="003E703E"/>
    <w:rsid w:val="003E7598"/>
    <w:rsid w:val="003F0C3D"/>
    <w:rsid w:val="003F0D18"/>
    <w:rsid w:val="003F2BE1"/>
    <w:rsid w:val="003F4175"/>
    <w:rsid w:val="003F4461"/>
    <w:rsid w:val="003F59BD"/>
    <w:rsid w:val="00400C4C"/>
    <w:rsid w:val="004019AE"/>
    <w:rsid w:val="004026BF"/>
    <w:rsid w:val="004051F9"/>
    <w:rsid w:val="004052EA"/>
    <w:rsid w:val="00407647"/>
    <w:rsid w:val="00407B93"/>
    <w:rsid w:val="0041012F"/>
    <w:rsid w:val="004107F9"/>
    <w:rsid w:val="00414245"/>
    <w:rsid w:val="00414F00"/>
    <w:rsid w:val="004154D1"/>
    <w:rsid w:val="004160BB"/>
    <w:rsid w:val="00416BF3"/>
    <w:rsid w:val="004175F3"/>
    <w:rsid w:val="004179AD"/>
    <w:rsid w:val="00417F76"/>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47D24"/>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67E83"/>
    <w:rsid w:val="0047022C"/>
    <w:rsid w:val="0047195D"/>
    <w:rsid w:val="004732FA"/>
    <w:rsid w:val="00473756"/>
    <w:rsid w:val="00473F90"/>
    <w:rsid w:val="00474DCD"/>
    <w:rsid w:val="00475E32"/>
    <w:rsid w:val="00476733"/>
    <w:rsid w:val="00476B31"/>
    <w:rsid w:val="004771BB"/>
    <w:rsid w:val="00477800"/>
    <w:rsid w:val="004813B1"/>
    <w:rsid w:val="004821E6"/>
    <w:rsid w:val="004829D4"/>
    <w:rsid w:val="004834A5"/>
    <w:rsid w:val="00483515"/>
    <w:rsid w:val="00483544"/>
    <w:rsid w:val="00483C52"/>
    <w:rsid w:val="00484F8F"/>
    <w:rsid w:val="00487D60"/>
    <w:rsid w:val="0049214B"/>
    <w:rsid w:val="004947AA"/>
    <w:rsid w:val="00494987"/>
    <w:rsid w:val="0049570C"/>
    <w:rsid w:val="00495BA0"/>
    <w:rsid w:val="00495DDC"/>
    <w:rsid w:val="00496806"/>
    <w:rsid w:val="004A1F78"/>
    <w:rsid w:val="004A5E06"/>
    <w:rsid w:val="004A5E43"/>
    <w:rsid w:val="004A7809"/>
    <w:rsid w:val="004B1C1B"/>
    <w:rsid w:val="004B31C7"/>
    <w:rsid w:val="004B33E8"/>
    <w:rsid w:val="004B4740"/>
    <w:rsid w:val="004B47EF"/>
    <w:rsid w:val="004B50C4"/>
    <w:rsid w:val="004B52C0"/>
    <w:rsid w:val="004B5F5F"/>
    <w:rsid w:val="004B6864"/>
    <w:rsid w:val="004B6B70"/>
    <w:rsid w:val="004C0721"/>
    <w:rsid w:val="004C1E67"/>
    <w:rsid w:val="004C2588"/>
    <w:rsid w:val="004C301F"/>
    <w:rsid w:val="004C382A"/>
    <w:rsid w:val="004C455E"/>
    <w:rsid w:val="004C585D"/>
    <w:rsid w:val="004C5FFF"/>
    <w:rsid w:val="004C6C23"/>
    <w:rsid w:val="004D1049"/>
    <w:rsid w:val="004D2A2C"/>
    <w:rsid w:val="004D40FA"/>
    <w:rsid w:val="004D660D"/>
    <w:rsid w:val="004D71C9"/>
    <w:rsid w:val="004D7819"/>
    <w:rsid w:val="004D7EBE"/>
    <w:rsid w:val="004E11FA"/>
    <w:rsid w:val="004E1CAD"/>
    <w:rsid w:val="004E22A7"/>
    <w:rsid w:val="004E28E2"/>
    <w:rsid w:val="004E295C"/>
    <w:rsid w:val="004E361C"/>
    <w:rsid w:val="004E3B8B"/>
    <w:rsid w:val="004E4D7F"/>
    <w:rsid w:val="004E5504"/>
    <w:rsid w:val="004E55FB"/>
    <w:rsid w:val="004E5720"/>
    <w:rsid w:val="004E641B"/>
    <w:rsid w:val="004E6525"/>
    <w:rsid w:val="004E67D5"/>
    <w:rsid w:val="004E7CC6"/>
    <w:rsid w:val="004F14D5"/>
    <w:rsid w:val="004F1888"/>
    <w:rsid w:val="004F19B9"/>
    <w:rsid w:val="004F24BF"/>
    <w:rsid w:val="004F2E15"/>
    <w:rsid w:val="004F3C5A"/>
    <w:rsid w:val="004F4639"/>
    <w:rsid w:val="004F4A2D"/>
    <w:rsid w:val="004F7114"/>
    <w:rsid w:val="005014C6"/>
    <w:rsid w:val="00502EAA"/>
    <w:rsid w:val="005031E4"/>
    <w:rsid w:val="00504289"/>
    <w:rsid w:val="005043E9"/>
    <w:rsid w:val="00504BC4"/>
    <w:rsid w:val="00504F2C"/>
    <w:rsid w:val="00506059"/>
    <w:rsid w:val="00506310"/>
    <w:rsid w:val="0050713F"/>
    <w:rsid w:val="00507794"/>
    <w:rsid w:val="0050793D"/>
    <w:rsid w:val="00507A9B"/>
    <w:rsid w:val="00510AB5"/>
    <w:rsid w:val="00512DBE"/>
    <w:rsid w:val="0051304D"/>
    <w:rsid w:val="00513E26"/>
    <w:rsid w:val="00515137"/>
    <w:rsid w:val="00515BEF"/>
    <w:rsid w:val="0051753F"/>
    <w:rsid w:val="00520223"/>
    <w:rsid w:val="00521AE5"/>
    <w:rsid w:val="00521F2F"/>
    <w:rsid w:val="00523734"/>
    <w:rsid w:val="00523997"/>
    <w:rsid w:val="005247C0"/>
    <w:rsid w:val="00524A12"/>
    <w:rsid w:val="00525AE3"/>
    <w:rsid w:val="00526FDE"/>
    <w:rsid w:val="00531BD1"/>
    <w:rsid w:val="0053418B"/>
    <w:rsid w:val="00535DB2"/>
    <w:rsid w:val="005360F6"/>
    <w:rsid w:val="005364C2"/>
    <w:rsid w:val="00536ABC"/>
    <w:rsid w:val="0053708C"/>
    <w:rsid w:val="005378B1"/>
    <w:rsid w:val="00537F06"/>
    <w:rsid w:val="005406CA"/>
    <w:rsid w:val="005412CE"/>
    <w:rsid w:val="00542E4C"/>
    <w:rsid w:val="00542FBE"/>
    <w:rsid w:val="00543637"/>
    <w:rsid w:val="00543D31"/>
    <w:rsid w:val="00544AEB"/>
    <w:rsid w:val="00544ECE"/>
    <w:rsid w:val="0054574B"/>
    <w:rsid w:val="005459BD"/>
    <w:rsid w:val="0054754A"/>
    <w:rsid w:val="0055153A"/>
    <w:rsid w:val="005515DC"/>
    <w:rsid w:val="00551E49"/>
    <w:rsid w:val="00552119"/>
    <w:rsid w:val="00552F64"/>
    <w:rsid w:val="005534F2"/>
    <w:rsid w:val="00554528"/>
    <w:rsid w:val="00555DF5"/>
    <w:rsid w:val="005560DA"/>
    <w:rsid w:val="005572DF"/>
    <w:rsid w:val="005574BE"/>
    <w:rsid w:val="005574FF"/>
    <w:rsid w:val="005603C6"/>
    <w:rsid w:val="0056120E"/>
    <w:rsid w:val="00561D27"/>
    <w:rsid w:val="0056237D"/>
    <w:rsid w:val="00565AC9"/>
    <w:rsid w:val="00567155"/>
    <w:rsid w:val="005678E8"/>
    <w:rsid w:val="00567BA1"/>
    <w:rsid w:val="005715EE"/>
    <w:rsid w:val="005716F5"/>
    <w:rsid w:val="00572AC4"/>
    <w:rsid w:val="00573A35"/>
    <w:rsid w:val="0057446E"/>
    <w:rsid w:val="00575595"/>
    <w:rsid w:val="005756D2"/>
    <w:rsid w:val="0057750D"/>
    <w:rsid w:val="0058361B"/>
    <w:rsid w:val="00583B5B"/>
    <w:rsid w:val="00583FB4"/>
    <w:rsid w:val="00584B07"/>
    <w:rsid w:val="00584BCD"/>
    <w:rsid w:val="0058581B"/>
    <w:rsid w:val="00585FCF"/>
    <w:rsid w:val="00586D79"/>
    <w:rsid w:val="00587634"/>
    <w:rsid w:val="00587942"/>
    <w:rsid w:val="00590B63"/>
    <w:rsid w:val="005920E7"/>
    <w:rsid w:val="00593ACB"/>
    <w:rsid w:val="00594CA5"/>
    <w:rsid w:val="00595D1D"/>
    <w:rsid w:val="005970B2"/>
    <w:rsid w:val="005979BC"/>
    <w:rsid w:val="00597AC4"/>
    <w:rsid w:val="00597E63"/>
    <w:rsid w:val="005A0DAB"/>
    <w:rsid w:val="005A0DB2"/>
    <w:rsid w:val="005A1108"/>
    <w:rsid w:val="005A2B9F"/>
    <w:rsid w:val="005A304D"/>
    <w:rsid w:val="005A3730"/>
    <w:rsid w:val="005A43B7"/>
    <w:rsid w:val="005A4B8D"/>
    <w:rsid w:val="005A58CF"/>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1EA5"/>
    <w:rsid w:val="005D4573"/>
    <w:rsid w:val="005D4908"/>
    <w:rsid w:val="005D55DC"/>
    <w:rsid w:val="005D6C75"/>
    <w:rsid w:val="005E110C"/>
    <w:rsid w:val="005E111D"/>
    <w:rsid w:val="005E2D2A"/>
    <w:rsid w:val="005E2EBE"/>
    <w:rsid w:val="005E382C"/>
    <w:rsid w:val="005E3C49"/>
    <w:rsid w:val="005E3D2E"/>
    <w:rsid w:val="005E4212"/>
    <w:rsid w:val="005E4567"/>
    <w:rsid w:val="005E4B4D"/>
    <w:rsid w:val="005E74B2"/>
    <w:rsid w:val="005E7B0E"/>
    <w:rsid w:val="005E7DD1"/>
    <w:rsid w:val="005F332C"/>
    <w:rsid w:val="005F4680"/>
    <w:rsid w:val="005F608B"/>
    <w:rsid w:val="005F79E1"/>
    <w:rsid w:val="00601126"/>
    <w:rsid w:val="00601320"/>
    <w:rsid w:val="006016ED"/>
    <w:rsid w:val="00602063"/>
    <w:rsid w:val="006032D5"/>
    <w:rsid w:val="006046D2"/>
    <w:rsid w:val="00605536"/>
    <w:rsid w:val="00605768"/>
    <w:rsid w:val="00605927"/>
    <w:rsid w:val="00607830"/>
    <w:rsid w:val="006079C2"/>
    <w:rsid w:val="00610414"/>
    <w:rsid w:val="00610BAE"/>
    <w:rsid w:val="00610E13"/>
    <w:rsid w:val="00612171"/>
    <w:rsid w:val="00612415"/>
    <w:rsid w:val="00612CAC"/>
    <w:rsid w:val="006146C5"/>
    <w:rsid w:val="00621B80"/>
    <w:rsid w:val="00621FD3"/>
    <w:rsid w:val="00623471"/>
    <w:rsid w:val="00624779"/>
    <w:rsid w:val="00624E1E"/>
    <w:rsid w:val="006253DD"/>
    <w:rsid w:val="00625D31"/>
    <w:rsid w:val="00626935"/>
    <w:rsid w:val="006309E9"/>
    <w:rsid w:val="00630D9A"/>
    <w:rsid w:val="006317A5"/>
    <w:rsid w:val="00631974"/>
    <w:rsid w:val="0063265D"/>
    <w:rsid w:val="00632CF6"/>
    <w:rsid w:val="006343F2"/>
    <w:rsid w:val="006344CA"/>
    <w:rsid w:val="00635A25"/>
    <w:rsid w:val="00635BFB"/>
    <w:rsid w:val="00636686"/>
    <w:rsid w:val="00636EEB"/>
    <w:rsid w:val="00640402"/>
    <w:rsid w:val="00641670"/>
    <w:rsid w:val="0064179F"/>
    <w:rsid w:val="00641CE2"/>
    <w:rsid w:val="00642042"/>
    <w:rsid w:val="00644CAD"/>
    <w:rsid w:val="00645D42"/>
    <w:rsid w:val="006462EC"/>
    <w:rsid w:val="00646CBD"/>
    <w:rsid w:val="006478B7"/>
    <w:rsid w:val="00650DD4"/>
    <w:rsid w:val="0065102C"/>
    <w:rsid w:val="006516B4"/>
    <w:rsid w:val="0065392B"/>
    <w:rsid w:val="006541C3"/>
    <w:rsid w:val="0065490F"/>
    <w:rsid w:val="006549B8"/>
    <w:rsid w:val="00655C22"/>
    <w:rsid w:val="00655F70"/>
    <w:rsid w:val="00656944"/>
    <w:rsid w:val="006571A7"/>
    <w:rsid w:val="00660430"/>
    <w:rsid w:val="006611D9"/>
    <w:rsid w:val="00661736"/>
    <w:rsid w:val="00661910"/>
    <w:rsid w:val="00661A73"/>
    <w:rsid w:val="00661C0E"/>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2CB3"/>
    <w:rsid w:val="00683810"/>
    <w:rsid w:val="0068454E"/>
    <w:rsid w:val="00685520"/>
    <w:rsid w:val="006858A3"/>
    <w:rsid w:val="00685903"/>
    <w:rsid w:val="006910CB"/>
    <w:rsid w:val="00692F13"/>
    <w:rsid w:val="00693BCE"/>
    <w:rsid w:val="00694412"/>
    <w:rsid w:val="00695295"/>
    <w:rsid w:val="00695978"/>
    <w:rsid w:val="006A0D4A"/>
    <w:rsid w:val="006A44CF"/>
    <w:rsid w:val="006A524F"/>
    <w:rsid w:val="006A52CC"/>
    <w:rsid w:val="006A5485"/>
    <w:rsid w:val="006A7D20"/>
    <w:rsid w:val="006B078F"/>
    <w:rsid w:val="006B2456"/>
    <w:rsid w:val="006B31C6"/>
    <w:rsid w:val="006B42EB"/>
    <w:rsid w:val="006B6131"/>
    <w:rsid w:val="006B6F9C"/>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F50"/>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35D9"/>
    <w:rsid w:val="00714570"/>
    <w:rsid w:val="00714CBF"/>
    <w:rsid w:val="0071631F"/>
    <w:rsid w:val="00716788"/>
    <w:rsid w:val="00716B40"/>
    <w:rsid w:val="00717C14"/>
    <w:rsid w:val="00720E4F"/>
    <w:rsid w:val="00720E65"/>
    <w:rsid w:val="00721DA2"/>
    <w:rsid w:val="00721EF8"/>
    <w:rsid w:val="0072235C"/>
    <w:rsid w:val="00722636"/>
    <w:rsid w:val="007258BE"/>
    <w:rsid w:val="00726C6E"/>
    <w:rsid w:val="00727B47"/>
    <w:rsid w:val="00727C2F"/>
    <w:rsid w:val="00730592"/>
    <w:rsid w:val="007305C1"/>
    <w:rsid w:val="00730C46"/>
    <w:rsid w:val="00731243"/>
    <w:rsid w:val="0073394E"/>
    <w:rsid w:val="0073423A"/>
    <w:rsid w:val="00734C20"/>
    <w:rsid w:val="007350E6"/>
    <w:rsid w:val="00736B8E"/>
    <w:rsid w:val="00737DAE"/>
    <w:rsid w:val="00740C32"/>
    <w:rsid w:val="0074100F"/>
    <w:rsid w:val="00741448"/>
    <w:rsid w:val="00743A58"/>
    <w:rsid w:val="007446C2"/>
    <w:rsid w:val="00745C3A"/>
    <w:rsid w:val="00746ED9"/>
    <w:rsid w:val="00747A64"/>
    <w:rsid w:val="00750128"/>
    <w:rsid w:val="007503A4"/>
    <w:rsid w:val="0075497D"/>
    <w:rsid w:val="0075552C"/>
    <w:rsid w:val="00755704"/>
    <w:rsid w:val="00760A1F"/>
    <w:rsid w:val="00762C92"/>
    <w:rsid w:val="00764242"/>
    <w:rsid w:val="00765FF4"/>
    <w:rsid w:val="00766180"/>
    <w:rsid w:val="00766DB3"/>
    <w:rsid w:val="00767456"/>
    <w:rsid w:val="00767E5C"/>
    <w:rsid w:val="00776A54"/>
    <w:rsid w:val="00776F49"/>
    <w:rsid w:val="0077789F"/>
    <w:rsid w:val="00780E57"/>
    <w:rsid w:val="007814D5"/>
    <w:rsid w:val="00781ADD"/>
    <w:rsid w:val="00782654"/>
    <w:rsid w:val="00783830"/>
    <w:rsid w:val="00783A2B"/>
    <w:rsid w:val="00783C72"/>
    <w:rsid w:val="0078521D"/>
    <w:rsid w:val="007854BF"/>
    <w:rsid w:val="00785D8D"/>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3C61"/>
    <w:rsid w:val="007C4A1C"/>
    <w:rsid w:val="007C5999"/>
    <w:rsid w:val="007C68E3"/>
    <w:rsid w:val="007C694C"/>
    <w:rsid w:val="007C6B28"/>
    <w:rsid w:val="007C74B5"/>
    <w:rsid w:val="007C755B"/>
    <w:rsid w:val="007D0283"/>
    <w:rsid w:val="007D0DE5"/>
    <w:rsid w:val="007D278B"/>
    <w:rsid w:val="007D2955"/>
    <w:rsid w:val="007D2F8E"/>
    <w:rsid w:val="007D3676"/>
    <w:rsid w:val="007D4A0A"/>
    <w:rsid w:val="007D4AB4"/>
    <w:rsid w:val="007D55C6"/>
    <w:rsid w:val="007D5EA7"/>
    <w:rsid w:val="007D6ECF"/>
    <w:rsid w:val="007D6FAA"/>
    <w:rsid w:val="007E0F03"/>
    <w:rsid w:val="007E2BA1"/>
    <w:rsid w:val="007E2FFB"/>
    <w:rsid w:val="007E40E5"/>
    <w:rsid w:val="007E4223"/>
    <w:rsid w:val="007E5961"/>
    <w:rsid w:val="007E5F24"/>
    <w:rsid w:val="007E6EBC"/>
    <w:rsid w:val="007E74D5"/>
    <w:rsid w:val="007F0325"/>
    <w:rsid w:val="007F07E6"/>
    <w:rsid w:val="007F0BD7"/>
    <w:rsid w:val="007F31DE"/>
    <w:rsid w:val="007F5FB7"/>
    <w:rsid w:val="007F6EE8"/>
    <w:rsid w:val="007F7C34"/>
    <w:rsid w:val="007F7E13"/>
    <w:rsid w:val="008003FB"/>
    <w:rsid w:val="0080285C"/>
    <w:rsid w:val="00802972"/>
    <w:rsid w:val="008032BA"/>
    <w:rsid w:val="00806C7E"/>
    <w:rsid w:val="008074EE"/>
    <w:rsid w:val="008111E9"/>
    <w:rsid w:val="00812357"/>
    <w:rsid w:val="00813E24"/>
    <w:rsid w:val="00814D4B"/>
    <w:rsid w:val="0081581B"/>
    <w:rsid w:val="00816D7A"/>
    <w:rsid w:val="0081704E"/>
    <w:rsid w:val="00817AD5"/>
    <w:rsid w:val="00821BC9"/>
    <w:rsid w:val="00823578"/>
    <w:rsid w:val="008244CA"/>
    <w:rsid w:val="0083105F"/>
    <w:rsid w:val="008316E2"/>
    <w:rsid w:val="008316E5"/>
    <w:rsid w:val="00831734"/>
    <w:rsid w:val="008330DA"/>
    <w:rsid w:val="00833911"/>
    <w:rsid w:val="00833BD1"/>
    <w:rsid w:val="00835C63"/>
    <w:rsid w:val="00836C33"/>
    <w:rsid w:val="00836C3D"/>
    <w:rsid w:val="0084123D"/>
    <w:rsid w:val="008431E0"/>
    <w:rsid w:val="00843556"/>
    <w:rsid w:val="00843831"/>
    <w:rsid w:val="00844445"/>
    <w:rsid w:val="008454C3"/>
    <w:rsid w:val="00851517"/>
    <w:rsid w:val="00851EA3"/>
    <w:rsid w:val="00852745"/>
    <w:rsid w:val="008539DB"/>
    <w:rsid w:val="00853B36"/>
    <w:rsid w:val="00853FC6"/>
    <w:rsid w:val="00855F65"/>
    <w:rsid w:val="00856243"/>
    <w:rsid w:val="008574A0"/>
    <w:rsid w:val="0085776A"/>
    <w:rsid w:val="0085777C"/>
    <w:rsid w:val="00861C2F"/>
    <w:rsid w:val="008623FA"/>
    <w:rsid w:val="008636DD"/>
    <w:rsid w:val="00864651"/>
    <w:rsid w:val="008646FD"/>
    <w:rsid w:val="0086475C"/>
    <w:rsid w:val="00864DED"/>
    <w:rsid w:val="008659F3"/>
    <w:rsid w:val="00865FAE"/>
    <w:rsid w:val="00866E6E"/>
    <w:rsid w:val="008670CA"/>
    <w:rsid w:val="0087061A"/>
    <w:rsid w:val="00873A66"/>
    <w:rsid w:val="00873C73"/>
    <w:rsid w:val="008771FD"/>
    <w:rsid w:val="008802A3"/>
    <w:rsid w:val="008806CA"/>
    <w:rsid w:val="00881703"/>
    <w:rsid w:val="008818EB"/>
    <w:rsid w:val="00881F48"/>
    <w:rsid w:val="00882ABA"/>
    <w:rsid w:val="00882EE0"/>
    <w:rsid w:val="00883CF4"/>
    <w:rsid w:val="00883DAE"/>
    <w:rsid w:val="0088411C"/>
    <w:rsid w:val="008850A4"/>
    <w:rsid w:val="00885D25"/>
    <w:rsid w:val="0088611C"/>
    <w:rsid w:val="00886203"/>
    <w:rsid w:val="0088657F"/>
    <w:rsid w:val="008866E7"/>
    <w:rsid w:val="0088691C"/>
    <w:rsid w:val="0088755F"/>
    <w:rsid w:val="00891C39"/>
    <w:rsid w:val="00891D52"/>
    <w:rsid w:val="00891EE0"/>
    <w:rsid w:val="008940AF"/>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29E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D6660"/>
    <w:rsid w:val="008E3343"/>
    <w:rsid w:val="008E377F"/>
    <w:rsid w:val="008E38CD"/>
    <w:rsid w:val="008E4100"/>
    <w:rsid w:val="008E57C4"/>
    <w:rsid w:val="008F0292"/>
    <w:rsid w:val="008F1083"/>
    <w:rsid w:val="008F2C3E"/>
    <w:rsid w:val="008F3A31"/>
    <w:rsid w:val="008F3B33"/>
    <w:rsid w:val="008F3CC7"/>
    <w:rsid w:val="008F4033"/>
    <w:rsid w:val="008F5D67"/>
    <w:rsid w:val="008F65C0"/>
    <w:rsid w:val="008F6785"/>
    <w:rsid w:val="008F7EFA"/>
    <w:rsid w:val="009021C0"/>
    <w:rsid w:val="00903B21"/>
    <w:rsid w:val="009040FD"/>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3338"/>
    <w:rsid w:val="00934407"/>
    <w:rsid w:val="00934ADD"/>
    <w:rsid w:val="00935830"/>
    <w:rsid w:val="00935C75"/>
    <w:rsid w:val="00936381"/>
    <w:rsid w:val="009366FE"/>
    <w:rsid w:val="00936DD0"/>
    <w:rsid w:val="00940AAD"/>
    <w:rsid w:val="0094153F"/>
    <w:rsid w:val="00941E5C"/>
    <w:rsid w:val="00942D4D"/>
    <w:rsid w:val="009431B9"/>
    <w:rsid w:val="00943EF9"/>
    <w:rsid w:val="009448E4"/>
    <w:rsid w:val="00950934"/>
    <w:rsid w:val="00951574"/>
    <w:rsid w:val="009536D1"/>
    <w:rsid w:val="00953DF0"/>
    <w:rsid w:val="00955A9B"/>
    <w:rsid w:val="00956DD3"/>
    <w:rsid w:val="00957498"/>
    <w:rsid w:val="00957C7A"/>
    <w:rsid w:val="00957F3B"/>
    <w:rsid w:val="009609DD"/>
    <w:rsid w:val="00961044"/>
    <w:rsid w:val="009623B9"/>
    <w:rsid w:val="00963378"/>
    <w:rsid w:val="0096399A"/>
    <w:rsid w:val="009650F3"/>
    <w:rsid w:val="009662F8"/>
    <w:rsid w:val="00966775"/>
    <w:rsid w:val="00967517"/>
    <w:rsid w:val="00967C00"/>
    <w:rsid w:val="0097120B"/>
    <w:rsid w:val="00971ECE"/>
    <w:rsid w:val="009721C9"/>
    <w:rsid w:val="00972F0F"/>
    <w:rsid w:val="00973D12"/>
    <w:rsid w:val="00974F46"/>
    <w:rsid w:val="0098100A"/>
    <w:rsid w:val="00981839"/>
    <w:rsid w:val="009826D7"/>
    <w:rsid w:val="0098495B"/>
    <w:rsid w:val="00987732"/>
    <w:rsid w:val="00991C69"/>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9CD"/>
    <w:rsid w:val="009B1F2C"/>
    <w:rsid w:val="009B4243"/>
    <w:rsid w:val="009B4C71"/>
    <w:rsid w:val="009B5CA8"/>
    <w:rsid w:val="009B7963"/>
    <w:rsid w:val="009C253D"/>
    <w:rsid w:val="009C29A5"/>
    <w:rsid w:val="009C3AF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08B3"/>
    <w:rsid w:val="00A329AB"/>
    <w:rsid w:val="00A32B2D"/>
    <w:rsid w:val="00A33844"/>
    <w:rsid w:val="00A366A4"/>
    <w:rsid w:val="00A366B0"/>
    <w:rsid w:val="00A377D2"/>
    <w:rsid w:val="00A405E5"/>
    <w:rsid w:val="00A4170F"/>
    <w:rsid w:val="00A41E18"/>
    <w:rsid w:val="00A4331B"/>
    <w:rsid w:val="00A4406A"/>
    <w:rsid w:val="00A442FB"/>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4CA9"/>
    <w:rsid w:val="00A652F3"/>
    <w:rsid w:val="00A65F2C"/>
    <w:rsid w:val="00A7048D"/>
    <w:rsid w:val="00A71176"/>
    <w:rsid w:val="00A73F00"/>
    <w:rsid w:val="00A7418C"/>
    <w:rsid w:val="00A74FF0"/>
    <w:rsid w:val="00A75DF6"/>
    <w:rsid w:val="00A77C87"/>
    <w:rsid w:val="00A77E5F"/>
    <w:rsid w:val="00A805E1"/>
    <w:rsid w:val="00A8153C"/>
    <w:rsid w:val="00A81F36"/>
    <w:rsid w:val="00A828FE"/>
    <w:rsid w:val="00A82CC8"/>
    <w:rsid w:val="00A82EB1"/>
    <w:rsid w:val="00A851D1"/>
    <w:rsid w:val="00A855BE"/>
    <w:rsid w:val="00A85F1C"/>
    <w:rsid w:val="00A86126"/>
    <w:rsid w:val="00A8661E"/>
    <w:rsid w:val="00A90049"/>
    <w:rsid w:val="00A90855"/>
    <w:rsid w:val="00A91ABC"/>
    <w:rsid w:val="00A9234A"/>
    <w:rsid w:val="00A94050"/>
    <w:rsid w:val="00A94702"/>
    <w:rsid w:val="00A95AD5"/>
    <w:rsid w:val="00A97535"/>
    <w:rsid w:val="00AA15FF"/>
    <w:rsid w:val="00AA36CB"/>
    <w:rsid w:val="00AA4CF2"/>
    <w:rsid w:val="00AA59B5"/>
    <w:rsid w:val="00AA67A7"/>
    <w:rsid w:val="00AA766B"/>
    <w:rsid w:val="00AB1638"/>
    <w:rsid w:val="00AB2209"/>
    <w:rsid w:val="00AB2B5D"/>
    <w:rsid w:val="00AB2CE9"/>
    <w:rsid w:val="00AB618C"/>
    <w:rsid w:val="00AB69F8"/>
    <w:rsid w:val="00AB7A5E"/>
    <w:rsid w:val="00AC0097"/>
    <w:rsid w:val="00AC043F"/>
    <w:rsid w:val="00AC2703"/>
    <w:rsid w:val="00AC4222"/>
    <w:rsid w:val="00AC5D33"/>
    <w:rsid w:val="00AC5F3A"/>
    <w:rsid w:val="00AC7F0F"/>
    <w:rsid w:val="00AD2C6F"/>
    <w:rsid w:val="00AD355A"/>
    <w:rsid w:val="00AD4529"/>
    <w:rsid w:val="00AD5380"/>
    <w:rsid w:val="00AD6349"/>
    <w:rsid w:val="00AD6431"/>
    <w:rsid w:val="00AD6527"/>
    <w:rsid w:val="00AD6A69"/>
    <w:rsid w:val="00AD6F5F"/>
    <w:rsid w:val="00AD761B"/>
    <w:rsid w:val="00AE0BB8"/>
    <w:rsid w:val="00AE165B"/>
    <w:rsid w:val="00AE2811"/>
    <w:rsid w:val="00AE3441"/>
    <w:rsid w:val="00AF09AD"/>
    <w:rsid w:val="00AF3318"/>
    <w:rsid w:val="00AF4299"/>
    <w:rsid w:val="00AF4ED0"/>
    <w:rsid w:val="00AF5106"/>
    <w:rsid w:val="00AF624E"/>
    <w:rsid w:val="00AF75AD"/>
    <w:rsid w:val="00AF770A"/>
    <w:rsid w:val="00B001A8"/>
    <w:rsid w:val="00B01CDE"/>
    <w:rsid w:val="00B03FDD"/>
    <w:rsid w:val="00B05342"/>
    <w:rsid w:val="00B05356"/>
    <w:rsid w:val="00B0731A"/>
    <w:rsid w:val="00B10F64"/>
    <w:rsid w:val="00B11D1C"/>
    <w:rsid w:val="00B11F00"/>
    <w:rsid w:val="00B14B7B"/>
    <w:rsid w:val="00B169E7"/>
    <w:rsid w:val="00B2088B"/>
    <w:rsid w:val="00B233CA"/>
    <w:rsid w:val="00B23B26"/>
    <w:rsid w:val="00B23C49"/>
    <w:rsid w:val="00B24A4D"/>
    <w:rsid w:val="00B24CB7"/>
    <w:rsid w:val="00B24E0A"/>
    <w:rsid w:val="00B273EE"/>
    <w:rsid w:val="00B279FD"/>
    <w:rsid w:val="00B30359"/>
    <w:rsid w:val="00B30F8C"/>
    <w:rsid w:val="00B31023"/>
    <w:rsid w:val="00B32F4A"/>
    <w:rsid w:val="00B33230"/>
    <w:rsid w:val="00B342ED"/>
    <w:rsid w:val="00B3654A"/>
    <w:rsid w:val="00B37CE5"/>
    <w:rsid w:val="00B40850"/>
    <w:rsid w:val="00B41113"/>
    <w:rsid w:val="00B42008"/>
    <w:rsid w:val="00B4213B"/>
    <w:rsid w:val="00B42E83"/>
    <w:rsid w:val="00B43290"/>
    <w:rsid w:val="00B44FEE"/>
    <w:rsid w:val="00B457DD"/>
    <w:rsid w:val="00B45DD4"/>
    <w:rsid w:val="00B45E48"/>
    <w:rsid w:val="00B461A8"/>
    <w:rsid w:val="00B4676C"/>
    <w:rsid w:val="00B46BF8"/>
    <w:rsid w:val="00B4717E"/>
    <w:rsid w:val="00B51B3C"/>
    <w:rsid w:val="00B52162"/>
    <w:rsid w:val="00B53209"/>
    <w:rsid w:val="00B55E72"/>
    <w:rsid w:val="00B56F18"/>
    <w:rsid w:val="00B604DD"/>
    <w:rsid w:val="00B612F4"/>
    <w:rsid w:val="00B63A66"/>
    <w:rsid w:val="00B63BEF"/>
    <w:rsid w:val="00B64106"/>
    <w:rsid w:val="00B64C34"/>
    <w:rsid w:val="00B709FE"/>
    <w:rsid w:val="00B7111E"/>
    <w:rsid w:val="00B733AD"/>
    <w:rsid w:val="00B73769"/>
    <w:rsid w:val="00B743F4"/>
    <w:rsid w:val="00B77055"/>
    <w:rsid w:val="00B776BE"/>
    <w:rsid w:val="00B77EED"/>
    <w:rsid w:val="00B80237"/>
    <w:rsid w:val="00B818F4"/>
    <w:rsid w:val="00B837BD"/>
    <w:rsid w:val="00B863AD"/>
    <w:rsid w:val="00B86473"/>
    <w:rsid w:val="00B8735C"/>
    <w:rsid w:val="00B911A7"/>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07D5"/>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0803"/>
    <w:rsid w:val="00BD2FFE"/>
    <w:rsid w:val="00BD34E1"/>
    <w:rsid w:val="00BD3774"/>
    <w:rsid w:val="00BE121F"/>
    <w:rsid w:val="00BE161C"/>
    <w:rsid w:val="00BE37CE"/>
    <w:rsid w:val="00BE3BDF"/>
    <w:rsid w:val="00BE3F07"/>
    <w:rsid w:val="00BE5A2B"/>
    <w:rsid w:val="00BE5F23"/>
    <w:rsid w:val="00BE744B"/>
    <w:rsid w:val="00BF0990"/>
    <w:rsid w:val="00BF0BA1"/>
    <w:rsid w:val="00BF14CE"/>
    <w:rsid w:val="00BF2004"/>
    <w:rsid w:val="00BF416B"/>
    <w:rsid w:val="00BF68F0"/>
    <w:rsid w:val="00BF7BF6"/>
    <w:rsid w:val="00BF7F45"/>
    <w:rsid w:val="00C001E1"/>
    <w:rsid w:val="00C01160"/>
    <w:rsid w:val="00C03CD3"/>
    <w:rsid w:val="00C04229"/>
    <w:rsid w:val="00C05F0A"/>
    <w:rsid w:val="00C06457"/>
    <w:rsid w:val="00C079BF"/>
    <w:rsid w:val="00C107C3"/>
    <w:rsid w:val="00C159B2"/>
    <w:rsid w:val="00C15DEE"/>
    <w:rsid w:val="00C1635A"/>
    <w:rsid w:val="00C16DC7"/>
    <w:rsid w:val="00C20809"/>
    <w:rsid w:val="00C211F1"/>
    <w:rsid w:val="00C213BF"/>
    <w:rsid w:val="00C21C4C"/>
    <w:rsid w:val="00C21C54"/>
    <w:rsid w:val="00C2265F"/>
    <w:rsid w:val="00C227FA"/>
    <w:rsid w:val="00C24B87"/>
    <w:rsid w:val="00C25213"/>
    <w:rsid w:val="00C25299"/>
    <w:rsid w:val="00C256D4"/>
    <w:rsid w:val="00C25975"/>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251E"/>
    <w:rsid w:val="00C437E2"/>
    <w:rsid w:val="00C43B39"/>
    <w:rsid w:val="00C44241"/>
    <w:rsid w:val="00C44C05"/>
    <w:rsid w:val="00C45EE8"/>
    <w:rsid w:val="00C46F40"/>
    <w:rsid w:val="00C46F55"/>
    <w:rsid w:val="00C50627"/>
    <w:rsid w:val="00C51542"/>
    <w:rsid w:val="00C5355A"/>
    <w:rsid w:val="00C555CE"/>
    <w:rsid w:val="00C559B0"/>
    <w:rsid w:val="00C57EF1"/>
    <w:rsid w:val="00C6169C"/>
    <w:rsid w:val="00C61DB2"/>
    <w:rsid w:val="00C62806"/>
    <w:rsid w:val="00C6317C"/>
    <w:rsid w:val="00C6362E"/>
    <w:rsid w:val="00C6443C"/>
    <w:rsid w:val="00C65170"/>
    <w:rsid w:val="00C6719A"/>
    <w:rsid w:val="00C70557"/>
    <w:rsid w:val="00C70646"/>
    <w:rsid w:val="00C70E00"/>
    <w:rsid w:val="00C72678"/>
    <w:rsid w:val="00C735E6"/>
    <w:rsid w:val="00C74ACA"/>
    <w:rsid w:val="00C75513"/>
    <w:rsid w:val="00C76E82"/>
    <w:rsid w:val="00C77008"/>
    <w:rsid w:val="00C80106"/>
    <w:rsid w:val="00C81D27"/>
    <w:rsid w:val="00C81D85"/>
    <w:rsid w:val="00C827FE"/>
    <w:rsid w:val="00C83EDD"/>
    <w:rsid w:val="00C8415D"/>
    <w:rsid w:val="00C852AB"/>
    <w:rsid w:val="00C868BE"/>
    <w:rsid w:val="00C872F3"/>
    <w:rsid w:val="00C90D93"/>
    <w:rsid w:val="00C91D31"/>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372B"/>
    <w:rsid w:val="00CA5185"/>
    <w:rsid w:val="00CA69DF"/>
    <w:rsid w:val="00CA7D55"/>
    <w:rsid w:val="00CB077C"/>
    <w:rsid w:val="00CB095F"/>
    <w:rsid w:val="00CB1744"/>
    <w:rsid w:val="00CB5984"/>
    <w:rsid w:val="00CB6F5D"/>
    <w:rsid w:val="00CC00B4"/>
    <w:rsid w:val="00CC0D7B"/>
    <w:rsid w:val="00CC0E0E"/>
    <w:rsid w:val="00CC1FCD"/>
    <w:rsid w:val="00CC2D5D"/>
    <w:rsid w:val="00CC30D1"/>
    <w:rsid w:val="00CC443C"/>
    <w:rsid w:val="00CC6863"/>
    <w:rsid w:val="00CC6BDB"/>
    <w:rsid w:val="00CD1D87"/>
    <w:rsid w:val="00CD2FEE"/>
    <w:rsid w:val="00CD399C"/>
    <w:rsid w:val="00CD3DE0"/>
    <w:rsid w:val="00CD412A"/>
    <w:rsid w:val="00CD4AA5"/>
    <w:rsid w:val="00CD4C5B"/>
    <w:rsid w:val="00CD62AA"/>
    <w:rsid w:val="00CD7F27"/>
    <w:rsid w:val="00CE06DD"/>
    <w:rsid w:val="00CE0C12"/>
    <w:rsid w:val="00CE1B20"/>
    <w:rsid w:val="00CE1B51"/>
    <w:rsid w:val="00CE2127"/>
    <w:rsid w:val="00CE4F0C"/>
    <w:rsid w:val="00CE6029"/>
    <w:rsid w:val="00CE62DD"/>
    <w:rsid w:val="00CE7D86"/>
    <w:rsid w:val="00CE7D93"/>
    <w:rsid w:val="00CF039D"/>
    <w:rsid w:val="00CF2201"/>
    <w:rsid w:val="00CF3D65"/>
    <w:rsid w:val="00CF3FF4"/>
    <w:rsid w:val="00CF5853"/>
    <w:rsid w:val="00CF60E9"/>
    <w:rsid w:val="00CF6102"/>
    <w:rsid w:val="00CF6B76"/>
    <w:rsid w:val="00D00CE1"/>
    <w:rsid w:val="00D00E4C"/>
    <w:rsid w:val="00D01F45"/>
    <w:rsid w:val="00D03060"/>
    <w:rsid w:val="00D04796"/>
    <w:rsid w:val="00D05E61"/>
    <w:rsid w:val="00D11017"/>
    <w:rsid w:val="00D12543"/>
    <w:rsid w:val="00D12910"/>
    <w:rsid w:val="00D12C8C"/>
    <w:rsid w:val="00D171C9"/>
    <w:rsid w:val="00D17506"/>
    <w:rsid w:val="00D21962"/>
    <w:rsid w:val="00D22C08"/>
    <w:rsid w:val="00D2405A"/>
    <w:rsid w:val="00D2477E"/>
    <w:rsid w:val="00D24AEE"/>
    <w:rsid w:val="00D254B5"/>
    <w:rsid w:val="00D25A2D"/>
    <w:rsid w:val="00D26809"/>
    <w:rsid w:val="00D2692F"/>
    <w:rsid w:val="00D26DC4"/>
    <w:rsid w:val="00D27375"/>
    <w:rsid w:val="00D3073F"/>
    <w:rsid w:val="00D30EDF"/>
    <w:rsid w:val="00D31433"/>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6609B"/>
    <w:rsid w:val="00D70424"/>
    <w:rsid w:val="00D7068F"/>
    <w:rsid w:val="00D70C48"/>
    <w:rsid w:val="00D71A76"/>
    <w:rsid w:val="00D7261A"/>
    <w:rsid w:val="00D76538"/>
    <w:rsid w:val="00D76741"/>
    <w:rsid w:val="00D7747C"/>
    <w:rsid w:val="00D811E6"/>
    <w:rsid w:val="00D82DDB"/>
    <w:rsid w:val="00D83C79"/>
    <w:rsid w:val="00D84A3D"/>
    <w:rsid w:val="00D86DEC"/>
    <w:rsid w:val="00D9055F"/>
    <w:rsid w:val="00D9166F"/>
    <w:rsid w:val="00D9177D"/>
    <w:rsid w:val="00D92C9C"/>
    <w:rsid w:val="00D92FB0"/>
    <w:rsid w:val="00D9399E"/>
    <w:rsid w:val="00D93AFA"/>
    <w:rsid w:val="00D94621"/>
    <w:rsid w:val="00D95122"/>
    <w:rsid w:val="00D96E95"/>
    <w:rsid w:val="00D975DB"/>
    <w:rsid w:val="00DA0276"/>
    <w:rsid w:val="00DA09C1"/>
    <w:rsid w:val="00DA0FCC"/>
    <w:rsid w:val="00DA2A51"/>
    <w:rsid w:val="00DA3173"/>
    <w:rsid w:val="00DA57D9"/>
    <w:rsid w:val="00DA6D8C"/>
    <w:rsid w:val="00DA736C"/>
    <w:rsid w:val="00DB0311"/>
    <w:rsid w:val="00DB127C"/>
    <w:rsid w:val="00DB1BB9"/>
    <w:rsid w:val="00DB333B"/>
    <w:rsid w:val="00DB53A7"/>
    <w:rsid w:val="00DB615C"/>
    <w:rsid w:val="00DB6194"/>
    <w:rsid w:val="00DB7715"/>
    <w:rsid w:val="00DC27B4"/>
    <w:rsid w:val="00DC4300"/>
    <w:rsid w:val="00DC4B40"/>
    <w:rsid w:val="00DC4CB0"/>
    <w:rsid w:val="00DC5FA7"/>
    <w:rsid w:val="00DC71B2"/>
    <w:rsid w:val="00DC7A9A"/>
    <w:rsid w:val="00DD05EB"/>
    <w:rsid w:val="00DD0D65"/>
    <w:rsid w:val="00DD2C96"/>
    <w:rsid w:val="00DD4060"/>
    <w:rsid w:val="00DD455D"/>
    <w:rsid w:val="00DD4679"/>
    <w:rsid w:val="00DD6031"/>
    <w:rsid w:val="00DD6C0F"/>
    <w:rsid w:val="00DE0A25"/>
    <w:rsid w:val="00DE1FE5"/>
    <w:rsid w:val="00DE3088"/>
    <w:rsid w:val="00DE32FC"/>
    <w:rsid w:val="00DE37DD"/>
    <w:rsid w:val="00DE4357"/>
    <w:rsid w:val="00DE492B"/>
    <w:rsid w:val="00DE4D39"/>
    <w:rsid w:val="00DE5572"/>
    <w:rsid w:val="00DE58BF"/>
    <w:rsid w:val="00DE7480"/>
    <w:rsid w:val="00DF2803"/>
    <w:rsid w:val="00DF2E38"/>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14276"/>
    <w:rsid w:val="00E222A9"/>
    <w:rsid w:val="00E23067"/>
    <w:rsid w:val="00E24A1B"/>
    <w:rsid w:val="00E262AC"/>
    <w:rsid w:val="00E27C04"/>
    <w:rsid w:val="00E27EDD"/>
    <w:rsid w:val="00E304B6"/>
    <w:rsid w:val="00E31B44"/>
    <w:rsid w:val="00E32A70"/>
    <w:rsid w:val="00E32D61"/>
    <w:rsid w:val="00E3390D"/>
    <w:rsid w:val="00E33B11"/>
    <w:rsid w:val="00E350CE"/>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6C7"/>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5DBB"/>
    <w:rsid w:val="00EA6791"/>
    <w:rsid w:val="00EA70B3"/>
    <w:rsid w:val="00EB0A1B"/>
    <w:rsid w:val="00EB12EA"/>
    <w:rsid w:val="00EB19CA"/>
    <w:rsid w:val="00EB2E56"/>
    <w:rsid w:val="00EB4BB6"/>
    <w:rsid w:val="00EB70DA"/>
    <w:rsid w:val="00EC21BE"/>
    <w:rsid w:val="00EC3CF4"/>
    <w:rsid w:val="00EC423F"/>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1DC2"/>
    <w:rsid w:val="00EF266F"/>
    <w:rsid w:val="00EF310B"/>
    <w:rsid w:val="00EF4684"/>
    <w:rsid w:val="00EF5009"/>
    <w:rsid w:val="00EF50C1"/>
    <w:rsid w:val="00EF51B4"/>
    <w:rsid w:val="00EF591D"/>
    <w:rsid w:val="00EF60EC"/>
    <w:rsid w:val="00EF6B30"/>
    <w:rsid w:val="00EF6D20"/>
    <w:rsid w:val="00F029A8"/>
    <w:rsid w:val="00F04375"/>
    <w:rsid w:val="00F0472C"/>
    <w:rsid w:val="00F07223"/>
    <w:rsid w:val="00F1065B"/>
    <w:rsid w:val="00F13052"/>
    <w:rsid w:val="00F143E7"/>
    <w:rsid w:val="00F16507"/>
    <w:rsid w:val="00F17A95"/>
    <w:rsid w:val="00F20D09"/>
    <w:rsid w:val="00F21CD8"/>
    <w:rsid w:val="00F223F5"/>
    <w:rsid w:val="00F228AC"/>
    <w:rsid w:val="00F23591"/>
    <w:rsid w:val="00F2481E"/>
    <w:rsid w:val="00F25115"/>
    <w:rsid w:val="00F2647D"/>
    <w:rsid w:val="00F31275"/>
    <w:rsid w:val="00F31E02"/>
    <w:rsid w:val="00F327AB"/>
    <w:rsid w:val="00F3347B"/>
    <w:rsid w:val="00F34617"/>
    <w:rsid w:val="00F35473"/>
    <w:rsid w:val="00F3556F"/>
    <w:rsid w:val="00F3599C"/>
    <w:rsid w:val="00F421CE"/>
    <w:rsid w:val="00F427D4"/>
    <w:rsid w:val="00F42A56"/>
    <w:rsid w:val="00F43B8F"/>
    <w:rsid w:val="00F460BE"/>
    <w:rsid w:val="00F463F7"/>
    <w:rsid w:val="00F51B06"/>
    <w:rsid w:val="00F524B1"/>
    <w:rsid w:val="00F536F2"/>
    <w:rsid w:val="00F54317"/>
    <w:rsid w:val="00F562AF"/>
    <w:rsid w:val="00F562E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2B39"/>
    <w:rsid w:val="00F834DE"/>
    <w:rsid w:val="00F87049"/>
    <w:rsid w:val="00F9126C"/>
    <w:rsid w:val="00F9152D"/>
    <w:rsid w:val="00F9160D"/>
    <w:rsid w:val="00F9328D"/>
    <w:rsid w:val="00F93C18"/>
    <w:rsid w:val="00F946BB"/>
    <w:rsid w:val="00F954CF"/>
    <w:rsid w:val="00F96433"/>
    <w:rsid w:val="00F96C4F"/>
    <w:rsid w:val="00F96D82"/>
    <w:rsid w:val="00F96F61"/>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78E"/>
    <w:rsid w:val="00FB5E8E"/>
    <w:rsid w:val="00FB6296"/>
    <w:rsid w:val="00FB73A5"/>
    <w:rsid w:val="00FB776B"/>
    <w:rsid w:val="00FC12A8"/>
    <w:rsid w:val="00FC1794"/>
    <w:rsid w:val="00FC2777"/>
    <w:rsid w:val="00FC5EE1"/>
    <w:rsid w:val="00FC67A7"/>
    <w:rsid w:val="00FC7A66"/>
    <w:rsid w:val="00FD053A"/>
    <w:rsid w:val="00FD0964"/>
    <w:rsid w:val="00FD1A91"/>
    <w:rsid w:val="00FD1F74"/>
    <w:rsid w:val="00FD20EE"/>
    <w:rsid w:val="00FD25E2"/>
    <w:rsid w:val="00FD5AE5"/>
    <w:rsid w:val="00FE2375"/>
    <w:rsid w:val="00FE2E7F"/>
    <w:rsid w:val="00FE331F"/>
    <w:rsid w:val="00FE3EA4"/>
    <w:rsid w:val="00FE4B13"/>
    <w:rsid w:val="00FE4FEA"/>
    <w:rsid w:val="00FE5215"/>
    <w:rsid w:val="00FF15C7"/>
    <w:rsid w:val="00FF252A"/>
    <w:rsid w:val="00FF3335"/>
    <w:rsid w:val="00FF367F"/>
    <w:rsid w:val="00FF368E"/>
    <w:rsid w:val="00FF41AD"/>
    <w:rsid w:val="00FF7050"/>
    <w:rsid w:val="00FF711B"/>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semiHidden/>
    <w:locked/>
    <w:rsid w:val="00C6317C"/>
    <w:rPr>
      <w:rFonts w:ascii="Cambria" w:hAnsi="Cambria"/>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Nadpis1Char">
    <w:name w:val="Nadpis 1 Char"/>
    <w:link w:val="Nadpis1"/>
    <w:uiPriority w:val="9"/>
    <w:locked/>
    <w:rsid w:val="00C6317C"/>
    <w:rPr>
      <w:rFonts w:ascii="Cambria" w:hAnsi="Cambria"/>
      <w:b/>
      <w:kern w:val="32"/>
      <w:sz w:val="32"/>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PtaChar">
    <w:name w:val="Päta Char"/>
    <w:link w:val="Pta"/>
    <w:uiPriority w:val="99"/>
    <w:locked/>
    <w:rsid w:val="00C6317C"/>
    <w:rPr>
      <w:sz w:val="24"/>
    </w:rPr>
  </w:style>
  <w:style w:type="character" w:styleId="slostrany">
    <w:name w:val="page number"/>
    <w:basedOn w:val="Predvolenpsmoodseku"/>
    <w:uiPriority w:val="99"/>
    <w:rsid w:val="00714570"/>
  </w:style>
  <w:style w:type="character" w:customStyle="1" w:styleId="TextbublinyChar">
    <w:name w:val="Text bubliny Char"/>
    <w:link w:val="Textbubliny"/>
    <w:uiPriority w:val="99"/>
    <w:semiHidden/>
    <w:locked/>
    <w:rsid w:val="00C6317C"/>
    <w:rPr>
      <w:rFonts w:ascii="Tahoma" w:hAnsi="Tahoma"/>
      <w:sz w:val="16"/>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aliases w:val="web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color w:val="0000FF"/>
      <w:u w:val="single"/>
    </w:rPr>
  </w:style>
  <w:style w:type="character" w:styleId="Zvraznenie">
    <w:name w:val="Emphasis"/>
    <w:basedOn w:val="Predvolenpsmoodseku"/>
    <w:uiPriority w:val="20"/>
    <w:qFormat/>
    <w:rsid w:val="005B20C3"/>
    <w:rPr>
      <w:i/>
    </w:rPr>
  </w:style>
  <w:style w:type="character" w:styleId="Odkaznakomentr">
    <w:name w:val="annotation reference"/>
    <w:basedOn w:val="Predvolenpsmoodseku"/>
    <w:uiPriority w:val="99"/>
    <w:rsid w:val="00567155"/>
    <w:rPr>
      <w:sz w:val="16"/>
    </w:rPr>
  </w:style>
  <w:style w:type="paragraph" w:styleId="Textkomentra">
    <w:name w:val="annotation text"/>
    <w:basedOn w:val="Normlny"/>
    <w:link w:val="TextkomentraChar"/>
    <w:uiPriority w:val="99"/>
    <w:rsid w:val="00567155"/>
    <w:rPr>
      <w:sz w:val="20"/>
      <w:szCs w:val="20"/>
    </w:rPr>
  </w:style>
  <w:style w:type="paragraph" w:styleId="Predmetkomentra">
    <w:name w:val="annotation subject"/>
    <w:basedOn w:val="Textkomentra"/>
    <w:next w:val="Textkomentra"/>
    <w:link w:val="PredmetkomentraChar"/>
    <w:uiPriority w:val="99"/>
    <w:rsid w:val="00567155"/>
    <w:rPr>
      <w:b/>
      <w:bCs/>
    </w:rPr>
  </w:style>
  <w:style w:type="character" w:customStyle="1" w:styleId="TextkomentraChar">
    <w:name w:val="Text komentára Char"/>
    <w:link w:val="Textkomentra"/>
    <w:uiPriority w:val="99"/>
    <w:locked/>
    <w:rsid w:val="00567155"/>
  </w:style>
  <w:style w:type="paragraph" w:styleId="Hlavika">
    <w:name w:val="header"/>
    <w:basedOn w:val="Normlny"/>
    <w:link w:val="HlavikaChar"/>
    <w:uiPriority w:val="99"/>
    <w:rsid w:val="00506059"/>
    <w:pPr>
      <w:tabs>
        <w:tab w:val="center" w:pos="4536"/>
        <w:tab w:val="right" w:pos="9072"/>
      </w:tabs>
    </w:pPr>
  </w:style>
  <w:style w:type="character" w:customStyle="1" w:styleId="PredmetkomentraChar">
    <w:name w:val="Predmet komentára Char"/>
    <w:link w:val="Predmetkomentra"/>
    <w:uiPriority w:val="99"/>
    <w:locked/>
    <w:rsid w:val="00567155"/>
    <w:rPr>
      <w:b/>
    </w:rPr>
  </w:style>
  <w:style w:type="paragraph" w:styleId="Revzia">
    <w:name w:val="Revision"/>
    <w:hidden/>
    <w:uiPriority w:val="99"/>
    <w:semiHidden/>
    <w:rsid w:val="00EF4684"/>
    <w:rPr>
      <w:sz w:val="24"/>
      <w:szCs w:val="24"/>
    </w:rPr>
  </w:style>
  <w:style w:type="character" w:customStyle="1" w:styleId="HlavikaChar">
    <w:name w:val="Hlavička Char"/>
    <w:link w:val="Hlavika"/>
    <w:uiPriority w:val="99"/>
    <w:locked/>
    <w:rsid w:val="00506059"/>
    <w:rPr>
      <w:sz w:val="24"/>
    </w:rPr>
  </w:style>
  <w:style w:type="paragraph" w:styleId="Odsekzoznamu">
    <w:name w:val="List Paragraph"/>
    <w:aliases w:val="body,Odsek zoznamu2,Odsek,Odsek zoznamu1,List Paragraph,List Paragraph1"/>
    <w:basedOn w:val="Normlny"/>
    <w:link w:val="OdsekzoznamuChar"/>
    <w:uiPriority w:val="34"/>
    <w:qFormat/>
    <w:rsid w:val="003F4461"/>
    <w:pPr>
      <w:ind w:left="720"/>
      <w:contextualSpacing/>
    </w:pPr>
  </w:style>
  <w:style w:type="paragraph" w:styleId="Zkladntext">
    <w:name w:val="Body Text"/>
    <w:basedOn w:val="Normlny"/>
    <w:link w:val="ZkladntextChar"/>
    <w:uiPriority w:val="99"/>
    <w:rsid w:val="00196440"/>
    <w:pPr>
      <w:spacing w:after="120"/>
    </w:pPr>
    <w:rPr>
      <w:lang w:eastAsia="cs-CZ"/>
    </w:rPr>
  </w:style>
  <w:style w:type="character" w:customStyle="1" w:styleId="ZkladntextChar">
    <w:name w:val="Základný text Char"/>
    <w:basedOn w:val="Predvolenpsmoodseku"/>
    <w:link w:val="Zkladntext"/>
    <w:uiPriority w:val="99"/>
    <w:rsid w:val="00196440"/>
    <w:rPr>
      <w:sz w:val="24"/>
      <w:szCs w:val="24"/>
      <w:lang w:eastAsia="cs-CZ"/>
    </w:rPr>
  </w:style>
  <w:style w:type="paragraph" w:customStyle="1" w:styleId="Vchodzie">
    <w:name w:val="Vchodzie"/>
    <w:uiPriority w:val="99"/>
    <w:rsid w:val="00AE165B"/>
    <w:pPr>
      <w:widowControl w:val="0"/>
      <w:autoSpaceDN w:val="0"/>
      <w:adjustRightInd w:val="0"/>
      <w:spacing w:after="200" w:line="276" w:lineRule="auto"/>
    </w:pPr>
    <w:rPr>
      <w:rFonts w:ascii="Calibri" w:eastAsiaTheme="minorEastAsia" w:hAnsi="Calibri" w:cs="Calibri"/>
      <w:kern w:val="2"/>
      <w:sz w:val="22"/>
      <w:szCs w:val="22"/>
      <w:lang w:val="en-US" w:eastAsia="en-US"/>
    </w:r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AE165B"/>
    <w:rPr>
      <w:sz w:val="24"/>
      <w:szCs w:val="24"/>
    </w:rPr>
  </w:style>
  <w:style w:type="table" w:styleId="Mriekatabuky">
    <w:name w:val="Table Grid"/>
    <w:basedOn w:val="Normlnatabuka"/>
    <w:uiPriority w:val="59"/>
    <w:rsid w:val="00AE165B"/>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semiHidden/>
    <w:locked/>
    <w:rsid w:val="00C6317C"/>
    <w:rPr>
      <w:rFonts w:ascii="Cambria" w:hAnsi="Cambria"/>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Nadpis1Char">
    <w:name w:val="Nadpis 1 Char"/>
    <w:link w:val="Nadpis1"/>
    <w:uiPriority w:val="9"/>
    <w:locked/>
    <w:rsid w:val="00C6317C"/>
    <w:rPr>
      <w:rFonts w:ascii="Cambria" w:hAnsi="Cambria"/>
      <w:b/>
      <w:kern w:val="32"/>
      <w:sz w:val="32"/>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PtaChar">
    <w:name w:val="Päta Char"/>
    <w:link w:val="Pta"/>
    <w:uiPriority w:val="99"/>
    <w:locked/>
    <w:rsid w:val="00C6317C"/>
    <w:rPr>
      <w:sz w:val="24"/>
    </w:rPr>
  </w:style>
  <w:style w:type="character" w:styleId="slostrany">
    <w:name w:val="page number"/>
    <w:basedOn w:val="Predvolenpsmoodseku"/>
    <w:uiPriority w:val="99"/>
    <w:rsid w:val="00714570"/>
  </w:style>
  <w:style w:type="character" w:customStyle="1" w:styleId="TextbublinyChar">
    <w:name w:val="Text bubliny Char"/>
    <w:link w:val="Textbubliny"/>
    <w:uiPriority w:val="99"/>
    <w:semiHidden/>
    <w:locked/>
    <w:rsid w:val="00C6317C"/>
    <w:rPr>
      <w:rFonts w:ascii="Tahoma" w:hAnsi="Tahoma"/>
      <w:sz w:val="16"/>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aliases w:val="web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color w:val="0000FF"/>
      <w:u w:val="single"/>
    </w:rPr>
  </w:style>
  <w:style w:type="character" w:styleId="Zvraznenie">
    <w:name w:val="Emphasis"/>
    <w:basedOn w:val="Predvolenpsmoodseku"/>
    <w:uiPriority w:val="20"/>
    <w:qFormat/>
    <w:rsid w:val="005B20C3"/>
    <w:rPr>
      <w:i/>
    </w:rPr>
  </w:style>
  <w:style w:type="character" w:styleId="Odkaznakomentr">
    <w:name w:val="annotation reference"/>
    <w:basedOn w:val="Predvolenpsmoodseku"/>
    <w:uiPriority w:val="99"/>
    <w:rsid w:val="00567155"/>
    <w:rPr>
      <w:sz w:val="16"/>
    </w:rPr>
  </w:style>
  <w:style w:type="paragraph" w:styleId="Textkomentra">
    <w:name w:val="annotation text"/>
    <w:basedOn w:val="Normlny"/>
    <w:link w:val="TextkomentraChar"/>
    <w:uiPriority w:val="99"/>
    <w:rsid w:val="00567155"/>
    <w:rPr>
      <w:sz w:val="20"/>
      <w:szCs w:val="20"/>
    </w:rPr>
  </w:style>
  <w:style w:type="paragraph" w:styleId="Predmetkomentra">
    <w:name w:val="annotation subject"/>
    <w:basedOn w:val="Textkomentra"/>
    <w:next w:val="Textkomentra"/>
    <w:link w:val="PredmetkomentraChar"/>
    <w:uiPriority w:val="99"/>
    <w:rsid w:val="00567155"/>
    <w:rPr>
      <w:b/>
      <w:bCs/>
    </w:rPr>
  </w:style>
  <w:style w:type="character" w:customStyle="1" w:styleId="TextkomentraChar">
    <w:name w:val="Text komentára Char"/>
    <w:link w:val="Textkomentra"/>
    <w:uiPriority w:val="99"/>
    <w:locked/>
    <w:rsid w:val="00567155"/>
  </w:style>
  <w:style w:type="paragraph" w:styleId="Hlavika">
    <w:name w:val="header"/>
    <w:basedOn w:val="Normlny"/>
    <w:link w:val="HlavikaChar"/>
    <w:uiPriority w:val="99"/>
    <w:rsid w:val="00506059"/>
    <w:pPr>
      <w:tabs>
        <w:tab w:val="center" w:pos="4536"/>
        <w:tab w:val="right" w:pos="9072"/>
      </w:tabs>
    </w:pPr>
  </w:style>
  <w:style w:type="character" w:customStyle="1" w:styleId="PredmetkomentraChar">
    <w:name w:val="Predmet komentára Char"/>
    <w:link w:val="Predmetkomentra"/>
    <w:uiPriority w:val="99"/>
    <w:locked/>
    <w:rsid w:val="00567155"/>
    <w:rPr>
      <w:b/>
    </w:rPr>
  </w:style>
  <w:style w:type="paragraph" w:styleId="Revzia">
    <w:name w:val="Revision"/>
    <w:hidden/>
    <w:uiPriority w:val="99"/>
    <w:semiHidden/>
    <w:rsid w:val="00EF4684"/>
    <w:rPr>
      <w:sz w:val="24"/>
      <w:szCs w:val="24"/>
    </w:rPr>
  </w:style>
  <w:style w:type="character" w:customStyle="1" w:styleId="HlavikaChar">
    <w:name w:val="Hlavička Char"/>
    <w:link w:val="Hlavika"/>
    <w:uiPriority w:val="99"/>
    <w:locked/>
    <w:rsid w:val="00506059"/>
    <w:rPr>
      <w:sz w:val="24"/>
    </w:rPr>
  </w:style>
  <w:style w:type="paragraph" w:styleId="Odsekzoznamu">
    <w:name w:val="List Paragraph"/>
    <w:aliases w:val="body,Odsek zoznamu2,Odsek,Odsek zoznamu1,List Paragraph,List Paragraph1"/>
    <w:basedOn w:val="Normlny"/>
    <w:link w:val="OdsekzoznamuChar"/>
    <w:uiPriority w:val="34"/>
    <w:qFormat/>
    <w:rsid w:val="003F4461"/>
    <w:pPr>
      <w:ind w:left="720"/>
      <w:contextualSpacing/>
    </w:pPr>
  </w:style>
  <w:style w:type="paragraph" w:styleId="Zkladntext">
    <w:name w:val="Body Text"/>
    <w:basedOn w:val="Normlny"/>
    <w:link w:val="ZkladntextChar"/>
    <w:uiPriority w:val="99"/>
    <w:rsid w:val="00196440"/>
    <w:pPr>
      <w:spacing w:after="120"/>
    </w:pPr>
    <w:rPr>
      <w:lang w:eastAsia="cs-CZ"/>
    </w:rPr>
  </w:style>
  <w:style w:type="character" w:customStyle="1" w:styleId="ZkladntextChar">
    <w:name w:val="Základný text Char"/>
    <w:basedOn w:val="Predvolenpsmoodseku"/>
    <w:link w:val="Zkladntext"/>
    <w:uiPriority w:val="99"/>
    <w:rsid w:val="00196440"/>
    <w:rPr>
      <w:sz w:val="24"/>
      <w:szCs w:val="24"/>
      <w:lang w:eastAsia="cs-CZ"/>
    </w:rPr>
  </w:style>
  <w:style w:type="paragraph" w:customStyle="1" w:styleId="Vchodzie">
    <w:name w:val="Vchodzie"/>
    <w:uiPriority w:val="99"/>
    <w:rsid w:val="00AE165B"/>
    <w:pPr>
      <w:widowControl w:val="0"/>
      <w:autoSpaceDN w:val="0"/>
      <w:adjustRightInd w:val="0"/>
      <w:spacing w:after="200" w:line="276" w:lineRule="auto"/>
    </w:pPr>
    <w:rPr>
      <w:rFonts w:ascii="Calibri" w:eastAsiaTheme="minorEastAsia" w:hAnsi="Calibri" w:cs="Calibri"/>
      <w:kern w:val="2"/>
      <w:sz w:val="22"/>
      <w:szCs w:val="22"/>
      <w:lang w:val="en-US" w:eastAsia="en-US"/>
    </w:r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AE165B"/>
    <w:rPr>
      <w:sz w:val="24"/>
      <w:szCs w:val="24"/>
    </w:rPr>
  </w:style>
  <w:style w:type="table" w:styleId="Mriekatabuky">
    <w:name w:val="Table Grid"/>
    <w:basedOn w:val="Normlnatabuka"/>
    <w:uiPriority w:val="59"/>
    <w:rsid w:val="00AE165B"/>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1472">
      <w:marLeft w:val="0"/>
      <w:marRight w:val="0"/>
      <w:marTop w:val="0"/>
      <w:marBottom w:val="0"/>
      <w:divBdr>
        <w:top w:val="none" w:sz="0" w:space="0" w:color="auto"/>
        <w:left w:val="none" w:sz="0" w:space="0" w:color="auto"/>
        <w:bottom w:val="none" w:sz="0" w:space="0" w:color="auto"/>
        <w:right w:val="none" w:sz="0" w:space="0" w:color="auto"/>
      </w:divBdr>
    </w:div>
    <w:div w:id="111481475">
      <w:marLeft w:val="0"/>
      <w:marRight w:val="0"/>
      <w:marTop w:val="0"/>
      <w:marBottom w:val="0"/>
      <w:divBdr>
        <w:top w:val="none" w:sz="0" w:space="0" w:color="auto"/>
        <w:left w:val="none" w:sz="0" w:space="0" w:color="auto"/>
        <w:bottom w:val="none" w:sz="0" w:space="0" w:color="auto"/>
        <w:right w:val="none" w:sz="0" w:space="0" w:color="auto"/>
      </w:divBdr>
    </w:div>
    <w:div w:id="111481477">
      <w:marLeft w:val="0"/>
      <w:marRight w:val="0"/>
      <w:marTop w:val="0"/>
      <w:marBottom w:val="0"/>
      <w:divBdr>
        <w:top w:val="none" w:sz="0" w:space="0" w:color="auto"/>
        <w:left w:val="none" w:sz="0" w:space="0" w:color="auto"/>
        <w:bottom w:val="none" w:sz="0" w:space="0" w:color="auto"/>
        <w:right w:val="none" w:sz="0" w:space="0" w:color="auto"/>
      </w:divBdr>
    </w:div>
    <w:div w:id="111481479">
      <w:marLeft w:val="0"/>
      <w:marRight w:val="0"/>
      <w:marTop w:val="0"/>
      <w:marBottom w:val="0"/>
      <w:divBdr>
        <w:top w:val="none" w:sz="0" w:space="0" w:color="auto"/>
        <w:left w:val="none" w:sz="0" w:space="0" w:color="auto"/>
        <w:bottom w:val="none" w:sz="0" w:space="0" w:color="auto"/>
        <w:right w:val="none" w:sz="0" w:space="0" w:color="auto"/>
      </w:divBdr>
    </w:div>
    <w:div w:id="111481483">
      <w:marLeft w:val="0"/>
      <w:marRight w:val="0"/>
      <w:marTop w:val="0"/>
      <w:marBottom w:val="0"/>
      <w:divBdr>
        <w:top w:val="none" w:sz="0" w:space="0" w:color="auto"/>
        <w:left w:val="none" w:sz="0" w:space="0" w:color="auto"/>
        <w:bottom w:val="none" w:sz="0" w:space="0" w:color="auto"/>
        <w:right w:val="none" w:sz="0" w:space="0" w:color="auto"/>
      </w:divBdr>
      <w:divsChild>
        <w:div w:id="111481489">
          <w:marLeft w:val="0"/>
          <w:marRight w:val="0"/>
          <w:marTop w:val="0"/>
          <w:marBottom w:val="0"/>
          <w:divBdr>
            <w:top w:val="none" w:sz="0" w:space="0" w:color="auto"/>
            <w:left w:val="none" w:sz="0" w:space="0" w:color="auto"/>
            <w:bottom w:val="none" w:sz="0" w:space="0" w:color="auto"/>
            <w:right w:val="none" w:sz="0" w:space="0" w:color="auto"/>
          </w:divBdr>
          <w:divsChild>
            <w:div w:id="111481467">
              <w:marLeft w:val="0"/>
              <w:marRight w:val="0"/>
              <w:marTop w:val="0"/>
              <w:marBottom w:val="0"/>
              <w:divBdr>
                <w:top w:val="none" w:sz="0" w:space="0" w:color="auto"/>
                <w:left w:val="none" w:sz="0" w:space="0" w:color="auto"/>
                <w:bottom w:val="none" w:sz="0" w:space="0" w:color="auto"/>
                <w:right w:val="none" w:sz="0" w:space="0" w:color="auto"/>
              </w:divBdr>
              <w:divsChild>
                <w:div w:id="111481482">
                  <w:marLeft w:val="0"/>
                  <w:marRight w:val="0"/>
                  <w:marTop w:val="0"/>
                  <w:marBottom w:val="0"/>
                  <w:divBdr>
                    <w:top w:val="none" w:sz="0" w:space="0" w:color="auto"/>
                    <w:left w:val="none" w:sz="0" w:space="0" w:color="auto"/>
                    <w:bottom w:val="none" w:sz="0" w:space="0" w:color="auto"/>
                    <w:right w:val="none" w:sz="0" w:space="0" w:color="auto"/>
                  </w:divBdr>
                  <w:divsChild>
                    <w:div w:id="111481490">
                      <w:marLeft w:val="0"/>
                      <w:marRight w:val="0"/>
                      <w:marTop w:val="0"/>
                      <w:marBottom w:val="0"/>
                      <w:divBdr>
                        <w:top w:val="none" w:sz="0" w:space="0" w:color="auto"/>
                        <w:left w:val="none" w:sz="0" w:space="0" w:color="auto"/>
                        <w:bottom w:val="none" w:sz="0" w:space="0" w:color="auto"/>
                        <w:right w:val="none" w:sz="0" w:space="0" w:color="auto"/>
                      </w:divBdr>
                      <w:divsChild>
                        <w:div w:id="111481473">
                          <w:marLeft w:val="0"/>
                          <w:marRight w:val="0"/>
                          <w:marTop w:val="0"/>
                          <w:marBottom w:val="0"/>
                          <w:divBdr>
                            <w:top w:val="none" w:sz="0" w:space="0" w:color="auto"/>
                            <w:left w:val="none" w:sz="0" w:space="0" w:color="auto"/>
                            <w:bottom w:val="none" w:sz="0" w:space="0" w:color="auto"/>
                            <w:right w:val="none" w:sz="0" w:space="0" w:color="auto"/>
                          </w:divBdr>
                          <w:divsChild>
                            <w:div w:id="111481485">
                              <w:marLeft w:val="0"/>
                              <w:marRight w:val="0"/>
                              <w:marTop w:val="0"/>
                              <w:marBottom w:val="0"/>
                              <w:divBdr>
                                <w:top w:val="none" w:sz="0" w:space="0" w:color="auto"/>
                                <w:left w:val="none" w:sz="0" w:space="0" w:color="auto"/>
                                <w:bottom w:val="none" w:sz="0" w:space="0" w:color="auto"/>
                                <w:right w:val="none" w:sz="0" w:space="0" w:color="auto"/>
                              </w:divBdr>
                              <w:divsChild>
                                <w:div w:id="111481476">
                                  <w:marLeft w:val="0"/>
                                  <w:marRight w:val="0"/>
                                  <w:marTop w:val="0"/>
                                  <w:marBottom w:val="0"/>
                                  <w:divBdr>
                                    <w:top w:val="none" w:sz="0" w:space="0" w:color="auto"/>
                                    <w:left w:val="none" w:sz="0" w:space="0" w:color="auto"/>
                                    <w:bottom w:val="none" w:sz="0" w:space="0" w:color="auto"/>
                                    <w:right w:val="none" w:sz="0" w:space="0" w:color="auto"/>
                                  </w:divBdr>
                                  <w:divsChild>
                                    <w:div w:id="111481469">
                                      <w:marLeft w:val="0"/>
                                      <w:marRight w:val="0"/>
                                      <w:marTop w:val="0"/>
                                      <w:marBottom w:val="0"/>
                                      <w:divBdr>
                                        <w:top w:val="single" w:sz="6" w:space="0" w:color="F5F5F5"/>
                                        <w:left w:val="single" w:sz="6" w:space="0" w:color="F5F5F5"/>
                                        <w:bottom w:val="single" w:sz="6" w:space="0" w:color="F5F5F5"/>
                                        <w:right w:val="single" w:sz="6" w:space="0" w:color="F5F5F5"/>
                                      </w:divBdr>
                                      <w:divsChild>
                                        <w:div w:id="111481466">
                                          <w:marLeft w:val="0"/>
                                          <w:marRight w:val="0"/>
                                          <w:marTop w:val="0"/>
                                          <w:marBottom w:val="0"/>
                                          <w:divBdr>
                                            <w:top w:val="none" w:sz="0" w:space="0" w:color="auto"/>
                                            <w:left w:val="none" w:sz="0" w:space="0" w:color="auto"/>
                                            <w:bottom w:val="none" w:sz="0" w:space="0" w:color="auto"/>
                                            <w:right w:val="none" w:sz="0" w:space="0" w:color="auto"/>
                                          </w:divBdr>
                                          <w:divsChild>
                                            <w:div w:id="1114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81491">
      <w:marLeft w:val="0"/>
      <w:marRight w:val="0"/>
      <w:marTop w:val="0"/>
      <w:marBottom w:val="0"/>
      <w:divBdr>
        <w:top w:val="none" w:sz="0" w:space="0" w:color="auto"/>
        <w:left w:val="none" w:sz="0" w:space="0" w:color="auto"/>
        <w:bottom w:val="none" w:sz="0" w:space="0" w:color="auto"/>
        <w:right w:val="none" w:sz="0" w:space="0" w:color="auto"/>
      </w:divBdr>
    </w:div>
    <w:div w:id="111481492">
      <w:marLeft w:val="0"/>
      <w:marRight w:val="0"/>
      <w:marTop w:val="0"/>
      <w:marBottom w:val="0"/>
      <w:divBdr>
        <w:top w:val="none" w:sz="0" w:space="0" w:color="auto"/>
        <w:left w:val="none" w:sz="0" w:space="0" w:color="auto"/>
        <w:bottom w:val="none" w:sz="0" w:space="0" w:color="auto"/>
        <w:right w:val="none" w:sz="0" w:space="0" w:color="auto"/>
      </w:divBdr>
    </w:div>
    <w:div w:id="111481493">
      <w:marLeft w:val="0"/>
      <w:marRight w:val="0"/>
      <w:marTop w:val="0"/>
      <w:marBottom w:val="0"/>
      <w:divBdr>
        <w:top w:val="none" w:sz="0" w:space="0" w:color="auto"/>
        <w:left w:val="none" w:sz="0" w:space="0" w:color="auto"/>
        <w:bottom w:val="none" w:sz="0" w:space="0" w:color="auto"/>
        <w:right w:val="none" w:sz="0" w:space="0" w:color="auto"/>
      </w:divBdr>
    </w:div>
    <w:div w:id="111481494">
      <w:marLeft w:val="0"/>
      <w:marRight w:val="0"/>
      <w:marTop w:val="0"/>
      <w:marBottom w:val="0"/>
      <w:divBdr>
        <w:top w:val="none" w:sz="0" w:space="0" w:color="auto"/>
        <w:left w:val="none" w:sz="0" w:space="0" w:color="auto"/>
        <w:bottom w:val="none" w:sz="0" w:space="0" w:color="auto"/>
        <w:right w:val="none" w:sz="0" w:space="0" w:color="auto"/>
      </w:divBdr>
    </w:div>
    <w:div w:id="111481495">
      <w:marLeft w:val="0"/>
      <w:marRight w:val="0"/>
      <w:marTop w:val="0"/>
      <w:marBottom w:val="0"/>
      <w:divBdr>
        <w:top w:val="none" w:sz="0" w:space="0" w:color="auto"/>
        <w:left w:val="none" w:sz="0" w:space="0" w:color="auto"/>
        <w:bottom w:val="none" w:sz="0" w:space="0" w:color="auto"/>
        <w:right w:val="none" w:sz="0" w:space="0" w:color="auto"/>
      </w:divBdr>
      <w:divsChild>
        <w:div w:id="111481480">
          <w:marLeft w:val="0"/>
          <w:marRight w:val="0"/>
          <w:marTop w:val="0"/>
          <w:marBottom w:val="0"/>
          <w:divBdr>
            <w:top w:val="none" w:sz="0" w:space="0" w:color="auto"/>
            <w:left w:val="none" w:sz="0" w:space="0" w:color="auto"/>
            <w:bottom w:val="none" w:sz="0" w:space="0" w:color="auto"/>
            <w:right w:val="none" w:sz="0" w:space="0" w:color="auto"/>
          </w:divBdr>
          <w:divsChild>
            <w:div w:id="111481487">
              <w:marLeft w:val="0"/>
              <w:marRight w:val="0"/>
              <w:marTop w:val="0"/>
              <w:marBottom w:val="0"/>
              <w:divBdr>
                <w:top w:val="none" w:sz="0" w:space="0" w:color="auto"/>
                <w:left w:val="none" w:sz="0" w:space="0" w:color="auto"/>
                <w:bottom w:val="none" w:sz="0" w:space="0" w:color="auto"/>
                <w:right w:val="none" w:sz="0" w:space="0" w:color="auto"/>
              </w:divBdr>
              <w:divsChild>
                <w:div w:id="111481468">
                  <w:marLeft w:val="0"/>
                  <w:marRight w:val="0"/>
                  <w:marTop w:val="0"/>
                  <w:marBottom w:val="0"/>
                  <w:divBdr>
                    <w:top w:val="none" w:sz="0" w:space="0" w:color="auto"/>
                    <w:left w:val="none" w:sz="0" w:space="0" w:color="auto"/>
                    <w:bottom w:val="none" w:sz="0" w:space="0" w:color="auto"/>
                    <w:right w:val="none" w:sz="0" w:space="0" w:color="auto"/>
                  </w:divBdr>
                  <w:divsChild>
                    <w:div w:id="111481481">
                      <w:marLeft w:val="0"/>
                      <w:marRight w:val="0"/>
                      <w:marTop w:val="0"/>
                      <w:marBottom w:val="0"/>
                      <w:divBdr>
                        <w:top w:val="none" w:sz="0" w:space="0" w:color="auto"/>
                        <w:left w:val="none" w:sz="0" w:space="0" w:color="auto"/>
                        <w:bottom w:val="none" w:sz="0" w:space="0" w:color="auto"/>
                        <w:right w:val="none" w:sz="0" w:space="0" w:color="auto"/>
                      </w:divBdr>
                      <w:divsChild>
                        <w:div w:id="111481478">
                          <w:marLeft w:val="0"/>
                          <w:marRight w:val="0"/>
                          <w:marTop w:val="0"/>
                          <w:marBottom w:val="0"/>
                          <w:divBdr>
                            <w:top w:val="none" w:sz="0" w:space="0" w:color="auto"/>
                            <w:left w:val="none" w:sz="0" w:space="0" w:color="auto"/>
                            <w:bottom w:val="none" w:sz="0" w:space="0" w:color="auto"/>
                            <w:right w:val="none" w:sz="0" w:space="0" w:color="auto"/>
                          </w:divBdr>
                          <w:divsChild>
                            <w:div w:id="111481484">
                              <w:marLeft w:val="0"/>
                              <w:marRight w:val="0"/>
                              <w:marTop w:val="0"/>
                              <w:marBottom w:val="0"/>
                              <w:divBdr>
                                <w:top w:val="none" w:sz="0" w:space="0" w:color="auto"/>
                                <w:left w:val="none" w:sz="0" w:space="0" w:color="auto"/>
                                <w:bottom w:val="none" w:sz="0" w:space="0" w:color="auto"/>
                                <w:right w:val="none" w:sz="0" w:space="0" w:color="auto"/>
                              </w:divBdr>
                              <w:divsChild>
                                <w:div w:id="111481474">
                                  <w:marLeft w:val="0"/>
                                  <w:marRight w:val="0"/>
                                  <w:marTop w:val="0"/>
                                  <w:marBottom w:val="0"/>
                                  <w:divBdr>
                                    <w:top w:val="none" w:sz="0" w:space="0" w:color="auto"/>
                                    <w:left w:val="none" w:sz="0" w:space="0" w:color="auto"/>
                                    <w:bottom w:val="none" w:sz="0" w:space="0" w:color="auto"/>
                                    <w:right w:val="none" w:sz="0" w:space="0" w:color="auto"/>
                                  </w:divBdr>
                                  <w:divsChild>
                                    <w:div w:id="111481486">
                                      <w:marLeft w:val="0"/>
                                      <w:marRight w:val="0"/>
                                      <w:marTop w:val="0"/>
                                      <w:marBottom w:val="0"/>
                                      <w:divBdr>
                                        <w:top w:val="single" w:sz="6" w:space="0" w:color="F5F5F5"/>
                                        <w:left w:val="single" w:sz="6" w:space="0" w:color="F5F5F5"/>
                                        <w:bottom w:val="single" w:sz="6" w:space="0" w:color="F5F5F5"/>
                                        <w:right w:val="single" w:sz="6" w:space="0" w:color="F5F5F5"/>
                                      </w:divBdr>
                                      <w:divsChild>
                                        <w:div w:id="111481470">
                                          <w:marLeft w:val="0"/>
                                          <w:marRight w:val="0"/>
                                          <w:marTop w:val="0"/>
                                          <w:marBottom w:val="0"/>
                                          <w:divBdr>
                                            <w:top w:val="none" w:sz="0" w:space="0" w:color="auto"/>
                                            <w:left w:val="none" w:sz="0" w:space="0" w:color="auto"/>
                                            <w:bottom w:val="none" w:sz="0" w:space="0" w:color="auto"/>
                                            <w:right w:val="none" w:sz="0" w:space="0" w:color="auto"/>
                                          </w:divBdr>
                                          <w:divsChild>
                                            <w:div w:id="1114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81496">
      <w:marLeft w:val="0"/>
      <w:marRight w:val="0"/>
      <w:marTop w:val="0"/>
      <w:marBottom w:val="0"/>
      <w:divBdr>
        <w:top w:val="none" w:sz="0" w:space="0" w:color="auto"/>
        <w:left w:val="none" w:sz="0" w:space="0" w:color="auto"/>
        <w:bottom w:val="none" w:sz="0" w:space="0" w:color="auto"/>
        <w:right w:val="none" w:sz="0" w:space="0" w:color="auto"/>
      </w:divBdr>
    </w:div>
    <w:div w:id="723217476">
      <w:bodyDiv w:val="1"/>
      <w:marLeft w:val="0"/>
      <w:marRight w:val="0"/>
      <w:marTop w:val="0"/>
      <w:marBottom w:val="0"/>
      <w:divBdr>
        <w:top w:val="none" w:sz="0" w:space="0" w:color="auto"/>
        <w:left w:val="none" w:sz="0" w:space="0" w:color="auto"/>
        <w:bottom w:val="none" w:sz="0" w:space="0" w:color="auto"/>
        <w:right w:val="none" w:sz="0" w:space="0" w:color="auto"/>
      </w:divBdr>
    </w:div>
    <w:div w:id="11188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FFDF-C151-4173-ABC1-4222B430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5550</Words>
  <Characters>31639</Characters>
  <Application>Microsoft Office Word</Application>
  <DocSecurity>0</DocSecurity>
  <Lines>263</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Dôvodová správa</vt:lpstr>
      <vt:lpstr>Dôvodová správa</vt:lpstr>
    </vt:vector>
  </TitlesOfParts>
  <Company>UVSR</Company>
  <LinksUpToDate>false</LinksUpToDate>
  <CharactersWithSpaces>37115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Polakova Viera</cp:lastModifiedBy>
  <cp:revision>2</cp:revision>
  <cp:lastPrinted>2013-11-07T09:20:00Z</cp:lastPrinted>
  <dcterms:created xsi:type="dcterms:W3CDTF">2019-04-24T12:40:00Z</dcterms:created>
  <dcterms:modified xsi:type="dcterms:W3CDTF">2019-04-24T12:40:00Z</dcterms:modified>
</cp:coreProperties>
</file>