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934CB2" w:rsidTr="00BC69E2">
        <w:trPr>
          <w:trHeight w:val="534"/>
          <w:jc w:val="center"/>
        </w:trPr>
        <w:tc>
          <w:tcPr>
            <w:tcW w:w="5000" w:type="pct"/>
            <w:shd w:val="clear" w:color="auto" w:fill="D9D9D9"/>
          </w:tcPr>
          <w:p w:rsidR="00224847" w:rsidRPr="00CD4982" w:rsidRDefault="00224847" w:rsidP="00BC69E2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RDefault="00224847" w:rsidP="00BC69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934CB2" w:rsidTr="00BC69E2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RDefault="00224847" w:rsidP="00BC69E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Default="00224847" w:rsidP="00224847">
      <w:pPr>
        <w:shd w:val="clear" w:color="auto" w:fill="F2F2F2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Sect="00224847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934CB2" w:rsidTr="00BC69E2">
        <w:trPr>
          <w:trHeight w:val="736"/>
          <w:jc w:val="center"/>
        </w:trPr>
        <w:tc>
          <w:tcPr>
            <w:tcW w:w="5000" w:type="pct"/>
            <w:shd w:val="clear" w:color="auto" w:fill="F2F2F2"/>
          </w:tcPr>
          <w:p w:rsidR="00224847" w:rsidRPr="00CD4982" w:rsidRDefault="00224847" w:rsidP="00BC69E2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RDefault="00224847" w:rsidP="00BC69E2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RDefault="00224847" w:rsidP="00BC69E2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934CB2" w:rsidTr="00BC69E2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224847" w:rsidRPr="00CD4982" w:rsidRDefault="00224847" w:rsidP="00BC69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186E6B" w:rsidRDefault="00186E6B" w:rsidP="00186E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Bez vplyvu</w:t>
            </w:r>
          </w:p>
          <w:p w:rsidR="00224847" w:rsidRPr="0040544D" w:rsidRDefault="00224847" w:rsidP="00186E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847" w:rsidRPr="00934CB2" w:rsidTr="00BC69E2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224847" w:rsidRPr="00CD4982" w:rsidRDefault="00224847" w:rsidP="00BC69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224847" w:rsidRPr="004C10AB" w:rsidRDefault="00224847" w:rsidP="00186E6B">
            <w:pPr>
              <w:pStyle w:val="Odsekzoznamu"/>
              <w:spacing w:after="0" w:line="240" w:lineRule="auto"/>
              <w:ind w:left="603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934CB2" w:rsidTr="00BC69E2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</w:tcPr>
          <w:p w:rsidR="00224847" w:rsidRPr="00E538C0" w:rsidRDefault="00224847" w:rsidP="00BC69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</w:tcPr>
          <w:p w:rsidR="00224847" w:rsidRPr="0040544D" w:rsidRDefault="00186E6B" w:rsidP="00186E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Bez vplyvu</w:t>
            </w:r>
          </w:p>
        </w:tc>
      </w:tr>
      <w:tr w:rsidR="00224847" w:rsidRPr="00934CB2" w:rsidTr="00BC69E2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224847" w:rsidRPr="00CD4982" w:rsidRDefault="00224847" w:rsidP="00BC69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224847" w:rsidRPr="0040544D" w:rsidRDefault="00224847" w:rsidP="00BC6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934CB2" w:rsidTr="00BC69E2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</w:tcPr>
          <w:p w:rsidR="00224847" w:rsidRPr="00CD4982" w:rsidRDefault="00224847" w:rsidP="00BC69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</w:tcPr>
          <w:p w:rsidR="00224847" w:rsidRPr="0040544D" w:rsidRDefault="00224847" w:rsidP="00B67E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934CB2" w:rsidTr="00934CB2">
        <w:trPr>
          <w:trHeight w:val="680"/>
          <w:jc w:val="center"/>
        </w:trPr>
        <w:tc>
          <w:tcPr>
            <w:tcW w:w="5000" w:type="pct"/>
            <w:shd w:val="clear" w:color="auto" w:fill="F2F2F2"/>
          </w:tcPr>
          <w:p w:rsidR="00224847" w:rsidRDefault="00224847" w:rsidP="00BC69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RDefault="00224847" w:rsidP="00BC69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RDefault="00224847" w:rsidP="00BC69E2">
            <w:pPr>
              <w:tabs>
                <w:tab w:val="left" w:pos="3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934CB2" w:rsidTr="00BC69E2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</w:tcPr>
          <w:p w:rsidR="00224847" w:rsidRPr="00CD4982" w:rsidRDefault="00224847" w:rsidP="00164A9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skupina:</w:t>
            </w:r>
          </w:p>
        </w:tc>
      </w:tr>
      <w:tr w:rsidR="00224847" w:rsidRPr="00934CB2" w:rsidTr="00934CB2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/>
            </w:tcBorders>
          </w:tcPr>
          <w:p w:rsidR="00224847" w:rsidRPr="00CD4982" w:rsidRDefault="00224847" w:rsidP="00BC69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/>
            </w:tcBorders>
          </w:tcPr>
          <w:p w:rsidR="00403713" w:rsidRPr="00CA6BAF" w:rsidRDefault="00403713" w:rsidP="00BE61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934CB2" w:rsidTr="00934CB2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bottom w:val="single" w:sz="4" w:space="0" w:color="BFBFBF"/>
            </w:tcBorders>
          </w:tcPr>
          <w:p w:rsidR="00224847" w:rsidRPr="00CD4982" w:rsidRDefault="00224847" w:rsidP="00BC69E2">
            <w:pPr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bottom w:val="single" w:sz="4" w:space="0" w:color="BFBFBF"/>
            </w:tcBorders>
          </w:tcPr>
          <w:p w:rsidR="00224847" w:rsidRPr="00CA6BAF" w:rsidRDefault="00224847" w:rsidP="00F03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934CB2" w:rsidTr="00934CB2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</w:tcBorders>
          </w:tcPr>
          <w:p w:rsidR="00224847" w:rsidRPr="00CD4982" w:rsidRDefault="00224847" w:rsidP="00BC69E2">
            <w:pPr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</w:tcBorders>
          </w:tcPr>
          <w:p w:rsidR="00D10C62" w:rsidRPr="00934CB2" w:rsidRDefault="00D10C62" w:rsidP="001212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847" w:rsidRPr="00934CB2" w:rsidTr="00BC69E2">
        <w:trPr>
          <w:trHeight w:val="670"/>
          <w:jc w:val="center"/>
        </w:trPr>
        <w:tc>
          <w:tcPr>
            <w:tcW w:w="2500" w:type="pct"/>
          </w:tcPr>
          <w:p w:rsidR="00224847" w:rsidRPr="00CD4982" w:rsidRDefault="00224847" w:rsidP="00BC69E2">
            <w:pPr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</w:tcPr>
          <w:p w:rsidR="00224847" w:rsidRPr="00CA6BAF" w:rsidRDefault="00224847" w:rsidP="00BC69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934CB2" w:rsidTr="00BC69E2">
        <w:trPr>
          <w:trHeight w:val="670"/>
          <w:jc w:val="center"/>
        </w:trPr>
        <w:tc>
          <w:tcPr>
            <w:tcW w:w="2500" w:type="pct"/>
          </w:tcPr>
          <w:p w:rsidR="00224847" w:rsidRPr="00CD4982" w:rsidRDefault="00224847" w:rsidP="00BC69E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224847" w:rsidRPr="00CA6BAF" w:rsidRDefault="00224847" w:rsidP="00BC69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A30F1C" w:rsidRDefault="00A30F1C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224847" w:rsidRDefault="00224847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934CB2" w:rsidTr="00BC69E2">
        <w:trPr>
          <w:trHeight w:val="339"/>
          <w:jc w:val="center"/>
        </w:trPr>
        <w:tc>
          <w:tcPr>
            <w:tcW w:w="5000" w:type="pct"/>
            <w:shd w:val="clear" w:color="auto" w:fill="D9D9D9"/>
          </w:tcPr>
          <w:p w:rsidR="00A30F1C" w:rsidRPr="00CD4982" w:rsidRDefault="00A30F1C" w:rsidP="00BC6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934CB2" w:rsidTr="00BC69E2">
        <w:trPr>
          <w:trHeight w:val="290"/>
          <w:jc w:val="center"/>
        </w:trPr>
        <w:tc>
          <w:tcPr>
            <w:tcW w:w="5000" w:type="pct"/>
            <w:shd w:val="clear" w:color="auto" w:fill="F2F2F2"/>
          </w:tcPr>
          <w:p w:rsidR="00A30F1C" w:rsidRPr="00CD4982" w:rsidRDefault="00A30F1C" w:rsidP="00BC69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RDefault="00A30F1C" w:rsidP="00BC69E2">
            <w:pPr>
              <w:spacing w:after="0" w:line="240" w:lineRule="auto"/>
              <w:jc w:val="both"/>
              <w:rPr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934CB2" w:rsidTr="00BC69E2">
        <w:trPr>
          <w:trHeight w:val="557"/>
          <w:jc w:val="center"/>
        </w:trPr>
        <w:tc>
          <w:tcPr>
            <w:tcW w:w="1993" w:type="pct"/>
          </w:tcPr>
          <w:p w:rsidR="00A30F1C" w:rsidRPr="00CD4982" w:rsidRDefault="00A30F1C" w:rsidP="00BC69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RDefault="00A30F1C" w:rsidP="00BC69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</w:tcPr>
          <w:p w:rsidR="00A30F1C" w:rsidRPr="00D91C60" w:rsidRDefault="00A30F1C" w:rsidP="00BC69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</w:p>
          <w:p w:rsidR="00D91C60" w:rsidRPr="00D91C60" w:rsidRDefault="00B736F7" w:rsidP="0027490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Predĺžením</w:t>
            </w:r>
            <w:r w:rsidRPr="00B736F7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prechodného obdobia, p</w:t>
            </w:r>
            <w:r w:rsidR="007E50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očas ktorého sociálni pracovníci</w:t>
            </w:r>
            <w:r w:rsidRPr="00B736F7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</w:t>
            </w:r>
            <w:r w:rsidR="007E50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nemusia</w:t>
            </w:r>
            <w:r w:rsidRPr="00B736F7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spĺňať podmienku osobitného kvalifikačného predpokladu na výkon špecializovanej odbornej činnosti</w:t>
            </w:r>
            <w:r w:rsidR="007E50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,</w:t>
            </w:r>
            <w:r w:rsidR="00274905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sa</w:t>
            </w:r>
            <w:r w:rsidR="007E50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zamedzí situácii, kedy by títo sociáln</w:t>
            </w:r>
            <w:r w:rsidR="00916F6E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</w:t>
            </w:r>
            <w:r w:rsidR="007E50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pracovníci nemohli vykonávať </w:t>
            </w:r>
            <w:r w:rsidR="007E50A3" w:rsidRPr="00B736F7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sociálnu posudkovú činnosť alebo sociálnu kuratelu</w:t>
            </w:r>
            <w:r w:rsidR="007E50A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</w:t>
            </w:r>
            <w:r w:rsidR="007E50A3" w:rsidRPr="00D91C6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a tým sa predpokladá pozitívny vplyv na všetky </w:t>
            </w:r>
            <w:r w:rsidR="00274905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klientské</w:t>
            </w:r>
            <w:r w:rsidR="007E50A3" w:rsidRPr="00D91C6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skupiny sociálnej práce.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934CB2" w:rsidTr="00BC69E2">
        <w:trPr>
          <w:jc w:val="center"/>
        </w:trPr>
        <w:tc>
          <w:tcPr>
            <w:tcW w:w="5000" w:type="pct"/>
            <w:shd w:val="clear" w:color="auto" w:fill="F2F2F2"/>
          </w:tcPr>
          <w:p w:rsidR="00A30F1C" w:rsidRPr="00CD4982" w:rsidRDefault="00A30F1C" w:rsidP="00BC69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RDefault="00A30F1C" w:rsidP="00BC69E2">
            <w:pPr>
              <w:spacing w:after="0" w:line="240" w:lineRule="auto"/>
              <w:jc w:val="both"/>
              <w:rPr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934CB2" w:rsidTr="00BC69E2">
        <w:trPr>
          <w:trHeight w:val="677"/>
          <w:jc w:val="center"/>
        </w:trPr>
        <w:tc>
          <w:tcPr>
            <w:tcW w:w="1993" w:type="pct"/>
          </w:tcPr>
          <w:p w:rsidR="00A30F1C" w:rsidRPr="00CD4982" w:rsidRDefault="00A30F1C" w:rsidP="00BC69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RDefault="00A30F1C" w:rsidP="00BC69E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RDefault="00A30F1C" w:rsidP="00BC69E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RDefault="00A30F1C" w:rsidP="00BC69E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RDefault="00A30F1C" w:rsidP="00BC69E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RDefault="00A30F1C" w:rsidP="00BC69E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RDefault="00A30F1C" w:rsidP="00BC69E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RDefault="00A30F1C" w:rsidP="00BC69E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RDefault="00A30F1C" w:rsidP="00BC69E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RDefault="00A30F1C" w:rsidP="00BC69E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RDefault="00A30F1C" w:rsidP="00BC69E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RDefault="00A30F1C" w:rsidP="00BC69E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</w:tcPr>
          <w:p w:rsidR="00A30F1C" w:rsidRPr="0040544D" w:rsidRDefault="00A30F1C" w:rsidP="00BC69E2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A30F1C" w:rsidRPr="0040544D" w:rsidRDefault="00733E62" w:rsidP="00BC69E2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Bez vplyvu</w:t>
            </w:r>
          </w:p>
        </w:tc>
      </w:tr>
    </w:tbl>
    <w:p w:rsidR="00A87D5B" w:rsidRDefault="00A87D5B"/>
    <w:p w:rsidR="00C63956" w:rsidRDefault="00C63956" w:rsidP="00DA4453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C63956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934CB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934CB2" w:rsidTr="00DA4453">
        <w:trPr>
          <w:jc w:val="center"/>
        </w:trPr>
        <w:tc>
          <w:tcPr>
            <w:tcW w:w="5000" w:type="pct"/>
            <w:shd w:val="clear" w:color="auto" w:fill="F2F2F2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Default="00CA6BAF" w:rsidP="00DA4453">
      <w:pPr>
        <w:spacing w:after="0" w:line="240" w:lineRule="auto"/>
        <w:rPr>
          <w:rFonts w:ascii="Times New Roman" w:hAnsi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934CB2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:rsidR="00CD4982" w:rsidRPr="0040544D" w:rsidRDefault="00CD4982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RDefault="00733E62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Bez vplyvu</w:t>
            </w: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934CB2" w:rsidTr="00DA4453">
        <w:trPr>
          <w:trHeight w:val="345"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Default="00C63956" w:rsidP="00DA445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934CB2" w:rsidTr="007B003C">
        <w:trPr>
          <w:trHeight w:val="1235"/>
          <w:jc w:val="center"/>
        </w:trPr>
        <w:tc>
          <w:tcPr>
            <w:tcW w:w="1993" w:type="pct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</w:tcPr>
          <w:p w:rsid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Default="00162DA5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Bez vplyvu</w:t>
            </w:r>
          </w:p>
          <w:p w:rsid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934CB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994C53" w:rsidRDefault="00CD4982" w:rsidP="00994C5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="00994C53"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34CB2" w:rsidTr="00BC69E2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34CB2" w:rsidTr="00BC69E2">
        <w:trPr>
          <w:trHeight w:val="567"/>
          <w:jc w:val="center"/>
        </w:trPr>
        <w:tc>
          <w:tcPr>
            <w:tcW w:w="1993" w:type="pct"/>
            <w:tcBorders>
              <w:top w:val="nil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</w:tcBorders>
            <w:shd w:val="clear" w:color="auto" w:fill="FFFFFF"/>
          </w:tcPr>
          <w:p w:rsidR="00994C53" w:rsidRPr="00A30F1C" w:rsidRDefault="00733E62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Bez vplyvu</w:t>
            </w:r>
          </w:p>
        </w:tc>
      </w:tr>
      <w:tr w:rsidR="00994C53" w:rsidRPr="00934CB2" w:rsidTr="00BC69E2">
        <w:trPr>
          <w:trHeight w:val="270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934CB2" w:rsidTr="00BC69E2">
        <w:trPr>
          <w:trHeight w:val="454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shd w:val="clear" w:color="auto" w:fill="FFFFFF"/>
          </w:tcPr>
          <w:p w:rsidR="00994C53" w:rsidRPr="00A30F1C" w:rsidRDefault="00733E62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Bez vplyvu</w:t>
            </w:r>
          </w:p>
        </w:tc>
      </w:tr>
      <w:tr w:rsidR="00994C53" w:rsidRPr="00934CB2" w:rsidTr="00BC69E2">
        <w:trPr>
          <w:trHeight w:val="24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934CB2" w:rsidTr="00BC69E2">
        <w:trPr>
          <w:trHeight w:val="209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shd w:val="clear" w:color="auto" w:fill="FFFFFF"/>
          </w:tcPr>
          <w:p w:rsidR="00994C53" w:rsidRPr="00A30F1C" w:rsidRDefault="00733E62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Bez vplyvu</w:t>
            </w:r>
          </w:p>
        </w:tc>
      </w:tr>
      <w:tr w:rsidR="00994C53" w:rsidRPr="00934CB2" w:rsidTr="00BC69E2">
        <w:trPr>
          <w:trHeight w:val="20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934CB2" w:rsidTr="00BC69E2">
        <w:trPr>
          <w:trHeight w:val="794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shd w:val="clear" w:color="auto" w:fill="FFFFFF"/>
          </w:tcPr>
          <w:p w:rsidR="00994C53" w:rsidRPr="00A30F1C" w:rsidRDefault="00733E62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Bez vplyvu</w:t>
            </w:r>
          </w:p>
        </w:tc>
      </w:tr>
      <w:tr w:rsidR="00994C53" w:rsidRPr="00934CB2" w:rsidTr="00BC69E2">
        <w:trPr>
          <w:trHeight w:val="324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934CB2" w:rsidTr="00BC69E2">
        <w:trPr>
          <w:trHeight w:val="216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shd w:val="clear" w:color="auto" w:fill="FFFFFF"/>
          </w:tcPr>
          <w:p w:rsidR="00994C53" w:rsidRPr="00A30F1C" w:rsidRDefault="00733E62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Bez vplyvu</w:t>
            </w:r>
          </w:p>
        </w:tc>
      </w:tr>
      <w:tr w:rsidR="00994C53" w:rsidRPr="00934CB2" w:rsidTr="00BC69E2">
        <w:trPr>
          <w:trHeight w:val="219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994C53" w:rsidRPr="00934CB2" w:rsidTr="00BC69E2">
        <w:trPr>
          <w:trHeight w:val="497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shd w:val="clear" w:color="auto" w:fill="FFFFFF"/>
          </w:tcPr>
          <w:p w:rsidR="00994C53" w:rsidRPr="00A30F1C" w:rsidRDefault="00733E62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Bez vplyvu</w:t>
            </w:r>
          </w:p>
        </w:tc>
      </w:tr>
    </w:tbl>
    <w:p w:rsidR="00CB3623" w:rsidRDefault="00CB3623" w:rsidP="00B67E7E">
      <w:pPr>
        <w:spacing w:after="0" w:line="240" w:lineRule="auto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4E" w:rsidRDefault="00E3094E" w:rsidP="001D6749">
      <w:pPr>
        <w:spacing w:after="0" w:line="240" w:lineRule="auto"/>
      </w:pPr>
      <w:r>
        <w:separator/>
      </w:r>
    </w:p>
  </w:endnote>
  <w:endnote w:type="continuationSeparator" w:id="0">
    <w:p w:rsidR="00E3094E" w:rsidRDefault="00E3094E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E2" w:rsidRPr="001D6749" w:rsidRDefault="00BC69E2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B844CB">
      <w:rPr>
        <w:rFonts w:ascii="Times New Roman" w:hAnsi="Times New Roman"/>
        <w:noProof/>
      </w:rPr>
      <w:t>1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E2" w:rsidRPr="001D6749" w:rsidRDefault="00BC69E2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B844CB">
      <w:rPr>
        <w:rFonts w:ascii="Times New Roman" w:hAnsi="Times New Roman"/>
        <w:noProof/>
      </w:rPr>
      <w:t>4</w:t>
    </w:r>
    <w:r w:rsidRPr="001D674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4E" w:rsidRDefault="00E3094E" w:rsidP="001D6749">
      <w:pPr>
        <w:spacing w:after="0" w:line="240" w:lineRule="auto"/>
      </w:pPr>
      <w:r>
        <w:separator/>
      </w:r>
    </w:p>
  </w:footnote>
  <w:footnote w:type="continuationSeparator" w:id="0">
    <w:p w:rsidR="00E3094E" w:rsidRDefault="00E3094E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E2" w:rsidRPr="00CD4982" w:rsidRDefault="00BC69E2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E2" w:rsidRPr="00CD4982" w:rsidRDefault="00BC69E2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60470"/>
    <w:multiLevelType w:val="hybridMultilevel"/>
    <w:tmpl w:val="3D02FA28"/>
    <w:lvl w:ilvl="0" w:tplc="041B0017">
      <w:start w:val="1"/>
      <w:numFmt w:val="lowerLetter"/>
      <w:lvlText w:val="%1)"/>
      <w:lvlJc w:val="left"/>
      <w:pPr>
        <w:ind w:left="79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327F1B"/>
    <w:multiLevelType w:val="hybridMultilevel"/>
    <w:tmpl w:val="0C4ABCF0"/>
    <w:lvl w:ilvl="0" w:tplc="9B300D5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218AA"/>
    <w:multiLevelType w:val="hybridMultilevel"/>
    <w:tmpl w:val="D988EFE6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2"/>
  </w:num>
  <w:num w:numId="5">
    <w:abstractNumId w:val="10"/>
  </w:num>
  <w:num w:numId="6">
    <w:abstractNumId w:val="14"/>
  </w:num>
  <w:num w:numId="7">
    <w:abstractNumId w:val="0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  <w:num w:numId="13">
    <w:abstractNumId w:val="1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B5D"/>
    <w:rsid w:val="000009B5"/>
    <w:rsid w:val="000274D0"/>
    <w:rsid w:val="0009794F"/>
    <w:rsid w:val="000E1B2D"/>
    <w:rsid w:val="000E5579"/>
    <w:rsid w:val="00105DEC"/>
    <w:rsid w:val="001151CD"/>
    <w:rsid w:val="00121216"/>
    <w:rsid w:val="00135AC9"/>
    <w:rsid w:val="00136A0D"/>
    <w:rsid w:val="00162DA5"/>
    <w:rsid w:val="00164A97"/>
    <w:rsid w:val="00165321"/>
    <w:rsid w:val="00186E6B"/>
    <w:rsid w:val="001A08E1"/>
    <w:rsid w:val="001D6749"/>
    <w:rsid w:val="001F7932"/>
    <w:rsid w:val="00204D10"/>
    <w:rsid w:val="00224847"/>
    <w:rsid w:val="00227A26"/>
    <w:rsid w:val="00256E12"/>
    <w:rsid w:val="0026652A"/>
    <w:rsid w:val="00271BE8"/>
    <w:rsid w:val="00274905"/>
    <w:rsid w:val="00275F99"/>
    <w:rsid w:val="00337B5D"/>
    <w:rsid w:val="003541E9"/>
    <w:rsid w:val="00357E2A"/>
    <w:rsid w:val="00362CBF"/>
    <w:rsid w:val="003849C7"/>
    <w:rsid w:val="003953CB"/>
    <w:rsid w:val="003B35F0"/>
    <w:rsid w:val="00403713"/>
    <w:rsid w:val="0040544D"/>
    <w:rsid w:val="00410B32"/>
    <w:rsid w:val="0044542D"/>
    <w:rsid w:val="00453F51"/>
    <w:rsid w:val="00466488"/>
    <w:rsid w:val="0048669E"/>
    <w:rsid w:val="004C10AB"/>
    <w:rsid w:val="004C6FEE"/>
    <w:rsid w:val="004F2664"/>
    <w:rsid w:val="0051643C"/>
    <w:rsid w:val="00520808"/>
    <w:rsid w:val="005415C6"/>
    <w:rsid w:val="00585AD3"/>
    <w:rsid w:val="005A57C8"/>
    <w:rsid w:val="005B3A3E"/>
    <w:rsid w:val="005E6E3A"/>
    <w:rsid w:val="00604A2C"/>
    <w:rsid w:val="00630112"/>
    <w:rsid w:val="0063110C"/>
    <w:rsid w:val="006B34DA"/>
    <w:rsid w:val="006C7A71"/>
    <w:rsid w:val="0070386A"/>
    <w:rsid w:val="007339F2"/>
    <w:rsid w:val="00733E62"/>
    <w:rsid w:val="007379BD"/>
    <w:rsid w:val="00763336"/>
    <w:rsid w:val="007B003C"/>
    <w:rsid w:val="007B2D12"/>
    <w:rsid w:val="007B4CC9"/>
    <w:rsid w:val="007B64F4"/>
    <w:rsid w:val="007D3040"/>
    <w:rsid w:val="007D4BDF"/>
    <w:rsid w:val="007E50A3"/>
    <w:rsid w:val="00881728"/>
    <w:rsid w:val="008A4F7C"/>
    <w:rsid w:val="008C2ABC"/>
    <w:rsid w:val="008F2799"/>
    <w:rsid w:val="00916F6E"/>
    <w:rsid w:val="009203BB"/>
    <w:rsid w:val="00921D53"/>
    <w:rsid w:val="00934CB2"/>
    <w:rsid w:val="009374B8"/>
    <w:rsid w:val="00943698"/>
    <w:rsid w:val="00963F6F"/>
    <w:rsid w:val="00972E46"/>
    <w:rsid w:val="00994C53"/>
    <w:rsid w:val="00997B26"/>
    <w:rsid w:val="009B755F"/>
    <w:rsid w:val="009E29B2"/>
    <w:rsid w:val="009F385D"/>
    <w:rsid w:val="00A30F1C"/>
    <w:rsid w:val="00A53AFA"/>
    <w:rsid w:val="00A605B0"/>
    <w:rsid w:val="00A87D5B"/>
    <w:rsid w:val="00AF39B8"/>
    <w:rsid w:val="00B10ED5"/>
    <w:rsid w:val="00B20FD6"/>
    <w:rsid w:val="00B4080A"/>
    <w:rsid w:val="00B437B3"/>
    <w:rsid w:val="00B67E7E"/>
    <w:rsid w:val="00B736F7"/>
    <w:rsid w:val="00B829CB"/>
    <w:rsid w:val="00B844CB"/>
    <w:rsid w:val="00B90A2F"/>
    <w:rsid w:val="00B91CC4"/>
    <w:rsid w:val="00BC22E3"/>
    <w:rsid w:val="00BC69E2"/>
    <w:rsid w:val="00BE6147"/>
    <w:rsid w:val="00BF01C3"/>
    <w:rsid w:val="00BF3F65"/>
    <w:rsid w:val="00C63956"/>
    <w:rsid w:val="00C77AA2"/>
    <w:rsid w:val="00CA023C"/>
    <w:rsid w:val="00CA3E12"/>
    <w:rsid w:val="00CA6BAF"/>
    <w:rsid w:val="00CB3623"/>
    <w:rsid w:val="00CC057E"/>
    <w:rsid w:val="00CC0754"/>
    <w:rsid w:val="00CD4982"/>
    <w:rsid w:val="00CE033A"/>
    <w:rsid w:val="00D10C62"/>
    <w:rsid w:val="00D55851"/>
    <w:rsid w:val="00D7286E"/>
    <w:rsid w:val="00D829FE"/>
    <w:rsid w:val="00D91C60"/>
    <w:rsid w:val="00D921AE"/>
    <w:rsid w:val="00DA4453"/>
    <w:rsid w:val="00DC17D3"/>
    <w:rsid w:val="00DD0731"/>
    <w:rsid w:val="00E03F0C"/>
    <w:rsid w:val="00E22685"/>
    <w:rsid w:val="00E3094E"/>
    <w:rsid w:val="00E40428"/>
    <w:rsid w:val="00E470FE"/>
    <w:rsid w:val="00E538C0"/>
    <w:rsid w:val="00E73702"/>
    <w:rsid w:val="00E776C9"/>
    <w:rsid w:val="00E816E3"/>
    <w:rsid w:val="00ED1E7B"/>
    <w:rsid w:val="00ED2767"/>
    <w:rsid w:val="00EF0C21"/>
    <w:rsid w:val="00F033F5"/>
    <w:rsid w:val="00F2597D"/>
    <w:rsid w:val="00F30B4E"/>
    <w:rsid w:val="00F37859"/>
    <w:rsid w:val="00F636E7"/>
    <w:rsid w:val="00F74B56"/>
    <w:rsid w:val="00F7696B"/>
    <w:rsid w:val="00F77D10"/>
    <w:rsid w:val="00F938A1"/>
    <w:rsid w:val="00FA11DD"/>
    <w:rsid w:val="00FB7660"/>
    <w:rsid w:val="00FB77AC"/>
    <w:rsid w:val="00FC5989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8114BB-AD8F-4F2B-B796-A12D7AFD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6749"/>
    <w:rPr>
      <w:rFonts w:cs="Times New Roman"/>
      <w:sz w:val="20"/>
    </w:rPr>
  </w:style>
  <w:style w:type="character" w:styleId="Odkaznapoznmkupodiarou">
    <w:name w:val="footnote reference"/>
    <w:aliases w:val="Footnote symbol,Footnote reference number"/>
    <w:basedOn w:val="Predvolenpsmoodseku"/>
    <w:uiPriority w:val="99"/>
    <w:semiHidden/>
    <w:unhideWhenUsed/>
    <w:rsid w:val="001D674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67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D674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D4982"/>
    <w:rPr>
      <w:rFonts w:ascii="Times New Roman" w:hAnsi="Times New Roman" w:cs="Times New Roman"/>
      <w:sz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D4982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164A97"/>
    <w:pPr>
      <w:ind w:left="720"/>
      <w:contextualSpacing/>
    </w:pPr>
  </w:style>
  <w:style w:type="table" w:styleId="Mriekatabuky">
    <w:name w:val="Table Grid"/>
    <w:basedOn w:val="Normlnatabuka"/>
    <w:uiPriority w:val="59"/>
    <w:rsid w:val="00BF3F65"/>
    <w:rPr>
      <w:rFonts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3F6F"/>
    <w:pPr>
      <w:spacing w:after="200"/>
    </w:pPr>
    <w:rPr>
      <w:rFonts w:ascii="Calibri" w:hAnsi="Calibr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63F6F"/>
    <w:rPr>
      <w:rFonts w:ascii="Times New Roman" w:hAnsi="Times New Roman" w:cs="Times New Roman"/>
      <w:b/>
      <w:bCs/>
      <w:sz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FEF2-62FB-4A53-B85C-1838F467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Gašparíková, Jarmila</cp:lastModifiedBy>
  <cp:revision>2</cp:revision>
  <cp:lastPrinted>2018-05-29T12:54:00Z</cp:lastPrinted>
  <dcterms:created xsi:type="dcterms:W3CDTF">2019-04-24T15:33:00Z</dcterms:created>
  <dcterms:modified xsi:type="dcterms:W3CDTF">2019-04-24T15:33:00Z</dcterms:modified>
</cp:coreProperties>
</file>