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7C" w:rsidRPr="00737CDD" w:rsidRDefault="0026248B" w:rsidP="00737CDD">
      <w:pPr>
        <w:pStyle w:val="Normlnywebov"/>
        <w:tabs>
          <w:tab w:val="left" w:pos="4678"/>
        </w:tabs>
        <w:spacing w:before="120" w:after="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737CDD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Dôvodová správa</w:t>
      </w:r>
    </w:p>
    <w:p w:rsidR="00A0007C" w:rsidRPr="00737CDD" w:rsidRDefault="0026248B" w:rsidP="00737CDD">
      <w:pPr>
        <w:pStyle w:val="Nadpis1"/>
        <w:spacing w:before="120" w:line="276" w:lineRule="auto"/>
        <w:jc w:val="both"/>
        <w:rPr>
          <w:rFonts w:ascii="Book Antiqua" w:hAnsi="Book Antiqua" w:cs="Book Antiqua"/>
          <w:b w:val="0"/>
          <w:sz w:val="22"/>
          <w:szCs w:val="22"/>
        </w:rPr>
      </w:pPr>
      <w:r w:rsidRPr="00737CDD">
        <w:rPr>
          <w:rFonts w:ascii="Book Antiqua" w:hAnsi="Book Antiqua" w:cs="Book Antiqua"/>
          <w:sz w:val="22"/>
          <w:szCs w:val="22"/>
        </w:rPr>
        <w:t>A. Všeobecná časť</w:t>
      </w:r>
    </w:p>
    <w:p w:rsidR="00AD58EC" w:rsidRPr="00AD58EC" w:rsidRDefault="0026248B" w:rsidP="00AD58EC">
      <w:pPr>
        <w:pStyle w:val="Nadpis1"/>
        <w:spacing w:before="120" w:line="276" w:lineRule="auto"/>
        <w:ind w:left="0" w:firstLine="708"/>
        <w:jc w:val="both"/>
        <w:rPr>
          <w:rFonts w:ascii="Book Antiqua" w:hAnsi="Book Antiqua" w:cs="Book Antiqua"/>
          <w:sz w:val="22"/>
          <w:szCs w:val="22"/>
        </w:rPr>
      </w:pPr>
      <w:r w:rsidRPr="00AD58EC">
        <w:rPr>
          <w:rFonts w:ascii="Book Antiqua" w:hAnsi="Book Antiqua" w:cs="Book Antiqua"/>
          <w:b w:val="0"/>
          <w:sz w:val="22"/>
          <w:szCs w:val="22"/>
        </w:rPr>
        <w:t xml:space="preserve">Návrh zákona, ktorým sa </w:t>
      </w:r>
      <w:r w:rsidR="003F2DC3" w:rsidRPr="00AD58EC">
        <w:rPr>
          <w:rFonts w:ascii="Book Antiqua" w:hAnsi="Book Antiqua" w:cs="Book Antiqua"/>
          <w:b w:val="0"/>
          <w:sz w:val="22"/>
          <w:szCs w:val="22"/>
        </w:rPr>
        <w:t>mení</w:t>
      </w:r>
      <w:r w:rsidRPr="00AD58EC">
        <w:rPr>
          <w:rFonts w:ascii="Book Antiqua" w:hAnsi="Book Antiqua" w:cs="Book Antiqua"/>
          <w:b w:val="0"/>
          <w:sz w:val="22"/>
          <w:szCs w:val="22"/>
        </w:rPr>
        <w:t xml:space="preserve"> </w:t>
      </w:r>
      <w:r w:rsidR="00AD58EC">
        <w:rPr>
          <w:rFonts w:ascii="Book Antiqua" w:hAnsi="Book Antiqua" w:cs="Book Antiqua"/>
          <w:b w:val="0"/>
          <w:sz w:val="22"/>
          <w:szCs w:val="22"/>
        </w:rPr>
        <w:t xml:space="preserve">a dopĺňa </w:t>
      </w:r>
      <w:r w:rsidRPr="00AD58EC">
        <w:rPr>
          <w:rFonts w:ascii="Book Antiqua" w:hAnsi="Book Antiqua" w:cs="Book Antiqua"/>
          <w:b w:val="0"/>
          <w:sz w:val="22"/>
          <w:szCs w:val="22"/>
        </w:rPr>
        <w:t>zákon Národnej rady Slovenskej republiky</w:t>
      </w:r>
      <w:r w:rsidR="00AD58EC">
        <w:rPr>
          <w:rFonts w:ascii="Book Antiqua" w:hAnsi="Book Antiqua" w:cs="Book Antiqua"/>
          <w:b w:val="0"/>
          <w:sz w:val="22"/>
          <w:szCs w:val="22"/>
        </w:rPr>
        <w:t xml:space="preserve">                   </w:t>
      </w:r>
      <w:r w:rsidRPr="00AD58EC">
        <w:rPr>
          <w:rFonts w:ascii="Book Antiqua" w:hAnsi="Book Antiqua" w:cs="Book Antiqua"/>
          <w:b w:val="0"/>
          <w:sz w:val="22"/>
          <w:szCs w:val="22"/>
        </w:rPr>
        <w:t>č.</w:t>
      </w:r>
      <w:r w:rsidR="00AD58EC">
        <w:rPr>
          <w:rFonts w:ascii="Book Antiqua" w:hAnsi="Book Antiqua" w:cs="Book Antiqua"/>
          <w:b w:val="0"/>
          <w:sz w:val="22"/>
          <w:szCs w:val="22"/>
        </w:rPr>
        <w:t xml:space="preserve"> </w:t>
      </w:r>
      <w:r w:rsidRPr="00AD58EC">
        <w:rPr>
          <w:rFonts w:ascii="Book Antiqua" w:hAnsi="Book Antiqua" w:cs="Book Antiqua"/>
          <w:b w:val="0"/>
          <w:sz w:val="22"/>
          <w:szCs w:val="22"/>
        </w:rPr>
        <w:t>120/1993 Z. z. o platových pomeroch niektorých ústavných činiteľov Slovenskej republiky v znen</w:t>
      </w:r>
      <w:r w:rsidR="00AD58EC">
        <w:rPr>
          <w:rFonts w:ascii="Book Antiqua" w:hAnsi="Book Antiqua" w:cs="Book Antiqua"/>
          <w:b w:val="0"/>
          <w:sz w:val="22"/>
          <w:szCs w:val="22"/>
        </w:rPr>
        <w:t xml:space="preserve">í neskorších predpisov </w:t>
      </w:r>
      <w:r w:rsidRPr="00AD58EC">
        <w:rPr>
          <w:rFonts w:ascii="Book Antiqua" w:hAnsi="Book Antiqua" w:cs="Book Antiqua"/>
          <w:b w:val="0"/>
          <w:sz w:val="22"/>
          <w:szCs w:val="22"/>
        </w:rPr>
        <w:t xml:space="preserve">(ďalej len „návrh zákona“) predkladá </w:t>
      </w:r>
      <w:r w:rsidR="00755184" w:rsidRPr="00AD58EC">
        <w:rPr>
          <w:rFonts w:ascii="Book Antiqua" w:hAnsi="Book Antiqua" w:cs="Book Antiqua"/>
          <w:b w:val="0"/>
          <w:sz w:val="22"/>
          <w:szCs w:val="22"/>
        </w:rPr>
        <w:t>poslan</w:t>
      </w:r>
      <w:r w:rsidR="0086655D" w:rsidRPr="00AD58EC">
        <w:rPr>
          <w:rFonts w:ascii="Book Antiqua" w:hAnsi="Book Antiqua" w:cs="Book Antiqua"/>
          <w:b w:val="0"/>
          <w:sz w:val="22"/>
          <w:szCs w:val="22"/>
        </w:rPr>
        <w:t>e</w:t>
      </w:r>
      <w:r w:rsidR="00755184" w:rsidRPr="00AD58EC">
        <w:rPr>
          <w:rFonts w:ascii="Book Antiqua" w:hAnsi="Book Antiqua" w:cs="Book Antiqua"/>
          <w:b w:val="0"/>
          <w:sz w:val="22"/>
          <w:szCs w:val="22"/>
        </w:rPr>
        <w:t xml:space="preserve">c </w:t>
      </w:r>
      <w:r w:rsidRPr="00AD58EC">
        <w:rPr>
          <w:rFonts w:ascii="Book Antiqua" w:hAnsi="Book Antiqua" w:cs="Book Antiqua"/>
          <w:b w:val="0"/>
          <w:sz w:val="22"/>
          <w:szCs w:val="22"/>
        </w:rPr>
        <w:t>Národnej rady Slovenskej republiky</w:t>
      </w:r>
      <w:r w:rsidR="00624369">
        <w:rPr>
          <w:rFonts w:ascii="Book Antiqua" w:hAnsi="Book Antiqua" w:cs="Book Antiqua"/>
          <w:b w:val="0"/>
          <w:sz w:val="22"/>
          <w:szCs w:val="22"/>
        </w:rPr>
        <w:t xml:space="preserve"> </w:t>
      </w:r>
      <w:r w:rsidR="00AD58EC">
        <w:rPr>
          <w:rFonts w:ascii="Book Antiqua" w:hAnsi="Book Antiqua" w:cs="Book Antiqua"/>
          <w:b w:val="0"/>
          <w:sz w:val="22"/>
          <w:szCs w:val="22"/>
        </w:rPr>
        <w:t>za hnutie OBYČAJNÍ ĽUDIA</w:t>
      </w:r>
      <w:r w:rsidR="00624369">
        <w:rPr>
          <w:rFonts w:ascii="Book Antiqua" w:hAnsi="Book Antiqua" w:cs="Book Antiqua"/>
          <w:b w:val="0"/>
          <w:sz w:val="22"/>
          <w:szCs w:val="22"/>
        </w:rPr>
        <w:t xml:space="preserve"> a nezávislé osobnosti (OĽA</w:t>
      </w:r>
      <w:r w:rsidR="0086655D" w:rsidRPr="00AD58EC">
        <w:rPr>
          <w:rFonts w:ascii="Book Antiqua" w:hAnsi="Book Antiqua" w:cs="Book Antiqua"/>
          <w:b w:val="0"/>
          <w:sz w:val="22"/>
          <w:szCs w:val="22"/>
        </w:rPr>
        <w:t>NO) Igor Matovič</w:t>
      </w:r>
      <w:r w:rsidRPr="00AD58EC">
        <w:rPr>
          <w:rFonts w:ascii="Book Antiqua" w:hAnsi="Book Antiqua" w:cs="Book Antiqua"/>
          <w:b w:val="0"/>
          <w:sz w:val="22"/>
          <w:szCs w:val="22"/>
        </w:rPr>
        <w:t>.</w:t>
      </w:r>
    </w:p>
    <w:p w:rsidR="00AD58EC" w:rsidRPr="00AD58EC" w:rsidRDefault="00AD58EC" w:rsidP="00AD58EC">
      <w:pPr>
        <w:pStyle w:val="Nadpis1"/>
        <w:spacing w:before="120" w:line="276" w:lineRule="auto"/>
        <w:ind w:left="0" w:firstLine="708"/>
        <w:jc w:val="both"/>
        <w:rPr>
          <w:rFonts w:ascii="Book Antiqua" w:hAnsi="Book Antiqua" w:cs="Book Antiqua"/>
          <w:b w:val="0"/>
          <w:sz w:val="22"/>
          <w:szCs w:val="22"/>
        </w:rPr>
      </w:pPr>
      <w:r>
        <w:rPr>
          <w:rFonts w:ascii="Book Antiqua" w:hAnsi="Book Antiqua" w:cs="Times New Roman"/>
          <w:b w:val="0"/>
          <w:color w:val="222222"/>
          <w:sz w:val="22"/>
          <w:szCs w:val="22"/>
          <w:lang w:eastAsia="sk-SK"/>
        </w:rPr>
        <w:t>Koaliční</w:t>
      </w:r>
      <w:r w:rsidRPr="00AD58EC">
        <w:rPr>
          <w:rFonts w:ascii="Book Antiqua" w:hAnsi="Book Antiqua" w:cs="Times New Roman"/>
          <w:b w:val="0"/>
          <w:color w:val="222222"/>
          <w:sz w:val="22"/>
          <w:szCs w:val="22"/>
          <w:lang w:eastAsia="sk-SK"/>
        </w:rPr>
        <w:t xml:space="preserve"> poslanci, a žiaľ aj časť opozície, v októbri 2018 odignorovali zmrazenie platov ústavných činiteľov, ktoré, ta</w:t>
      </w:r>
      <w:r>
        <w:rPr>
          <w:rFonts w:ascii="Book Antiqua" w:hAnsi="Book Antiqua" w:cs="Times New Roman"/>
          <w:b w:val="0"/>
          <w:color w:val="222222"/>
          <w:sz w:val="22"/>
          <w:szCs w:val="22"/>
          <w:lang w:eastAsia="sk-SK"/>
        </w:rPr>
        <w:t xml:space="preserve">k ako zvyčajne, predložilo </w:t>
      </w:r>
      <w:r w:rsidRPr="00AD58EC">
        <w:rPr>
          <w:rFonts w:ascii="Book Antiqua" w:hAnsi="Book Antiqua" w:cs="Times New Roman"/>
          <w:b w:val="0"/>
          <w:color w:val="222222"/>
          <w:sz w:val="22"/>
          <w:szCs w:val="22"/>
          <w:lang w:eastAsia="sk-SK"/>
        </w:rPr>
        <w:t xml:space="preserve">hnutie OĽANO. Plat </w:t>
      </w:r>
      <w:proofErr w:type="spellStart"/>
      <w:r w:rsidRPr="00AD58EC">
        <w:rPr>
          <w:rFonts w:ascii="Book Antiqua" w:hAnsi="Book Antiqua" w:cs="Times New Roman"/>
          <w:b w:val="0"/>
          <w:color w:val="222222"/>
          <w:sz w:val="22"/>
          <w:szCs w:val="22"/>
          <w:lang w:eastAsia="sk-SK"/>
        </w:rPr>
        <w:t>mimobratislavského</w:t>
      </w:r>
      <w:proofErr w:type="spellEnd"/>
      <w:r w:rsidRPr="00AD58EC">
        <w:rPr>
          <w:rFonts w:ascii="Book Antiqua" w:hAnsi="Book Antiqua" w:cs="Times New Roman"/>
          <w:b w:val="0"/>
          <w:color w:val="222222"/>
          <w:sz w:val="22"/>
          <w:szCs w:val="22"/>
          <w:lang w:eastAsia="sk-SK"/>
        </w:rPr>
        <w:t xml:space="preserve"> poslanca spolu s paušálnymi náhradami tak od apríla 2019</w:t>
      </w:r>
      <w:r w:rsidR="00624369">
        <w:rPr>
          <w:rFonts w:ascii="Book Antiqua" w:hAnsi="Book Antiqua" w:cs="Times New Roman"/>
          <w:b w:val="0"/>
          <w:color w:val="222222"/>
          <w:sz w:val="22"/>
          <w:szCs w:val="22"/>
          <w:lang w:eastAsia="sk-SK"/>
        </w:rPr>
        <w:t xml:space="preserve"> (so spätnou účinnosťou k 1. januáru 2019)</w:t>
      </w:r>
      <w:r w:rsidRPr="00AD58EC">
        <w:rPr>
          <w:rFonts w:ascii="Book Antiqua" w:hAnsi="Book Antiqua" w:cs="Times New Roman"/>
          <w:b w:val="0"/>
          <w:color w:val="222222"/>
          <w:sz w:val="22"/>
          <w:szCs w:val="22"/>
          <w:lang w:eastAsia="sk-SK"/>
        </w:rPr>
        <w:t>, kedy budú známe priemerné mzdy za minulý rok, porastie z 3576 eur na 5090 eur, čiže o viac ako 42%.</w:t>
      </w:r>
    </w:p>
    <w:p w:rsidR="00AD58EC" w:rsidRPr="00AD58EC" w:rsidRDefault="00AD58EC" w:rsidP="00AD58EC">
      <w:pPr>
        <w:pStyle w:val="Nadpis1"/>
        <w:spacing w:before="120" w:line="276" w:lineRule="auto"/>
        <w:ind w:left="0" w:firstLine="708"/>
        <w:jc w:val="both"/>
        <w:rPr>
          <w:rFonts w:ascii="Book Antiqua" w:hAnsi="Book Antiqua" w:cs="Book Antiqua"/>
          <w:b w:val="0"/>
          <w:sz w:val="22"/>
          <w:szCs w:val="22"/>
        </w:rPr>
      </w:pPr>
      <w:r w:rsidRPr="00AD58EC">
        <w:rPr>
          <w:rFonts w:ascii="Book Antiqua" w:hAnsi="Book Antiqua" w:cs="Times New Roman"/>
          <w:color w:val="222222"/>
          <w:sz w:val="22"/>
          <w:szCs w:val="22"/>
          <w:lang w:eastAsia="sk-SK"/>
        </w:rPr>
        <w:t>Keď si politici zvyšujú platy, mali by sa v prvom rade pozerať na to, ako sa zvyšujú platy obyčajným ľuďom a ako sa darí im.</w:t>
      </w:r>
      <w:r w:rsidRPr="00AD58EC">
        <w:rPr>
          <w:rFonts w:ascii="Book Antiqua" w:hAnsi="Book Antiqua" w:cs="Times New Roman"/>
          <w:b w:val="0"/>
          <w:color w:val="222222"/>
          <w:sz w:val="22"/>
          <w:szCs w:val="22"/>
          <w:lang w:eastAsia="sk-SK"/>
        </w:rPr>
        <w:t> Vláda ľuďom na tento rok prichystala zdraženie plynu a elektriny o 6 %, tepla o 7 %, poplatku za SIPO o 530 %, živnostníkom zvýšenie sociálnych a zdravotných odvodov o 10 eur. Oproti tomu ľudia od štátu dostanú zvýšenie životného minima o symbolických 1,59 eur, daňového bonusu na dieťa o 0,60 eur, rodičovského príspevku o 6 eur, starobného dôchodku o 8,70 eur, invalidného o 7,40 eur, vdovského o 5,60 eur či sirotského o 2,70 eur.</w:t>
      </w:r>
    </w:p>
    <w:p w:rsidR="00AD58EC" w:rsidRPr="00AD58EC" w:rsidRDefault="00AD58EC" w:rsidP="00AD58EC">
      <w:pPr>
        <w:pStyle w:val="Nadpis1"/>
        <w:spacing w:before="120" w:line="276" w:lineRule="auto"/>
        <w:ind w:left="0" w:firstLine="708"/>
        <w:jc w:val="both"/>
        <w:rPr>
          <w:rFonts w:ascii="Book Antiqua" w:hAnsi="Book Antiqua" w:cs="Book Antiqua"/>
          <w:b w:val="0"/>
          <w:sz w:val="22"/>
          <w:szCs w:val="22"/>
        </w:rPr>
      </w:pPr>
      <w:r w:rsidRPr="00AD58EC">
        <w:rPr>
          <w:rFonts w:ascii="Book Antiqua" w:hAnsi="Book Antiqua" w:cs="Times New Roman"/>
          <w:color w:val="222222"/>
          <w:sz w:val="22"/>
          <w:szCs w:val="22"/>
          <w:lang w:eastAsia="sk-SK"/>
        </w:rPr>
        <w:t>Za tejto situácie je maximálne nemorálne, aby si poslanci sami sebe skokovo zvýšili platy spolu s náhradami o viac ako 1500 eur mesačne.</w:t>
      </w:r>
    </w:p>
    <w:p w:rsidR="00AD58EC" w:rsidRPr="00AD58EC" w:rsidRDefault="00AD58EC" w:rsidP="00AD58EC">
      <w:pPr>
        <w:pStyle w:val="Nadpis1"/>
        <w:spacing w:before="120" w:line="276" w:lineRule="auto"/>
        <w:ind w:left="0" w:firstLine="708"/>
        <w:jc w:val="both"/>
        <w:rPr>
          <w:rFonts w:ascii="Book Antiqua" w:hAnsi="Book Antiqua" w:cs="Book Antiqua"/>
          <w:b w:val="0"/>
          <w:sz w:val="22"/>
          <w:szCs w:val="22"/>
        </w:rPr>
      </w:pPr>
      <w:r w:rsidRPr="00AD58EC">
        <w:rPr>
          <w:rFonts w:ascii="Book Antiqua" w:hAnsi="Book Antiqua" w:cs="Times New Roman"/>
          <w:b w:val="0"/>
          <w:color w:val="222222"/>
          <w:sz w:val="22"/>
          <w:szCs w:val="22"/>
          <w:lang w:eastAsia="sk-SK"/>
        </w:rPr>
        <w:t>Pritom za „prácu“, ktorú väčšina poslancov vykonáva, si nezaslúžia ani minimálnu mzdu, no existujú aj takí, ktorí by si vyšší plat zaslúžili. Parlamentný systém a zvyklosti však takéto zásluhové odmeňovanie neumožňujú.</w:t>
      </w:r>
    </w:p>
    <w:p w:rsidR="00AD58EC" w:rsidRDefault="00AD58EC" w:rsidP="00AD58EC">
      <w:pPr>
        <w:pStyle w:val="Nadpis1"/>
        <w:spacing w:before="120" w:line="276" w:lineRule="auto"/>
        <w:ind w:left="0" w:firstLine="708"/>
        <w:jc w:val="both"/>
        <w:rPr>
          <w:rFonts w:ascii="Book Antiqua" w:hAnsi="Book Antiqua" w:cs="Book Antiqua"/>
          <w:b w:val="0"/>
          <w:sz w:val="22"/>
          <w:szCs w:val="22"/>
        </w:rPr>
      </w:pPr>
      <w:r>
        <w:rPr>
          <w:rFonts w:ascii="Book Antiqua" w:hAnsi="Book Antiqua" w:cs="Times New Roman"/>
          <w:b w:val="0"/>
          <w:color w:val="222222"/>
          <w:sz w:val="22"/>
          <w:szCs w:val="22"/>
          <w:lang w:eastAsia="sk-SK"/>
        </w:rPr>
        <w:t>Možno sa domnievať, že m</w:t>
      </w:r>
      <w:r w:rsidRPr="00AD58EC">
        <w:rPr>
          <w:rFonts w:ascii="Book Antiqua" w:hAnsi="Book Antiqua" w:cs="Times New Roman"/>
          <w:b w:val="0"/>
          <w:color w:val="222222"/>
          <w:sz w:val="22"/>
          <w:szCs w:val="22"/>
          <w:lang w:eastAsia="sk-SK"/>
        </w:rPr>
        <w:t>nohí poslanci by chceli chybu, ktorú pri svojich platoch</w:t>
      </w:r>
      <w:r>
        <w:rPr>
          <w:rFonts w:ascii="Book Antiqua" w:hAnsi="Book Antiqua" w:cs="Times New Roman"/>
          <w:b w:val="0"/>
          <w:color w:val="222222"/>
          <w:sz w:val="22"/>
          <w:szCs w:val="22"/>
          <w:lang w:eastAsia="sk-SK"/>
        </w:rPr>
        <w:t xml:space="preserve"> urobili, napraviť. Z</w:t>
      </w:r>
      <w:r w:rsidRPr="00AD58EC">
        <w:rPr>
          <w:rFonts w:ascii="Book Antiqua" w:hAnsi="Book Antiqua" w:cs="Times New Roman"/>
          <w:b w:val="0"/>
          <w:color w:val="222222"/>
          <w:sz w:val="22"/>
          <w:szCs w:val="22"/>
          <w:lang w:eastAsia="sk-SK"/>
        </w:rPr>
        <w:t>ároveň</w:t>
      </w:r>
      <w:r>
        <w:rPr>
          <w:rFonts w:ascii="Book Antiqua" w:hAnsi="Book Antiqua" w:cs="Times New Roman"/>
          <w:b w:val="0"/>
          <w:color w:val="222222"/>
          <w:sz w:val="22"/>
          <w:szCs w:val="22"/>
          <w:lang w:eastAsia="sk-SK"/>
        </w:rPr>
        <w:t xml:space="preserve"> je pravdepodobné</w:t>
      </w:r>
      <w:r w:rsidRPr="00AD58EC">
        <w:rPr>
          <w:rFonts w:ascii="Book Antiqua" w:hAnsi="Book Antiqua" w:cs="Times New Roman"/>
          <w:b w:val="0"/>
          <w:color w:val="222222"/>
          <w:sz w:val="22"/>
          <w:szCs w:val="22"/>
          <w:lang w:eastAsia="sk-SK"/>
        </w:rPr>
        <w:t xml:space="preserve">, že mnohí poslanci sa neustálym zmrazovaním </w:t>
      </w:r>
      <w:r>
        <w:rPr>
          <w:rFonts w:ascii="Book Antiqua" w:hAnsi="Book Antiqua" w:cs="Times New Roman"/>
          <w:b w:val="0"/>
          <w:color w:val="222222"/>
          <w:sz w:val="22"/>
          <w:szCs w:val="22"/>
          <w:lang w:eastAsia="sk-SK"/>
        </w:rPr>
        <w:t>platov cítia dotknutí. Prijatím tohto návrhu zákona by sa preto zadosťučinilo spravodlivosti. Navrhuje sa</w:t>
      </w:r>
      <w:r w:rsidRPr="00AD58EC">
        <w:rPr>
          <w:rFonts w:ascii="Book Antiqua" w:hAnsi="Book Antiqua" w:cs="Times New Roman"/>
          <w:b w:val="0"/>
          <w:color w:val="222222"/>
          <w:sz w:val="22"/>
          <w:szCs w:val="22"/>
          <w:lang w:eastAsia="sk-SK"/>
        </w:rPr>
        <w:t xml:space="preserve"> v ňom</w:t>
      </w:r>
      <w:r>
        <w:rPr>
          <w:rFonts w:ascii="Book Antiqua" w:hAnsi="Book Antiqua" w:cs="Times New Roman"/>
          <w:b w:val="0"/>
          <w:color w:val="222222"/>
          <w:sz w:val="22"/>
          <w:szCs w:val="22"/>
          <w:lang w:eastAsia="sk-SK"/>
        </w:rPr>
        <w:t>, aby sa platy poslancov síce roz</w:t>
      </w:r>
      <w:r w:rsidRPr="00AD58EC">
        <w:rPr>
          <w:rFonts w:ascii="Book Antiqua" w:hAnsi="Book Antiqua" w:cs="Times New Roman"/>
          <w:b w:val="0"/>
          <w:color w:val="222222"/>
          <w:sz w:val="22"/>
          <w:szCs w:val="22"/>
          <w:lang w:eastAsia="sk-SK"/>
        </w:rPr>
        <w:t>mra</w:t>
      </w:r>
      <w:r>
        <w:rPr>
          <w:rFonts w:ascii="Book Antiqua" w:hAnsi="Book Antiqua" w:cs="Times New Roman"/>
          <w:b w:val="0"/>
          <w:color w:val="222222"/>
          <w:sz w:val="22"/>
          <w:szCs w:val="22"/>
          <w:lang w:eastAsia="sk-SK"/>
        </w:rPr>
        <w:t xml:space="preserve">zili, ale nie skokovo. Návrh zákona spočíva v tom, že </w:t>
      </w:r>
      <w:r w:rsidRPr="00AD58EC">
        <w:rPr>
          <w:rFonts w:ascii="Book Antiqua" w:hAnsi="Book Antiqua" w:cs="Times New Roman"/>
          <w:b w:val="0"/>
          <w:color w:val="222222"/>
          <w:sz w:val="22"/>
          <w:szCs w:val="22"/>
          <w:lang w:eastAsia="sk-SK"/>
        </w:rPr>
        <w:t xml:space="preserve">od </w:t>
      </w:r>
      <w:r>
        <w:rPr>
          <w:rFonts w:ascii="Book Antiqua" w:hAnsi="Book Antiqua" w:cs="Times New Roman"/>
          <w:b w:val="0"/>
          <w:color w:val="222222"/>
          <w:sz w:val="22"/>
          <w:szCs w:val="22"/>
          <w:lang w:eastAsia="sk-SK"/>
        </w:rPr>
        <w:t xml:space="preserve">jeho prijatia by sa </w:t>
      </w:r>
      <w:r w:rsidRPr="00AD58EC">
        <w:rPr>
          <w:rFonts w:ascii="Book Antiqua" w:hAnsi="Book Antiqua" w:cs="Times New Roman"/>
          <w:b w:val="0"/>
          <w:color w:val="222222"/>
          <w:sz w:val="22"/>
          <w:szCs w:val="22"/>
          <w:lang w:eastAsia="sk-SK"/>
        </w:rPr>
        <w:t>zvyšovali platy poslancov presne o také isté percento, o aké vzrastú platy zamestnancom v národnom hospodárstve. Znamenalo by to, že platy poslancov b</w:t>
      </w:r>
      <w:r w:rsidR="00624369">
        <w:rPr>
          <w:rFonts w:ascii="Book Antiqua" w:hAnsi="Book Antiqua" w:cs="Times New Roman"/>
          <w:b w:val="0"/>
          <w:color w:val="222222"/>
          <w:sz w:val="22"/>
          <w:szCs w:val="22"/>
          <w:lang w:eastAsia="sk-SK"/>
        </w:rPr>
        <w:t>y od 1. augusta</w:t>
      </w:r>
      <w:r w:rsidRPr="00AD58EC">
        <w:rPr>
          <w:rFonts w:ascii="Book Antiqua" w:hAnsi="Book Antiqua" w:cs="Times New Roman"/>
          <w:b w:val="0"/>
          <w:color w:val="222222"/>
          <w:sz w:val="22"/>
          <w:szCs w:val="22"/>
          <w:lang w:eastAsia="sk-SK"/>
        </w:rPr>
        <w:t xml:space="preserve"> v porovnaní s rokom 2018 vzrástli presne o rovnaké percento, o koľko narástli platy zamestnancov. Rovnako aj v rokoch budúcich.</w:t>
      </w:r>
    </w:p>
    <w:p w:rsidR="00A0007C" w:rsidRPr="00AD58EC" w:rsidRDefault="0026248B" w:rsidP="00AD58EC">
      <w:pPr>
        <w:pStyle w:val="Nadpis1"/>
        <w:spacing w:before="120" w:line="276" w:lineRule="auto"/>
        <w:ind w:left="0" w:firstLine="708"/>
        <w:jc w:val="both"/>
        <w:rPr>
          <w:rFonts w:ascii="Book Antiqua" w:hAnsi="Book Antiqua" w:cs="Book Antiqua"/>
          <w:b w:val="0"/>
          <w:sz w:val="22"/>
          <w:szCs w:val="22"/>
        </w:rPr>
      </w:pPr>
      <w:r w:rsidRPr="00AD58EC">
        <w:rPr>
          <w:rFonts w:ascii="Book Antiqua" w:hAnsi="Book Antiqua" w:cs="Book Antiqua"/>
          <w:b w:val="0"/>
          <w:sz w:val="22"/>
          <w:szCs w:val="22"/>
        </w:rPr>
        <w:t>Návrh zákona bude mať poz</w:t>
      </w:r>
      <w:r w:rsidR="00624369">
        <w:rPr>
          <w:rFonts w:ascii="Book Antiqua" w:hAnsi="Book Antiqua" w:cs="Book Antiqua"/>
          <w:b w:val="0"/>
          <w:sz w:val="22"/>
          <w:szCs w:val="22"/>
        </w:rPr>
        <w:t>itívny dopad na rozpočet verejnej správy</w:t>
      </w:r>
      <w:r w:rsidRPr="00AD58EC">
        <w:rPr>
          <w:rFonts w:ascii="Book Antiqua" w:hAnsi="Book Antiqua" w:cs="Book Antiqua"/>
          <w:b w:val="0"/>
          <w:sz w:val="22"/>
          <w:szCs w:val="22"/>
        </w:rPr>
        <w:t xml:space="preserve"> a nebude mať vplyv na podnikateľské prostredie, informatizáciu spoločnosti, sociálne vplyvy ani vplyv na zamestnanosť a na životné prostredie. </w:t>
      </w:r>
    </w:p>
    <w:p w:rsidR="00A0007C" w:rsidRPr="00AD58EC" w:rsidRDefault="0026248B" w:rsidP="00AD58EC">
      <w:pPr>
        <w:pStyle w:val="Nadpis1"/>
        <w:spacing w:before="120" w:line="276" w:lineRule="auto"/>
        <w:ind w:left="0" w:firstLine="708"/>
        <w:jc w:val="both"/>
        <w:rPr>
          <w:rFonts w:ascii="Book Antiqua" w:hAnsi="Book Antiqua"/>
          <w:sz w:val="22"/>
          <w:szCs w:val="22"/>
        </w:rPr>
      </w:pPr>
      <w:r w:rsidRPr="00AD58EC">
        <w:rPr>
          <w:rFonts w:ascii="Book Antiqua" w:hAnsi="Book Antiqua" w:cs="Book Antiqua"/>
          <w:b w:val="0"/>
          <w:sz w:val="22"/>
          <w:szCs w:val="22"/>
        </w:rPr>
        <w:t>Návrh zákona je v súlade s právom Európskej únie, s Ústavou Slovenskej republiky, s ústavnými zákonmi Slovenskej republiky, so zákonmi Slovenskej republiky a ostatnými všeobecne záväznými predpismi, ako aj s medzinárodnými zmluvami a inými medzinárodnými dokumentmi, ktorými je Slovenská republika viazaná.</w:t>
      </w:r>
    </w:p>
    <w:p w:rsidR="00A0007C" w:rsidRPr="00737CDD" w:rsidRDefault="00A0007C" w:rsidP="00737CDD">
      <w:pPr>
        <w:spacing w:before="120" w:after="0"/>
        <w:jc w:val="both"/>
        <w:rPr>
          <w:b/>
          <w:sz w:val="22"/>
        </w:rPr>
      </w:pPr>
    </w:p>
    <w:p w:rsidR="003F2DC3" w:rsidRDefault="003F2DC3" w:rsidP="00737CDD">
      <w:pPr>
        <w:spacing w:before="120" w:after="0"/>
        <w:jc w:val="both"/>
        <w:rPr>
          <w:b/>
          <w:sz w:val="22"/>
        </w:rPr>
      </w:pPr>
    </w:p>
    <w:p w:rsidR="00A0007C" w:rsidRPr="00737CDD" w:rsidRDefault="0026248B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737CDD">
        <w:rPr>
          <w:rFonts w:ascii="Book Antiqua" w:hAnsi="Book Antiqua" w:cs="Book Antiqua"/>
          <w:b/>
          <w:bCs/>
          <w:sz w:val="22"/>
          <w:szCs w:val="22"/>
        </w:rPr>
        <w:lastRenderedPageBreak/>
        <w:t>B. Osobitná časť</w:t>
      </w:r>
    </w:p>
    <w:p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A0007C" w:rsidRPr="0086655D" w:rsidRDefault="0026248B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86655D">
        <w:rPr>
          <w:rFonts w:ascii="Book Antiqua" w:hAnsi="Book Antiqua" w:cs="Book Antiqua"/>
          <w:b/>
          <w:bCs/>
          <w:sz w:val="22"/>
          <w:szCs w:val="22"/>
        </w:rPr>
        <w:t>K Čl. I</w:t>
      </w:r>
    </w:p>
    <w:p w:rsidR="00547398" w:rsidRPr="0086655D" w:rsidRDefault="00547398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Cs/>
          <w:sz w:val="22"/>
          <w:szCs w:val="22"/>
          <w:u w:val="single"/>
        </w:rPr>
      </w:pPr>
      <w:r w:rsidRPr="0086655D">
        <w:rPr>
          <w:rFonts w:ascii="Book Antiqua" w:hAnsi="Book Antiqua" w:cs="Book Antiqua"/>
          <w:bCs/>
          <w:sz w:val="22"/>
          <w:szCs w:val="22"/>
          <w:u w:val="single"/>
        </w:rPr>
        <w:t>K bodu 1</w:t>
      </w:r>
    </w:p>
    <w:p w:rsidR="00A0007C" w:rsidRPr="00EF3F47" w:rsidRDefault="00547398" w:rsidP="00547398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EF3F47">
        <w:rPr>
          <w:rFonts w:ascii="Book Antiqua" w:hAnsi="Book Antiqua" w:cs="Book Antiqua"/>
          <w:bCs/>
          <w:sz w:val="22"/>
          <w:szCs w:val="22"/>
        </w:rPr>
        <w:t>Navrhuje sa upraviť výpočet platu poslanca Národnej rady Slovenskej</w:t>
      </w:r>
      <w:r w:rsidR="00624369">
        <w:rPr>
          <w:rFonts w:ascii="Book Antiqua" w:hAnsi="Book Antiqua" w:cs="Book Antiqua"/>
          <w:bCs/>
          <w:sz w:val="22"/>
          <w:szCs w:val="22"/>
        </w:rPr>
        <w:t xml:space="preserve"> republiky tak, aby sa odvíjal</w:t>
      </w:r>
      <w:r w:rsidRPr="00EF3F47">
        <w:rPr>
          <w:rFonts w:ascii="Book Antiqua" w:hAnsi="Book Antiqua" w:cs="Book Antiqua"/>
          <w:bCs/>
          <w:sz w:val="22"/>
          <w:szCs w:val="22"/>
        </w:rPr>
        <w:t xml:space="preserve"> od </w:t>
      </w:r>
      <w:r w:rsidR="00EF3F47" w:rsidRPr="00EF3F47">
        <w:rPr>
          <w:rFonts w:ascii="Book Antiqua" w:hAnsi="Book Antiqua" w:cs="Book Antiqua"/>
          <w:bCs/>
          <w:sz w:val="22"/>
          <w:szCs w:val="22"/>
        </w:rPr>
        <w:t xml:space="preserve">medziročného nárastu </w:t>
      </w:r>
      <w:r w:rsidR="00EF3F47" w:rsidRPr="00EF3F47">
        <w:rPr>
          <w:rFonts w:ascii="Book Antiqua" w:hAnsi="Book Antiqua"/>
          <w:sz w:val="22"/>
          <w:szCs w:val="22"/>
        </w:rPr>
        <w:t>priemernej mesačnej nominálnej mzdy zamestnanca v hospodárstve Slovenskej republiky zverejneného Štatistickým úradom Slovenskej republiky</w:t>
      </w:r>
      <w:r w:rsidR="00EF3F47" w:rsidRPr="00EF3F47">
        <w:rPr>
          <w:rFonts w:ascii="Book Antiqua" w:hAnsi="Book Antiqua" w:cs="Book Antiqua"/>
          <w:bCs/>
          <w:sz w:val="22"/>
          <w:szCs w:val="22"/>
        </w:rPr>
        <w:t xml:space="preserve"> </w:t>
      </w:r>
      <w:r w:rsidRPr="00EF3F47">
        <w:rPr>
          <w:rFonts w:ascii="Book Antiqua" w:hAnsi="Book Antiqua" w:cs="Book Antiqua"/>
          <w:bCs/>
          <w:sz w:val="22"/>
          <w:szCs w:val="22"/>
        </w:rPr>
        <w:t xml:space="preserve">a nie od </w:t>
      </w:r>
      <w:r w:rsidR="00EF3F47">
        <w:rPr>
          <w:rFonts w:ascii="Book Antiqua" w:hAnsi="Book Antiqua" w:cs="Book Antiqua"/>
          <w:bCs/>
          <w:sz w:val="22"/>
          <w:szCs w:val="22"/>
        </w:rPr>
        <w:t xml:space="preserve">násobku samotnej </w:t>
      </w:r>
      <w:r w:rsidRPr="00EF3F47">
        <w:rPr>
          <w:rFonts w:ascii="Book Antiqua" w:hAnsi="Book Antiqua" w:cs="Book Antiqua"/>
          <w:bCs/>
          <w:sz w:val="22"/>
          <w:szCs w:val="22"/>
        </w:rPr>
        <w:t>priemernej nominálnej mesačnej mzdy za predchádzajúci kalendárny rok, ako tomu bolo doteraz. Dôvodom je súčasné výrazné zvýšenie platu poslancov NR</w:t>
      </w:r>
      <w:r w:rsidR="00AD58EC">
        <w:rPr>
          <w:rFonts w:ascii="Book Antiqua" w:hAnsi="Book Antiqua" w:cs="Book Antiqua"/>
          <w:bCs/>
          <w:sz w:val="22"/>
          <w:szCs w:val="22"/>
        </w:rPr>
        <w:t xml:space="preserve"> </w:t>
      </w:r>
      <w:r w:rsidR="00624369">
        <w:rPr>
          <w:rFonts w:ascii="Book Antiqua" w:hAnsi="Book Antiqua" w:cs="Book Antiqua"/>
          <w:bCs/>
          <w:sz w:val="22"/>
          <w:szCs w:val="22"/>
        </w:rPr>
        <w:t>SR, ktoré je jednoznačne</w:t>
      </w:r>
      <w:r w:rsidR="00AD58EC">
        <w:rPr>
          <w:rFonts w:ascii="Book Antiqua" w:hAnsi="Book Antiqua" w:cs="Book Antiqua"/>
          <w:bCs/>
          <w:sz w:val="22"/>
          <w:szCs w:val="22"/>
        </w:rPr>
        <w:t xml:space="preserve"> neprimerané</w:t>
      </w:r>
      <w:r w:rsidR="0026248B" w:rsidRPr="00EF3F47">
        <w:rPr>
          <w:rFonts w:ascii="Book Antiqua" w:hAnsi="Book Antiqua" w:cs="Book Antiqua"/>
          <w:bCs/>
          <w:sz w:val="22"/>
          <w:szCs w:val="22"/>
        </w:rPr>
        <w:t>.</w:t>
      </w:r>
    </w:p>
    <w:p w:rsidR="00547398" w:rsidRPr="0086655D" w:rsidRDefault="00547398" w:rsidP="00547398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Cs/>
          <w:sz w:val="22"/>
          <w:szCs w:val="22"/>
          <w:u w:val="single"/>
        </w:rPr>
      </w:pPr>
      <w:r w:rsidRPr="0086655D">
        <w:rPr>
          <w:rFonts w:ascii="Book Antiqua" w:hAnsi="Book Antiqua" w:cs="Book Antiqua"/>
          <w:bCs/>
          <w:sz w:val="22"/>
          <w:szCs w:val="22"/>
          <w:u w:val="single"/>
        </w:rPr>
        <w:t>K bodu 2</w:t>
      </w:r>
    </w:p>
    <w:p w:rsidR="00A0007C" w:rsidRPr="0086655D" w:rsidRDefault="00547398" w:rsidP="00547398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86655D">
        <w:rPr>
          <w:rFonts w:ascii="Book Antiqua" w:hAnsi="Book Antiqua" w:cs="Book Antiqua"/>
          <w:bCs/>
          <w:sz w:val="22"/>
          <w:szCs w:val="22"/>
        </w:rPr>
        <w:t>Obdobne ako v</w:t>
      </w:r>
      <w:r w:rsidR="00AD58EC">
        <w:rPr>
          <w:rFonts w:ascii="Book Antiqua" w:hAnsi="Book Antiqua" w:cs="Book Antiqua"/>
          <w:bCs/>
          <w:sz w:val="22"/>
          <w:szCs w:val="22"/>
        </w:rPr>
        <w:t xml:space="preserve"> čl. I </w:t>
      </w:r>
      <w:r w:rsidRPr="0086655D">
        <w:rPr>
          <w:rFonts w:ascii="Book Antiqua" w:hAnsi="Book Antiqua" w:cs="Book Antiqua"/>
          <w:bCs/>
          <w:sz w:val="22"/>
          <w:szCs w:val="22"/>
        </w:rPr>
        <w:t xml:space="preserve">bode </w:t>
      </w:r>
      <w:r w:rsidR="00AD58EC">
        <w:rPr>
          <w:rFonts w:ascii="Book Antiqua" w:hAnsi="Book Antiqua" w:cs="Book Antiqua"/>
          <w:bCs/>
          <w:sz w:val="22"/>
          <w:szCs w:val="22"/>
        </w:rPr>
        <w:t xml:space="preserve">1 </w:t>
      </w:r>
      <w:r w:rsidRPr="0086655D">
        <w:rPr>
          <w:rFonts w:ascii="Book Antiqua" w:hAnsi="Book Antiqua" w:cs="Book Antiqua"/>
          <w:bCs/>
          <w:sz w:val="22"/>
          <w:szCs w:val="22"/>
        </w:rPr>
        <w:t>tohto návrhu zákona, navrhuje sa upraviť aj výpočet pre t</w:t>
      </w:r>
      <w:r w:rsidRPr="0086655D">
        <w:rPr>
          <w:rFonts w:ascii="Book Antiqua" w:hAnsi="Book Antiqua"/>
          <w:sz w:val="22"/>
          <w:szCs w:val="22"/>
        </w:rPr>
        <w:t>zv. paušálne náhrady poslanca NR</w:t>
      </w:r>
      <w:r w:rsidR="00AD58EC">
        <w:rPr>
          <w:rFonts w:ascii="Book Antiqua" w:hAnsi="Book Antiqua"/>
          <w:sz w:val="22"/>
          <w:szCs w:val="22"/>
        </w:rPr>
        <w:t xml:space="preserve"> </w:t>
      </w:r>
      <w:r w:rsidRPr="0086655D">
        <w:rPr>
          <w:rFonts w:ascii="Book Antiqua" w:hAnsi="Book Antiqua"/>
          <w:sz w:val="22"/>
          <w:szCs w:val="22"/>
        </w:rPr>
        <w:t>SR, t. j. diéty a náhrady ďalších výdavkov spojených s výkonom funkcie poslanca NRSR. Dôvod na úpravu paušálnych výdavkov je rovnaký ako v</w:t>
      </w:r>
      <w:r w:rsidR="00AD58EC">
        <w:rPr>
          <w:rFonts w:ascii="Book Antiqua" w:hAnsi="Book Antiqua"/>
          <w:sz w:val="22"/>
          <w:szCs w:val="22"/>
        </w:rPr>
        <w:t xml:space="preserve"> čl. I </w:t>
      </w:r>
      <w:r w:rsidRPr="0086655D">
        <w:rPr>
          <w:rFonts w:ascii="Book Antiqua" w:hAnsi="Book Antiqua"/>
          <w:sz w:val="22"/>
          <w:szCs w:val="22"/>
        </w:rPr>
        <w:t>bode 1 tohto návrhu zákona.</w:t>
      </w:r>
    </w:p>
    <w:p w:rsidR="00547398" w:rsidRPr="0086655D" w:rsidRDefault="00547398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A0007C" w:rsidRPr="0086655D" w:rsidRDefault="0026248B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86655D">
        <w:rPr>
          <w:rFonts w:ascii="Book Antiqua" w:hAnsi="Book Antiqua" w:cs="Book Antiqua"/>
          <w:b/>
          <w:bCs/>
          <w:sz w:val="22"/>
          <w:szCs w:val="22"/>
        </w:rPr>
        <w:t xml:space="preserve">K Čl. </w:t>
      </w:r>
      <w:r w:rsidR="00547398" w:rsidRPr="0086655D">
        <w:rPr>
          <w:rFonts w:ascii="Book Antiqua" w:hAnsi="Book Antiqua" w:cs="Book Antiqua"/>
          <w:b/>
          <w:bCs/>
          <w:sz w:val="22"/>
          <w:szCs w:val="22"/>
        </w:rPr>
        <w:t>I</w:t>
      </w:r>
      <w:r w:rsidRPr="0086655D">
        <w:rPr>
          <w:rFonts w:ascii="Book Antiqua" w:hAnsi="Book Antiqua" w:cs="Book Antiqua"/>
          <w:b/>
          <w:bCs/>
          <w:sz w:val="22"/>
          <w:szCs w:val="22"/>
        </w:rPr>
        <w:t>I</w:t>
      </w:r>
    </w:p>
    <w:p w:rsidR="00A0007C" w:rsidRPr="0086655D" w:rsidRDefault="0026248B" w:rsidP="00737CDD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trike/>
          <w:sz w:val="22"/>
          <w:szCs w:val="22"/>
        </w:rPr>
      </w:pPr>
      <w:r w:rsidRPr="0086655D">
        <w:rPr>
          <w:rFonts w:ascii="Book Antiqua" w:hAnsi="Book Antiqua" w:cs="Book Antiqua"/>
          <w:sz w:val="22"/>
          <w:szCs w:val="22"/>
        </w:rPr>
        <w:t>Navrhuje sa účinnosť predkla</w:t>
      </w:r>
      <w:r w:rsidR="00AD58EC">
        <w:rPr>
          <w:rFonts w:ascii="Book Antiqua" w:hAnsi="Book Antiqua" w:cs="Book Antiqua"/>
          <w:sz w:val="22"/>
          <w:szCs w:val="22"/>
        </w:rPr>
        <w:t xml:space="preserve">daného návrhu zákona </w:t>
      </w:r>
      <w:r w:rsidR="00624369" w:rsidRPr="00711944">
        <w:rPr>
          <w:rFonts w:ascii="Book Antiqua" w:hAnsi="Book Antiqua"/>
          <w:sz w:val="22"/>
          <w:szCs w:val="22"/>
        </w:rPr>
        <w:t xml:space="preserve">so zohľadnením </w:t>
      </w:r>
      <w:proofErr w:type="spellStart"/>
      <w:r w:rsidR="00624369" w:rsidRPr="00711944">
        <w:rPr>
          <w:rFonts w:ascii="Book Antiqua" w:hAnsi="Book Antiqua"/>
          <w:sz w:val="22"/>
          <w:szCs w:val="22"/>
        </w:rPr>
        <w:t>legisvakančnej</w:t>
      </w:r>
      <w:proofErr w:type="spellEnd"/>
      <w:r w:rsidR="00624369" w:rsidRPr="00711944">
        <w:rPr>
          <w:rFonts w:ascii="Book Antiqua" w:hAnsi="Book Antiqua"/>
          <w:sz w:val="22"/>
          <w:szCs w:val="22"/>
        </w:rPr>
        <w:t xml:space="preserve"> lehoty</w:t>
      </w:r>
      <w:r w:rsidR="00624369" w:rsidRPr="0086655D">
        <w:rPr>
          <w:rFonts w:ascii="Book Antiqua" w:hAnsi="Book Antiqua" w:cs="Book Antiqua"/>
          <w:sz w:val="22"/>
          <w:szCs w:val="22"/>
        </w:rPr>
        <w:t xml:space="preserve"> </w:t>
      </w:r>
      <w:r w:rsidRPr="0086655D">
        <w:rPr>
          <w:rFonts w:ascii="Book Antiqua" w:hAnsi="Book Antiqua" w:cs="Book Antiqua"/>
          <w:sz w:val="22"/>
          <w:szCs w:val="22"/>
        </w:rPr>
        <w:t xml:space="preserve">od </w:t>
      </w:r>
      <w:r w:rsidR="00D07EFF" w:rsidRPr="0086655D">
        <w:rPr>
          <w:rFonts w:ascii="Book Antiqua" w:hAnsi="Book Antiqua" w:cs="Book Antiqua"/>
          <w:bCs/>
          <w:sz w:val="22"/>
          <w:szCs w:val="22"/>
        </w:rPr>
        <w:t xml:space="preserve">1. </w:t>
      </w:r>
      <w:r w:rsidR="00624369">
        <w:rPr>
          <w:rFonts w:ascii="Book Antiqua" w:hAnsi="Book Antiqua" w:cs="Book Antiqua"/>
          <w:bCs/>
          <w:sz w:val="22"/>
          <w:szCs w:val="22"/>
        </w:rPr>
        <w:t>augusta</w:t>
      </w:r>
      <w:r w:rsidR="00D07EFF" w:rsidRPr="0086655D">
        <w:rPr>
          <w:rFonts w:ascii="Book Antiqua" w:hAnsi="Book Antiqua" w:cs="Book Antiqua"/>
          <w:bCs/>
          <w:sz w:val="22"/>
          <w:szCs w:val="22"/>
        </w:rPr>
        <w:t xml:space="preserve"> 2019</w:t>
      </w:r>
      <w:r w:rsidR="00001DF3" w:rsidRPr="0086655D">
        <w:rPr>
          <w:rFonts w:ascii="Book Antiqua" w:hAnsi="Book Antiqua" w:cs="Book Antiqua"/>
          <w:sz w:val="22"/>
          <w:szCs w:val="22"/>
        </w:rPr>
        <w:t>.</w:t>
      </w:r>
    </w:p>
    <w:p w:rsidR="00A0007C" w:rsidRPr="00737CDD" w:rsidRDefault="0026248B" w:rsidP="00737CDD">
      <w:pPr>
        <w:spacing w:before="120" w:after="0"/>
        <w:jc w:val="both"/>
        <w:rPr>
          <w:b/>
          <w:caps/>
          <w:spacing w:val="30"/>
          <w:sz w:val="22"/>
        </w:rPr>
      </w:pPr>
      <w:r w:rsidRPr="00737CDD">
        <w:rPr>
          <w:sz w:val="22"/>
        </w:rPr>
        <w:tab/>
      </w:r>
    </w:p>
    <w:p w:rsidR="00A0007C" w:rsidRPr="00737CDD" w:rsidRDefault="00A0007C" w:rsidP="00737CDD">
      <w:pPr>
        <w:spacing w:before="120" w:after="0"/>
        <w:jc w:val="both"/>
        <w:rPr>
          <w:b/>
          <w:caps/>
          <w:spacing w:val="30"/>
          <w:sz w:val="22"/>
        </w:rPr>
      </w:pPr>
    </w:p>
    <w:p w:rsidR="00A0007C" w:rsidRPr="00737CDD" w:rsidRDefault="00A0007C" w:rsidP="00737CDD">
      <w:pPr>
        <w:pageBreakBefore/>
        <w:spacing w:before="120" w:after="0"/>
        <w:jc w:val="both"/>
        <w:rPr>
          <w:b/>
          <w:caps/>
          <w:spacing w:val="30"/>
          <w:sz w:val="22"/>
        </w:rPr>
      </w:pPr>
    </w:p>
    <w:p w:rsidR="00A0007C" w:rsidRPr="00737CDD" w:rsidRDefault="0026248B" w:rsidP="00737CDD">
      <w:pPr>
        <w:spacing w:before="120" w:after="0"/>
        <w:jc w:val="center"/>
        <w:rPr>
          <w:sz w:val="22"/>
        </w:rPr>
      </w:pPr>
      <w:r w:rsidRPr="00737CDD">
        <w:rPr>
          <w:b/>
          <w:caps/>
          <w:spacing w:val="30"/>
          <w:sz w:val="22"/>
        </w:rPr>
        <w:t>Doložka zlučiteľnosti</w:t>
      </w:r>
      <w:r w:rsidRPr="00737CDD">
        <w:rPr>
          <w:b/>
          <w:caps/>
          <w:spacing w:val="30"/>
          <w:sz w:val="22"/>
        </w:rPr>
        <w:br/>
      </w:r>
      <w:r w:rsidRPr="00737CDD">
        <w:rPr>
          <w:b/>
          <w:sz w:val="22"/>
        </w:rPr>
        <w:t>návrhu zákona s právom Európskej únie</w:t>
      </w:r>
    </w:p>
    <w:p w:rsidR="00A0007C" w:rsidRPr="00737CDD" w:rsidRDefault="00A0007C" w:rsidP="00737CDD">
      <w:pPr>
        <w:spacing w:before="120" w:after="0"/>
        <w:jc w:val="both"/>
        <w:rPr>
          <w:sz w:val="22"/>
        </w:rPr>
      </w:pPr>
    </w:p>
    <w:p w:rsidR="00A0007C" w:rsidRPr="00AD58EC" w:rsidRDefault="0026248B" w:rsidP="00737CDD">
      <w:pPr>
        <w:spacing w:before="120" w:after="0"/>
        <w:ind w:left="426" w:hanging="426"/>
        <w:jc w:val="both"/>
        <w:rPr>
          <w:sz w:val="22"/>
        </w:rPr>
      </w:pPr>
      <w:r w:rsidRPr="00737CDD">
        <w:rPr>
          <w:b/>
          <w:sz w:val="22"/>
        </w:rPr>
        <w:t>1.</w:t>
      </w:r>
      <w:r w:rsidRPr="00737CDD">
        <w:rPr>
          <w:b/>
          <w:sz w:val="22"/>
        </w:rPr>
        <w:tab/>
        <w:t>Navrhovateľ zákona:</w:t>
      </w:r>
      <w:r w:rsidR="00AD58EC">
        <w:rPr>
          <w:b/>
          <w:sz w:val="22"/>
        </w:rPr>
        <w:t xml:space="preserve"> </w:t>
      </w:r>
      <w:r w:rsidR="0086655D" w:rsidRPr="00AD58EC">
        <w:rPr>
          <w:sz w:val="22"/>
        </w:rPr>
        <w:t xml:space="preserve">poslanec Národnej rady Slovenskej </w:t>
      </w:r>
      <w:proofErr w:type="spellStart"/>
      <w:r w:rsidR="0086655D" w:rsidRPr="00AD58EC">
        <w:rPr>
          <w:sz w:val="22"/>
        </w:rPr>
        <w:t>republiky</w:t>
      </w:r>
      <w:r w:rsidR="00AD58EC">
        <w:rPr>
          <w:sz w:val="22"/>
        </w:rPr>
        <w:t>za</w:t>
      </w:r>
      <w:proofErr w:type="spellEnd"/>
      <w:r w:rsidR="00AD58EC">
        <w:rPr>
          <w:sz w:val="22"/>
        </w:rPr>
        <w:t xml:space="preserve"> hnutie OBYČAJNÍ ĽUDIA</w:t>
      </w:r>
      <w:r w:rsidR="00624369">
        <w:rPr>
          <w:sz w:val="22"/>
        </w:rPr>
        <w:t xml:space="preserve"> a nezávislé osobnosti (OĽA</w:t>
      </w:r>
      <w:r w:rsidR="0086655D" w:rsidRPr="00AD58EC">
        <w:rPr>
          <w:sz w:val="22"/>
        </w:rPr>
        <w:t>NO) Igor Matovič</w:t>
      </w:r>
    </w:p>
    <w:p w:rsidR="00A0007C" w:rsidRPr="00737CDD" w:rsidRDefault="00A0007C" w:rsidP="00737CDD">
      <w:pPr>
        <w:spacing w:before="120" w:after="0"/>
        <w:ind w:left="426" w:hanging="426"/>
        <w:jc w:val="both"/>
        <w:rPr>
          <w:b/>
          <w:sz w:val="22"/>
        </w:rPr>
      </w:pPr>
    </w:p>
    <w:p w:rsidR="00A0007C" w:rsidRPr="00737CDD" w:rsidRDefault="0026248B" w:rsidP="00737CDD">
      <w:pPr>
        <w:spacing w:before="120" w:after="0"/>
        <w:ind w:left="426" w:hanging="426"/>
        <w:jc w:val="both"/>
        <w:rPr>
          <w:b/>
          <w:bCs/>
          <w:sz w:val="22"/>
        </w:rPr>
      </w:pPr>
      <w:r w:rsidRPr="00737CDD">
        <w:rPr>
          <w:b/>
          <w:sz w:val="22"/>
        </w:rPr>
        <w:t>2.</w:t>
      </w:r>
      <w:r w:rsidRPr="00737CDD">
        <w:rPr>
          <w:b/>
          <w:sz w:val="22"/>
        </w:rPr>
        <w:tab/>
        <w:t>Názov návrhu zákona:</w:t>
      </w:r>
      <w:r w:rsidRPr="00737CDD">
        <w:rPr>
          <w:sz w:val="22"/>
        </w:rPr>
        <w:t xml:space="preserve"> návrh zákona, ktorým sa </w:t>
      </w:r>
      <w:r w:rsidR="003F2DC3">
        <w:rPr>
          <w:sz w:val="22"/>
        </w:rPr>
        <w:t>mení</w:t>
      </w:r>
      <w:r w:rsidRPr="00737CDD">
        <w:rPr>
          <w:sz w:val="22"/>
        </w:rPr>
        <w:t xml:space="preserve"> zákon Národnej rady Slovenskej republiky č. 120/1993 Z. z. o platových pomeroch niektorých ústavných činiteľov Slovenskej republi</w:t>
      </w:r>
      <w:r w:rsidR="00AD58EC">
        <w:rPr>
          <w:sz w:val="22"/>
        </w:rPr>
        <w:t>ky v znení neskorších predpisov</w:t>
      </w:r>
    </w:p>
    <w:p w:rsidR="00A0007C" w:rsidRPr="00737CDD" w:rsidRDefault="00A0007C" w:rsidP="00737CDD">
      <w:pPr>
        <w:spacing w:before="120" w:after="0"/>
        <w:ind w:left="426" w:hanging="426"/>
        <w:jc w:val="both"/>
        <w:rPr>
          <w:b/>
          <w:bCs/>
          <w:sz w:val="22"/>
        </w:rPr>
      </w:pPr>
    </w:p>
    <w:p w:rsidR="00A0007C" w:rsidRPr="00737CDD" w:rsidRDefault="0026248B" w:rsidP="00737CDD">
      <w:pPr>
        <w:spacing w:before="120" w:after="0"/>
        <w:ind w:left="426" w:hanging="426"/>
        <w:jc w:val="both"/>
        <w:rPr>
          <w:bCs/>
          <w:sz w:val="22"/>
        </w:rPr>
      </w:pPr>
      <w:r w:rsidRPr="00737CDD">
        <w:rPr>
          <w:b/>
          <w:bCs/>
          <w:sz w:val="22"/>
        </w:rPr>
        <w:t xml:space="preserve">3. </w:t>
      </w:r>
      <w:r w:rsidRPr="00737CDD">
        <w:rPr>
          <w:b/>
          <w:bCs/>
          <w:sz w:val="22"/>
        </w:rPr>
        <w:tab/>
        <w:t>Predmet návrhu zákona:</w:t>
      </w:r>
    </w:p>
    <w:p w:rsidR="00A0007C" w:rsidRPr="00737CDD" w:rsidRDefault="0026248B" w:rsidP="00737CDD">
      <w:pPr>
        <w:pStyle w:val="Normlnywebov"/>
        <w:numPr>
          <w:ilvl w:val="0"/>
          <w:numId w:val="2"/>
        </w:numPr>
        <w:spacing w:before="120" w:after="0" w:line="276" w:lineRule="auto"/>
        <w:ind w:hanging="294"/>
        <w:jc w:val="both"/>
        <w:rPr>
          <w:rFonts w:ascii="Book Antiqua" w:hAnsi="Book Antiqua" w:cs="Book Antiqua"/>
          <w:bCs/>
          <w:sz w:val="22"/>
          <w:szCs w:val="22"/>
        </w:rPr>
      </w:pPr>
      <w:r w:rsidRPr="00737CDD">
        <w:rPr>
          <w:rFonts w:ascii="Book Antiqua" w:hAnsi="Book Antiqua" w:cs="Book Antiqua"/>
          <w:bCs/>
          <w:sz w:val="22"/>
          <w:szCs w:val="22"/>
        </w:rPr>
        <w:t>nie je upravený v primárnom práve Európskej únie,</w:t>
      </w:r>
    </w:p>
    <w:p w:rsidR="00A0007C" w:rsidRPr="00737CDD" w:rsidRDefault="0026248B" w:rsidP="00737CDD">
      <w:pPr>
        <w:pStyle w:val="Normlnywebov"/>
        <w:numPr>
          <w:ilvl w:val="0"/>
          <w:numId w:val="2"/>
        </w:numPr>
        <w:spacing w:before="120" w:after="0" w:line="276" w:lineRule="auto"/>
        <w:ind w:hanging="294"/>
        <w:jc w:val="both"/>
        <w:rPr>
          <w:rFonts w:ascii="Book Antiqua" w:hAnsi="Book Antiqua" w:cs="Book Antiqua"/>
          <w:bCs/>
          <w:sz w:val="22"/>
          <w:szCs w:val="22"/>
        </w:rPr>
      </w:pPr>
      <w:r w:rsidRPr="00737CDD">
        <w:rPr>
          <w:rFonts w:ascii="Book Antiqua" w:hAnsi="Book Antiqua" w:cs="Book Antiqua"/>
          <w:bCs/>
          <w:sz w:val="22"/>
          <w:szCs w:val="22"/>
        </w:rPr>
        <w:t>nie je upravený v sekundárnom práve Európskej únie</w:t>
      </w:r>
      <w:r w:rsidRPr="00737CDD">
        <w:rPr>
          <w:rFonts w:ascii="Book Antiqua" w:hAnsi="Book Antiqua" w:cs="Book Antiqua"/>
          <w:sz w:val="22"/>
          <w:szCs w:val="22"/>
        </w:rPr>
        <w:t>,</w:t>
      </w:r>
    </w:p>
    <w:p w:rsidR="00A0007C" w:rsidRPr="00737CDD" w:rsidRDefault="0026248B" w:rsidP="00737CDD">
      <w:pPr>
        <w:pStyle w:val="Normlnywebov"/>
        <w:spacing w:before="120" w:after="0" w:line="276" w:lineRule="auto"/>
        <w:ind w:left="709" w:hanging="283"/>
        <w:jc w:val="both"/>
        <w:rPr>
          <w:rFonts w:ascii="Book Antiqua" w:hAnsi="Book Antiqua" w:cs="Book Antiqua"/>
          <w:bCs/>
          <w:sz w:val="22"/>
          <w:szCs w:val="22"/>
        </w:rPr>
      </w:pPr>
      <w:r w:rsidRPr="00737CDD">
        <w:rPr>
          <w:rFonts w:ascii="Book Antiqua" w:hAnsi="Book Antiqua" w:cs="Book Antiqua"/>
          <w:bCs/>
          <w:sz w:val="22"/>
          <w:szCs w:val="22"/>
        </w:rPr>
        <w:t xml:space="preserve">c) </w:t>
      </w:r>
      <w:r w:rsidRPr="00737CDD">
        <w:rPr>
          <w:rFonts w:ascii="Book Antiqua" w:hAnsi="Book Antiqua" w:cs="Book Antiqua"/>
          <w:bCs/>
          <w:sz w:val="22"/>
          <w:szCs w:val="22"/>
        </w:rPr>
        <w:tab/>
        <w:t>nie je obsiahnutý v judikatúre Súdneho dvora Európskej únie.</w:t>
      </w:r>
    </w:p>
    <w:p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Cs/>
          <w:sz w:val="22"/>
          <w:szCs w:val="22"/>
        </w:rPr>
      </w:pPr>
    </w:p>
    <w:p w:rsidR="00A0007C" w:rsidRPr="00737CDD" w:rsidRDefault="0026248B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737CDD">
        <w:rPr>
          <w:rFonts w:ascii="Book Antiqua" w:hAnsi="Book Antiqua" w:cs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  <w:r w:rsidRPr="00737CDD">
        <w:rPr>
          <w:rFonts w:ascii="Book Antiqua" w:hAnsi="Book Antiqua" w:cs="Book Antiqua"/>
          <w:sz w:val="22"/>
          <w:szCs w:val="22"/>
        </w:rPr>
        <w:t> </w:t>
      </w:r>
    </w:p>
    <w:p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A0007C" w:rsidRDefault="00A0007C" w:rsidP="00737CDD">
      <w:pPr>
        <w:pStyle w:val="Normlnywebov"/>
        <w:spacing w:before="120" w:after="0" w:line="276" w:lineRule="auto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0D5C89" w:rsidRPr="00737CDD" w:rsidRDefault="000D5C89" w:rsidP="00737CDD">
      <w:pPr>
        <w:pStyle w:val="Normlnywebov"/>
        <w:spacing w:before="120" w:after="0" w:line="276" w:lineRule="auto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bookmarkStart w:id="0" w:name="_GoBack"/>
      <w:bookmarkEnd w:id="0"/>
    </w:p>
    <w:p w:rsidR="00A0007C" w:rsidRPr="00737CDD" w:rsidRDefault="0026248B" w:rsidP="00737CDD">
      <w:pPr>
        <w:pStyle w:val="Normlnywebov"/>
        <w:spacing w:before="120" w:after="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737CDD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lastRenderedPageBreak/>
        <w:t>Doložka</w:t>
      </w:r>
    </w:p>
    <w:p w:rsidR="00A0007C" w:rsidRPr="00737CDD" w:rsidRDefault="0026248B" w:rsidP="00737CDD">
      <w:pPr>
        <w:pStyle w:val="Normlnywebov"/>
        <w:spacing w:before="120" w:after="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737CDD">
        <w:rPr>
          <w:rFonts w:ascii="Book Antiqua" w:hAnsi="Book Antiqua" w:cs="Book Antiqua"/>
          <w:b/>
          <w:bCs/>
          <w:sz w:val="22"/>
          <w:szCs w:val="22"/>
        </w:rPr>
        <w:t>vybraných vplyvov</w:t>
      </w:r>
    </w:p>
    <w:p w:rsidR="00A0007C" w:rsidRPr="00737CDD" w:rsidRDefault="0026248B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737CDD">
        <w:rPr>
          <w:rFonts w:ascii="Book Antiqua" w:hAnsi="Book Antiqua" w:cs="Book Antiqua"/>
          <w:sz w:val="22"/>
          <w:szCs w:val="22"/>
        </w:rPr>
        <w:t> </w:t>
      </w:r>
    </w:p>
    <w:p w:rsidR="00AD58EC" w:rsidRDefault="0026248B" w:rsidP="00836558">
      <w:pPr>
        <w:pStyle w:val="Normlnywebov"/>
        <w:spacing w:before="120" w:after="0" w:line="276" w:lineRule="auto"/>
        <w:ind w:left="426" w:hanging="426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737CDD">
        <w:rPr>
          <w:rFonts w:ascii="Book Antiqua" w:hAnsi="Book Antiqua" w:cs="Book Antiqua"/>
          <w:b/>
          <w:bCs/>
          <w:sz w:val="22"/>
          <w:szCs w:val="22"/>
        </w:rPr>
        <w:t xml:space="preserve">A.1. Názov materiálu: </w:t>
      </w:r>
      <w:r w:rsidRPr="00737CDD">
        <w:rPr>
          <w:rFonts w:ascii="Book Antiqua" w:hAnsi="Book Antiqua" w:cs="Book Antiqua"/>
          <w:sz w:val="22"/>
          <w:szCs w:val="22"/>
        </w:rPr>
        <w:t xml:space="preserve">návrh zákona, ktorým sa </w:t>
      </w:r>
      <w:r w:rsidR="0086655D">
        <w:rPr>
          <w:rFonts w:ascii="Book Antiqua" w:hAnsi="Book Antiqua" w:cs="Book Antiqua"/>
          <w:sz w:val="22"/>
          <w:szCs w:val="22"/>
        </w:rPr>
        <w:t>mení</w:t>
      </w:r>
      <w:r w:rsidRPr="00737CDD">
        <w:rPr>
          <w:rFonts w:ascii="Book Antiqua" w:hAnsi="Book Antiqua" w:cs="Book Antiqua"/>
          <w:sz w:val="22"/>
          <w:szCs w:val="22"/>
        </w:rPr>
        <w:t xml:space="preserve"> </w:t>
      </w:r>
      <w:r w:rsidR="00624369">
        <w:rPr>
          <w:rFonts w:ascii="Book Antiqua" w:hAnsi="Book Antiqua" w:cs="Book Antiqua"/>
          <w:sz w:val="22"/>
          <w:szCs w:val="22"/>
        </w:rPr>
        <w:t xml:space="preserve">a dopĺňa </w:t>
      </w:r>
      <w:r w:rsidRPr="00737CDD">
        <w:rPr>
          <w:rFonts w:ascii="Book Antiqua" w:hAnsi="Book Antiqua" w:cs="Book Antiqua"/>
          <w:sz w:val="22"/>
          <w:szCs w:val="22"/>
        </w:rPr>
        <w:t>zákon Národnej rady Slovenskej republiky č. 120/1993 Z. z. o platových pomeroch niektorých ústavných činiteľov Slovenskej republi</w:t>
      </w:r>
      <w:r w:rsidR="00AD58EC">
        <w:rPr>
          <w:rFonts w:ascii="Book Antiqua" w:hAnsi="Book Antiqua" w:cs="Book Antiqua"/>
          <w:sz w:val="22"/>
          <w:szCs w:val="22"/>
        </w:rPr>
        <w:t>ky v znení neskorších predpisov</w:t>
      </w:r>
    </w:p>
    <w:p w:rsidR="00A0007C" w:rsidRPr="00737CDD" w:rsidRDefault="0026248B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i/>
          <w:iCs/>
          <w:sz w:val="22"/>
          <w:szCs w:val="22"/>
        </w:rPr>
      </w:pPr>
      <w:r w:rsidRPr="00737CDD">
        <w:rPr>
          <w:rFonts w:ascii="Book Antiqua" w:hAnsi="Book Antiqua" w:cs="Book Antiqua"/>
          <w:b/>
          <w:bCs/>
          <w:sz w:val="22"/>
          <w:szCs w:val="22"/>
        </w:rPr>
        <w:t>Termín začatia a ukončenia PPK:</w:t>
      </w:r>
      <w:r w:rsidR="00624369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Pr="00737CDD">
        <w:rPr>
          <w:rFonts w:ascii="Book Antiqua" w:hAnsi="Book Antiqua" w:cs="Book Antiqua"/>
          <w:i/>
          <w:iCs/>
          <w:sz w:val="22"/>
          <w:szCs w:val="22"/>
        </w:rPr>
        <w:t>bezpredmetné</w:t>
      </w:r>
    </w:p>
    <w:p w:rsidR="000C327C" w:rsidRDefault="000C327C" w:rsidP="000C327C">
      <w:pPr>
        <w:suppressAutoHyphens w:val="0"/>
        <w:autoSpaceDE w:val="0"/>
        <w:autoSpaceDN w:val="0"/>
        <w:adjustRightInd w:val="0"/>
        <w:spacing w:before="120" w:after="0"/>
        <w:jc w:val="both"/>
        <w:rPr>
          <w:rFonts w:cs="Times New Roman"/>
          <w:b/>
          <w:color w:val="000000"/>
          <w:kern w:val="1"/>
          <w:sz w:val="22"/>
          <w:szCs w:val="24"/>
          <w:lang w:eastAsia="sk-SK"/>
        </w:rPr>
      </w:pPr>
    </w:p>
    <w:p w:rsidR="000C327C" w:rsidRPr="000C327C" w:rsidRDefault="000C327C" w:rsidP="000C327C">
      <w:pPr>
        <w:suppressAutoHyphens w:val="0"/>
        <w:autoSpaceDE w:val="0"/>
        <w:autoSpaceDN w:val="0"/>
        <w:adjustRightInd w:val="0"/>
        <w:spacing w:before="120" w:after="0"/>
        <w:jc w:val="both"/>
        <w:rPr>
          <w:rFonts w:cs="Times New Roman"/>
          <w:kern w:val="1"/>
          <w:szCs w:val="24"/>
          <w:lang w:eastAsia="sk-SK"/>
        </w:rPr>
      </w:pPr>
      <w:r w:rsidRPr="000C327C">
        <w:rPr>
          <w:rFonts w:cs="Times New Roman"/>
          <w:b/>
          <w:color w:val="000000"/>
          <w:kern w:val="1"/>
          <w:sz w:val="22"/>
          <w:szCs w:val="24"/>
          <w:lang w:eastAsia="sk-SK"/>
        </w:rPr>
        <w:t>A.2. Vplyvy: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7"/>
        <w:gridCol w:w="1189"/>
        <w:gridCol w:w="1179"/>
        <w:gridCol w:w="1196"/>
      </w:tblGrid>
      <w:tr w:rsidR="000C327C" w:rsidRPr="000C327C" w:rsidTr="00E02FDB">
        <w:tc>
          <w:tcPr>
            <w:tcW w:w="55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C327C" w:rsidRPr="000C327C" w:rsidRDefault="000C327C" w:rsidP="000C327C">
            <w:pPr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rFonts w:cs="Times New Roman"/>
                <w:color w:val="000000"/>
                <w:kern w:val="1"/>
                <w:sz w:val="22"/>
                <w:szCs w:val="24"/>
                <w:lang w:eastAsia="sk-SK"/>
              </w:rPr>
            </w:pPr>
          </w:p>
        </w:tc>
        <w:tc>
          <w:tcPr>
            <w:tcW w:w="11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C327C" w:rsidRPr="000C327C" w:rsidRDefault="000C327C" w:rsidP="000C327C">
            <w:pPr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rFonts w:cs="Times New Roman"/>
                <w:kern w:val="1"/>
                <w:szCs w:val="24"/>
                <w:lang w:eastAsia="sk-SK"/>
              </w:rPr>
            </w:pPr>
            <w:r w:rsidRPr="000C327C">
              <w:rPr>
                <w:rFonts w:cs="Times New Roman"/>
                <w:color w:val="000000"/>
                <w:kern w:val="1"/>
                <w:sz w:val="22"/>
                <w:szCs w:val="24"/>
                <w:lang w:eastAsia="sk-SK"/>
              </w:rPr>
              <w:t> Pozitívne </w:t>
            </w:r>
          </w:p>
        </w:tc>
        <w:tc>
          <w:tcPr>
            <w:tcW w:w="11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C327C" w:rsidRPr="000C327C" w:rsidRDefault="000C327C" w:rsidP="000C327C">
            <w:pPr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rFonts w:cs="Times New Roman"/>
                <w:kern w:val="1"/>
                <w:szCs w:val="24"/>
                <w:lang w:eastAsia="sk-SK"/>
              </w:rPr>
            </w:pPr>
            <w:r w:rsidRPr="000C327C">
              <w:rPr>
                <w:rFonts w:cs="Times New Roman"/>
                <w:color w:val="000000"/>
                <w:kern w:val="1"/>
                <w:sz w:val="22"/>
                <w:szCs w:val="24"/>
                <w:lang w:eastAsia="sk-SK"/>
              </w:rPr>
              <w:t> Žiadne </w:t>
            </w:r>
          </w:p>
        </w:tc>
        <w:tc>
          <w:tcPr>
            <w:tcW w:w="11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C327C" w:rsidRPr="000C327C" w:rsidRDefault="000C327C" w:rsidP="000C327C">
            <w:pPr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rFonts w:cs="Times New Roman"/>
                <w:kern w:val="1"/>
                <w:szCs w:val="24"/>
                <w:lang w:eastAsia="sk-SK"/>
              </w:rPr>
            </w:pPr>
            <w:r w:rsidRPr="000C327C">
              <w:rPr>
                <w:rFonts w:cs="Times New Roman"/>
                <w:color w:val="000000"/>
                <w:kern w:val="1"/>
                <w:sz w:val="22"/>
                <w:szCs w:val="24"/>
                <w:lang w:eastAsia="sk-SK"/>
              </w:rPr>
              <w:t> Negatívne </w:t>
            </w:r>
          </w:p>
        </w:tc>
      </w:tr>
      <w:tr w:rsidR="000C327C" w:rsidRPr="000C327C" w:rsidTr="00E02FDB">
        <w:tc>
          <w:tcPr>
            <w:tcW w:w="55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C327C" w:rsidRPr="000C327C" w:rsidRDefault="000C327C" w:rsidP="000C327C">
            <w:pPr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rFonts w:cs="Times New Roman"/>
                <w:kern w:val="1"/>
                <w:szCs w:val="24"/>
                <w:lang w:eastAsia="sk-SK"/>
              </w:rPr>
            </w:pPr>
            <w:r w:rsidRPr="000C327C">
              <w:rPr>
                <w:rFonts w:cs="Times New Roman"/>
                <w:color w:val="000000"/>
                <w:kern w:val="1"/>
                <w:sz w:val="22"/>
                <w:szCs w:val="24"/>
                <w:lang w:eastAsia="sk-SK"/>
              </w:rPr>
              <w:t>1. Vplyvy na rozpočet verejnej správy</w:t>
            </w:r>
          </w:p>
        </w:tc>
        <w:tc>
          <w:tcPr>
            <w:tcW w:w="11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C327C" w:rsidRPr="000C327C" w:rsidRDefault="000C327C" w:rsidP="000C327C">
            <w:pPr>
              <w:suppressAutoHyphens w:val="0"/>
              <w:autoSpaceDE w:val="0"/>
              <w:autoSpaceDN w:val="0"/>
              <w:adjustRightInd w:val="0"/>
              <w:spacing w:before="120" w:after="0"/>
              <w:jc w:val="center"/>
              <w:rPr>
                <w:rFonts w:cs="Times New Roman"/>
                <w:color w:val="000000"/>
                <w:kern w:val="1"/>
                <w:sz w:val="22"/>
                <w:szCs w:val="24"/>
                <w:lang w:eastAsia="sk-SK"/>
              </w:rPr>
            </w:pPr>
            <w:r>
              <w:rPr>
                <w:rFonts w:cs="Times New Roman"/>
                <w:color w:val="000000"/>
                <w:kern w:val="1"/>
                <w:sz w:val="22"/>
                <w:szCs w:val="24"/>
                <w:lang w:eastAsia="sk-SK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C327C" w:rsidRPr="000C327C" w:rsidRDefault="000C327C" w:rsidP="000C327C">
            <w:pPr>
              <w:suppressAutoHyphens w:val="0"/>
              <w:autoSpaceDE w:val="0"/>
              <w:autoSpaceDN w:val="0"/>
              <w:adjustRightInd w:val="0"/>
              <w:spacing w:before="120" w:after="0"/>
              <w:jc w:val="center"/>
              <w:rPr>
                <w:rFonts w:cs="Times New Roman"/>
                <w:kern w:val="1"/>
                <w:szCs w:val="24"/>
                <w:lang w:eastAsia="sk-SK"/>
              </w:rPr>
            </w:pPr>
          </w:p>
        </w:tc>
        <w:tc>
          <w:tcPr>
            <w:tcW w:w="11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C327C" w:rsidRPr="000C327C" w:rsidRDefault="000C327C" w:rsidP="000C327C">
            <w:pPr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rFonts w:cs="Times New Roman"/>
                <w:color w:val="000000"/>
                <w:kern w:val="1"/>
                <w:sz w:val="22"/>
                <w:szCs w:val="24"/>
                <w:lang w:eastAsia="sk-SK"/>
              </w:rPr>
            </w:pPr>
          </w:p>
        </w:tc>
      </w:tr>
      <w:tr w:rsidR="000C327C" w:rsidRPr="000C327C" w:rsidTr="00E02FDB">
        <w:tc>
          <w:tcPr>
            <w:tcW w:w="55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C327C" w:rsidRPr="000C327C" w:rsidRDefault="000C327C" w:rsidP="000C327C">
            <w:pPr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rFonts w:cs="Times New Roman"/>
                <w:kern w:val="1"/>
                <w:szCs w:val="24"/>
                <w:lang w:eastAsia="sk-SK"/>
              </w:rPr>
            </w:pPr>
            <w:r w:rsidRPr="000C327C">
              <w:rPr>
                <w:rFonts w:cs="Times New Roman"/>
                <w:color w:val="000000"/>
                <w:kern w:val="1"/>
                <w:sz w:val="22"/>
                <w:szCs w:val="24"/>
                <w:lang w:eastAsia="sk-SK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C327C" w:rsidRPr="000C327C" w:rsidRDefault="000C327C" w:rsidP="000C327C">
            <w:pPr>
              <w:suppressAutoHyphens w:val="0"/>
              <w:autoSpaceDE w:val="0"/>
              <w:autoSpaceDN w:val="0"/>
              <w:adjustRightInd w:val="0"/>
              <w:spacing w:before="120" w:after="0"/>
              <w:jc w:val="center"/>
              <w:rPr>
                <w:rFonts w:cs="Times New Roman"/>
                <w:kern w:val="1"/>
                <w:szCs w:val="24"/>
                <w:lang w:eastAsia="sk-SK"/>
              </w:rPr>
            </w:pPr>
          </w:p>
        </w:tc>
        <w:tc>
          <w:tcPr>
            <w:tcW w:w="11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C327C" w:rsidRPr="000C327C" w:rsidRDefault="000C327C" w:rsidP="000C327C">
            <w:pPr>
              <w:suppressAutoHyphens w:val="0"/>
              <w:autoSpaceDE w:val="0"/>
              <w:autoSpaceDN w:val="0"/>
              <w:adjustRightInd w:val="0"/>
              <w:spacing w:before="120" w:after="0"/>
              <w:jc w:val="center"/>
              <w:rPr>
                <w:rFonts w:cs="Times New Roman"/>
                <w:color w:val="000000"/>
                <w:kern w:val="1"/>
                <w:sz w:val="22"/>
                <w:szCs w:val="24"/>
                <w:lang w:eastAsia="sk-SK"/>
              </w:rPr>
            </w:pPr>
            <w:r>
              <w:rPr>
                <w:rFonts w:cs="Times New Roman"/>
                <w:color w:val="000000"/>
                <w:kern w:val="1"/>
                <w:sz w:val="22"/>
                <w:szCs w:val="24"/>
                <w:lang w:eastAsia="sk-SK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C327C" w:rsidRPr="000C327C" w:rsidRDefault="000C327C" w:rsidP="000C327C">
            <w:pPr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rFonts w:cs="Times New Roman"/>
                <w:color w:val="000000"/>
                <w:kern w:val="1"/>
                <w:sz w:val="22"/>
                <w:szCs w:val="24"/>
                <w:lang w:eastAsia="sk-SK"/>
              </w:rPr>
            </w:pPr>
          </w:p>
        </w:tc>
      </w:tr>
      <w:tr w:rsidR="000C327C" w:rsidRPr="000C327C" w:rsidTr="00E02FDB">
        <w:tc>
          <w:tcPr>
            <w:tcW w:w="55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C327C" w:rsidRPr="000C327C" w:rsidRDefault="000C327C" w:rsidP="000C327C">
            <w:pPr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rFonts w:cs="Times New Roman"/>
                <w:kern w:val="1"/>
                <w:szCs w:val="24"/>
                <w:lang w:eastAsia="sk-SK"/>
              </w:rPr>
            </w:pPr>
            <w:r w:rsidRPr="000C327C">
              <w:rPr>
                <w:rFonts w:cs="Times New Roman"/>
                <w:color w:val="000000"/>
                <w:kern w:val="1"/>
                <w:sz w:val="22"/>
                <w:szCs w:val="24"/>
                <w:lang w:eastAsia="sk-SK"/>
              </w:rPr>
              <w:t>3. Sociálne vplyvy</w:t>
            </w:r>
          </w:p>
        </w:tc>
        <w:tc>
          <w:tcPr>
            <w:tcW w:w="11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C327C" w:rsidRPr="000C327C" w:rsidRDefault="000C327C" w:rsidP="000C327C">
            <w:pPr>
              <w:suppressAutoHyphens w:val="0"/>
              <w:autoSpaceDE w:val="0"/>
              <w:autoSpaceDN w:val="0"/>
              <w:adjustRightInd w:val="0"/>
              <w:spacing w:before="120" w:after="0"/>
              <w:jc w:val="center"/>
              <w:rPr>
                <w:rFonts w:cs="Times New Roman"/>
                <w:kern w:val="1"/>
                <w:szCs w:val="24"/>
                <w:lang w:eastAsia="sk-SK"/>
              </w:rPr>
            </w:pPr>
          </w:p>
        </w:tc>
        <w:tc>
          <w:tcPr>
            <w:tcW w:w="11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C327C" w:rsidRPr="000C327C" w:rsidRDefault="000C327C" w:rsidP="000C327C">
            <w:pPr>
              <w:suppressAutoHyphens w:val="0"/>
              <w:autoSpaceDE w:val="0"/>
              <w:autoSpaceDN w:val="0"/>
              <w:adjustRightInd w:val="0"/>
              <w:spacing w:before="120" w:after="0"/>
              <w:jc w:val="center"/>
              <w:rPr>
                <w:rFonts w:cs="Times New Roman"/>
                <w:color w:val="000000"/>
                <w:kern w:val="1"/>
                <w:sz w:val="22"/>
                <w:szCs w:val="24"/>
                <w:lang w:eastAsia="sk-SK"/>
              </w:rPr>
            </w:pPr>
            <w:r>
              <w:rPr>
                <w:rFonts w:cs="Times New Roman"/>
                <w:color w:val="000000"/>
                <w:kern w:val="1"/>
                <w:sz w:val="22"/>
                <w:szCs w:val="24"/>
                <w:lang w:eastAsia="sk-SK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C327C" w:rsidRPr="000C327C" w:rsidRDefault="000C327C" w:rsidP="000C327C">
            <w:pPr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rFonts w:cs="Times New Roman"/>
                <w:color w:val="000000"/>
                <w:kern w:val="1"/>
                <w:sz w:val="22"/>
                <w:szCs w:val="24"/>
                <w:lang w:eastAsia="sk-SK"/>
              </w:rPr>
            </w:pPr>
          </w:p>
        </w:tc>
      </w:tr>
      <w:tr w:rsidR="000C327C" w:rsidRPr="000C327C" w:rsidTr="00E02FDB">
        <w:tc>
          <w:tcPr>
            <w:tcW w:w="55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C327C" w:rsidRPr="000C327C" w:rsidRDefault="000C327C" w:rsidP="000C327C">
            <w:pPr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rFonts w:cs="Times New Roman"/>
                <w:kern w:val="1"/>
                <w:szCs w:val="24"/>
                <w:lang w:eastAsia="sk-SK"/>
              </w:rPr>
            </w:pPr>
            <w:r w:rsidRPr="000C327C">
              <w:rPr>
                <w:rFonts w:cs="Times New Roman"/>
                <w:color w:val="000000"/>
                <w:kern w:val="1"/>
                <w:sz w:val="22"/>
                <w:szCs w:val="24"/>
                <w:lang w:eastAsia="sk-SK"/>
              </w:rPr>
              <w:t>– vplyvy na hospodárenie obyvateľstva,</w:t>
            </w:r>
          </w:p>
        </w:tc>
        <w:tc>
          <w:tcPr>
            <w:tcW w:w="11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C327C" w:rsidRPr="000C327C" w:rsidRDefault="000C327C" w:rsidP="000C327C">
            <w:pPr>
              <w:suppressAutoHyphens w:val="0"/>
              <w:autoSpaceDE w:val="0"/>
              <w:autoSpaceDN w:val="0"/>
              <w:adjustRightInd w:val="0"/>
              <w:spacing w:before="120" w:after="0"/>
              <w:jc w:val="center"/>
              <w:rPr>
                <w:rFonts w:cs="Times New Roman"/>
                <w:kern w:val="1"/>
                <w:szCs w:val="24"/>
                <w:lang w:eastAsia="sk-SK"/>
              </w:rPr>
            </w:pPr>
          </w:p>
        </w:tc>
        <w:tc>
          <w:tcPr>
            <w:tcW w:w="11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C327C" w:rsidRPr="000C327C" w:rsidRDefault="000C327C" w:rsidP="000C327C">
            <w:pPr>
              <w:suppressAutoHyphens w:val="0"/>
              <w:autoSpaceDE w:val="0"/>
              <w:autoSpaceDN w:val="0"/>
              <w:adjustRightInd w:val="0"/>
              <w:spacing w:before="120" w:after="0"/>
              <w:jc w:val="center"/>
              <w:rPr>
                <w:rFonts w:cs="Times New Roman"/>
                <w:color w:val="000000"/>
                <w:kern w:val="1"/>
                <w:sz w:val="22"/>
                <w:szCs w:val="24"/>
                <w:lang w:eastAsia="sk-SK"/>
              </w:rPr>
            </w:pPr>
            <w:r>
              <w:rPr>
                <w:rFonts w:cs="Times New Roman"/>
                <w:color w:val="000000"/>
                <w:kern w:val="1"/>
                <w:sz w:val="22"/>
                <w:szCs w:val="24"/>
                <w:lang w:eastAsia="sk-SK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C327C" w:rsidRPr="000C327C" w:rsidRDefault="000C327C" w:rsidP="000C327C">
            <w:pPr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rFonts w:cs="Times New Roman"/>
                <w:color w:val="000000"/>
                <w:kern w:val="1"/>
                <w:sz w:val="22"/>
                <w:szCs w:val="24"/>
                <w:lang w:eastAsia="sk-SK"/>
              </w:rPr>
            </w:pPr>
          </w:p>
        </w:tc>
      </w:tr>
      <w:tr w:rsidR="000C327C" w:rsidRPr="000C327C" w:rsidTr="00E02FDB">
        <w:tc>
          <w:tcPr>
            <w:tcW w:w="55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C327C" w:rsidRPr="000C327C" w:rsidRDefault="000C327C" w:rsidP="000C327C">
            <w:pPr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rFonts w:cs="Times New Roman"/>
                <w:kern w:val="1"/>
                <w:szCs w:val="24"/>
                <w:lang w:eastAsia="sk-SK"/>
              </w:rPr>
            </w:pPr>
            <w:r w:rsidRPr="000C327C">
              <w:rPr>
                <w:rFonts w:cs="Times New Roman"/>
                <w:color w:val="000000"/>
                <w:kern w:val="1"/>
                <w:sz w:val="22"/>
                <w:szCs w:val="24"/>
                <w:lang w:eastAsia="sk-SK"/>
              </w:rPr>
              <w:t xml:space="preserve">– sociálnu </w:t>
            </w:r>
            <w:proofErr w:type="spellStart"/>
            <w:r w:rsidRPr="000C327C">
              <w:rPr>
                <w:rFonts w:cs="Times New Roman"/>
                <w:color w:val="000000"/>
                <w:kern w:val="1"/>
                <w:sz w:val="22"/>
                <w:szCs w:val="24"/>
                <w:lang w:eastAsia="sk-SK"/>
              </w:rPr>
              <w:t>exklúziu</w:t>
            </w:r>
            <w:proofErr w:type="spellEnd"/>
            <w:r w:rsidRPr="000C327C">
              <w:rPr>
                <w:rFonts w:cs="Times New Roman"/>
                <w:color w:val="000000"/>
                <w:kern w:val="1"/>
                <w:sz w:val="22"/>
                <w:szCs w:val="24"/>
                <w:lang w:eastAsia="sk-SK"/>
              </w:rPr>
              <w:t>,</w:t>
            </w:r>
          </w:p>
        </w:tc>
        <w:tc>
          <w:tcPr>
            <w:tcW w:w="11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C327C" w:rsidRPr="000C327C" w:rsidRDefault="000C327C" w:rsidP="000C327C">
            <w:pPr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rFonts w:cs="Times New Roman"/>
                <w:color w:val="000000"/>
                <w:kern w:val="1"/>
                <w:sz w:val="22"/>
                <w:szCs w:val="24"/>
                <w:lang w:eastAsia="sk-SK"/>
              </w:rPr>
            </w:pPr>
          </w:p>
        </w:tc>
        <w:tc>
          <w:tcPr>
            <w:tcW w:w="11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C327C" w:rsidRPr="000C327C" w:rsidRDefault="000C327C" w:rsidP="000C327C">
            <w:pPr>
              <w:suppressAutoHyphens w:val="0"/>
              <w:autoSpaceDE w:val="0"/>
              <w:autoSpaceDN w:val="0"/>
              <w:adjustRightInd w:val="0"/>
              <w:spacing w:before="120" w:after="0"/>
              <w:jc w:val="center"/>
              <w:rPr>
                <w:rFonts w:cs="Times New Roman"/>
                <w:kern w:val="1"/>
                <w:szCs w:val="24"/>
                <w:lang w:eastAsia="sk-SK"/>
              </w:rPr>
            </w:pPr>
            <w:r w:rsidRPr="000C327C">
              <w:rPr>
                <w:rFonts w:cs="Times New Roman"/>
                <w:color w:val="000000"/>
                <w:kern w:val="1"/>
                <w:sz w:val="22"/>
                <w:szCs w:val="24"/>
                <w:lang w:eastAsia="sk-SK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C327C" w:rsidRPr="000C327C" w:rsidRDefault="000C327C" w:rsidP="000C327C">
            <w:pPr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rFonts w:cs="Times New Roman"/>
                <w:color w:val="000000"/>
                <w:kern w:val="1"/>
                <w:sz w:val="22"/>
                <w:szCs w:val="24"/>
                <w:lang w:eastAsia="sk-SK"/>
              </w:rPr>
            </w:pPr>
          </w:p>
        </w:tc>
      </w:tr>
      <w:tr w:rsidR="000C327C" w:rsidRPr="000C327C" w:rsidTr="00E02FDB">
        <w:tc>
          <w:tcPr>
            <w:tcW w:w="55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C327C" w:rsidRPr="000C327C" w:rsidRDefault="000C327C" w:rsidP="000C327C">
            <w:pPr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rFonts w:cs="Times New Roman"/>
                <w:kern w:val="1"/>
                <w:szCs w:val="24"/>
                <w:lang w:eastAsia="sk-SK"/>
              </w:rPr>
            </w:pPr>
            <w:r w:rsidRPr="000C327C">
              <w:rPr>
                <w:rFonts w:cs="Times New Roman"/>
                <w:color w:val="000000"/>
                <w:kern w:val="1"/>
                <w:sz w:val="22"/>
                <w:szCs w:val="24"/>
                <w:lang w:eastAsia="sk-SK"/>
              </w:rPr>
              <w:t>– rovnosť príležitostí a rodovú rovnosť a vplyvy na zamestnanosť</w:t>
            </w:r>
          </w:p>
        </w:tc>
        <w:tc>
          <w:tcPr>
            <w:tcW w:w="11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C327C" w:rsidRPr="000C327C" w:rsidRDefault="000C327C" w:rsidP="000C327C">
            <w:pPr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rFonts w:cs="Times New Roman"/>
                <w:color w:val="000000"/>
                <w:kern w:val="1"/>
                <w:sz w:val="22"/>
                <w:szCs w:val="24"/>
                <w:lang w:eastAsia="sk-SK"/>
              </w:rPr>
            </w:pPr>
          </w:p>
        </w:tc>
        <w:tc>
          <w:tcPr>
            <w:tcW w:w="11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C327C" w:rsidRPr="000C327C" w:rsidRDefault="000C327C" w:rsidP="000C327C">
            <w:pPr>
              <w:suppressAutoHyphens w:val="0"/>
              <w:autoSpaceDE w:val="0"/>
              <w:autoSpaceDN w:val="0"/>
              <w:adjustRightInd w:val="0"/>
              <w:spacing w:before="120" w:after="0"/>
              <w:jc w:val="center"/>
              <w:rPr>
                <w:rFonts w:cs="Times New Roman"/>
                <w:kern w:val="1"/>
                <w:szCs w:val="24"/>
                <w:lang w:eastAsia="sk-SK"/>
              </w:rPr>
            </w:pPr>
            <w:r w:rsidRPr="000C327C">
              <w:rPr>
                <w:rFonts w:cs="Times New Roman"/>
                <w:color w:val="000000"/>
                <w:kern w:val="1"/>
                <w:sz w:val="22"/>
                <w:szCs w:val="24"/>
                <w:lang w:eastAsia="sk-SK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C327C" w:rsidRPr="000C327C" w:rsidRDefault="000C327C" w:rsidP="000C327C">
            <w:pPr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rFonts w:cs="Times New Roman"/>
                <w:color w:val="000000"/>
                <w:kern w:val="1"/>
                <w:sz w:val="22"/>
                <w:szCs w:val="24"/>
                <w:lang w:eastAsia="sk-SK"/>
              </w:rPr>
            </w:pPr>
          </w:p>
        </w:tc>
      </w:tr>
      <w:tr w:rsidR="000C327C" w:rsidRPr="000C327C" w:rsidTr="00E02FDB">
        <w:tc>
          <w:tcPr>
            <w:tcW w:w="55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C327C" w:rsidRPr="000C327C" w:rsidRDefault="000C327C" w:rsidP="000C327C">
            <w:pPr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rFonts w:cs="Times New Roman"/>
                <w:kern w:val="1"/>
                <w:szCs w:val="24"/>
                <w:lang w:eastAsia="sk-SK"/>
              </w:rPr>
            </w:pPr>
            <w:r w:rsidRPr="000C327C">
              <w:rPr>
                <w:rFonts w:cs="Times New Roman"/>
                <w:color w:val="000000"/>
                <w:kern w:val="1"/>
                <w:sz w:val="22"/>
                <w:szCs w:val="24"/>
                <w:lang w:eastAsia="sk-SK"/>
              </w:rPr>
              <w:t>4. Vplyvy na životné prostredie</w:t>
            </w:r>
          </w:p>
        </w:tc>
        <w:tc>
          <w:tcPr>
            <w:tcW w:w="11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C327C" w:rsidRPr="000C327C" w:rsidRDefault="000C327C" w:rsidP="000C327C">
            <w:pPr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rFonts w:cs="Times New Roman"/>
                <w:color w:val="000000"/>
                <w:kern w:val="1"/>
                <w:sz w:val="22"/>
                <w:szCs w:val="24"/>
                <w:lang w:eastAsia="sk-SK"/>
              </w:rPr>
            </w:pPr>
          </w:p>
        </w:tc>
        <w:tc>
          <w:tcPr>
            <w:tcW w:w="11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C327C" w:rsidRPr="000C327C" w:rsidRDefault="000C327C" w:rsidP="000C327C">
            <w:pPr>
              <w:suppressAutoHyphens w:val="0"/>
              <w:autoSpaceDE w:val="0"/>
              <w:autoSpaceDN w:val="0"/>
              <w:adjustRightInd w:val="0"/>
              <w:spacing w:before="120" w:after="0"/>
              <w:jc w:val="center"/>
              <w:rPr>
                <w:rFonts w:cs="Times New Roman"/>
                <w:kern w:val="1"/>
                <w:szCs w:val="24"/>
                <w:lang w:eastAsia="sk-SK"/>
              </w:rPr>
            </w:pPr>
            <w:r w:rsidRPr="000C327C">
              <w:rPr>
                <w:rFonts w:cs="Times New Roman"/>
                <w:color w:val="000000"/>
                <w:kern w:val="1"/>
                <w:sz w:val="22"/>
                <w:szCs w:val="24"/>
                <w:lang w:eastAsia="sk-SK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C327C" w:rsidRPr="000C327C" w:rsidRDefault="000C327C" w:rsidP="000C327C">
            <w:pPr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rFonts w:cs="Times New Roman"/>
                <w:color w:val="000000"/>
                <w:kern w:val="1"/>
                <w:sz w:val="22"/>
                <w:szCs w:val="24"/>
                <w:lang w:eastAsia="sk-SK"/>
              </w:rPr>
            </w:pPr>
          </w:p>
        </w:tc>
      </w:tr>
      <w:tr w:rsidR="000C327C" w:rsidRPr="000C327C" w:rsidTr="00E02FDB">
        <w:tc>
          <w:tcPr>
            <w:tcW w:w="55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C327C" w:rsidRPr="000C327C" w:rsidRDefault="000C327C" w:rsidP="000C327C">
            <w:pPr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rFonts w:cs="Times New Roman"/>
                <w:kern w:val="1"/>
                <w:szCs w:val="24"/>
                <w:lang w:eastAsia="sk-SK"/>
              </w:rPr>
            </w:pPr>
            <w:r w:rsidRPr="000C327C">
              <w:rPr>
                <w:rFonts w:cs="Times New Roman"/>
                <w:color w:val="000000"/>
                <w:kern w:val="1"/>
                <w:sz w:val="22"/>
                <w:szCs w:val="24"/>
                <w:lang w:eastAsia="sk-SK"/>
              </w:rPr>
              <w:t>5. Vplyvy na informatizáciu spoločnosti</w:t>
            </w:r>
          </w:p>
        </w:tc>
        <w:tc>
          <w:tcPr>
            <w:tcW w:w="11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C327C" w:rsidRPr="000C327C" w:rsidRDefault="000C327C" w:rsidP="000C327C">
            <w:pPr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rFonts w:cs="Times New Roman"/>
                <w:color w:val="000000"/>
                <w:kern w:val="1"/>
                <w:sz w:val="22"/>
                <w:szCs w:val="24"/>
                <w:lang w:eastAsia="sk-SK"/>
              </w:rPr>
            </w:pPr>
          </w:p>
        </w:tc>
        <w:tc>
          <w:tcPr>
            <w:tcW w:w="11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C327C" w:rsidRPr="000C327C" w:rsidRDefault="000C327C" w:rsidP="000C327C">
            <w:pPr>
              <w:suppressAutoHyphens w:val="0"/>
              <w:autoSpaceDE w:val="0"/>
              <w:autoSpaceDN w:val="0"/>
              <w:adjustRightInd w:val="0"/>
              <w:spacing w:before="120" w:after="0"/>
              <w:jc w:val="center"/>
              <w:rPr>
                <w:rFonts w:cs="Times New Roman"/>
                <w:kern w:val="1"/>
                <w:szCs w:val="24"/>
                <w:lang w:eastAsia="sk-SK"/>
              </w:rPr>
            </w:pPr>
            <w:r w:rsidRPr="000C327C">
              <w:rPr>
                <w:rFonts w:cs="Times New Roman"/>
                <w:color w:val="000000"/>
                <w:kern w:val="1"/>
                <w:sz w:val="22"/>
                <w:szCs w:val="24"/>
                <w:lang w:eastAsia="sk-SK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0C327C" w:rsidRPr="000C327C" w:rsidRDefault="000C327C" w:rsidP="000C327C">
            <w:pPr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rFonts w:cs="Times New Roman"/>
                <w:color w:val="000000"/>
                <w:kern w:val="1"/>
                <w:sz w:val="22"/>
                <w:szCs w:val="24"/>
                <w:lang w:eastAsia="sk-SK"/>
              </w:rPr>
            </w:pPr>
          </w:p>
        </w:tc>
      </w:tr>
    </w:tbl>
    <w:p w:rsidR="000C327C" w:rsidRPr="000C327C" w:rsidRDefault="000C327C" w:rsidP="000C327C">
      <w:pPr>
        <w:suppressAutoHyphens w:val="0"/>
        <w:autoSpaceDE w:val="0"/>
        <w:autoSpaceDN w:val="0"/>
        <w:adjustRightInd w:val="0"/>
        <w:spacing w:before="120" w:after="0"/>
        <w:jc w:val="both"/>
        <w:rPr>
          <w:rFonts w:cs="Times New Roman"/>
          <w:kern w:val="1"/>
          <w:szCs w:val="24"/>
          <w:lang w:eastAsia="sk-SK"/>
        </w:rPr>
      </w:pPr>
      <w:r w:rsidRPr="000C327C">
        <w:rPr>
          <w:rFonts w:cs="Times New Roman"/>
          <w:color w:val="000000"/>
          <w:kern w:val="1"/>
          <w:sz w:val="22"/>
          <w:szCs w:val="24"/>
          <w:lang w:eastAsia="sk-SK"/>
        </w:rPr>
        <w:t> </w:t>
      </w:r>
    </w:p>
    <w:p w:rsidR="00A0007C" w:rsidRPr="00737CDD" w:rsidRDefault="0026248B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i/>
          <w:sz w:val="22"/>
          <w:szCs w:val="22"/>
        </w:rPr>
      </w:pPr>
      <w:r w:rsidRPr="00737CDD">
        <w:rPr>
          <w:rFonts w:ascii="Book Antiqua" w:hAnsi="Book Antiqua" w:cs="Book Antiqua"/>
          <w:b/>
          <w:bCs/>
          <w:sz w:val="22"/>
          <w:szCs w:val="22"/>
        </w:rPr>
        <w:t>A.3. Poznámky</w:t>
      </w:r>
    </w:p>
    <w:p w:rsidR="00A0007C" w:rsidRPr="00836558" w:rsidRDefault="0026248B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i/>
          <w:sz w:val="22"/>
          <w:szCs w:val="22"/>
        </w:rPr>
      </w:pPr>
      <w:r w:rsidRPr="00AD58EC">
        <w:rPr>
          <w:rFonts w:ascii="Book Antiqua" w:hAnsi="Book Antiqua" w:cs="Book Antiqua"/>
          <w:i/>
          <w:sz w:val="22"/>
          <w:szCs w:val="22"/>
        </w:rPr>
        <w:t>Odhadovaná úspora verejných prostriedkov a teda pozitívny dopad na rozpočet verejnej správy z prijatia tohto návrhu zákona sa len u poslancov Národnej rady Slovenskej republiky</w:t>
      </w:r>
      <w:r w:rsidR="00733CFD" w:rsidRPr="00AD58EC">
        <w:rPr>
          <w:rFonts w:ascii="Book Antiqua" w:hAnsi="Book Antiqua" w:cs="Book Antiqua"/>
          <w:i/>
          <w:sz w:val="22"/>
          <w:szCs w:val="22"/>
        </w:rPr>
        <w:t xml:space="preserve"> odhaduje vo výške približne </w:t>
      </w:r>
      <w:r w:rsidR="00AD58EC" w:rsidRPr="00AD58EC">
        <w:rPr>
          <w:rFonts w:ascii="Book Antiqua" w:hAnsi="Book Antiqua" w:cs="Book Antiqua"/>
          <w:i/>
          <w:sz w:val="22"/>
          <w:szCs w:val="22"/>
        </w:rPr>
        <w:t>2,3 mil. eur ročne (platy poslancov – 135 150 eur mesačne, paušálne náhrady poslancov z bratislavského kraja – 17 982 eur mesačne a paušálne náhrady poslancov z </w:t>
      </w:r>
      <w:proofErr w:type="spellStart"/>
      <w:r w:rsidR="00AD58EC" w:rsidRPr="00AD58EC">
        <w:rPr>
          <w:rFonts w:ascii="Book Antiqua" w:hAnsi="Book Antiqua" w:cs="Book Antiqua"/>
          <w:i/>
          <w:sz w:val="22"/>
          <w:szCs w:val="22"/>
        </w:rPr>
        <w:t>mimobratislavských</w:t>
      </w:r>
      <w:proofErr w:type="spellEnd"/>
      <w:r w:rsidR="00AD58EC" w:rsidRPr="00AD58EC">
        <w:rPr>
          <w:rFonts w:ascii="Book Antiqua" w:hAnsi="Book Antiqua" w:cs="Book Antiqua"/>
          <w:i/>
          <w:sz w:val="22"/>
          <w:szCs w:val="22"/>
        </w:rPr>
        <w:t xml:space="preserve"> krajov – 37 344 eur mesačne.</w:t>
      </w:r>
      <w:r w:rsidR="00836558" w:rsidRPr="00836558">
        <w:rPr>
          <w:rFonts w:ascii="Book Antiqua" w:hAnsi="Book Antiqua" w:cs="Book Antiqua"/>
          <w:sz w:val="22"/>
          <w:szCs w:val="22"/>
        </w:rPr>
        <w:t xml:space="preserve"> </w:t>
      </w:r>
      <w:r w:rsidR="00836558" w:rsidRPr="00836558">
        <w:rPr>
          <w:rFonts w:ascii="Book Antiqua" w:hAnsi="Book Antiqua" w:cs="Book Antiqua"/>
          <w:i/>
          <w:sz w:val="22"/>
          <w:szCs w:val="22"/>
        </w:rPr>
        <w:t>Návrh nebude mať vplyv na podnikateľské prostredie, informatizáciu spoločnosti, sociálne vplyvy ani vplyv na zamestnanosť a na životné prostredie.</w:t>
      </w:r>
    </w:p>
    <w:p w:rsidR="00A0007C" w:rsidRPr="00737CDD" w:rsidRDefault="00A0007C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A0007C" w:rsidRPr="00737CDD" w:rsidRDefault="0026248B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i/>
          <w:iCs/>
          <w:sz w:val="22"/>
          <w:szCs w:val="22"/>
        </w:rPr>
      </w:pPr>
      <w:r w:rsidRPr="00737CDD">
        <w:rPr>
          <w:rFonts w:ascii="Book Antiqua" w:hAnsi="Book Antiqua" w:cs="Book Antiqua"/>
          <w:b/>
          <w:bCs/>
          <w:sz w:val="22"/>
          <w:szCs w:val="22"/>
        </w:rPr>
        <w:t>A.4. Alternatívne riešenia</w:t>
      </w:r>
    </w:p>
    <w:p w:rsidR="00A0007C" w:rsidRPr="00737CDD" w:rsidRDefault="0026248B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737CDD">
        <w:rPr>
          <w:rFonts w:ascii="Book Antiqua" w:hAnsi="Book Antiqua" w:cs="Book Antiqua"/>
          <w:i/>
          <w:iCs/>
          <w:sz w:val="22"/>
          <w:szCs w:val="22"/>
        </w:rPr>
        <w:t>bezpredmetné</w:t>
      </w:r>
    </w:p>
    <w:p w:rsidR="00A0007C" w:rsidRPr="00737CDD" w:rsidRDefault="0026248B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737CDD">
        <w:rPr>
          <w:rFonts w:ascii="Book Antiqua" w:hAnsi="Book Antiqua" w:cs="Book Antiqua"/>
          <w:b/>
          <w:bCs/>
          <w:sz w:val="22"/>
          <w:szCs w:val="22"/>
        </w:rPr>
        <w:t> </w:t>
      </w:r>
    </w:p>
    <w:p w:rsidR="00A0007C" w:rsidRPr="00737CDD" w:rsidRDefault="0026248B" w:rsidP="00737CDD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i/>
          <w:iCs/>
          <w:sz w:val="22"/>
          <w:szCs w:val="22"/>
        </w:rPr>
      </w:pPr>
      <w:r w:rsidRPr="00737CDD">
        <w:rPr>
          <w:rFonts w:ascii="Book Antiqua" w:hAnsi="Book Antiqua" w:cs="Book Antiqua"/>
          <w:b/>
          <w:bCs/>
          <w:sz w:val="22"/>
          <w:szCs w:val="22"/>
        </w:rPr>
        <w:t>A.5. Stanovisko gestorov</w:t>
      </w:r>
    </w:p>
    <w:p w:rsidR="0026248B" w:rsidRPr="00737CDD" w:rsidRDefault="0026248B" w:rsidP="00737CDD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737CDD">
        <w:rPr>
          <w:rFonts w:ascii="Book Antiqua" w:hAnsi="Book Antiqua" w:cs="Book Antiqua"/>
          <w:i/>
          <w:iCs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R="0026248B" w:rsidRPr="00737CDD" w:rsidSect="00550E20">
      <w:pgSz w:w="11906" w:h="16838"/>
      <w:pgMar w:top="1134" w:right="1418" w:bottom="1418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Book Antiqua" w:hAnsi="Book Antiqua" w:cs="Times New Roman"/>
        <w:bCs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20"/>
    <w:rsid w:val="00001DF3"/>
    <w:rsid w:val="000C327C"/>
    <w:rsid w:val="000D5C89"/>
    <w:rsid w:val="00177700"/>
    <w:rsid w:val="001A1093"/>
    <w:rsid w:val="001C672F"/>
    <w:rsid w:val="00205ADC"/>
    <w:rsid w:val="0026248B"/>
    <w:rsid w:val="0035055C"/>
    <w:rsid w:val="003F2DC3"/>
    <w:rsid w:val="004143BA"/>
    <w:rsid w:val="004C744B"/>
    <w:rsid w:val="004E4B7E"/>
    <w:rsid w:val="00547398"/>
    <w:rsid w:val="00550E20"/>
    <w:rsid w:val="00551BF7"/>
    <w:rsid w:val="00560B8F"/>
    <w:rsid w:val="00563597"/>
    <w:rsid w:val="00624369"/>
    <w:rsid w:val="00630C8C"/>
    <w:rsid w:val="00733CFD"/>
    <w:rsid w:val="00737CDD"/>
    <w:rsid w:val="00755184"/>
    <w:rsid w:val="007A5DDE"/>
    <w:rsid w:val="00836558"/>
    <w:rsid w:val="0086655D"/>
    <w:rsid w:val="00915FF6"/>
    <w:rsid w:val="00A0007C"/>
    <w:rsid w:val="00AD58EC"/>
    <w:rsid w:val="00D07EFF"/>
    <w:rsid w:val="00E6589E"/>
    <w:rsid w:val="00ED1CDF"/>
    <w:rsid w:val="00EF3F47"/>
    <w:rsid w:val="00F12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66496"/>
  <w15:docId w15:val="{E941F143-0BE8-4922-858E-A45B291E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007C"/>
    <w:pPr>
      <w:suppressAutoHyphens/>
      <w:spacing w:after="200" w:line="276" w:lineRule="auto"/>
    </w:pPr>
    <w:rPr>
      <w:rFonts w:ascii="Book Antiqua" w:hAnsi="Book Antiqua" w:cs="Book Antiqua"/>
      <w:sz w:val="24"/>
      <w:szCs w:val="22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A0007C"/>
    <w:pPr>
      <w:keepNext/>
      <w:numPr>
        <w:numId w:val="1"/>
      </w:numPr>
      <w:autoSpaceDE w:val="0"/>
      <w:spacing w:after="0" w:line="240" w:lineRule="auto"/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A0007C"/>
    <w:rPr>
      <w:rFonts w:ascii="Cambria" w:hAnsi="Cambria" w:cs="Times New Roman"/>
      <w:b/>
      <w:kern w:val="1"/>
      <w:sz w:val="32"/>
    </w:rPr>
  </w:style>
  <w:style w:type="character" w:customStyle="1" w:styleId="WW8Num1z0">
    <w:name w:val="WW8Num1z0"/>
    <w:rsid w:val="00A0007C"/>
    <w:rPr>
      <w:rFonts w:ascii="Times New Roman" w:hAnsi="Times New Roman"/>
    </w:rPr>
  </w:style>
  <w:style w:type="character" w:customStyle="1" w:styleId="WW8Num1z1">
    <w:name w:val="WW8Num1z1"/>
    <w:rsid w:val="00A0007C"/>
    <w:rPr>
      <w:rFonts w:ascii="Courier New" w:hAnsi="Courier New"/>
    </w:rPr>
  </w:style>
  <w:style w:type="character" w:customStyle="1" w:styleId="WW8Num1z2">
    <w:name w:val="WW8Num1z2"/>
    <w:rsid w:val="00A0007C"/>
    <w:rPr>
      <w:rFonts w:ascii="Wingdings" w:hAnsi="Wingdings"/>
    </w:rPr>
  </w:style>
  <w:style w:type="character" w:customStyle="1" w:styleId="WW8Num1z3">
    <w:name w:val="WW8Num1z3"/>
    <w:rsid w:val="00A0007C"/>
    <w:rPr>
      <w:rFonts w:ascii="Symbol" w:hAnsi="Symbol"/>
    </w:rPr>
  </w:style>
  <w:style w:type="character" w:customStyle="1" w:styleId="WW8Num2z0">
    <w:name w:val="WW8Num2z0"/>
    <w:rsid w:val="00A0007C"/>
  </w:style>
  <w:style w:type="character" w:customStyle="1" w:styleId="WW8Num2z1">
    <w:name w:val="WW8Num2z1"/>
    <w:rsid w:val="00A0007C"/>
  </w:style>
  <w:style w:type="character" w:customStyle="1" w:styleId="WW8Num3z0">
    <w:name w:val="WW8Num3z0"/>
    <w:rsid w:val="00A0007C"/>
    <w:rPr>
      <w:rFonts w:ascii="Book Antiqua" w:hAnsi="Book Antiqua"/>
      <w:sz w:val="22"/>
    </w:rPr>
  </w:style>
  <w:style w:type="character" w:customStyle="1" w:styleId="WW8Num4z0">
    <w:name w:val="WW8Num4z0"/>
    <w:rsid w:val="00A0007C"/>
    <w:rPr>
      <w:rFonts w:ascii="Times New Roman" w:hAnsi="Times New Roman"/>
    </w:rPr>
  </w:style>
  <w:style w:type="character" w:customStyle="1" w:styleId="WW8Num4z1">
    <w:name w:val="WW8Num4z1"/>
    <w:rsid w:val="00A0007C"/>
    <w:rPr>
      <w:rFonts w:ascii="Courier New" w:hAnsi="Courier New"/>
    </w:rPr>
  </w:style>
  <w:style w:type="character" w:customStyle="1" w:styleId="WW8Num4z2">
    <w:name w:val="WW8Num4z2"/>
    <w:rsid w:val="00A0007C"/>
    <w:rPr>
      <w:rFonts w:ascii="Wingdings" w:hAnsi="Wingdings"/>
    </w:rPr>
  </w:style>
  <w:style w:type="character" w:customStyle="1" w:styleId="WW8Num4z3">
    <w:name w:val="WW8Num4z3"/>
    <w:rsid w:val="00A0007C"/>
    <w:rPr>
      <w:rFonts w:ascii="Symbol" w:hAnsi="Symbol"/>
    </w:rPr>
  </w:style>
  <w:style w:type="character" w:customStyle="1" w:styleId="WW8Num5z0">
    <w:name w:val="WW8Num5z0"/>
    <w:rsid w:val="00A0007C"/>
  </w:style>
  <w:style w:type="character" w:customStyle="1" w:styleId="WW8Num5z1">
    <w:name w:val="WW8Num5z1"/>
    <w:rsid w:val="00A0007C"/>
  </w:style>
  <w:style w:type="character" w:customStyle="1" w:styleId="Predvolenpsmoodseku1">
    <w:name w:val="Predvolené písmo odseku1"/>
    <w:rsid w:val="00A0007C"/>
  </w:style>
  <w:style w:type="character" w:styleId="Zvraznenie">
    <w:name w:val="Emphasis"/>
    <w:basedOn w:val="Predvolenpsmoodseku"/>
    <w:uiPriority w:val="20"/>
    <w:qFormat/>
    <w:rsid w:val="00A0007C"/>
    <w:rPr>
      <w:rFonts w:cs="Times New Roman"/>
      <w:i/>
    </w:rPr>
  </w:style>
  <w:style w:type="character" w:customStyle="1" w:styleId="Zarkazkladnhotextu3Char">
    <w:name w:val="Zarážka základného textu 3 Char"/>
    <w:rsid w:val="00A0007C"/>
    <w:rPr>
      <w:rFonts w:ascii="Times New Roman" w:hAnsi="Times New Roman"/>
      <w:sz w:val="16"/>
    </w:rPr>
  </w:style>
  <w:style w:type="character" w:customStyle="1" w:styleId="ZkladntextChar">
    <w:name w:val="Základný text Char"/>
    <w:rsid w:val="00A0007C"/>
    <w:rPr>
      <w:rFonts w:ascii="Book Antiqua" w:hAnsi="Book Antiqua"/>
      <w:sz w:val="22"/>
    </w:rPr>
  </w:style>
  <w:style w:type="character" w:styleId="Hypertextovprepojenie">
    <w:name w:val="Hyperlink"/>
    <w:basedOn w:val="Predvolenpsmoodseku"/>
    <w:uiPriority w:val="99"/>
    <w:rsid w:val="00A0007C"/>
    <w:rPr>
      <w:rFonts w:cs="Times New Roman"/>
      <w:color w:val="0000FF"/>
      <w:u w:val="single"/>
    </w:rPr>
  </w:style>
  <w:style w:type="paragraph" w:customStyle="1" w:styleId="Nadpis">
    <w:name w:val="Nadpis"/>
    <w:basedOn w:val="Normlny"/>
    <w:next w:val="Zkladntext"/>
    <w:rsid w:val="00A0007C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Zkladntext">
    <w:name w:val="Body Text"/>
    <w:basedOn w:val="Normlny"/>
    <w:link w:val="ZkladntextChar1"/>
    <w:uiPriority w:val="99"/>
    <w:rsid w:val="00A0007C"/>
    <w:pPr>
      <w:spacing w:after="120"/>
    </w:pPr>
  </w:style>
  <w:style w:type="character" w:customStyle="1" w:styleId="ZkladntextChar1">
    <w:name w:val="Základný text Char1"/>
    <w:basedOn w:val="Predvolenpsmoodseku"/>
    <w:link w:val="Zkladntext"/>
    <w:uiPriority w:val="99"/>
    <w:semiHidden/>
    <w:locked/>
    <w:rsid w:val="004C744B"/>
    <w:rPr>
      <w:rFonts w:ascii="Book Antiqua" w:hAnsi="Book Antiqua" w:cs="Book Antiqua"/>
      <w:sz w:val="22"/>
      <w:szCs w:val="22"/>
      <w:lang w:eastAsia="ar-SA" w:bidi="ar-SA"/>
    </w:rPr>
  </w:style>
  <w:style w:type="paragraph" w:styleId="Zoznam">
    <w:name w:val="List"/>
    <w:basedOn w:val="Zkladntext"/>
    <w:uiPriority w:val="99"/>
    <w:rsid w:val="00A0007C"/>
  </w:style>
  <w:style w:type="paragraph" w:customStyle="1" w:styleId="Popisok">
    <w:name w:val="Popisok"/>
    <w:basedOn w:val="Normlny"/>
    <w:rsid w:val="00A0007C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lny"/>
    <w:rsid w:val="00A0007C"/>
    <w:pPr>
      <w:suppressLineNumbers/>
    </w:pPr>
  </w:style>
  <w:style w:type="paragraph" w:styleId="Normlnywebov">
    <w:name w:val="Normal (Web)"/>
    <w:basedOn w:val="Normlny"/>
    <w:uiPriority w:val="99"/>
    <w:rsid w:val="00A0007C"/>
    <w:pPr>
      <w:spacing w:before="280" w:after="280" w:line="240" w:lineRule="auto"/>
    </w:pPr>
    <w:rPr>
      <w:rFonts w:ascii="Times New Roman" w:hAnsi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A0007C"/>
    <w:pPr>
      <w:ind w:left="720"/>
    </w:pPr>
    <w:rPr>
      <w:rFonts w:ascii="Calibri" w:hAnsi="Calibri" w:cs="Calibri"/>
      <w:sz w:val="22"/>
    </w:rPr>
  </w:style>
  <w:style w:type="paragraph" w:customStyle="1" w:styleId="Zarkazkladnhotextu31">
    <w:name w:val="Zarážka základného textu 31"/>
    <w:basedOn w:val="Normlny"/>
    <w:rsid w:val="00A0007C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styleId="Bezriadkovania">
    <w:name w:val="No Spacing"/>
    <w:uiPriority w:val="1"/>
    <w:qFormat/>
    <w:rsid w:val="00A0007C"/>
    <w:pPr>
      <w:suppressAutoHyphens/>
    </w:pPr>
    <w:rPr>
      <w:rFonts w:ascii="Book Antiqua" w:hAnsi="Book Antiqua" w:cs="Book Antiqua"/>
      <w:sz w:val="24"/>
      <w:szCs w:val="22"/>
      <w:lang w:eastAsia="ar-SA"/>
    </w:rPr>
  </w:style>
  <w:style w:type="paragraph" w:customStyle="1" w:styleId="Obsahtabuky">
    <w:name w:val="Obsah tabuľky"/>
    <w:basedOn w:val="Normlny"/>
    <w:rsid w:val="00A0007C"/>
    <w:pPr>
      <w:suppressLineNumbers/>
    </w:pPr>
  </w:style>
  <w:style w:type="paragraph" w:customStyle="1" w:styleId="Nadpistabuky">
    <w:name w:val="Nadpis tabuľky"/>
    <w:basedOn w:val="Obsahtabuky"/>
    <w:rsid w:val="00A0007C"/>
    <w:pPr>
      <w:jc w:val="center"/>
    </w:pPr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7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770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Lukáč, Jozef (asistent)</cp:lastModifiedBy>
  <cp:revision>3</cp:revision>
  <cp:lastPrinted>2019-04-24T09:20:00Z</cp:lastPrinted>
  <dcterms:created xsi:type="dcterms:W3CDTF">2019-04-24T09:32:00Z</dcterms:created>
  <dcterms:modified xsi:type="dcterms:W3CDTF">2019-04-24T09:33:00Z</dcterms:modified>
</cp:coreProperties>
</file>