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503" w:rsidRPr="00531669" w:rsidRDefault="00692503" w:rsidP="00531669">
      <w:pPr>
        <w:pBdr>
          <w:bottom w:val="single" w:sz="12" w:space="1" w:color="auto"/>
        </w:pBdr>
        <w:spacing w:before="120" w:line="276" w:lineRule="auto"/>
        <w:jc w:val="center"/>
        <w:rPr>
          <w:rFonts w:ascii="Book Antiqua" w:hAnsi="Book Antiqua" w:cs="Book Antiqua"/>
          <w:b/>
          <w:bCs/>
          <w:spacing w:val="20"/>
          <w:sz w:val="22"/>
          <w:szCs w:val="22"/>
        </w:rPr>
      </w:pPr>
      <w:r w:rsidRPr="00531669">
        <w:rPr>
          <w:rFonts w:ascii="Book Antiqua" w:hAnsi="Book Antiqua" w:cs="Book Antiqua"/>
          <w:b/>
          <w:bCs/>
          <w:spacing w:val="20"/>
          <w:sz w:val="22"/>
          <w:szCs w:val="22"/>
        </w:rPr>
        <w:t>NÁRODNÁ  RADA  SLOVENSKEJ  REPUBLIKY</w:t>
      </w:r>
    </w:p>
    <w:p w:rsidR="00692503" w:rsidRPr="00531669" w:rsidRDefault="00692503" w:rsidP="00531669">
      <w:pPr>
        <w:spacing w:before="120" w:line="276" w:lineRule="auto"/>
        <w:jc w:val="center"/>
        <w:rPr>
          <w:rFonts w:ascii="Book Antiqua" w:hAnsi="Book Antiqua" w:cs="Book Antiqua"/>
          <w:spacing w:val="20"/>
          <w:sz w:val="22"/>
          <w:szCs w:val="22"/>
        </w:rPr>
      </w:pPr>
    </w:p>
    <w:p w:rsidR="00692503" w:rsidRPr="00531669" w:rsidRDefault="00692503" w:rsidP="00531669">
      <w:pPr>
        <w:spacing w:before="120" w:line="276" w:lineRule="auto"/>
        <w:jc w:val="center"/>
        <w:rPr>
          <w:rFonts w:ascii="Book Antiqua" w:hAnsi="Book Antiqua" w:cs="Book Antiqua"/>
          <w:spacing w:val="20"/>
          <w:sz w:val="22"/>
          <w:szCs w:val="22"/>
        </w:rPr>
      </w:pPr>
      <w:r w:rsidRPr="00531669">
        <w:rPr>
          <w:rFonts w:ascii="Book Antiqua" w:hAnsi="Book Antiqua" w:cs="Book Antiqua"/>
          <w:spacing w:val="20"/>
          <w:sz w:val="22"/>
          <w:szCs w:val="22"/>
        </w:rPr>
        <w:t>VI</w:t>
      </w:r>
      <w:r w:rsidR="0081796C">
        <w:rPr>
          <w:rFonts w:ascii="Book Antiqua" w:hAnsi="Book Antiqua" w:cs="Book Antiqua"/>
          <w:spacing w:val="20"/>
          <w:sz w:val="22"/>
          <w:szCs w:val="22"/>
        </w:rPr>
        <w:t>I</w:t>
      </w:r>
      <w:r w:rsidRPr="00531669">
        <w:rPr>
          <w:rFonts w:ascii="Book Antiqua" w:hAnsi="Book Antiqua" w:cs="Book Antiqua"/>
          <w:spacing w:val="20"/>
          <w:sz w:val="22"/>
          <w:szCs w:val="22"/>
        </w:rPr>
        <w:t>. volebné obdobie</w:t>
      </w:r>
    </w:p>
    <w:p w:rsidR="00692503" w:rsidRPr="00531669" w:rsidRDefault="00692503" w:rsidP="008A7E8F">
      <w:pPr>
        <w:spacing w:before="120" w:line="276" w:lineRule="auto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692503" w:rsidRPr="00306CCD" w:rsidRDefault="00692503" w:rsidP="00531669">
      <w:pPr>
        <w:spacing w:before="120" w:line="276" w:lineRule="auto"/>
        <w:jc w:val="center"/>
        <w:rPr>
          <w:rFonts w:ascii="Book Antiqua" w:hAnsi="Book Antiqua" w:cs="Book Antiqua"/>
          <w:bCs/>
          <w:spacing w:val="30"/>
          <w:sz w:val="22"/>
          <w:szCs w:val="22"/>
        </w:rPr>
      </w:pPr>
      <w:r w:rsidRPr="00306CCD">
        <w:rPr>
          <w:rFonts w:ascii="Book Antiqua" w:hAnsi="Book Antiqua" w:cs="Book Antiqua"/>
          <w:bCs/>
          <w:spacing w:val="30"/>
          <w:sz w:val="22"/>
          <w:szCs w:val="22"/>
        </w:rPr>
        <w:t xml:space="preserve">Návrh </w:t>
      </w:r>
    </w:p>
    <w:p w:rsidR="00692503" w:rsidRPr="00531669" w:rsidRDefault="00692503" w:rsidP="00531669">
      <w:pPr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692503" w:rsidRPr="00531669" w:rsidRDefault="00692503" w:rsidP="00531669">
      <w:pPr>
        <w:spacing w:before="120" w:line="276" w:lineRule="auto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  <w:r w:rsidRPr="00531669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zákon</w:t>
      </w:r>
    </w:p>
    <w:p w:rsidR="00692503" w:rsidRPr="00531669" w:rsidRDefault="00692503" w:rsidP="00531669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</w:p>
    <w:p w:rsidR="00692503" w:rsidRPr="00531669" w:rsidRDefault="008A7E8F" w:rsidP="00531669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z ... 201</w:t>
      </w:r>
      <w:r w:rsidR="000D5092">
        <w:rPr>
          <w:rFonts w:ascii="Book Antiqua" w:hAnsi="Book Antiqua" w:cs="Book Antiqua"/>
          <w:sz w:val="22"/>
          <w:szCs w:val="22"/>
        </w:rPr>
        <w:t>9</w:t>
      </w:r>
      <w:r w:rsidR="00692503" w:rsidRPr="00531669">
        <w:rPr>
          <w:rFonts w:ascii="Book Antiqua" w:hAnsi="Book Antiqua" w:cs="Book Antiqua"/>
          <w:sz w:val="22"/>
          <w:szCs w:val="22"/>
        </w:rPr>
        <w:t>,</w:t>
      </w:r>
    </w:p>
    <w:p w:rsidR="00692503" w:rsidRPr="00531669" w:rsidRDefault="00692503" w:rsidP="00531669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</w:p>
    <w:p w:rsidR="00372365" w:rsidRPr="00531669" w:rsidRDefault="00372365" w:rsidP="00531669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531669">
        <w:rPr>
          <w:rFonts w:ascii="Book Antiqua" w:hAnsi="Book Antiqua"/>
          <w:b/>
          <w:sz w:val="22"/>
          <w:szCs w:val="22"/>
        </w:rPr>
        <w:t xml:space="preserve">ktorým sa </w:t>
      </w:r>
      <w:r w:rsidR="000D5092">
        <w:rPr>
          <w:rFonts w:ascii="Book Antiqua" w:hAnsi="Book Antiqua"/>
          <w:b/>
          <w:sz w:val="22"/>
          <w:szCs w:val="22"/>
        </w:rPr>
        <w:t>mení</w:t>
      </w:r>
      <w:r w:rsidRPr="00531669">
        <w:rPr>
          <w:rFonts w:ascii="Book Antiqua" w:hAnsi="Book Antiqua"/>
          <w:b/>
          <w:sz w:val="22"/>
          <w:szCs w:val="22"/>
        </w:rPr>
        <w:t xml:space="preserve"> </w:t>
      </w:r>
      <w:r w:rsidR="00B21982">
        <w:rPr>
          <w:rFonts w:ascii="Book Antiqua" w:hAnsi="Book Antiqua"/>
          <w:b/>
          <w:sz w:val="22"/>
          <w:szCs w:val="22"/>
        </w:rPr>
        <w:t xml:space="preserve">a dopĺňa </w:t>
      </w:r>
      <w:r w:rsidRPr="00531669">
        <w:rPr>
          <w:rFonts w:ascii="Book Antiqua" w:hAnsi="Book Antiqua"/>
          <w:b/>
          <w:sz w:val="22"/>
          <w:szCs w:val="22"/>
        </w:rPr>
        <w:t>zákon Národnej rady Slovenskej republiky č. 120/1993 Z. z. o platových pomeroch niektorých ústavných činiteľov Slovenskej republiky v znení neskoršíc</w:t>
      </w:r>
      <w:r w:rsidR="00AC23A6">
        <w:rPr>
          <w:rFonts w:ascii="Book Antiqua" w:hAnsi="Book Antiqua"/>
          <w:b/>
          <w:sz w:val="22"/>
          <w:szCs w:val="22"/>
        </w:rPr>
        <w:t>h predpisov</w:t>
      </w:r>
    </w:p>
    <w:p w:rsidR="00692503" w:rsidRPr="00531669" w:rsidRDefault="00692503" w:rsidP="00531669">
      <w:pPr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692503" w:rsidRPr="00531669" w:rsidRDefault="00692503" w:rsidP="00531669">
      <w:pPr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531669">
        <w:rPr>
          <w:rFonts w:ascii="Book Antiqua" w:hAnsi="Book Antiqua" w:cs="Book Antiqua"/>
          <w:sz w:val="22"/>
          <w:szCs w:val="22"/>
        </w:rPr>
        <w:t xml:space="preserve">Národná rada Slovenskej republiky sa uzniesla na tomto zákone: </w:t>
      </w:r>
    </w:p>
    <w:p w:rsidR="00692503" w:rsidRPr="00531669" w:rsidRDefault="00692503" w:rsidP="00531669">
      <w:pPr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:rsidR="00372365" w:rsidRPr="00531669" w:rsidRDefault="00372365" w:rsidP="00531669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531669">
        <w:rPr>
          <w:rFonts w:ascii="Book Antiqua" w:hAnsi="Book Antiqua"/>
          <w:b/>
          <w:sz w:val="22"/>
          <w:szCs w:val="22"/>
        </w:rPr>
        <w:t>Čl. I</w:t>
      </w:r>
    </w:p>
    <w:p w:rsidR="00372365" w:rsidRPr="0081796C" w:rsidRDefault="00372365" w:rsidP="00363C57">
      <w:pPr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81796C">
        <w:rPr>
          <w:rFonts w:ascii="Book Antiqua" w:hAnsi="Book Antiqua"/>
          <w:sz w:val="22"/>
          <w:szCs w:val="22"/>
        </w:rPr>
        <w:t xml:space="preserve">Zákon Národnej rady Slovenskej republiky č. 120/1993 Z. z. o platových pomeroch niektorých ústavných činiteľov Slovenskej republiky </w:t>
      </w:r>
      <w:r w:rsidR="0081796C" w:rsidRPr="0081796C">
        <w:rPr>
          <w:rFonts w:ascii="Book Antiqua" w:hAnsi="Book Antiqua"/>
          <w:sz w:val="22"/>
          <w:szCs w:val="22"/>
        </w:rPr>
        <w:t>v znení zákona Národnej rady Slovenskej republiky č. 374/1994 Z. z., zákona Nár</w:t>
      </w:r>
      <w:r w:rsidR="0081796C">
        <w:rPr>
          <w:rFonts w:ascii="Book Antiqua" w:hAnsi="Book Antiqua"/>
          <w:sz w:val="22"/>
          <w:szCs w:val="22"/>
        </w:rPr>
        <w:t>odnej rady Slovenskej republiky</w:t>
      </w:r>
      <w:r w:rsidR="00B21982">
        <w:rPr>
          <w:rFonts w:ascii="Book Antiqua" w:hAnsi="Book Antiqua"/>
          <w:sz w:val="22"/>
          <w:szCs w:val="22"/>
        </w:rPr>
        <w:t xml:space="preserve"> </w:t>
      </w:r>
      <w:r w:rsidR="0081796C" w:rsidRPr="0081796C">
        <w:rPr>
          <w:rFonts w:ascii="Book Antiqua" w:hAnsi="Book Antiqua"/>
          <w:sz w:val="22"/>
          <w:szCs w:val="22"/>
        </w:rPr>
        <w:t>č. 304/1995 Z. z., zákona č. 277/1998 Z. z., zákona č. 57/1999 Z. z., zákona č. 447/2000 Z. z., zákona č. 175/2002 Z. z., zákona č. 668/2002 Z. z., zákona č. 461/2003 Z. z., zákona</w:t>
      </w:r>
      <w:r w:rsidR="00B21982">
        <w:rPr>
          <w:rFonts w:ascii="Book Antiqua" w:hAnsi="Book Antiqua"/>
          <w:sz w:val="22"/>
          <w:szCs w:val="22"/>
        </w:rPr>
        <w:t xml:space="preserve"> </w:t>
      </w:r>
      <w:r w:rsidR="0081796C" w:rsidRPr="0081796C">
        <w:rPr>
          <w:rFonts w:ascii="Book Antiqua" w:hAnsi="Book Antiqua"/>
          <w:sz w:val="22"/>
          <w:szCs w:val="22"/>
        </w:rPr>
        <w:t>č. 391/2004 Z. z., zákona č. 81/2005 Z. z., zákona č. 94/2006 Z. z., zákona č. 598/2006 Z. z., zákona č. 460/2008 Z. z., zákona č. 563/2008 Z. z., zákona č. 504/2009 Z. z., zákona</w:t>
      </w:r>
      <w:r w:rsidR="00B21982">
        <w:rPr>
          <w:rFonts w:ascii="Book Antiqua" w:hAnsi="Book Antiqua"/>
          <w:sz w:val="22"/>
          <w:szCs w:val="22"/>
        </w:rPr>
        <w:t xml:space="preserve"> </w:t>
      </w:r>
      <w:r w:rsidR="0081796C" w:rsidRPr="0081796C">
        <w:rPr>
          <w:rFonts w:ascii="Book Antiqua" w:hAnsi="Book Antiqua"/>
          <w:sz w:val="22"/>
          <w:szCs w:val="22"/>
        </w:rPr>
        <w:t xml:space="preserve">č. 500/2010 Z. z., zákona č. 236/2011 Z. z., zákona č. 532/2011 Z. z., </w:t>
      </w:r>
      <w:r w:rsidR="0081796C">
        <w:rPr>
          <w:rFonts w:ascii="Book Antiqua" w:hAnsi="Book Antiqua"/>
          <w:sz w:val="22"/>
          <w:szCs w:val="22"/>
        </w:rPr>
        <w:t> zákona č. 69/2012</w:t>
      </w:r>
      <w:r w:rsidR="00B21982">
        <w:rPr>
          <w:rFonts w:ascii="Book Antiqua" w:hAnsi="Book Antiqua"/>
          <w:sz w:val="22"/>
          <w:szCs w:val="22"/>
        </w:rPr>
        <w:t xml:space="preserve"> </w:t>
      </w:r>
      <w:r w:rsidR="0081796C" w:rsidRPr="0081796C">
        <w:rPr>
          <w:rFonts w:ascii="Book Antiqua" w:hAnsi="Book Antiqua"/>
          <w:sz w:val="22"/>
          <w:szCs w:val="22"/>
        </w:rPr>
        <w:t>Z. z., zákona č. 392/2012 Z. z., zákona č. 462/2013 Z. z., zákona č. 97/2014 Z. z., zákona</w:t>
      </w:r>
      <w:bookmarkStart w:id="0" w:name="_GoBack"/>
      <w:bookmarkEnd w:id="0"/>
      <w:r w:rsidR="00B21982">
        <w:rPr>
          <w:rFonts w:ascii="Book Antiqua" w:hAnsi="Book Antiqua"/>
          <w:sz w:val="22"/>
          <w:szCs w:val="22"/>
        </w:rPr>
        <w:t xml:space="preserve"> </w:t>
      </w:r>
      <w:r w:rsidR="0081796C" w:rsidRPr="0081796C">
        <w:rPr>
          <w:rFonts w:ascii="Book Antiqua" w:hAnsi="Book Antiqua"/>
          <w:sz w:val="22"/>
          <w:szCs w:val="22"/>
        </w:rPr>
        <w:t>č. 195/2014 Z. z.,</w:t>
      </w:r>
      <w:r w:rsidR="0081796C">
        <w:rPr>
          <w:rFonts w:ascii="Book Antiqua" w:hAnsi="Book Antiqua"/>
          <w:sz w:val="22"/>
          <w:szCs w:val="22"/>
        </w:rPr>
        <w:t xml:space="preserve"> zákona č. 362/2014 Z. z., </w:t>
      </w:r>
      <w:r w:rsidR="00E509B7">
        <w:rPr>
          <w:rFonts w:ascii="Book Antiqua" w:hAnsi="Book Antiqua"/>
          <w:sz w:val="22"/>
          <w:szCs w:val="22"/>
        </w:rPr>
        <w:t>zákona č. 32/2015 Z. z.,</w:t>
      </w:r>
      <w:r w:rsidR="0081796C">
        <w:rPr>
          <w:rFonts w:ascii="Book Antiqua" w:hAnsi="Book Antiqua"/>
          <w:sz w:val="22"/>
          <w:szCs w:val="22"/>
        </w:rPr>
        <w:t> zákona č. 338/2015 Z. z.</w:t>
      </w:r>
      <w:r w:rsidR="00E509B7">
        <w:rPr>
          <w:rFonts w:ascii="Book Antiqua" w:hAnsi="Book Antiqua"/>
          <w:sz w:val="22"/>
          <w:szCs w:val="22"/>
        </w:rPr>
        <w:t>, nálezu Ústavného súdu Slovensk</w:t>
      </w:r>
      <w:r w:rsidR="001212AE">
        <w:rPr>
          <w:rFonts w:ascii="Book Antiqua" w:hAnsi="Book Antiqua"/>
          <w:sz w:val="22"/>
          <w:szCs w:val="22"/>
        </w:rPr>
        <w:t>ej republiky č. 443/2015 Z. z.,</w:t>
      </w:r>
      <w:r w:rsidR="00E509B7">
        <w:rPr>
          <w:rFonts w:ascii="Book Antiqua" w:hAnsi="Book Antiqua"/>
          <w:sz w:val="22"/>
          <w:szCs w:val="22"/>
        </w:rPr>
        <w:t> zákona č. 340/2016 Z. z.</w:t>
      </w:r>
      <w:r w:rsidR="00870EC5">
        <w:rPr>
          <w:rFonts w:ascii="Book Antiqua" w:hAnsi="Book Antiqua"/>
          <w:sz w:val="22"/>
          <w:szCs w:val="22"/>
        </w:rPr>
        <w:t xml:space="preserve">, </w:t>
      </w:r>
      <w:r w:rsidR="001212AE">
        <w:rPr>
          <w:rFonts w:ascii="Book Antiqua" w:hAnsi="Book Antiqua"/>
          <w:sz w:val="22"/>
          <w:szCs w:val="22"/>
        </w:rPr>
        <w:t xml:space="preserve">zákona </w:t>
      </w:r>
      <w:r w:rsidR="00870EC5">
        <w:rPr>
          <w:rFonts w:ascii="Book Antiqua" w:hAnsi="Book Antiqua"/>
          <w:sz w:val="22"/>
          <w:szCs w:val="22"/>
        </w:rPr>
        <w:t xml:space="preserve">č. </w:t>
      </w:r>
      <w:r w:rsidR="001212AE">
        <w:rPr>
          <w:rFonts w:ascii="Book Antiqua" w:hAnsi="Book Antiqua"/>
          <w:sz w:val="22"/>
          <w:szCs w:val="22"/>
        </w:rPr>
        <w:t xml:space="preserve">334/2017 Z. z. </w:t>
      </w:r>
      <w:r w:rsidR="00870EC5">
        <w:rPr>
          <w:rFonts w:ascii="Book Antiqua" w:hAnsi="Book Antiqua"/>
          <w:sz w:val="22"/>
          <w:szCs w:val="22"/>
        </w:rPr>
        <w:t xml:space="preserve">a nálezu Ústavného súdu Slovenskej republiky č. 90/2019 Z. z. </w:t>
      </w:r>
      <w:r w:rsidR="0081796C" w:rsidRPr="0081796C">
        <w:rPr>
          <w:rFonts w:ascii="Book Antiqua" w:hAnsi="Book Antiqua"/>
          <w:sz w:val="22"/>
          <w:szCs w:val="22"/>
        </w:rPr>
        <w:t xml:space="preserve">sa </w:t>
      </w:r>
      <w:r w:rsidR="000D5092">
        <w:rPr>
          <w:rFonts w:ascii="Book Antiqua" w:hAnsi="Book Antiqua"/>
          <w:sz w:val="22"/>
          <w:szCs w:val="22"/>
        </w:rPr>
        <w:t>mení</w:t>
      </w:r>
      <w:r w:rsidR="0081796C" w:rsidRPr="0081796C">
        <w:rPr>
          <w:rFonts w:ascii="Book Antiqua" w:hAnsi="Book Antiqua"/>
          <w:sz w:val="22"/>
          <w:szCs w:val="22"/>
        </w:rPr>
        <w:t xml:space="preserve"> </w:t>
      </w:r>
      <w:r w:rsidR="00B21982">
        <w:rPr>
          <w:rFonts w:ascii="Book Antiqua" w:hAnsi="Book Antiqua"/>
          <w:sz w:val="22"/>
          <w:szCs w:val="22"/>
        </w:rPr>
        <w:t xml:space="preserve">a dopĺňa </w:t>
      </w:r>
      <w:r w:rsidR="0081796C" w:rsidRPr="0081796C">
        <w:rPr>
          <w:rFonts w:ascii="Book Antiqua" w:hAnsi="Book Antiqua"/>
          <w:sz w:val="22"/>
          <w:szCs w:val="22"/>
        </w:rPr>
        <w:t>takto</w:t>
      </w:r>
      <w:r w:rsidRPr="0081796C">
        <w:rPr>
          <w:rFonts w:ascii="Book Antiqua" w:hAnsi="Book Antiqua"/>
          <w:sz w:val="22"/>
          <w:szCs w:val="22"/>
        </w:rPr>
        <w:t xml:space="preserve">: </w:t>
      </w:r>
    </w:p>
    <w:p w:rsidR="00531669" w:rsidRDefault="00B21982" w:rsidP="0068719E">
      <w:pPr>
        <w:pStyle w:val="Odsekzoznamu"/>
        <w:numPr>
          <w:ilvl w:val="0"/>
          <w:numId w:val="3"/>
        </w:numPr>
        <w:spacing w:before="120" w:after="0"/>
        <w:contextualSpacing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>V § 2 odsek 1 znie</w:t>
      </w:r>
      <w:r w:rsidR="000D5092">
        <w:rPr>
          <w:rFonts w:ascii="Book Antiqua" w:hAnsi="Book Antiqua"/>
        </w:rPr>
        <w:t>:</w:t>
      </w:r>
    </w:p>
    <w:p w:rsidR="000D5092" w:rsidRDefault="000D5092" w:rsidP="00B21982">
      <w:pPr>
        <w:pStyle w:val="Odsekzoznamu"/>
        <w:spacing w:before="120" w:after="0"/>
        <w:ind w:left="1418" w:hanging="698"/>
        <w:contextualSpacing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>„</w:t>
      </w:r>
      <w:r w:rsidR="005C706D">
        <w:rPr>
          <w:rFonts w:ascii="Book Antiqua" w:hAnsi="Book Antiqua"/>
        </w:rPr>
        <w:t xml:space="preserve">(1) </w:t>
      </w:r>
      <w:r w:rsidR="00B21982">
        <w:rPr>
          <w:rFonts w:ascii="Book Antiqua" w:hAnsi="Book Antiqua"/>
        </w:rPr>
        <w:tab/>
        <w:t xml:space="preserve">Základom pre výpočet platu </w:t>
      </w:r>
      <w:r w:rsidR="00FB4EF6">
        <w:rPr>
          <w:rFonts w:ascii="Book Antiqua" w:hAnsi="Book Antiqua"/>
        </w:rPr>
        <w:t>p</w:t>
      </w:r>
      <w:r w:rsidR="00FB4EF6" w:rsidRPr="000D5092">
        <w:rPr>
          <w:rFonts w:ascii="Book Antiqua" w:hAnsi="Book Antiqua"/>
        </w:rPr>
        <w:t>oslanc</w:t>
      </w:r>
      <w:r w:rsidR="00FB4EF6">
        <w:rPr>
          <w:rFonts w:ascii="Book Antiqua" w:hAnsi="Book Antiqua"/>
        </w:rPr>
        <w:t>a</w:t>
      </w:r>
      <w:r w:rsidR="00FB4EF6" w:rsidRPr="000D5092">
        <w:rPr>
          <w:rFonts w:ascii="Book Antiqua" w:hAnsi="Book Antiqua"/>
        </w:rPr>
        <w:t xml:space="preserve"> Národnej rady Slovenskej republiky </w:t>
      </w:r>
      <w:r w:rsidR="00B21982">
        <w:rPr>
          <w:rFonts w:ascii="Book Antiqua" w:hAnsi="Book Antiqua"/>
        </w:rPr>
        <w:t>(ďalej len „poslanec“</w:t>
      </w:r>
      <w:r w:rsidR="00FB4EF6" w:rsidRPr="005C706D">
        <w:rPr>
          <w:rFonts w:ascii="Book Antiqua" w:hAnsi="Book Antiqua"/>
        </w:rPr>
        <w:t xml:space="preserve">) podľa </w:t>
      </w:r>
      <w:r w:rsidR="000E7A4D" w:rsidRPr="005C706D">
        <w:rPr>
          <w:rFonts w:ascii="Book Antiqua" w:hAnsi="Book Antiqua"/>
        </w:rPr>
        <w:t xml:space="preserve">druhej vety </w:t>
      </w:r>
      <w:r w:rsidR="00FB4EF6" w:rsidRPr="005C706D">
        <w:rPr>
          <w:rFonts w:ascii="Book Antiqua" w:hAnsi="Book Antiqua"/>
        </w:rPr>
        <w:t xml:space="preserve">je suma vo výške súčinu sumy </w:t>
      </w:r>
      <w:r w:rsidR="00B21982">
        <w:rPr>
          <w:rFonts w:ascii="Book Antiqua" w:hAnsi="Book Antiqua"/>
        </w:rPr>
        <w:t xml:space="preserve">platu určeného </w:t>
      </w:r>
      <w:r w:rsidR="00FB4EF6" w:rsidRPr="005C706D">
        <w:rPr>
          <w:rFonts w:ascii="Book Antiqua" w:hAnsi="Book Antiqua"/>
        </w:rPr>
        <w:t xml:space="preserve">podľa § </w:t>
      </w:r>
      <w:r w:rsidR="009B470A" w:rsidRPr="005C706D">
        <w:rPr>
          <w:rFonts w:ascii="Book Antiqua" w:hAnsi="Book Antiqua"/>
        </w:rPr>
        <w:t>29q</w:t>
      </w:r>
      <w:r w:rsidR="00FB4EF6">
        <w:rPr>
          <w:rFonts w:ascii="Book Antiqua" w:hAnsi="Book Antiqua"/>
        </w:rPr>
        <w:t xml:space="preserve"> </w:t>
      </w:r>
      <w:r w:rsidR="00FB4EF6" w:rsidRPr="00FB4EF6">
        <w:rPr>
          <w:rFonts w:ascii="Book Antiqua" w:hAnsi="Book Antiqua"/>
        </w:rPr>
        <w:t xml:space="preserve">a indexu medziročného rastu priemernej mesačnej nominálnej mzdy zamestnanca v hospodárstve Slovenskej republiky zverejneného Štatistickým úradom Slovenskej republiky za kalendárny rok, ktorý predchádza kalendárnemu roku, v ktorom sa </w:t>
      </w:r>
      <w:r w:rsidR="00FB4EF6">
        <w:rPr>
          <w:rFonts w:ascii="Book Antiqua" w:hAnsi="Book Antiqua"/>
        </w:rPr>
        <w:t xml:space="preserve">zvyšuje plat poslanca podľa </w:t>
      </w:r>
      <w:r w:rsidR="000E7A4D">
        <w:rPr>
          <w:rFonts w:ascii="Book Antiqua" w:hAnsi="Book Antiqua"/>
        </w:rPr>
        <w:t>druhej vety</w:t>
      </w:r>
      <w:r w:rsidR="00FB4EF6">
        <w:rPr>
          <w:rFonts w:ascii="Book Antiqua" w:hAnsi="Book Antiqua"/>
        </w:rPr>
        <w:t xml:space="preserve"> (</w:t>
      </w:r>
      <w:r w:rsidR="00B21982">
        <w:rPr>
          <w:rFonts w:ascii="Book Antiqua" w:hAnsi="Book Antiqua"/>
        </w:rPr>
        <w:t>ďalej len „základná suma platu poslanca“</w:t>
      </w:r>
      <w:r w:rsidR="00FB4EF6">
        <w:rPr>
          <w:rFonts w:ascii="Book Antiqua" w:hAnsi="Book Antiqua"/>
        </w:rPr>
        <w:t xml:space="preserve">); plat poslanca sa </w:t>
      </w:r>
      <w:r w:rsidR="00FB4EF6">
        <w:rPr>
          <w:rFonts w:ascii="Book Antiqua" w:hAnsi="Book Antiqua"/>
        </w:rPr>
        <w:lastRenderedPageBreak/>
        <w:t xml:space="preserve">zvyšuje každý kalendárny rok. </w:t>
      </w:r>
      <w:r w:rsidR="00A75995">
        <w:rPr>
          <w:rFonts w:ascii="Book Antiqua" w:hAnsi="Book Antiqua"/>
        </w:rPr>
        <w:t>Poslancovi patrí v príslušnom</w:t>
      </w:r>
      <w:r w:rsidR="000E7A4D">
        <w:rPr>
          <w:rFonts w:ascii="Book Antiqua" w:hAnsi="Book Antiqua"/>
        </w:rPr>
        <w:t xml:space="preserve"> kalendárnom roku plat </w:t>
      </w:r>
      <w:r w:rsidR="00A75995">
        <w:rPr>
          <w:rFonts w:ascii="Book Antiqua" w:hAnsi="Book Antiqua"/>
        </w:rPr>
        <w:t xml:space="preserve">vo výške súčinu základnej sumy platu </w:t>
      </w:r>
      <w:r w:rsidR="000E7A4D">
        <w:rPr>
          <w:rFonts w:ascii="Book Antiqua" w:hAnsi="Book Antiqua"/>
        </w:rPr>
        <w:t>poslanca</w:t>
      </w:r>
      <w:r w:rsidR="00FB4EF6" w:rsidRPr="00FB4EF6">
        <w:rPr>
          <w:rFonts w:ascii="Book Antiqua" w:hAnsi="Book Antiqua"/>
        </w:rPr>
        <w:t xml:space="preserve"> a indexu medziročného rastu priemernej mesačnej nominálnej mzdy zamestnanca v hospodárstve Slovenskej republiky zverejneného Štatistickým úradom Slovenskej republiky za kalendárny rok, ktorý predchádza kalendárnemu roku, v ktorom</w:t>
      </w:r>
      <w:r w:rsidR="000E7A4D">
        <w:rPr>
          <w:rFonts w:ascii="Book Antiqua" w:hAnsi="Book Antiqua"/>
        </w:rPr>
        <w:t xml:space="preserve"> sa zvyšuje plat poslanca, </w:t>
      </w:r>
      <w:r>
        <w:rPr>
          <w:rFonts w:ascii="Book Antiqua" w:hAnsi="Book Antiqua"/>
        </w:rPr>
        <w:t>znížený podľa odseku 2</w:t>
      </w:r>
      <w:r w:rsidR="009B470A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</w:t>
      </w:r>
      <w:r w:rsidRPr="000D5092">
        <w:rPr>
          <w:rFonts w:ascii="Book Antiqua" w:hAnsi="Book Antiqua"/>
        </w:rPr>
        <w:t>zaokrúhlený nahor na celé euro (ďalej len</w:t>
      </w:r>
      <w:r w:rsidR="00A75995">
        <w:rPr>
          <w:rFonts w:ascii="Book Antiqua" w:hAnsi="Book Antiqua"/>
        </w:rPr>
        <w:t xml:space="preserve"> „plat poslanca“</w:t>
      </w:r>
      <w:r w:rsidRPr="000D5092">
        <w:rPr>
          <w:rFonts w:ascii="Book Antiqua" w:hAnsi="Book Antiqua"/>
        </w:rPr>
        <w:t>), začínajúc dňom zvolenia za poslanca Národnej rady Slovenskej republiky.</w:t>
      </w:r>
      <w:r w:rsidR="0068719E">
        <w:rPr>
          <w:rFonts w:ascii="Book Antiqua" w:hAnsi="Book Antiqua"/>
          <w:vertAlign w:val="superscript"/>
        </w:rPr>
        <w:t>1)</w:t>
      </w:r>
      <w:r w:rsidR="009B470A">
        <w:rPr>
          <w:rFonts w:ascii="Book Antiqua" w:hAnsi="Book Antiqua"/>
        </w:rPr>
        <w:t xml:space="preserve"> </w:t>
      </w:r>
      <w:r w:rsidR="009B470A" w:rsidRPr="009B470A">
        <w:rPr>
          <w:rFonts w:ascii="Book Antiqua" w:hAnsi="Book Antiqua"/>
        </w:rPr>
        <w:t>V závislosti od času výkonu poslaneckému mandátu patrí po zániku poslaneckého mandátu poslancovi ešte plat počas dvoch mesiacov, ak vykonával mandát poslanca najmenej päť mesiacov a menej ako päť rokov, alebo troch mesiacov, ak vykonával mandát poslanca aspoň päť rokov; toto ustanovenie sa nevzťahuje na poslanca, ktorý bol zvolený za poslanca v nasledujúcom volebnom období, a na poslanca, ktorý bezprostredne po zániku mandátu začal vykonávať inú funkciu ústavného činiteľa Slovenskej republiky podľa § 1 alebo ktorý bol zvolený do Európskeho parlamentu, alebo začal vykonávať funkciu podľa osobitného predpisu.</w:t>
      </w:r>
      <w:r w:rsidR="009B470A" w:rsidRPr="009B470A">
        <w:rPr>
          <w:rFonts w:ascii="Book Antiqua" w:hAnsi="Book Antiqua"/>
          <w:vertAlign w:val="superscript"/>
        </w:rPr>
        <w:t>1aa)</w:t>
      </w:r>
      <w:r w:rsidR="009B470A" w:rsidRPr="009B470A">
        <w:rPr>
          <w:rFonts w:ascii="Book Antiqua" w:hAnsi="Book Antiqua"/>
        </w:rPr>
        <w:t xml:space="preserve"> Ak poslanec vykonával mandát ako náhradník, patrí mu nárok podľa druhej vety len raz počas toho istého volebného obdobia.</w:t>
      </w:r>
      <w:r w:rsidRPr="000D5092">
        <w:rPr>
          <w:rFonts w:ascii="Book Antiqua" w:hAnsi="Book Antiqua"/>
        </w:rPr>
        <w:t>“</w:t>
      </w:r>
      <w:r w:rsidR="0068719E">
        <w:rPr>
          <w:rFonts w:ascii="Book Antiqua" w:hAnsi="Book Antiqua"/>
        </w:rPr>
        <w:t>.</w:t>
      </w:r>
    </w:p>
    <w:p w:rsidR="00A75995" w:rsidRDefault="0068719E" w:rsidP="00A75995">
      <w:pPr>
        <w:pStyle w:val="Odsekzoznamu"/>
        <w:spacing w:before="120" w:after="0"/>
        <w:contextualSpacing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>Poznámk</w:t>
      </w:r>
      <w:r w:rsidR="009B470A">
        <w:rPr>
          <w:rFonts w:ascii="Book Antiqua" w:hAnsi="Book Antiqua"/>
        </w:rPr>
        <w:t>y</w:t>
      </w:r>
      <w:r>
        <w:rPr>
          <w:rFonts w:ascii="Book Antiqua" w:hAnsi="Book Antiqua"/>
        </w:rPr>
        <w:t xml:space="preserve"> pod čiarou k odkaz</w:t>
      </w:r>
      <w:r w:rsidR="009B470A">
        <w:rPr>
          <w:rFonts w:ascii="Book Antiqua" w:hAnsi="Book Antiqua"/>
        </w:rPr>
        <w:t>om</w:t>
      </w:r>
      <w:r w:rsidR="00A75995">
        <w:rPr>
          <w:rFonts w:ascii="Book Antiqua" w:hAnsi="Book Antiqua"/>
        </w:rPr>
        <w:t xml:space="preserve"> 1</w:t>
      </w:r>
      <w:r>
        <w:rPr>
          <w:rFonts w:ascii="Book Antiqua" w:hAnsi="Book Antiqua"/>
        </w:rPr>
        <w:t xml:space="preserve"> </w:t>
      </w:r>
      <w:r w:rsidR="00A75995">
        <w:rPr>
          <w:rFonts w:ascii="Book Antiqua" w:hAnsi="Book Antiqua"/>
        </w:rPr>
        <w:t>a 1aa</w:t>
      </w:r>
      <w:r w:rsidR="009B470A">
        <w:rPr>
          <w:rFonts w:ascii="Book Antiqua" w:hAnsi="Book Antiqua"/>
        </w:rPr>
        <w:t xml:space="preserve"> </w:t>
      </w:r>
      <w:r w:rsidR="000E7A4D">
        <w:rPr>
          <w:rFonts w:ascii="Book Antiqua" w:hAnsi="Book Antiqua"/>
        </w:rPr>
        <w:t>zn</w:t>
      </w:r>
      <w:r w:rsidR="009B470A">
        <w:rPr>
          <w:rFonts w:ascii="Book Antiqua" w:hAnsi="Book Antiqua"/>
        </w:rPr>
        <w:t>ejú</w:t>
      </w:r>
      <w:r>
        <w:rPr>
          <w:rFonts w:ascii="Book Antiqua" w:hAnsi="Book Antiqua"/>
        </w:rPr>
        <w:t>:</w:t>
      </w:r>
    </w:p>
    <w:p w:rsidR="00A75995" w:rsidRDefault="0068719E" w:rsidP="00A75995">
      <w:pPr>
        <w:pStyle w:val="Odsekzoznamu"/>
        <w:spacing w:before="120" w:after="0"/>
        <w:contextualSpacing w:val="0"/>
        <w:jc w:val="both"/>
        <w:rPr>
          <w:rFonts w:ascii="Book Antiqua" w:hAnsi="Book Antiqua"/>
        </w:rPr>
      </w:pPr>
      <w:r w:rsidRPr="00A75995">
        <w:rPr>
          <w:rFonts w:ascii="Book Antiqua" w:hAnsi="Book Antiqua"/>
        </w:rPr>
        <w:t>„</w:t>
      </w:r>
      <w:r w:rsidRPr="00A75995">
        <w:rPr>
          <w:rFonts w:ascii="Book Antiqua" w:hAnsi="Book Antiqua"/>
          <w:vertAlign w:val="superscript"/>
        </w:rPr>
        <w:t>1)</w:t>
      </w:r>
      <w:r w:rsidRPr="00A75995">
        <w:rPr>
          <w:rFonts w:ascii="Book Antiqua" w:hAnsi="Book Antiqua"/>
        </w:rPr>
        <w:t xml:space="preserve"> Čl. 75 ods. 1 Ústavy Slovenskej republiky.</w:t>
      </w:r>
    </w:p>
    <w:p w:rsidR="0068719E" w:rsidRPr="00A75995" w:rsidRDefault="009B470A" w:rsidP="00A75995">
      <w:pPr>
        <w:pStyle w:val="Odsekzoznamu"/>
        <w:spacing w:before="120" w:after="0"/>
        <w:contextualSpacing w:val="0"/>
        <w:jc w:val="both"/>
        <w:rPr>
          <w:rFonts w:ascii="Book Antiqua" w:hAnsi="Book Antiqua"/>
        </w:rPr>
      </w:pPr>
      <w:r w:rsidRPr="00A75995">
        <w:rPr>
          <w:rFonts w:ascii="Book Antiqua" w:hAnsi="Book Antiqua"/>
          <w:vertAlign w:val="superscript"/>
        </w:rPr>
        <w:t>1aa)</w:t>
      </w:r>
      <w:r w:rsidRPr="00A75995">
        <w:rPr>
          <w:rFonts w:ascii="Book Antiqua" w:hAnsi="Book Antiqua"/>
        </w:rPr>
        <w:t xml:space="preserve"> § 7 ods. 2 písm. b) zákona č. 55/2017 Z. z. o štátnej službe a o zmene a doplnení niektorých zákonov.</w:t>
      </w:r>
      <w:r w:rsidR="0068719E" w:rsidRPr="00A75995">
        <w:rPr>
          <w:rFonts w:ascii="Book Antiqua" w:hAnsi="Book Antiqua"/>
        </w:rPr>
        <w:t>“.</w:t>
      </w:r>
    </w:p>
    <w:p w:rsidR="000D5092" w:rsidRDefault="00F2602C" w:rsidP="0068719E">
      <w:pPr>
        <w:pStyle w:val="Odsekzoznamu"/>
        <w:numPr>
          <w:ilvl w:val="0"/>
          <w:numId w:val="3"/>
        </w:numPr>
        <w:spacing w:before="120" w:after="0"/>
        <w:contextualSpacing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V </w:t>
      </w:r>
      <w:r w:rsidR="00A75995">
        <w:rPr>
          <w:rFonts w:ascii="Book Antiqua" w:hAnsi="Book Antiqua"/>
        </w:rPr>
        <w:t>§ 4 odsek</w:t>
      </w:r>
      <w:r w:rsidR="00115392">
        <w:rPr>
          <w:rFonts w:ascii="Book Antiqua" w:hAnsi="Book Antiqua"/>
        </w:rPr>
        <w:t xml:space="preserve"> 1 znie:</w:t>
      </w:r>
    </w:p>
    <w:p w:rsidR="00115392" w:rsidRDefault="00115392" w:rsidP="00A75995">
      <w:pPr>
        <w:pStyle w:val="Odsekzoznamu"/>
        <w:spacing w:before="120" w:after="0"/>
        <w:ind w:left="1418" w:hanging="698"/>
        <w:contextualSpacing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>„</w:t>
      </w:r>
      <w:r w:rsidRPr="00115392">
        <w:rPr>
          <w:rFonts w:ascii="Book Antiqua" w:hAnsi="Book Antiqua"/>
        </w:rPr>
        <w:t xml:space="preserve">(1) </w:t>
      </w:r>
      <w:r w:rsidR="00A75995">
        <w:rPr>
          <w:rFonts w:ascii="Book Antiqua" w:hAnsi="Book Antiqua"/>
        </w:rPr>
        <w:tab/>
        <w:t xml:space="preserve">Základom pre výpočet </w:t>
      </w:r>
      <w:r w:rsidR="005C706D">
        <w:rPr>
          <w:rFonts w:ascii="Book Antiqua" w:hAnsi="Book Antiqua"/>
        </w:rPr>
        <w:t>diét a náhrad</w:t>
      </w:r>
      <w:r w:rsidR="005C706D" w:rsidRPr="00115392">
        <w:rPr>
          <w:rFonts w:ascii="Book Antiqua" w:hAnsi="Book Antiqua"/>
        </w:rPr>
        <w:t xml:space="preserve"> ďalších výdavkov spojených s výkonom funkcie </w:t>
      </w:r>
      <w:r w:rsidR="005C706D">
        <w:rPr>
          <w:rFonts w:ascii="Book Antiqua" w:hAnsi="Book Antiqua"/>
        </w:rPr>
        <w:t xml:space="preserve">poslanca </w:t>
      </w:r>
      <w:r w:rsidR="00A75995">
        <w:rPr>
          <w:rFonts w:ascii="Book Antiqua" w:hAnsi="Book Antiqua"/>
        </w:rPr>
        <w:t>(ďalej len „paušálne náhrady“</w:t>
      </w:r>
      <w:r w:rsidR="005C706D" w:rsidRPr="00115392">
        <w:rPr>
          <w:rFonts w:ascii="Book Antiqua" w:hAnsi="Book Antiqua"/>
        </w:rPr>
        <w:t>)</w:t>
      </w:r>
      <w:r w:rsidR="005C706D">
        <w:rPr>
          <w:rFonts w:ascii="Book Antiqua" w:hAnsi="Book Antiqua"/>
        </w:rPr>
        <w:t xml:space="preserve"> </w:t>
      </w:r>
      <w:r w:rsidR="005C706D" w:rsidRPr="000E7A4D">
        <w:rPr>
          <w:rFonts w:ascii="Book Antiqua" w:hAnsi="Book Antiqua"/>
        </w:rPr>
        <w:t xml:space="preserve">podľa druhej vety </w:t>
      </w:r>
      <w:r w:rsidR="005C706D">
        <w:rPr>
          <w:rFonts w:ascii="Book Antiqua" w:hAnsi="Book Antiqua"/>
        </w:rPr>
        <w:t xml:space="preserve">je suma vo výške </w:t>
      </w:r>
      <w:r w:rsidR="005C706D" w:rsidRPr="005C706D">
        <w:rPr>
          <w:rFonts w:ascii="Book Antiqua" w:hAnsi="Book Antiqua"/>
        </w:rPr>
        <w:t xml:space="preserve">súčinu sumy </w:t>
      </w:r>
      <w:r w:rsidR="00A75995">
        <w:rPr>
          <w:rFonts w:ascii="Book Antiqua" w:hAnsi="Book Antiqua"/>
        </w:rPr>
        <w:t xml:space="preserve">diét a náhrad ďalších výdavkov spojených s výkonom funkcie poslanca určená </w:t>
      </w:r>
      <w:r w:rsidR="005C706D" w:rsidRPr="005C706D">
        <w:rPr>
          <w:rFonts w:ascii="Book Antiqua" w:hAnsi="Book Antiqua"/>
        </w:rPr>
        <w:t>podľa § 29q a indexu medziročného rastu priemernej mesačnej</w:t>
      </w:r>
      <w:r w:rsidR="005C706D" w:rsidRPr="00FB4EF6">
        <w:rPr>
          <w:rFonts w:ascii="Book Antiqua" w:hAnsi="Book Antiqua"/>
        </w:rPr>
        <w:t xml:space="preserve"> nominálnej mzdy zamestnanca v hospodárstve Slovenskej republiky zverejneného Štatistickým úradom Slovenskej republiky za kalendárny rok, ktorý predchádza kalendárnemu roku, v ktorom sa </w:t>
      </w:r>
      <w:r w:rsidR="005C706D">
        <w:rPr>
          <w:rFonts w:ascii="Book Antiqua" w:hAnsi="Book Antiqua"/>
        </w:rPr>
        <w:t>zvyšujú paušálne náhrady poslanc</w:t>
      </w:r>
      <w:r w:rsidR="00A75995">
        <w:rPr>
          <w:rFonts w:ascii="Book Antiqua" w:hAnsi="Book Antiqua"/>
        </w:rPr>
        <w:t>a podľa druhej vety (ďalej len „základná suma paušálnych náhrad poslanca“</w:t>
      </w:r>
      <w:r w:rsidR="005C706D">
        <w:rPr>
          <w:rFonts w:ascii="Book Antiqua" w:hAnsi="Book Antiqua"/>
        </w:rPr>
        <w:t xml:space="preserve">); paušálne náhrady poslanca sa zvyšujú každý kalendárny rok. </w:t>
      </w:r>
      <w:r w:rsidRPr="00115392">
        <w:rPr>
          <w:rFonts w:ascii="Book Antiqua" w:hAnsi="Book Antiqua"/>
        </w:rPr>
        <w:t xml:space="preserve">Poslancovi patria </w:t>
      </w:r>
      <w:r w:rsidR="00A75995">
        <w:rPr>
          <w:rFonts w:ascii="Book Antiqua" w:hAnsi="Book Antiqua"/>
        </w:rPr>
        <w:t>v príslušnom</w:t>
      </w:r>
      <w:r w:rsidR="005C706D">
        <w:rPr>
          <w:rFonts w:ascii="Book Antiqua" w:hAnsi="Book Antiqua"/>
        </w:rPr>
        <w:t xml:space="preserve"> kalendárnom roku paušálne náhrady </w:t>
      </w:r>
      <w:r w:rsidR="00A75995">
        <w:rPr>
          <w:rFonts w:ascii="Book Antiqua" w:hAnsi="Book Antiqua"/>
        </w:rPr>
        <w:t>vo výške súčinu základnej sumy</w:t>
      </w:r>
      <w:r w:rsidR="005C706D">
        <w:rPr>
          <w:rFonts w:ascii="Book Antiqua" w:hAnsi="Book Antiqua"/>
        </w:rPr>
        <w:t xml:space="preserve"> paušálnych náhrad poslanca</w:t>
      </w:r>
      <w:r w:rsidR="005C706D" w:rsidRPr="00FB4EF6">
        <w:rPr>
          <w:rFonts w:ascii="Book Antiqua" w:hAnsi="Book Antiqua"/>
        </w:rPr>
        <w:t xml:space="preserve"> a indexu medziročného rastu priemernej mesačnej nominálnej mzdy zamestnanca v hospodárstve Slovenskej republiky zverejneného Štatistickým úradom Slovenskej republiky za kalendárny rok, ktorý predchádza kalendárnemu roku, v ktorom</w:t>
      </w:r>
      <w:r w:rsidR="005C706D">
        <w:rPr>
          <w:rFonts w:ascii="Book Antiqua" w:hAnsi="Book Antiqua"/>
        </w:rPr>
        <w:t xml:space="preserve"> sa zvyšujú paušálne náhrady poslanca</w:t>
      </w:r>
      <w:r w:rsidRPr="00115392">
        <w:rPr>
          <w:rFonts w:ascii="Book Antiqua" w:hAnsi="Book Antiqua"/>
        </w:rPr>
        <w:t>, ak má trvalý pobyt v Bratislavskom kraji, zaokrúhlené nahor na celé euro</w:t>
      </w:r>
      <w:r w:rsidR="005C706D">
        <w:rPr>
          <w:rFonts w:ascii="Book Antiqua" w:hAnsi="Book Antiqua"/>
        </w:rPr>
        <w:t>;</w:t>
      </w:r>
      <w:r w:rsidRPr="00115392">
        <w:rPr>
          <w:rFonts w:ascii="Book Antiqua" w:hAnsi="Book Antiqua"/>
        </w:rPr>
        <w:t xml:space="preserve"> ak má </w:t>
      </w:r>
      <w:r w:rsidR="005C706D">
        <w:rPr>
          <w:rFonts w:ascii="Book Antiqua" w:hAnsi="Book Antiqua"/>
        </w:rPr>
        <w:t xml:space="preserve">poslanec </w:t>
      </w:r>
      <w:r w:rsidRPr="00115392">
        <w:rPr>
          <w:rFonts w:ascii="Book Antiqua" w:hAnsi="Book Antiqua"/>
        </w:rPr>
        <w:t xml:space="preserve">trvalý pobyt mimo Bratislavského kraja, </w:t>
      </w:r>
      <w:r w:rsidR="005C706D">
        <w:rPr>
          <w:rFonts w:ascii="Book Antiqua" w:hAnsi="Book Antiqua"/>
        </w:rPr>
        <w:t xml:space="preserve">patria mu paušálne náhrady vo výške 1,2-násobku paušálnych náhrad podľa predošlej časti vety, </w:t>
      </w:r>
      <w:r w:rsidRPr="00115392">
        <w:rPr>
          <w:rFonts w:ascii="Book Antiqua" w:hAnsi="Book Antiqua"/>
        </w:rPr>
        <w:t>zaokrúhlené nahor na celé euro.</w:t>
      </w:r>
      <w:r>
        <w:rPr>
          <w:rFonts w:ascii="Book Antiqua" w:hAnsi="Book Antiqua"/>
        </w:rPr>
        <w:t>“.</w:t>
      </w:r>
    </w:p>
    <w:p w:rsidR="000E7A4D" w:rsidRPr="005C706D" w:rsidRDefault="000E7A4D" w:rsidP="000E7A4D">
      <w:pPr>
        <w:pStyle w:val="Odsekzoznamu"/>
        <w:numPr>
          <w:ilvl w:val="0"/>
          <w:numId w:val="3"/>
        </w:numPr>
        <w:spacing w:before="120" w:after="0"/>
        <w:contextualSpacing w:val="0"/>
        <w:jc w:val="both"/>
        <w:rPr>
          <w:rFonts w:ascii="Book Antiqua" w:hAnsi="Book Antiqua"/>
        </w:rPr>
      </w:pPr>
      <w:r w:rsidRPr="005C706D">
        <w:rPr>
          <w:rFonts w:ascii="Book Antiqua" w:hAnsi="Book Antiqua"/>
        </w:rPr>
        <w:lastRenderedPageBreak/>
        <w:t>Za § 29p sa vkladá § 29q, ktorý znie:</w:t>
      </w:r>
    </w:p>
    <w:p w:rsidR="000E7A4D" w:rsidRPr="000E7A4D" w:rsidRDefault="000E7A4D" w:rsidP="000E7A4D">
      <w:pPr>
        <w:pStyle w:val="Odsekzoznamu"/>
        <w:spacing w:before="120"/>
        <w:jc w:val="center"/>
        <w:rPr>
          <w:rFonts w:ascii="Book Antiqua" w:hAnsi="Book Antiqua"/>
        </w:rPr>
      </w:pPr>
      <w:r w:rsidRPr="005C706D">
        <w:rPr>
          <w:rFonts w:ascii="Book Antiqua" w:hAnsi="Book Antiqua"/>
        </w:rPr>
        <w:t>„</w:t>
      </w:r>
      <w:r w:rsidRPr="005C706D">
        <w:rPr>
          <w:rFonts w:ascii="Book Antiqua" w:hAnsi="Book Antiqua"/>
          <w:b/>
        </w:rPr>
        <w:t>§ 29q</w:t>
      </w:r>
    </w:p>
    <w:p w:rsidR="000E7A4D" w:rsidRPr="000E7A4D" w:rsidRDefault="000E7A4D" w:rsidP="000E7A4D">
      <w:pPr>
        <w:pStyle w:val="Odsekzoznamu"/>
        <w:spacing w:before="120"/>
        <w:jc w:val="both"/>
        <w:rPr>
          <w:rFonts w:ascii="Book Antiqua" w:hAnsi="Book Antiqua"/>
        </w:rPr>
      </w:pPr>
      <w:r w:rsidRPr="000E7A4D">
        <w:rPr>
          <w:rFonts w:ascii="Book Antiqua" w:hAnsi="Book Antiqua"/>
        </w:rPr>
        <w:t>Poslancovi</w:t>
      </w:r>
      <w:r>
        <w:rPr>
          <w:rFonts w:ascii="Book Antiqua" w:hAnsi="Book Antiqua"/>
        </w:rPr>
        <w:t xml:space="preserve"> </w:t>
      </w:r>
      <w:r w:rsidRPr="000E7A4D">
        <w:rPr>
          <w:rFonts w:ascii="Book Antiqua" w:hAnsi="Book Antiqua"/>
        </w:rPr>
        <w:t>patrí</w:t>
      </w:r>
      <w:r w:rsidR="00817F76">
        <w:rPr>
          <w:rFonts w:ascii="Book Antiqua" w:hAnsi="Book Antiqua"/>
        </w:rPr>
        <w:t xml:space="preserve"> </w:t>
      </w:r>
      <w:r w:rsidRPr="000E7A4D">
        <w:rPr>
          <w:rFonts w:ascii="Book Antiqua" w:hAnsi="Book Antiqua"/>
        </w:rPr>
        <w:t xml:space="preserve">v roku </w:t>
      </w:r>
      <w:r w:rsidR="009B470A">
        <w:rPr>
          <w:rFonts w:ascii="Book Antiqua" w:hAnsi="Book Antiqua"/>
        </w:rPr>
        <w:t>2019</w:t>
      </w:r>
      <w:r w:rsidRPr="000E7A4D">
        <w:rPr>
          <w:rFonts w:ascii="Book Antiqua" w:hAnsi="Book Antiqua"/>
        </w:rPr>
        <w:t xml:space="preserve"> plat vo výške </w:t>
      </w:r>
      <w:r w:rsidR="009B470A">
        <w:rPr>
          <w:rFonts w:ascii="Book Antiqua" w:hAnsi="Book Antiqua"/>
        </w:rPr>
        <w:t xml:space="preserve">súčinu sumy </w:t>
      </w:r>
      <w:r w:rsidR="009B470A" w:rsidRPr="00531669">
        <w:rPr>
          <w:rFonts w:ascii="Book Antiqua" w:hAnsi="Book Antiqua"/>
        </w:rPr>
        <w:t>plat</w:t>
      </w:r>
      <w:r w:rsidR="009B470A">
        <w:rPr>
          <w:rFonts w:ascii="Book Antiqua" w:hAnsi="Book Antiqua"/>
        </w:rPr>
        <w:t>u</w:t>
      </w:r>
      <w:r w:rsidR="009B470A" w:rsidRPr="00531669">
        <w:rPr>
          <w:rFonts w:ascii="Book Antiqua" w:hAnsi="Book Antiqua"/>
        </w:rPr>
        <w:t xml:space="preserve"> </w:t>
      </w:r>
      <w:r w:rsidR="009B470A">
        <w:rPr>
          <w:rFonts w:ascii="Book Antiqua" w:hAnsi="Book Antiqua"/>
        </w:rPr>
        <w:t xml:space="preserve">určenej v roku 2011 </w:t>
      </w:r>
      <w:r w:rsidR="00A75995">
        <w:rPr>
          <w:rFonts w:ascii="Book Antiqua" w:hAnsi="Book Antiqua"/>
        </w:rPr>
        <w:t xml:space="preserve">     </w:t>
      </w:r>
      <w:r w:rsidR="009B470A">
        <w:rPr>
          <w:rFonts w:ascii="Book Antiqua" w:hAnsi="Book Antiqua"/>
        </w:rPr>
        <w:t xml:space="preserve">(§ 29g) a </w:t>
      </w:r>
      <w:r w:rsidR="009B470A" w:rsidRPr="00FB4EF6">
        <w:rPr>
          <w:rFonts w:ascii="Book Antiqua" w:hAnsi="Book Antiqua"/>
        </w:rPr>
        <w:t xml:space="preserve">indexu medziročného rastu priemernej mesačnej nominálnej mzdy zamestnanca v hospodárstve Slovenskej republiky zverejneného Štatistickým úradom </w:t>
      </w:r>
      <w:r w:rsidR="009B470A" w:rsidRPr="005C706D">
        <w:rPr>
          <w:rFonts w:ascii="Book Antiqua" w:hAnsi="Book Antiqua"/>
        </w:rPr>
        <w:t>Slovenskej republiky za kalendárny rok 2018</w:t>
      </w:r>
      <w:r w:rsidR="00817F76" w:rsidRPr="005C706D">
        <w:rPr>
          <w:rFonts w:ascii="Book Antiqua" w:hAnsi="Book Antiqua"/>
        </w:rPr>
        <w:t xml:space="preserve"> </w:t>
      </w:r>
      <w:r w:rsidRPr="005C706D">
        <w:rPr>
          <w:rFonts w:ascii="Book Antiqua" w:hAnsi="Book Antiqua"/>
        </w:rPr>
        <w:t>a paušálne náhrad</w:t>
      </w:r>
      <w:r w:rsidR="005C706D" w:rsidRPr="005C706D">
        <w:rPr>
          <w:rFonts w:ascii="Book Antiqua" w:hAnsi="Book Antiqua"/>
        </w:rPr>
        <w:t>y</w:t>
      </w:r>
      <w:r w:rsidRPr="005C706D">
        <w:rPr>
          <w:rFonts w:ascii="Book Antiqua" w:hAnsi="Book Antiqua"/>
        </w:rPr>
        <w:t xml:space="preserve"> vo výške </w:t>
      </w:r>
      <w:r w:rsidR="005C706D" w:rsidRPr="005C706D">
        <w:rPr>
          <w:rFonts w:ascii="Book Antiqua" w:hAnsi="Book Antiqua"/>
        </w:rPr>
        <w:t>súčinu sumy paušálnych náhrad určených v roku 2011 (§ 29g) a indexu medziročného rastu priemernej mesačnej nominálnej mzdy zamestnanca v hospodárstve Slovenskej republiky zverejneného Štatistickým úradom Slovenskej republiky za kalendárny rok 2018</w:t>
      </w:r>
      <w:r w:rsidRPr="005C706D">
        <w:rPr>
          <w:rFonts w:ascii="Book Antiqua" w:hAnsi="Book Antiqua"/>
        </w:rPr>
        <w:t>.</w:t>
      </w:r>
    </w:p>
    <w:p w:rsidR="00B21982" w:rsidRDefault="00B21982" w:rsidP="00531669">
      <w:pPr>
        <w:tabs>
          <w:tab w:val="num" w:pos="360"/>
        </w:tabs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372365" w:rsidRPr="00531669" w:rsidRDefault="00941673" w:rsidP="00531669">
      <w:pPr>
        <w:tabs>
          <w:tab w:val="num" w:pos="360"/>
        </w:tabs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531669">
        <w:rPr>
          <w:rFonts w:ascii="Book Antiqua" w:hAnsi="Book Antiqua"/>
          <w:b/>
          <w:sz w:val="22"/>
          <w:szCs w:val="22"/>
        </w:rPr>
        <w:t>Čl. V</w:t>
      </w:r>
      <w:r w:rsidR="00372365" w:rsidRPr="00531669">
        <w:rPr>
          <w:rFonts w:ascii="Book Antiqua" w:hAnsi="Book Antiqua"/>
          <w:b/>
          <w:sz w:val="22"/>
          <w:szCs w:val="22"/>
        </w:rPr>
        <w:t>I</w:t>
      </w:r>
    </w:p>
    <w:p w:rsidR="003D22ED" w:rsidRPr="00363C57" w:rsidRDefault="00363C57" w:rsidP="00363C57">
      <w:pPr>
        <w:tabs>
          <w:tab w:val="num" w:pos="0"/>
        </w:tabs>
        <w:spacing w:before="120" w:line="276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="00372365" w:rsidRPr="00531669">
        <w:rPr>
          <w:rFonts w:ascii="Book Antiqua" w:hAnsi="Book Antiqua"/>
          <w:sz w:val="22"/>
          <w:szCs w:val="22"/>
        </w:rPr>
        <w:t>Tento zákon n</w:t>
      </w:r>
      <w:r w:rsidR="008A7E8F">
        <w:rPr>
          <w:rFonts w:ascii="Book Antiqua" w:hAnsi="Book Antiqua"/>
          <w:sz w:val="22"/>
          <w:szCs w:val="22"/>
        </w:rPr>
        <w:t xml:space="preserve">adobúda účinnosť 1. </w:t>
      </w:r>
      <w:r w:rsidR="00F2602C">
        <w:rPr>
          <w:rFonts w:ascii="Book Antiqua" w:hAnsi="Book Antiqua"/>
          <w:sz w:val="22"/>
          <w:szCs w:val="22"/>
        </w:rPr>
        <w:t>augusta</w:t>
      </w:r>
      <w:r w:rsidR="005749C7">
        <w:rPr>
          <w:rFonts w:ascii="Book Antiqua" w:hAnsi="Book Antiqua"/>
          <w:sz w:val="22"/>
          <w:szCs w:val="22"/>
        </w:rPr>
        <w:t xml:space="preserve"> 2019</w:t>
      </w:r>
      <w:r w:rsidR="00372365" w:rsidRPr="00531669">
        <w:rPr>
          <w:rFonts w:ascii="Book Antiqua" w:hAnsi="Book Antiqua"/>
          <w:sz w:val="22"/>
          <w:szCs w:val="22"/>
        </w:rPr>
        <w:t>.</w:t>
      </w:r>
    </w:p>
    <w:sectPr w:rsidR="003D22ED" w:rsidRPr="00363C57" w:rsidSect="00422649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4F42"/>
    <w:multiLevelType w:val="hybridMultilevel"/>
    <w:tmpl w:val="DB7809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pStyle w:val="Nadpis3Podloha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" w15:restartNumberingAfterBreak="0">
    <w:nsid w:val="2F697D52"/>
    <w:multiLevelType w:val="hybridMultilevel"/>
    <w:tmpl w:val="5BE4C33E"/>
    <w:lvl w:ilvl="0" w:tplc="B590D420">
      <w:start w:val="1"/>
      <w:numFmt w:val="decimal"/>
      <w:lvlText w:val="%1."/>
      <w:lvlJc w:val="left"/>
      <w:pPr>
        <w:ind w:left="720" w:hanging="360"/>
      </w:pPr>
      <w:rPr>
        <w:rFonts w:ascii="ms sans serif" w:hAnsi="ms sans serif" w:cs="Times New Roman" w:hint="default"/>
        <w:color w:val="00000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03"/>
    <w:rsid w:val="00035638"/>
    <w:rsid w:val="000C6533"/>
    <w:rsid w:val="000D5092"/>
    <w:rsid w:val="000E7A4D"/>
    <w:rsid w:val="00115392"/>
    <w:rsid w:val="001212AE"/>
    <w:rsid w:val="001213B2"/>
    <w:rsid w:val="001638F5"/>
    <w:rsid w:val="001B3EFF"/>
    <w:rsid w:val="002A2D09"/>
    <w:rsid w:val="002B5FF2"/>
    <w:rsid w:val="002D0B2F"/>
    <w:rsid w:val="002D2D8E"/>
    <w:rsid w:val="00306CCD"/>
    <w:rsid w:val="003360DB"/>
    <w:rsid w:val="00363C57"/>
    <w:rsid w:val="00366B5D"/>
    <w:rsid w:val="00372365"/>
    <w:rsid w:val="00377219"/>
    <w:rsid w:val="003D22ED"/>
    <w:rsid w:val="00422649"/>
    <w:rsid w:val="0045188E"/>
    <w:rsid w:val="00454347"/>
    <w:rsid w:val="00460C9A"/>
    <w:rsid w:val="00470A83"/>
    <w:rsid w:val="004F6BBE"/>
    <w:rsid w:val="00531669"/>
    <w:rsid w:val="005749C7"/>
    <w:rsid w:val="00587E98"/>
    <w:rsid w:val="005B3ADE"/>
    <w:rsid w:val="005C706D"/>
    <w:rsid w:val="005E60D6"/>
    <w:rsid w:val="005F3163"/>
    <w:rsid w:val="00683D1D"/>
    <w:rsid w:val="00684478"/>
    <w:rsid w:val="0068719E"/>
    <w:rsid w:val="00692503"/>
    <w:rsid w:val="006945CC"/>
    <w:rsid w:val="00717C26"/>
    <w:rsid w:val="00741522"/>
    <w:rsid w:val="00742672"/>
    <w:rsid w:val="00773CAB"/>
    <w:rsid w:val="00792C0A"/>
    <w:rsid w:val="007E2968"/>
    <w:rsid w:val="008030FB"/>
    <w:rsid w:val="0081796C"/>
    <w:rsid w:val="00817F76"/>
    <w:rsid w:val="00870A3B"/>
    <w:rsid w:val="00870EC5"/>
    <w:rsid w:val="00880562"/>
    <w:rsid w:val="008A7E8F"/>
    <w:rsid w:val="00916931"/>
    <w:rsid w:val="00937EE5"/>
    <w:rsid w:val="00941673"/>
    <w:rsid w:val="00963BDE"/>
    <w:rsid w:val="009715A5"/>
    <w:rsid w:val="009B470A"/>
    <w:rsid w:val="009D475D"/>
    <w:rsid w:val="00A43131"/>
    <w:rsid w:val="00A75995"/>
    <w:rsid w:val="00AC23A6"/>
    <w:rsid w:val="00B0247C"/>
    <w:rsid w:val="00B03DDD"/>
    <w:rsid w:val="00B21982"/>
    <w:rsid w:val="00B22AE9"/>
    <w:rsid w:val="00B42C4E"/>
    <w:rsid w:val="00B42FF9"/>
    <w:rsid w:val="00B51E9D"/>
    <w:rsid w:val="00B76313"/>
    <w:rsid w:val="00BA5DC2"/>
    <w:rsid w:val="00BF401E"/>
    <w:rsid w:val="00C35665"/>
    <w:rsid w:val="00CA28F8"/>
    <w:rsid w:val="00CC6719"/>
    <w:rsid w:val="00D33771"/>
    <w:rsid w:val="00D4147B"/>
    <w:rsid w:val="00D67ADA"/>
    <w:rsid w:val="00D723E9"/>
    <w:rsid w:val="00D8243B"/>
    <w:rsid w:val="00E17DA1"/>
    <w:rsid w:val="00E42C7B"/>
    <w:rsid w:val="00E509B7"/>
    <w:rsid w:val="00E80702"/>
    <w:rsid w:val="00EC534C"/>
    <w:rsid w:val="00ED7832"/>
    <w:rsid w:val="00F2602C"/>
    <w:rsid w:val="00F32127"/>
    <w:rsid w:val="00F32444"/>
    <w:rsid w:val="00F42509"/>
    <w:rsid w:val="00FB4EF6"/>
    <w:rsid w:val="00FB5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7F6338"/>
  <w15:docId w15:val="{F37C4FF2-52A0-4C78-ADB2-61997550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2503"/>
    <w:pPr>
      <w:autoSpaceDE w:val="0"/>
      <w:autoSpaceDN w:val="0"/>
    </w:pPr>
    <w:rPr>
      <w:rFonts w:ascii="Times New Roman" w:hAnsi="Times New Roman" w:cs="Times New Roman"/>
    </w:rPr>
  </w:style>
  <w:style w:type="paragraph" w:styleId="Nadpis5">
    <w:name w:val="heading 5"/>
    <w:basedOn w:val="Normlny"/>
    <w:next w:val="Normlny"/>
    <w:link w:val="Nadpis5Char"/>
    <w:uiPriority w:val="99"/>
    <w:qFormat/>
    <w:rsid w:val="00692503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692503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692503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9"/>
    <w:qFormat/>
    <w:rsid w:val="00692503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qFormat/>
    <w:rsid w:val="00692503"/>
    <w:pPr>
      <w:numPr>
        <w:ilvl w:val="8"/>
        <w:numId w:val="1"/>
      </w:numPr>
      <w:spacing w:before="240" w:after="60"/>
      <w:outlineLvl w:val="8"/>
    </w:pPr>
    <w:rPr>
      <w:rFonts w:ascii="Calibri" w:hAnsi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9"/>
    <w:locked/>
    <w:rsid w:val="00692503"/>
    <w:rPr>
      <w:rFonts w:ascii="Calibri" w:hAnsi="Calibri" w:cs="Times New Roman"/>
      <w:b/>
      <w:i/>
      <w:sz w:val="26"/>
      <w:lang w:eastAsia="sk-SK"/>
    </w:rPr>
  </w:style>
  <w:style w:type="character" w:customStyle="1" w:styleId="Nadpis6Char">
    <w:name w:val="Nadpis 6 Char"/>
    <w:basedOn w:val="Predvolenpsmoodseku"/>
    <w:link w:val="Nadpis6"/>
    <w:uiPriority w:val="99"/>
    <w:locked/>
    <w:rsid w:val="00692503"/>
    <w:rPr>
      <w:rFonts w:ascii="Calibri" w:hAnsi="Calibri" w:cs="Times New Roman"/>
      <w:b/>
      <w:sz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9"/>
    <w:locked/>
    <w:rsid w:val="00692503"/>
    <w:rPr>
      <w:rFonts w:ascii="Calibri" w:hAnsi="Calibri" w:cs="Times New Roman"/>
      <w:sz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9"/>
    <w:locked/>
    <w:rsid w:val="00692503"/>
    <w:rPr>
      <w:rFonts w:ascii="Calibri" w:hAnsi="Calibri" w:cs="Times New Roman"/>
      <w:i/>
      <w:sz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locked/>
    <w:rsid w:val="00692503"/>
    <w:rPr>
      <w:rFonts w:ascii="Calibri" w:hAnsi="Calibri" w:cs="Times New Roman"/>
      <w:sz w:val="20"/>
      <w:lang w:eastAsia="sk-SK"/>
    </w:rPr>
  </w:style>
  <w:style w:type="paragraph" w:customStyle="1" w:styleId="Nadpis1orobas">
    <w:name w:val="Nadpis 1.Čo robí (časť)"/>
    <w:basedOn w:val="Normlny"/>
    <w:next w:val="Normlny"/>
    <w:uiPriority w:val="99"/>
    <w:rsid w:val="00692503"/>
    <w:pPr>
      <w:keepNext/>
      <w:numPr>
        <w:numId w:val="1"/>
      </w:numPr>
      <w:spacing w:before="360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lny"/>
    <w:uiPriority w:val="99"/>
    <w:rsid w:val="00692503"/>
    <w:pPr>
      <w:numPr>
        <w:ilvl w:val="1"/>
        <w:numId w:val="1"/>
      </w:numPr>
      <w:spacing w:before="120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lny"/>
    <w:uiPriority w:val="99"/>
    <w:rsid w:val="00692503"/>
    <w:pPr>
      <w:keepNext/>
      <w:numPr>
        <w:ilvl w:val="2"/>
        <w:numId w:val="1"/>
      </w:numPr>
      <w:spacing w:before="120"/>
      <w:ind w:left="2269"/>
      <w:outlineLvl w:val="2"/>
    </w:pPr>
    <w:rPr>
      <w:sz w:val="24"/>
      <w:szCs w:val="24"/>
    </w:rPr>
  </w:style>
  <w:style w:type="paragraph" w:customStyle="1" w:styleId="Nadpis4Termn">
    <w:name w:val="Nadpis 4.Termín"/>
    <w:basedOn w:val="Normlny"/>
    <w:next w:val="Nadpis2loha"/>
    <w:uiPriority w:val="99"/>
    <w:rsid w:val="00692503"/>
    <w:pPr>
      <w:numPr>
        <w:ilvl w:val="3"/>
        <w:numId w:val="1"/>
      </w:numPr>
      <w:spacing w:before="120" w:after="120"/>
      <w:outlineLvl w:val="3"/>
    </w:pPr>
    <w:rPr>
      <w:i/>
      <w:iCs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692503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692503"/>
    <w:rPr>
      <w:rFonts w:ascii="Times New Roman" w:hAnsi="Times New Roman" w:cs="Times New Roman"/>
      <w:sz w:val="20"/>
      <w:lang w:eastAsia="sk-SK"/>
    </w:rPr>
  </w:style>
  <w:style w:type="paragraph" w:styleId="Odsekzoznamu">
    <w:name w:val="List Paragraph"/>
    <w:basedOn w:val="Normlny"/>
    <w:uiPriority w:val="34"/>
    <w:qFormat/>
    <w:rsid w:val="00692503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Predvolenpsmoodseku"/>
    <w:rsid w:val="00692503"/>
    <w:rPr>
      <w:rFonts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B03DDD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30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3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42B63-9817-45E4-8570-4ED117387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Maťka</dc:creator>
  <cp:lastModifiedBy>Lukáč, Jozef (asistent)</cp:lastModifiedBy>
  <cp:revision>3</cp:revision>
  <cp:lastPrinted>2019-04-24T09:20:00Z</cp:lastPrinted>
  <dcterms:created xsi:type="dcterms:W3CDTF">2019-04-24T09:29:00Z</dcterms:created>
  <dcterms:modified xsi:type="dcterms:W3CDTF">2019-04-24T09:30:00Z</dcterms:modified>
</cp:coreProperties>
</file>