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A64D2D" w:rsidRDefault="008B25A6" w:rsidP="008B25A6">
      <w:pPr>
        <w:widowControl/>
        <w:jc w:val="center"/>
        <w:rPr>
          <w:b/>
          <w:caps/>
          <w:color w:val="000000"/>
          <w:spacing w:val="30"/>
        </w:rPr>
      </w:pPr>
      <w:bookmarkStart w:id="0" w:name="_GoBack"/>
      <w:bookmarkEnd w:id="0"/>
      <w:r w:rsidRPr="00A64D2D">
        <w:rPr>
          <w:b/>
          <w:caps/>
          <w:color w:val="000000"/>
          <w:spacing w:val="30"/>
        </w:rPr>
        <w:t>Dôvodová správa</w:t>
      </w:r>
    </w:p>
    <w:p w:rsidR="00FA3C02" w:rsidRDefault="00FA3C02" w:rsidP="008B25A6">
      <w:pPr>
        <w:widowControl/>
        <w:jc w:val="both"/>
        <w:rPr>
          <w:color w:val="000000"/>
        </w:rPr>
      </w:pPr>
    </w:p>
    <w:p w:rsidR="008B25A6" w:rsidRPr="00A64D2D" w:rsidRDefault="008B25A6" w:rsidP="008B25A6">
      <w:pPr>
        <w:widowControl/>
        <w:jc w:val="both"/>
        <w:rPr>
          <w:b/>
          <w:color w:val="000000"/>
        </w:rPr>
      </w:pPr>
      <w:r w:rsidRPr="00A64D2D">
        <w:rPr>
          <w:b/>
          <w:color w:val="000000"/>
        </w:rPr>
        <w:t>Všeobecná časť</w:t>
      </w:r>
    </w:p>
    <w:p w:rsidR="008B25A6" w:rsidRPr="005B53D0" w:rsidRDefault="008B25A6" w:rsidP="008B25A6">
      <w:pPr>
        <w:widowControl/>
        <w:jc w:val="both"/>
      </w:pPr>
    </w:p>
    <w:p w:rsidR="00A312C6" w:rsidRPr="005B53D0" w:rsidRDefault="00A312C6" w:rsidP="00A312C6">
      <w:pPr>
        <w:ind w:firstLine="709"/>
        <w:jc w:val="both"/>
      </w:pPr>
      <w:r w:rsidRPr="005B53D0">
        <w:t>Návrh zákona, ktorým sa mení a dopĺňa zákon č. 150/2013 Z. z. o Štátnom fonde rozvoja bývania v znení neskorších predpisov</w:t>
      </w:r>
      <w:r w:rsidRPr="005B53D0">
        <w:rPr>
          <w:b/>
          <w:bCs/>
        </w:rPr>
        <w:t xml:space="preserve"> </w:t>
      </w:r>
      <w:r w:rsidR="006075D6" w:rsidRPr="005B53D0">
        <w:rPr>
          <w:bCs/>
        </w:rPr>
        <w:t>a</w:t>
      </w:r>
      <w:r w:rsidR="0085404E" w:rsidRPr="005B53D0">
        <w:rPr>
          <w:bCs/>
        </w:rPr>
        <w:t xml:space="preserve"> ktorým sa </w:t>
      </w:r>
      <w:r w:rsidR="00FD6009" w:rsidRPr="00307A25">
        <w:rPr>
          <w:bCs/>
        </w:rPr>
        <w:t>menia a dopĺňajú niektoré zákony</w:t>
      </w:r>
      <w:r w:rsidR="00FD6009">
        <w:rPr>
          <w:bCs/>
          <w:color w:val="FF0000"/>
        </w:rPr>
        <w:t xml:space="preserve"> </w:t>
      </w:r>
      <w:r w:rsidRPr="005B53D0">
        <w:t>bol vypracovaný ako iniciatívny materiál.</w:t>
      </w:r>
    </w:p>
    <w:p w:rsidR="00A312C6" w:rsidRPr="003D60A9" w:rsidRDefault="00A312C6" w:rsidP="00A312C6">
      <w:pPr>
        <w:spacing w:before="120"/>
        <w:ind w:firstLine="720"/>
        <w:jc w:val="both"/>
        <w:rPr>
          <w:rStyle w:val="Zstupntext"/>
          <w:color w:val="auto"/>
        </w:rPr>
      </w:pPr>
      <w:r w:rsidRPr="005B53D0">
        <w:rPr>
          <w:rStyle w:val="Zstupntext"/>
          <w:color w:val="auto"/>
        </w:rPr>
        <w:t>Koncepcia štátnej bytovej politiky do roku 2020 schvál</w:t>
      </w:r>
      <w:r w:rsidR="00CD3108">
        <w:rPr>
          <w:rStyle w:val="Zstupntext"/>
          <w:color w:val="auto"/>
        </w:rPr>
        <w:t>ená uznesením vlády SR č. 13 zo </w:t>
      </w:r>
      <w:r w:rsidRPr="005B53D0">
        <w:rPr>
          <w:rStyle w:val="Zstupntext"/>
          <w:color w:val="auto"/>
        </w:rPr>
        <w:t>dňa</w:t>
      </w:r>
      <w:r w:rsidRPr="003D60A9">
        <w:rPr>
          <w:rStyle w:val="Zstupntext"/>
          <w:color w:val="auto"/>
        </w:rPr>
        <w:t xml:space="preserve"> 7. 1. 2015, ako východiskový dokument pre oblasť bývania do roku 2020 stanovuje</w:t>
      </w:r>
      <w:r w:rsidRPr="003D60A9">
        <w:t xml:space="preserve"> komplexné ciele štátu pre oblasť bytovej politiky, definuje nástroje na ich dosiahnutie, ako aj formuluje zodpovednosť občanov, štátu, obcí, vyšších územných </w:t>
      </w:r>
      <w:r w:rsidR="00CD3108">
        <w:t>celkov a súkromného sektora pri </w:t>
      </w:r>
      <w:r w:rsidRPr="003D60A9">
        <w:t>zabezpečovaní bývania.</w:t>
      </w:r>
    </w:p>
    <w:p w:rsidR="00A312C6" w:rsidRPr="003D60A9" w:rsidRDefault="00A312C6" w:rsidP="00A312C6">
      <w:pPr>
        <w:spacing w:before="120"/>
        <w:ind w:firstLine="720"/>
        <w:jc w:val="both"/>
      </w:pPr>
      <w:r w:rsidRPr="003D60A9">
        <w:t xml:space="preserve">Jedným z najvýznamnejších nástrojov podpory rozvoja bývania je Štátny fond rozvoja bývania. Prostredníctvom tohto nástroja štát dlhodobo podporuje financovanie priorít, ktoré sú premietnuté v štátnej bytovej politike pri rozširovaní a zveľaďovaní bytového fondu. </w:t>
      </w:r>
    </w:p>
    <w:p w:rsidR="00A312C6" w:rsidRPr="003D60A9" w:rsidRDefault="00A312C6" w:rsidP="00A312C6">
      <w:pPr>
        <w:spacing w:before="120"/>
        <w:ind w:firstLine="720"/>
        <w:jc w:val="both"/>
      </w:pPr>
      <w:r w:rsidRPr="003D60A9">
        <w:t xml:space="preserve">V súčasnosti  jeho podpora smeruje predovšetkým do oblasti podpory obstarávania nájomných bytov a do obnovy bytových budov. Na základe pretrvávajúceho záujmu o tento nástroj možno konštatovať, že Štátny fond rozvoja bývania patrí k významným prvkom zvyšovania kvality a dostupnosti bývania pre široký okruh žiadateľov. </w:t>
      </w:r>
    </w:p>
    <w:p w:rsidR="00A312C6" w:rsidRPr="003D60A9" w:rsidRDefault="00C07C87" w:rsidP="005A4DD0">
      <w:pPr>
        <w:spacing w:before="120"/>
        <w:ind w:firstLine="720"/>
        <w:jc w:val="both"/>
      </w:pPr>
      <w:r w:rsidRPr="003D60A9">
        <w:t xml:space="preserve">Cieľom predloženého zákona je upraviť podmienky pre podporu nájomných bytov obstarávaných právnickými osobami a podmienky pre podporu dlhodobého ubytovávania, ktorým sa okrem iného podporuje mobilita pracovnej sily. </w:t>
      </w:r>
      <w:r w:rsidR="00024CCB" w:rsidRPr="003D60A9">
        <w:t xml:space="preserve">Navrhuje sa </w:t>
      </w:r>
      <w:r w:rsidR="005A4DD0" w:rsidRPr="003D60A9">
        <w:t>zaveden</w:t>
      </w:r>
      <w:r w:rsidR="00024CCB" w:rsidRPr="003D60A9">
        <w:t>ie</w:t>
      </w:r>
      <w:r w:rsidR="005A4DD0" w:rsidRPr="003D60A9">
        <w:t xml:space="preserve"> nových účelov podpory, ktorými sú obstaranie ubytovacieho domu, či už jeho výstavbou alebo jeho kúpou. </w:t>
      </w:r>
      <w:r w:rsidR="00A312C6" w:rsidRPr="003D60A9">
        <w:t>Ide o ostatnú budovu na bývanie s dlhodobým ubytovaním určenú predovšetkým na bývanie pre</w:t>
      </w:r>
      <w:r w:rsidR="000623C2" w:rsidRPr="003D60A9">
        <w:t> </w:t>
      </w:r>
      <w:r w:rsidR="00A312C6" w:rsidRPr="003D60A9">
        <w:t xml:space="preserve">zamestnancov </w:t>
      </w:r>
      <w:r w:rsidR="000623C2" w:rsidRPr="003D60A9">
        <w:t>podnikateľských subjektov</w:t>
      </w:r>
      <w:r w:rsidR="00A312C6" w:rsidRPr="003D60A9">
        <w:t>, ktor</w:t>
      </w:r>
      <w:r w:rsidR="00A2740F" w:rsidRPr="003D60A9">
        <w:t>é</w:t>
      </w:r>
      <w:r w:rsidR="00A312C6" w:rsidRPr="003D60A9">
        <w:t xml:space="preserve"> zamestnávajú ľudí aj zo vzdialenejších regiónov Slovenska, resp. zahraničných pracovníkov.</w:t>
      </w:r>
    </w:p>
    <w:p w:rsidR="00A312C6" w:rsidRPr="003D60A9" w:rsidRDefault="00A312C6" w:rsidP="00A312C6">
      <w:pPr>
        <w:spacing w:before="120"/>
        <w:ind w:firstLine="720"/>
        <w:jc w:val="both"/>
      </w:pPr>
      <w:r w:rsidRPr="003D60A9">
        <w:t xml:space="preserve">Vzhľadom na to, že podiel nájomných bytov na Slovensku je nízky, navrhuje sa zaviesť nové opatrenia, ktoré budú motivovať žiadateľov zo súkromného sektora k obstarávaniu </w:t>
      </w:r>
      <w:r w:rsidR="00024CCB" w:rsidRPr="003D60A9">
        <w:t>nájomného</w:t>
      </w:r>
      <w:r w:rsidRPr="003D60A9">
        <w:t xml:space="preserve"> bývania. Navrhuje sa preto v zákone upraviť p</w:t>
      </w:r>
      <w:r w:rsidR="00CD3108">
        <w:t>odmienky poskytnutia podpory na </w:t>
      </w:r>
      <w:r w:rsidRPr="003D60A9">
        <w:t>obstaranie nájomných bytov žiadateľmi - inými právnickými osobami. Ide najmä o zvýšenie limitu priemernej podlahovej plochy týchto nájomných bytov</w:t>
      </w:r>
      <w:r w:rsidR="00A2740F" w:rsidRPr="003D60A9">
        <w:t>, umožnenie nastavenia</w:t>
      </w:r>
      <w:r w:rsidR="00024CCB" w:rsidRPr="003D60A9">
        <w:t xml:space="preserve"> si vlastných podmienok pre</w:t>
      </w:r>
      <w:r w:rsidR="000623C2" w:rsidRPr="003D60A9">
        <w:t> </w:t>
      </w:r>
      <w:r w:rsidR="00024CCB" w:rsidRPr="003D60A9">
        <w:t xml:space="preserve">prenájom bytu a vzhľadom na to, že podpora je poskytovaná vo forme úveru bude limitovaná maximálna výška úveru. Právnická osoba si bude sama regulovať efektívnosť vynakladaných prostriedkov, t.j. nenavrhuje </w:t>
      </w:r>
      <w:r w:rsidR="00007131" w:rsidRPr="003D60A9">
        <w:t xml:space="preserve">sa </w:t>
      </w:r>
      <w:r w:rsidR="00024CCB" w:rsidRPr="003D60A9">
        <w:t xml:space="preserve">upravovať výšku </w:t>
      </w:r>
      <w:r w:rsidRPr="003D60A9">
        <w:t>o</w:t>
      </w:r>
      <w:r w:rsidR="00CD3108">
        <w:t>bstarávacích nákladov stavby na </w:t>
      </w:r>
      <w:r w:rsidRPr="003D60A9">
        <w:t>1 m</w:t>
      </w:r>
      <w:r w:rsidRPr="003D60A9">
        <w:rPr>
          <w:vertAlign w:val="superscript"/>
        </w:rPr>
        <w:t xml:space="preserve">2 </w:t>
      </w:r>
      <w:r w:rsidRPr="003D60A9">
        <w:t xml:space="preserve">podlahovej plochy bytu. </w:t>
      </w:r>
    </w:p>
    <w:p w:rsidR="00A312C6" w:rsidRPr="003D60A9" w:rsidRDefault="00A312C6" w:rsidP="00A312C6">
      <w:pPr>
        <w:spacing w:before="120"/>
        <w:ind w:firstLine="720"/>
        <w:jc w:val="both"/>
      </w:pPr>
      <w:r w:rsidRPr="003D60A9">
        <w:t>Návrh zákona súčasne obsahuje úpravy a doplnen</w:t>
      </w:r>
      <w:r w:rsidR="00CD3108">
        <w:t>ia, ktorých potreba vyplynula z </w:t>
      </w:r>
      <w:r w:rsidRPr="003D60A9">
        <w:t>aplikačnej praxe.</w:t>
      </w:r>
    </w:p>
    <w:p w:rsidR="00A312C6" w:rsidRPr="003D60A9" w:rsidRDefault="00A312C6" w:rsidP="00A312C6">
      <w:pPr>
        <w:spacing w:before="120" w:after="120"/>
        <w:ind w:firstLine="708"/>
        <w:jc w:val="both"/>
        <w:rPr>
          <w:rStyle w:val="Zstupntext"/>
          <w:color w:val="auto"/>
        </w:rPr>
      </w:pPr>
      <w:r w:rsidRPr="003D60A9">
        <w:rPr>
          <w:rStyle w:val="Zstupntext"/>
          <w:color w:val="auto"/>
        </w:rPr>
        <w:t>Predloženým návrhom nevzniknú nové požiadavky na štátny rozpočet, nakoľko ide o finančné prostriedky vyčlenené zo štátneho rozpočtu v rámci existujúceho programu rozvoja bývania.</w:t>
      </w:r>
    </w:p>
    <w:p w:rsidR="00A312C6" w:rsidRPr="003D60A9" w:rsidRDefault="00F23612" w:rsidP="00A312C6">
      <w:pPr>
        <w:spacing w:before="120"/>
        <w:ind w:firstLine="708"/>
        <w:jc w:val="both"/>
        <w:rPr>
          <w:rStyle w:val="Zstupntext"/>
          <w:color w:val="auto"/>
        </w:rPr>
      </w:pPr>
      <w:r w:rsidRPr="003D60A9">
        <w:rPr>
          <w:rStyle w:val="Zstupntext"/>
          <w:color w:val="auto"/>
        </w:rPr>
        <w:t>Návrh zákona má pozitívne sociálne vplyvy a pozitívny vplyv na podnikateľské prostredie. Predložený návrh zákona nemá žiadny vplyv na životné prostredie a informatizáciu a nevyžaduje nové nároky na pracovné sily.</w:t>
      </w:r>
    </w:p>
    <w:p w:rsidR="00A312C6" w:rsidRPr="003D60A9" w:rsidRDefault="00A312C6" w:rsidP="00A312C6">
      <w:pPr>
        <w:pStyle w:val="Zkladntext"/>
        <w:spacing w:before="120" w:line="240" w:lineRule="auto"/>
        <w:ind w:firstLine="709"/>
      </w:pPr>
      <w:r w:rsidRPr="003D60A9">
        <w:t>Návrh zákona nie je predmetom vnútrokomunitárneho pripomienkového konania. Dátum účinnosti sa navrhuje s prihliadnutím na dĺžku legislatívneho procesu a potrebnú legisvakanciu.</w:t>
      </w:r>
    </w:p>
    <w:p w:rsidR="00A312C6" w:rsidRDefault="00A312C6" w:rsidP="00A312C6">
      <w:pPr>
        <w:pStyle w:val="Zkladntext"/>
        <w:spacing w:before="120" w:line="240" w:lineRule="auto"/>
        <w:ind w:firstLine="709"/>
      </w:pPr>
      <w:r w:rsidRPr="003D60A9">
        <w:lastRenderedPageBreak/>
        <w:t>Návrh zákona je v súlade s Ústavou Slovenskej republiky, ústavnými zákonmi a nálezmi ústavného súdu, s inými zákonmi a medzinárodnými zmluvami a inými medzinárodnými dokumentmi, ktorými je Slovenská republika viazaná a s právom Európskej únie.</w:t>
      </w: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FA3C02" w:rsidRDefault="00FA3C02" w:rsidP="00FA3C02">
      <w:pPr>
        <w:jc w:val="center"/>
        <w:rPr>
          <w:b/>
          <w:bCs/>
          <w:sz w:val="28"/>
          <w:szCs w:val="28"/>
        </w:rPr>
      </w:pPr>
    </w:p>
    <w:p w:rsidR="00866B98" w:rsidRDefault="00866B98" w:rsidP="00FA3C02">
      <w:pPr>
        <w:jc w:val="center"/>
        <w:rPr>
          <w:b/>
          <w:bCs/>
          <w:sz w:val="28"/>
          <w:szCs w:val="28"/>
        </w:rPr>
      </w:pPr>
    </w:p>
    <w:p w:rsidR="00866B98" w:rsidRDefault="00866B98" w:rsidP="00FA3C02">
      <w:pPr>
        <w:jc w:val="center"/>
        <w:rPr>
          <w:b/>
          <w:bCs/>
          <w:sz w:val="28"/>
          <w:szCs w:val="28"/>
        </w:rPr>
      </w:pPr>
    </w:p>
    <w:p w:rsidR="00866B98" w:rsidRDefault="00866B98" w:rsidP="00FA3C02">
      <w:pPr>
        <w:jc w:val="center"/>
        <w:rPr>
          <w:b/>
          <w:bCs/>
          <w:sz w:val="28"/>
          <w:szCs w:val="28"/>
        </w:rPr>
      </w:pPr>
    </w:p>
    <w:p w:rsidR="00FA3C02" w:rsidRDefault="00FA3C02" w:rsidP="00FA3C02">
      <w:pPr>
        <w:jc w:val="center"/>
        <w:rPr>
          <w:b/>
          <w:bCs/>
          <w:sz w:val="28"/>
          <w:szCs w:val="28"/>
        </w:rPr>
      </w:pPr>
    </w:p>
    <w:p w:rsidR="00FA3C02" w:rsidRPr="00C8056F" w:rsidRDefault="00FA3C02" w:rsidP="00FA3C02">
      <w:pPr>
        <w:jc w:val="center"/>
        <w:rPr>
          <w:b/>
          <w:bCs/>
        </w:rPr>
      </w:pPr>
      <w:r w:rsidRPr="00C8056F">
        <w:rPr>
          <w:b/>
          <w:bCs/>
        </w:rPr>
        <w:lastRenderedPageBreak/>
        <w:t>Doložka vybraných vplyvov</w:t>
      </w:r>
    </w:p>
    <w:p w:rsidR="00FA3C02" w:rsidRPr="008E3CF1" w:rsidRDefault="00FA3C02" w:rsidP="00FA3C02">
      <w:pPr>
        <w:pStyle w:val="Odsekzoznamu"/>
        <w:ind w:left="426"/>
        <w:rPr>
          <w:b/>
        </w:rPr>
      </w:pPr>
    </w:p>
    <w:tbl>
      <w:tblPr>
        <w:tblStyle w:val="Mriekatabuky"/>
        <w:tblW w:w="9180" w:type="dxa"/>
        <w:tblLayout w:type="fixed"/>
        <w:tblLook w:val="04A0" w:firstRow="1" w:lastRow="0" w:firstColumn="1" w:lastColumn="0" w:noHBand="0" w:noVBand="1"/>
      </w:tblPr>
      <w:tblGrid>
        <w:gridCol w:w="3811"/>
        <w:gridCol w:w="400"/>
        <w:gridCol w:w="141"/>
        <w:gridCol w:w="564"/>
        <w:gridCol w:w="717"/>
        <w:gridCol w:w="570"/>
        <w:gridCol w:w="1133"/>
        <w:gridCol w:w="284"/>
        <w:gridCol w:w="263"/>
        <w:gridCol w:w="1297"/>
      </w:tblGrid>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Základné údaje</w:t>
            </w: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ind w:left="142"/>
              <w:rPr>
                <w:rFonts w:ascii="Times New Roman" w:hAnsi="Times New Roman"/>
                <w:b/>
                <w:sz w:val="20"/>
                <w:szCs w:val="20"/>
              </w:rPr>
            </w:pPr>
            <w:r w:rsidRPr="00C8056F">
              <w:rPr>
                <w:rFonts w:ascii="Times New Roman" w:hAnsi="Times New Roman"/>
                <w:b/>
                <w:sz w:val="20"/>
                <w:szCs w:val="20"/>
              </w:rPr>
              <w:t>Názov materiálu</w:t>
            </w:r>
          </w:p>
        </w:tc>
      </w:tr>
      <w:tr w:rsidR="00FA3C02" w:rsidRPr="00C8056F" w:rsidTr="00FA3C02">
        <w:tc>
          <w:tcPr>
            <w:tcW w:w="9180" w:type="dxa"/>
            <w:gridSpan w:val="10"/>
            <w:tcBorders>
              <w:top w:val="single" w:sz="4" w:space="0" w:color="FFFFFF"/>
            </w:tcBorders>
          </w:tcPr>
          <w:p w:rsidR="00FA3C02" w:rsidRPr="00C8056F" w:rsidRDefault="00FA3C02" w:rsidP="00584C47">
            <w:pPr>
              <w:rPr>
                <w:sz w:val="20"/>
                <w:szCs w:val="20"/>
                <w:lang w:eastAsia="en-US"/>
              </w:rPr>
            </w:pPr>
            <w:r w:rsidRPr="00C8056F">
              <w:rPr>
                <w:sz w:val="20"/>
                <w:szCs w:val="20"/>
                <w:lang w:eastAsia="en-US"/>
              </w:rPr>
              <w:t xml:space="preserve">Návrh zákona, ktorým sa mení a dopĺňa zákon č. 150/2013 Z. z. o Štátnom fonde rozvoja bývania v znení neskorších predpisov </w:t>
            </w:r>
            <w:r w:rsidRPr="00C8056F">
              <w:rPr>
                <w:bCs/>
                <w:sz w:val="20"/>
                <w:szCs w:val="20"/>
                <w:lang w:eastAsia="en-US"/>
              </w:rPr>
              <w:t>a ktorým sa menia a dopĺňajú niektoré zákony</w:t>
            </w: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ind w:left="142"/>
              <w:rPr>
                <w:rFonts w:ascii="Times New Roman" w:hAnsi="Times New Roman"/>
                <w:b/>
                <w:sz w:val="20"/>
                <w:szCs w:val="20"/>
              </w:rPr>
            </w:pPr>
            <w:r w:rsidRPr="00C8056F">
              <w:rPr>
                <w:rFonts w:ascii="Times New Roman" w:hAnsi="Times New Roman"/>
                <w:b/>
                <w:sz w:val="20"/>
                <w:szCs w:val="20"/>
              </w:rPr>
              <w:t>Predkladateľ (a spolupredkladateľ)</w:t>
            </w:r>
          </w:p>
        </w:tc>
      </w:tr>
      <w:tr w:rsidR="00FA3C02" w:rsidRPr="00C8056F" w:rsidTr="00FA3C02">
        <w:tc>
          <w:tcPr>
            <w:tcW w:w="9180" w:type="dxa"/>
            <w:gridSpan w:val="10"/>
            <w:tcBorders>
              <w:top w:val="single" w:sz="4" w:space="0" w:color="FFFFFF"/>
            </w:tcBorders>
            <w:shd w:val="clear" w:color="auto" w:fill="FFFFFF"/>
          </w:tcPr>
          <w:p w:rsidR="00FA3C02" w:rsidRPr="00C8056F" w:rsidRDefault="00FA3C02" w:rsidP="00584C47">
            <w:pPr>
              <w:rPr>
                <w:sz w:val="20"/>
                <w:szCs w:val="20"/>
                <w:lang w:eastAsia="en-US"/>
              </w:rPr>
            </w:pPr>
            <w:r w:rsidRPr="00C8056F">
              <w:rPr>
                <w:sz w:val="20"/>
                <w:szCs w:val="20"/>
                <w:lang w:eastAsia="en-US"/>
              </w:rPr>
              <w:t xml:space="preserve">Ministerstvo dopravy a výstavby Slovenskej republiky </w:t>
            </w:r>
          </w:p>
        </w:tc>
      </w:tr>
      <w:tr w:rsidR="00FA3C02" w:rsidRPr="00C8056F" w:rsidTr="00FA3C02">
        <w:tc>
          <w:tcPr>
            <w:tcW w:w="4212" w:type="dxa"/>
            <w:gridSpan w:val="2"/>
            <w:vMerge w:val="restart"/>
            <w:tcBorders>
              <w:bottom w:val="single" w:sz="4" w:space="0" w:color="FFFFFF"/>
            </w:tcBorders>
            <w:shd w:val="clear" w:color="auto" w:fill="E2E2E2"/>
            <w:vAlign w:val="center"/>
          </w:tcPr>
          <w:p w:rsidR="00FA3C02" w:rsidRPr="00C8056F" w:rsidRDefault="00FA3C02" w:rsidP="00584C47">
            <w:pPr>
              <w:pStyle w:val="Odsekzoznamu"/>
              <w:ind w:left="142"/>
              <w:rPr>
                <w:rFonts w:ascii="Times New Roman" w:hAnsi="Times New Roman"/>
                <w:b/>
                <w:sz w:val="20"/>
                <w:szCs w:val="20"/>
              </w:rPr>
            </w:pPr>
            <w:r w:rsidRPr="00C8056F">
              <w:rPr>
                <w:rFonts w:ascii="Times New Roman" w:hAnsi="Times New Roman"/>
                <w:b/>
                <w:sz w:val="20"/>
                <w:szCs w:val="20"/>
              </w:rPr>
              <w:t>Charakter predkladaného materiálu</w:t>
            </w:r>
          </w:p>
        </w:tc>
        <w:tc>
          <w:tcPr>
            <w:tcW w:w="705" w:type="dxa"/>
            <w:gridSpan w:val="2"/>
            <w:tcBorders>
              <w:right w:val="nil"/>
            </w:tcBorders>
            <w:shd w:val="clear" w:color="auto" w:fill="FFFFFF"/>
          </w:tcPr>
          <w:p w:rsidR="00FA3C02" w:rsidRPr="00C8056F" w:rsidRDefault="00FA3C02"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4263" w:type="dxa"/>
            <w:gridSpan w:val="6"/>
            <w:tcBorders>
              <w:left w:val="nil"/>
            </w:tcBorders>
            <w:shd w:val="clear" w:color="auto" w:fill="FFFFFF"/>
          </w:tcPr>
          <w:p w:rsidR="00FA3C02" w:rsidRPr="00C8056F" w:rsidRDefault="00FA3C02" w:rsidP="00584C47">
            <w:pPr>
              <w:rPr>
                <w:sz w:val="20"/>
                <w:szCs w:val="20"/>
                <w:lang w:eastAsia="en-US"/>
              </w:rPr>
            </w:pPr>
            <w:r w:rsidRPr="00C8056F">
              <w:rPr>
                <w:sz w:val="20"/>
                <w:szCs w:val="20"/>
                <w:lang w:eastAsia="en-US"/>
              </w:rPr>
              <w:t>Materiál nelegislatívnej povahy</w:t>
            </w:r>
          </w:p>
        </w:tc>
      </w:tr>
      <w:tr w:rsidR="00FA3C02" w:rsidRPr="00C8056F" w:rsidTr="00FA3C02">
        <w:tc>
          <w:tcPr>
            <w:tcW w:w="4212" w:type="dxa"/>
            <w:gridSpan w:val="2"/>
            <w:vMerge/>
            <w:tcBorders>
              <w:top w:val="nil"/>
              <w:bottom w:val="single" w:sz="4" w:space="0" w:color="FFFFFF"/>
            </w:tcBorders>
            <w:shd w:val="clear" w:color="auto" w:fill="E2E2E2"/>
          </w:tcPr>
          <w:p w:rsidR="00FA3C02" w:rsidRPr="00C8056F" w:rsidRDefault="00FA3C02" w:rsidP="00584C47">
            <w:pPr>
              <w:rPr>
                <w:sz w:val="20"/>
                <w:szCs w:val="20"/>
                <w:lang w:eastAsia="en-US"/>
              </w:rPr>
            </w:pPr>
          </w:p>
        </w:tc>
        <w:tc>
          <w:tcPr>
            <w:tcW w:w="705" w:type="dxa"/>
            <w:gridSpan w:val="2"/>
            <w:tcBorders>
              <w:right w:val="nil"/>
            </w:tcBorders>
            <w:shd w:val="clear" w:color="auto" w:fill="FFFFFF"/>
          </w:tcPr>
          <w:p w:rsidR="00FA3C02" w:rsidRPr="00C8056F" w:rsidRDefault="00FA3C02" w:rsidP="00584C47">
            <w:pPr>
              <w:jc w:val="center"/>
              <w:rPr>
                <w:sz w:val="20"/>
                <w:szCs w:val="20"/>
                <w:lang w:eastAsia="en-US"/>
              </w:rPr>
            </w:pPr>
            <w:r w:rsidRPr="00C8056F">
              <w:rPr>
                <w:rFonts w:ascii="MS Gothic" w:eastAsia="MS Gothic" w:hAnsi="MS Gothic" w:hint="eastAsia"/>
                <w:sz w:val="20"/>
                <w:szCs w:val="20"/>
                <w:lang w:eastAsia="en-US"/>
              </w:rPr>
              <w:t>☒</w:t>
            </w:r>
          </w:p>
        </w:tc>
        <w:tc>
          <w:tcPr>
            <w:tcW w:w="4263" w:type="dxa"/>
            <w:gridSpan w:val="6"/>
            <w:tcBorders>
              <w:left w:val="nil"/>
            </w:tcBorders>
            <w:shd w:val="clear" w:color="auto" w:fill="FFFFFF"/>
          </w:tcPr>
          <w:p w:rsidR="00FA3C02" w:rsidRPr="00C8056F" w:rsidRDefault="00FA3C02" w:rsidP="00584C47">
            <w:pPr>
              <w:ind w:left="175" w:hanging="175"/>
              <w:rPr>
                <w:sz w:val="20"/>
                <w:szCs w:val="20"/>
                <w:lang w:eastAsia="en-US"/>
              </w:rPr>
            </w:pPr>
            <w:r w:rsidRPr="00C8056F">
              <w:rPr>
                <w:sz w:val="20"/>
                <w:szCs w:val="20"/>
                <w:lang w:eastAsia="en-US"/>
              </w:rPr>
              <w:t>Materiál legislatívnej povahy</w:t>
            </w:r>
          </w:p>
        </w:tc>
      </w:tr>
      <w:tr w:rsidR="00FA3C02" w:rsidRPr="00C8056F" w:rsidTr="00FA3C02">
        <w:tc>
          <w:tcPr>
            <w:tcW w:w="4212" w:type="dxa"/>
            <w:gridSpan w:val="2"/>
            <w:vMerge/>
            <w:tcBorders>
              <w:top w:val="nil"/>
            </w:tcBorders>
            <w:shd w:val="clear" w:color="auto" w:fill="E2E2E2"/>
          </w:tcPr>
          <w:p w:rsidR="00FA3C02" w:rsidRPr="00C8056F" w:rsidRDefault="00FA3C02" w:rsidP="00584C47">
            <w:pPr>
              <w:rPr>
                <w:sz w:val="20"/>
                <w:szCs w:val="20"/>
                <w:lang w:eastAsia="en-US"/>
              </w:rPr>
            </w:pPr>
          </w:p>
        </w:tc>
        <w:tc>
          <w:tcPr>
            <w:tcW w:w="705" w:type="dxa"/>
            <w:gridSpan w:val="2"/>
            <w:tcBorders>
              <w:right w:val="nil"/>
            </w:tcBorders>
            <w:shd w:val="clear" w:color="auto" w:fill="FFFFFF"/>
          </w:tcPr>
          <w:p w:rsidR="00FA3C02" w:rsidRPr="00C8056F" w:rsidRDefault="00FA3C02"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4263" w:type="dxa"/>
            <w:gridSpan w:val="6"/>
            <w:tcBorders>
              <w:left w:val="nil"/>
            </w:tcBorders>
            <w:shd w:val="clear" w:color="auto" w:fill="FFFFFF"/>
          </w:tcPr>
          <w:p w:rsidR="00FA3C02" w:rsidRPr="00C8056F" w:rsidRDefault="00FA3C02" w:rsidP="00584C47">
            <w:pPr>
              <w:rPr>
                <w:sz w:val="20"/>
                <w:szCs w:val="20"/>
                <w:lang w:eastAsia="en-US"/>
              </w:rPr>
            </w:pPr>
            <w:r w:rsidRPr="00C8056F">
              <w:rPr>
                <w:sz w:val="20"/>
                <w:szCs w:val="20"/>
                <w:lang w:eastAsia="en-US"/>
              </w:rPr>
              <w:t>Transpozícia práva EÚ</w:t>
            </w:r>
          </w:p>
        </w:tc>
      </w:tr>
      <w:tr w:rsidR="00FA3C02" w:rsidRPr="00C8056F" w:rsidTr="00FA3C02">
        <w:tc>
          <w:tcPr>
            <w:tcW w:w="9180" w:type="dxa"/>
            <w:gridSpan w:val="10"/>
            <w:tcBorders>
              <w:bottom w:val="single" w:sz="4" w:space="0" w:color="FFFFFF"/>
            </w:tcBorders>
            <w:shd w:val="clear" w:color="auto" w:fill="FFFFFF"/>
          </w:tcPr>
          <w:p w:rsidR="00FA3C02" w:rsidRPr="00C8056F" w:rsidRDefault="00FA3C02" w:rsidP="00584C47">
            <w:pPr>
              <w:rPr>
                <w:sz w:val="20"/>
                <w:szCs w:val="20"/>
                <w:lang w:eastAsia="en-US"/>
              </w:rPr>
            </w:pPr>
            <w:r w:rsidRPr="00C8056F">
              <w:rPr>
                <w:i/>
                <w:sz w:val="20"/>
                <w:szCs w:val="20"/>
                <w:lang w:eastAsia="en-US"/>
              </w:rPr>
              <w:t>V prípade transpozície uveďte zoznam transponovaných predpisov:</w:t>
            </w:r>
          </w:p>
          <w:p w:rsidR="00FA3C02" w:rsidRPr="00C8056F" w:rsidRDefault="00FA3C02" w:rsidP="00584C47">
            <w:pPr>
              <w:rPr>
                <w:sz w:val="20"/>
                <w:szCs w:val="20"/>
                <w:lang w:eastAsia="en-US"/>
              </w:rPr>
            </w:pPr>
          </w:p>
        </w:tc>
      </w:tr>
      <w:tr w:rsidR="00FA3C02" w:rsidRPr="00C8056F" w:rsidTr="00FA3C02">
        <w:tc>
          <w:tcPr>
            <w:tcW w:w="6204" w:type="dxa"/>
            <w:gridSpan w:val="6"/>
            <w:tcBorders>
              <w:top w:val="single" w:sz="4" w:space="0" w:color="000000"/>
              <w:bottom w:val="single" w:sz="4" w:space="0" w:color="FFFFFF"/>
            </w:tcBorders>
            <w:shd w:val="clear" w:color="auto" w:fill="E2E2E2"/>
          </w:tcPr>
          <w:p w:rsidR="00FA3C02" w:rsidRPr="00C8056F" w:rsidRDefault="00FA3C02" w:rsidP="00584C47">
            <w:pPr>
              <w:pStyle w:val="Odsekzoznamu"/>
              <w:ind w:left="142"/>
              <w:rPr>
                <w:rFonts w:ascii="Times New Roman" w:hAnsi="Times New Roman"/>
                <w:b/>
                <w:sz w:val="20"/>
                <w:szCs w:val="20"/>
              </w:rPr>
            </w:pPr>
            <w:r w:rsidRPr="00C8056F">
              <w:rPr>
                <w:rFonts w:ascii="Times New Roman" w:hAnsi="Times New Roman"/>
                <w:b/>
                <w:sz w:val="20"/>
                <w:szCs w:val="20"/>
              </w:rPr>
              <w:t>Termín začiatku a ukončenia PPK</w:t>
            </w:r>
          </w:p>
        </w:tc>
        <w:tc>
          <w:tcPr>
            <w:tcW w:w="2976" w:type="dxa"/>
            <w:gridSpan w:val="4"/>
            <w:tcBorders>
              <w:top w:val="single" w:sz="4" w:space="0" w:color="000000"/>
            </w:tcBorders>
          </w:tcPr>
          <w:p w:rsidR="00FA3C02" w:rsidRPr="00C8056F" w:rsidRDefault="00FA3C02" w:rsidP="00584C47">
            <w:pPr>
              <w:rPr>
                <w:i/>
                <w:sz w:val="20"/>
                <w:szCs w:val="20"/>
                <w:lang w:eastAsia="en-US"/>
              </w:rPr>
            </w:pPr>
            <w:r w:rsidRPr="00C8056F">
              <w:rPr>
                <w:i/>
                <w:sz w:val="20"/>
                <w:szCs w:val="20"/>
                <w:lang w:eastAsia="en-US"/>
              </w:rPr>
              <w:t>01/2019</w:t>
            </w:r>
          </w:p>
        </w:tc>
      </w:tr>
      <w:tr w:rsidR="00FA3C02" w:rsidRPr="00C8056F" w:rsidTr="00FA3C02">
        <w:tc>
          <w:tcPr>
            <w:tcW w:w="6204" w:type="dxa"/>
            <w:gridSpan w:val="6"/>
            <w:tcBorders>
              <w:bottom w:val="single" w:sz="4" w:space="0" w:color="FFFFFF"/>
            </w:tcBorders>
            <w:shd w:val="clear" w:color="auto" w:fill="E2E2E2"/>
          </w:tcPr>
          <w:p w:rsidR="00FA3C02" w:rsidRPr="00C8056F" w:rsidRDefault="00FA3C02" w:rsidP="00584C47">
            <w:pPr>
              <w:pStyle w:val="Odsekzoznamu"/>
              <w:ind w:left="142"/>
              <w:rPr>
                <w:rFonts w:ascii="Times New Roman" w:hAnsi="Times New Roman"/>
                <w:b/>
                <w:sz w:val="20"/>
                <w:szCs w:val="20"/>
              </w:rPr>
            </w:pPr>
            <w:r w:rsidRPr="00C8056F">
              <w:rPr>
                <w:rFonts w:ascii="Times New Roman" w:hAnsi="Times New Roman"/>
                <w:b/>
                <w:sz w:val="20"/>
                <w:szCs w:val="20"/>
              </w:rPr>
              <w:t>Predpokladaný termín predloženia na MPK*</w:t>
            </w:r>
          </w:p>
        </w:tc>
        <w:tc>
          <w:tcPr>
            <w:tcW w:w="2976" w:type="dxa"/>
            <w:gridSpan w:val="4"/>
          </w:tcPr>
          <w:p w:rsidR="00FA3C02" w:rsidRPr="00C8056F" w:rsidRDefault="00FA3C02" w:rsidP="00584C47">
            <w:pPr>
              <w:rPr>
                <w:i/>
                <w:sz w:val="20"/>
                <w:szCs w:val="20"/>
                <w:lang w:eastAsia="en-US"/>
              </w:rPr>
            </w:pPr>
            <w:r w:rsidRPr="00C8056F">
              <w:rPr>
                <w:i/>
                <w:sz w:val="20"/>
                <w:szCs w:val="20"/>
                <w:lang w:eastAsia="en-US"/>
              </w:rPr>
              <w:t>02/2019</w:t>
            </w:r>
          </w:p>
        </w:tc>
      </w:tr>
      <w:tr w:rsidR="00FA3C02" w:rsidRPr="00C8056F" w:rsidTr="00FA3C02">
        <w:trPr>
          <w:trHeight w:val="457"/>
        </w:trPr>
        <w:tc>
          <w:tcPr>
            <w:tcW w:w="6204" w:type="dxa"/>
            <w:gridSpan w:val="6"/>
            <w:tcBorders>
              <w:bottom w:val="single" w:sz="4" w:space="0" w:color="FFFFFF"/>
            </w:tcBorders>
            <w:shd w:val="clear" w:color="auto" w:fill="E2E2E2"/>
          </w:tcPr>
          <w:p w:rsidR="00FA3C02" w:rsidRPr="00C8056F" w:rsidRDefault="00FA3C02" w:rsidP="00584C47">
            <w:pPr>
              <w:pStyle w:val="Odsekzoznamu"/>
              <w:spacing w:after="120" w:line="240" w:lineRule="auto"/>
              <w:ind w:left="142"/>
              <w:contextualSpacing w:val="0"/>
              <w:rPr>
                <w:rFonts w:ascii="Times New Roman" w:hAnsi="Times New Roman"/>
                <w:b/>
                <w:sz w:val="20"/>
                <w:szCs w:val="20"/>
              </w:rPr>
            </w:pPr>
            <w:r w:rsidRPr="00C8056F">
              <w:rPr>
                <w:rFonts w:ascii="Times New Roman" w:hAnsi="Times New Roman"/>
                <w:b/>
                <w:sz w:val="20"/>
                <w:szCs w:val="20"/>
              </w:rPr>
              <w:t>Predpokladaný termín predloženia na Rokovanie vlády SR*</w:t>
            </w:r>
          </w:p>
        </w:tc>
        <w:tc>
          <w:tcPr>
            <w:tcW w:w="2976" w:type="dxa"/>
            <w:gridSpan w:val="4"/>
          </w:tcPr>
          <w:p w:rsidR="00FA3C02" w:rsidRPr="00C8056F" w:rsidRDefault="00FA3C02" w:rsidP="00584C47">
            <w:pPr>
              <w:rPr>
                <w:i/>
                <w:sz w:val="20"/>
                <w:szCs w:val="20"/>
                <w:lang w:eastAsia="en-US"/>
              </w:rPr>
            </w:pPr>
            <w:r w:rsidRPr="00C8056F">
              <w:rPr>
                <w:i/>
                <w:sz w:val="20"/>
                <w:szCs w:val="20"/>
                <w:lang w:eastAsia="en-US"/>
              </w:rPr>
              <w:t>03/2019</w:t>
            </w:r>
          </w:p>
        </w:tc>
      </w:tr>
      <w:tr w:rsidR="00FA3C02" w:rsidRPr="00C8056F" w:rsidTr="00FA3C02">
        <w:tc>
          <w:tcPr>
            <w:tcW w:w="9180" w:type="dxa"/>
            <w:gridSpan w:val="10"/>
            <w:tcBorders>
              <w:left w:val="nil"/>
              <w:right w:val="nil"/>
            </w:tcBorders>
            <w:shd w:val="clear" w:color="auto" w:fill="FFFFFF"/>
          </w:tcPr>
          <w:p w:rsidR="00FA3C02" w:rsidRPr="00C8056F" w:rsidRDefault="00FA3C02" w:rsidP="00584C47">
            <w:pPr>
              <w:rPr>
                <w:sz w:val="20"/>
                <w:szCs w:val="20"/>
                <w:lang w:eastAsia="en-US"/>
              </w:rPr>
            </w:pP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Definovanie problému</w:t>
            </w:r>
          </w:p>
        </w:tc>
      </w:tr>
      <w:tr w:rsidR="00FA3C02" w:rsidRPr="00C8056F" w:rsidTr="00FA3C02">
        <w:trPr>
          <w:trHeight w:val="718"/>
        </w:trPr>
        <w:tc>
          <w:tcPr>
            <w:tcW w:w="9180" w:type="dxa"/>
            <w:gridSpan w:val="10"/>
            <w:tcBorders>
              <w:top w:val="single" w:sz="4" w:space="0" w:color="FFFFFF"/>
            </w:tcBorders>
            <w:shd w:val="clear" w:color="auto" w:fill="FFFFFF"/>
          </w:tcPr>
          <w:p w:rsidR="00FA3C02" w:rsidRPr="00C8056F" w:rsidRDefault="00FA3C02" w:rsidP="00584C47">
            <w:pPr>
              <w:jc w:val="both"/>
              <w:rPr>
                <w:b/>
                <w:sz w:val="20"/>
                <w:szCs w:val="20"/>
                <w:lang w:eastAsia="en-US"/>
              </w:rPr>
            </w:pPr>
            <w:r w:rsidRPr="00C8056F">
              <w:rPr>
                <w:sz w:val="20"/>
                <w:szCs w:val="20"/>
                <w:lang w:eastAsia="en-US"/>
              </w:rPr>
              <w:t xml:space="preserve">Významnou formou podpory štátu v oblasti rozvoja bývania je poskytovanie podpory prostredníctvom Štátneho fondu rozvoja bývania. Podmienky poskytovania podpory na rozširovanie a zveľaďovanie bytového fondu sú ustanovené zákonom č. 150/2013 Z. z. o Štátnom fonde rozvoja bývania v znení neskorších predpisov. Potreba úpravy a doplnenia zákona vyplynula z aplikácie platného znenia zákona v praxi a z nutnosti stanovenia spresňujúcich podmienok pri poskytovaní podpory. </w:t>
            </w:r>
          </w:p>
        </w:tc>
      </w:tr>
      <w:tr w:rsidR="00FA3C02" w:rsidRPr="00C8056F" w:rsidTr="00584C47">
        <w:tc>
          <w:tcPr>
            <w:tcW w:w="9180" w:type="dxa"/>
            <w:gridSpan w:val="10"/>
            <w:tcBorders>
              <w:bottom w:val="nil"/>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Ciele a výsledný stav</w:t>
            </w:r>
          </w:p>
        </w:tc>
      </w:tr>
      <w:tr w:rsidR="00FA3C02" w:rsidRPr="00C8056F" w:rsidTr="00FA3C02">
        <w:trPr>
          <w:trHeight w:val="741"/>
        </w:trPr>
        <w:tc>
          <w:tcPr>
            <w:tcW w:w="9180" w:type="dxa"/>
            <w:gridSpan w:val="10"/>
            <w:tcBorders>
              <w:top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Uveďte hlavné ciele navrhovaného predpisu (aký výsledný stav chcete reguláciou dosiahnuť).</w:t>
            </w:r>
          </w:p>
          <w:p w:rsidR="00FA3C02" w:rsidRPr="00C8056F" w:rsidRDefault="00FA3C02" w:rsidP="00584C47">
            <w:pPr>
              <w:jc w:val="both"/>
              <w:rPr>
                <w:sz w:val="20"/>
                <w:szCs w:val="20"/>
                <w:lang w:eastAsia="en-US"/>
              </w:rPr>
            </w:pPr>
            <w:r w:rsidRPr="00C8056F">
              <w:rPr>
                <w:sz w:val="20"/>
                <w:szCs w:val="20"/>
                <w:lang w:eastAsia="en-US"/>
              </w:rPr>
              <w:t xml:space="preserve">Novela zákona navrhuje doplnenie nového účelu podpory – obstaranie ubytovacieho domu jeho výstavbou alebo kúpou, čím sa podporí mobilita pracovnej sily.  V rámci účelov výstavby a obnovy zariadení sociálnych služieb sa navrhuje rozšíriť okruh žiadateľov o inú právnickú osobu. V snahe zvýšiť záujem súkromného sektora investovať do oblasti obstarania nájomných bytov navrhujú sa menej prísne podmienky na tento účel, ktorými sú najmä priemerná podlahová plocha obstarávacích nájomných bytov, limit obstarávacích nákladov a povinnosť skúmať príjem domácnosti iba pri uzavretí prvej nájomnej zmluvy. </w:t>
            </w:r>
          </w:p>
        </w:tc>
      </w:tr>
      <w:tr w:rsidR="00FA3C02" w:rsidRPr="00C8056F" w:rsidTr="00584C47">
        <w:tc>
          <w:tcPr>
            <w:tcW w:w="9180" w:type="dxa"/>
            <w:gridSpan w:val="10"/>
            <w:tcBorders>
              <w:bottom w:val="nil"/>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Dotknuté subjekty</w:t>
            </w:r>
          </w:p>
        </w:tc>
      </w:tr>
      <w:tr w:rsidR="00FA3C02" w:rsidRPr="00C8056F" w:rsidTr="00FA3C02">
        <w:tc>
          <w:tcPr>
            <w:tcW w:w="9180" w:type="dxa"/>
            <w:gridSpan w:val="10"/>
            <w:tcBorders>
              <w:top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Uveďte subjekty, ktorých sa zmeny návrhu dotknú priamo aj nepriamo:</w:t>
            </w:r>
          </w:p>
          <w:p w:rsidR="00FA3C02" w:rsidRPr="00C8056F" w:rsidRDefault="00FA3C02" w:rsidP="00584C47">
            <w:pPr>
              <w:jc w:val="both"/>
              <w:rPr>
                <w:i/>
                <w:sz w:val="20"/>
                <w:szCs w:val="20"/>
                <w:lang w:eastAsia="en-US"/>
              </w:rPr>
            </w:pPr>
            <w:r w:rsidRPr="00C8056F">
              <w:rPr>
                <w:sz w:val="20"/>
                <w:szCs w:val="20"/>
                <w:lang w:eastAsia="en-US"/>
              </w:rPr>
              <w:t>Fyzická osoba, obec, vyšší územný celok a nezisková organizácia s minimálnou 51 %-nou majetkovou účasťou obce alebo vyššieho územného celku, iná právnická osoba.</w:t>
            </w:r>
          </w:p>
        </w:tc>
      </w:tr>
      <w:tr w:rsidR="00FA3C02" w:rsidRPr="00C8056F" w:rsidTr="00584C47">
        <w:tc>
          <w:tcPr>
            <w:tcW w:w="9180" w:type="dxa"/>
            <w:gridSpan w:val="10"/>
            <w:tcBorders>
              <w:bottom w:val="nil"/>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Alternatívne riešenia</w:t>
            </w:r>
          </w:p>
        </w:tc>
      </w:tr>
      <w:tr w:rsidR="00FA3C02" w:rsidRPr="00C8056F" w:rsidTr="00FA3C02">
        <w:trPr>
          <w:trHeight w:val="709"/>
        </w:trPr>
        <w:tc>
          <w:tcPr>
            <w:tcW w:w="9180" w:type="dxa"/>
            <w:gridSpan w:val="10"/>
            <w:tcBorders>
              <w:top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Aké alternatívne riešenia boli posudzované?</w:t>
            </w:r>
          </w:p>
          <w:p w:rsidR="00FA3C02" w:rsidRPr="00C8056F" w:rsidRDefault="00FA3C02" w:rsidP="00584C47">
            <w:pPr>
              <w:rPr>
                <w:i/>
                <w:sz w:val="20"/>
                <w:szCs w:val="20"/>
                <w:lang w:eastAsia="en-US"/>
              </w:rPr>
            </w:pPr>
            <w:r w:rsidRPr="00C8056F">
              <w:rPr>
                <w:i/>
                <w:sz w:val="20"/>
                <w:szCs w:val="20"/>
                <w:lang w:eastAsia="en-US"/>
              </w:rPr>
              <w:t>Uveďte, aké alternatívne spôsoby na odstránenie definovaného problému boli identifikované a posudzované.</w:t>
            </w:r>
          </w:p>
          <w:p w:rsidR="00FA3C02" w:rsidRPr="00C8056F" w:rsidRDefault="00FA3C02" w:rsidP="00584C47">
            <w:pPr>
              <w:rPr>
                <w:sz w:val="20"/>
                <w:szCs w:val="20"/>
                <w:lang w:eastAsia="en-US"/>
              </w:rPr>
            </w:pPr>
            <w:r w:rsidRPr="00C8056F">
              <w:rPr>
                <w:sz w:val="20"/>
                <w:szCs w:val="20"/>
                <w:lang w:eastAsia="en-US"/>
              </w:rPr>
              <w:t>Žiadne</w:t>
            </w: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Vykonávacie predpisy</w:t>
            </w:r>
          </w:p>
        </w:tc>
      </w:tr>
      <w:tr w:rsidR="00FA3C02" w:rsidRPr="00C8056F" w:rsidTr="00FA3C02">
        <w:tc>
          <w:tcPr>
            <w:tcW w:w="6203" w:type="dxa"/>
            <w:gridSpan w:val="6"/>
            <w:tcBorders>
              <w:top w:val="single" w:sz="4" w:space="0" w:color="FFFFFF"/>
              <w:bottom w:val="nil"/>
              <w:right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A3C02" w:rsidRPr="00C8056F" w:rsidRDefault="00FA3C02" w:rsidP="00584C47">
            <w:pPr>
              <w:jc w:val="center"/>
              <w:rPr>
                <w:sz w:val="20"/>
                <w:szCs w:val="20"/>
                <w:lang w:eastAsia="en-US"/>
              </w:rPr>
            </w:pPr>
            <w:r w:rsidRPr="00C8056F">
              <w:rPr>
                <w:rFonts w:ascii="MS Gothic" w:eastAsia="MS Gothic" w:hAnsi="MS Gothic" w:hint="eastAsia"/>
                <w:sz w:val="20"/>
                <w:szCs w:val="20"/>
                <w:lang w:eastAsia="en-US"/>
              </w:rPr>
              <w:t>☒</w:t>
            </w:r>
            <w:r w:rsidRPr="00C8056F">
              <w:rPr>
                <w:sz w:val="20"/>
                <w:szCs w:val="20"/>
                <w:lang w:eastAsia="en-US"/>
              </w:rPr>
              <w:t xml:space="preserve">  Áno</w:t>
            </w:r>
          </w:p>
        </w:tc>
        <w:tc>
          <w:tcPr>
            <w:tcW w:w="1560" w:type="dxa"/>
            <w:gridSpan w:val="2"/>
            <w:tcBorders>
              <w:top w:val="single" w:sz="4" w:space="0" w:color="FFFFFF"/>
              <w:left w:val="nil"/>
              <w:bottom w:val="nil"/>
            </w:tcBorders>
            <w:shd w:val="clear" w:color="auto" w:fill="FFFFFF"/>
          </w:tcPr>
          <w:p w:rsidR="00FA3C02" w:rsidRPr="00C8056F" w:rsidRDefault="00FA3C02" w:rsidP="00584C47">
            <w:pPr>
              <w:jc w:val="center"/>
              <w:rPr>
                <w:sz w:val="20"/>
                <w:szCs w:val="20"/>
                <w:lang w:eastAsia="en-US"/>
              </w:rPr>
            </w:pPr>
            <w:r w:rsidRPr="00C8056F">
              <w:rPr>
                <w:rFonts w:ascii="MS Gothic" w:eastAsia="MS Gothic" w:hAnsi="MS Gothic" w:hint="eastAsia"/>
                <w:sz w:val="20"/>
                <w:szCs w:val="20"/>
                <w:lang w:eastAsia="en-US"/>
              </w:rPr>
              <w:t>☐</w:t>
            </w:r>
            <w:r w:rsidRPr="00C8056F">
              <w:rPr>
                <w:sz w:val="20"/>
                <w:szCs w:val="20"/>
                <w:lang w:eastAsia="en-US"/>
              </w:rPr>
              <w:t xml:space="preserve">  Nie</w:t>
            </w:r>
          </w:p>
        </w:tc>
      </w:tr>
      <w:tr w:rsidR="00FA3C02" w:rsidRPr="00C8056F" w:rsidTr="00FA3C02">
        <w:tc>
          <w:tcPr>
            <w:tcW w:w="9180" w:type="dxa"/>
            <w:gridSpan w:val="10"/>
            <w:tcBorders>
              <w:top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Ak áno, uveďte ktoré oblasti budú nimi upravené, resp. ktorých vykonávacích predpisov sa zmena dotkne:</w:t>
            </w:r>
          </w:p>
          <w:p w:rsidR="00FA3C02" w:rsidRPr="00C8056F" w:rsidRDefault="00FA3C02" w:rsidP="00584C47">
            <w:pPr>
              <w:jc w:val="both"/>
              <w:rPr>
                <w:sz w:val="20"/>
                <w:szCs w:val="20"/>
                <w:lang w:eastAsia="en-US"/>
              </w:rPr>
            </w:pPr>
            <w:r w:rsidRPr="00C8056F">
              <w:rPr>
                <w:sz w:val="20"/>
                <w:szCs w:val="20"/>
                <w:lang w:eastAsia="en-US"/>
              </w:rPr>
              <w:t xml:space="preserve">Vyhláška Ministerstva dopravy, výstavby a regionálneho rozvoja Slovenskej republiky č. 284/2013 Z. z. o podrobnostiach o výške poskytovanej podpory zo Štátneho fondu rozvoja bývania, o všeobecných podmienkach poskytnutia podpory a o obsahu žiadosti v znení neskorších predpisov </w:t>
            </w: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 xml:space="preserve">Transpozícia práva EÚ </w:t>
            </w:r>
          </w:p>
        </w:tc>
      </w:tr>
      <w:tr w:rsidR="00FA3C02" w:rsidRPr="00C8056F" w:rsidTr="00FA3C02">
        <w:trPr>
          <w:trHeight w:val="157"/>
        </w:trPr>
        <w:tc>
          <w:tcPr>
            <w:tcW w:w="9180" w:type="dxa"/>
            <w:gridSpan w:val="10"/>
            <w:tcBorders>
              <w:top w:val="nil"/>
              <w:left w:val="single" w:sz="4" w:space="0" w:color="000000"/>
              <w:bottom w:val="nil"/>
            </w:tcBorders>
            <w:shd w:val="clear" w:color="auto" w:fill="FFFFFF"/>
          </w:tcPr>
          <w:p w:rsidR="00FA3C02" w:rsidRPr="00C8056F" w:rsidRDefault="00FA3C02" w:rsidP="00584C47">
            <w:pPr>
              <w:rPr>
                <w:i/>
                <w:sz w:val="20"/>
                <w:szCs w:val="20"/>
                <w:lang w:eastAsia="en-US"/>
              </w:rPr>
            </w:pPr>
            <w:r w:rsidRPr="00C8056F">
              <w:rPr>
                <w:i/>
                <w:sz w:val="20"/>
                <w:szCs w:val="20"/>
                <w:lang w:eastAsia="en-US"/>
              </w:rPr>
              <w:t>Uveďte, v ktorých ustanoveniach ide národná právna úprava nad rámec minimálnych požiadaviek EÚ spolu s odôvodnením.</w:t>
            </w:r>
          </w:p>
        </w:tc>
      </w:tr>
      <w:tr w:rsidR="00FA3C02" w:rsidRPr="00C8056F" w:rsidTr="00FA3C02">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FA3C02" w:rsidRPr="00C8056F" w:rsidRDefault="00FA3C02" w:rsidP="00584C47">
            <w:pPr>
              <w:rPr>
                <w:sz w:val="20"/>
                <w:szCs w:val="20"/>
                <w:lang w:eastAsia="en-US"/>
              </w:rPr>
            </w:pPr>
            <w:r w:rsidRPr="00C8056F">
              <w:rPr>
                <w:rFonts w:ascii="Times" w:hAnsi="Times" w:cs="Times"/>
                <w:sz w:val="20"/>
                <w:szCs w:val="20"/>
                <w:lang w:eastAsia="en-US"/>
              </w:rPr>
              <w:t>Žiadna</w:t>
            </w:r>
          </w:p>
        </w:tc>
      </w:tr>
      <w:tr w:rsidR="00FA3C02" w:rsidRPr="00C8056F" w:rsidTr="00FA3C02">
        <w:tc>
          <w:tcPr>
            <w:tcW w:w="9180" w:type="dxa"/>
            <w:gridSpan w:val="10"/>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Preskúmanie účelnosti**</w:t>
            </w:r>
          </w:p>
        </w:tc>
      </w:tr>
      <w:tr w:rsidR="00FA3C02" w:rsidRPr="00C8056F" w:rsidTr="00FA3C02">
        <w:tc>
          <w:tcPr>
            <w:tcW w:w="9180" w:type="dxa"/>
            <w:gridSpan w:val="10"/>
            <w:tcBorders>
              <w:top w:val="single" w:sz="4" w:space="0" w:color="FFFFFF"/>
            </w:tcBorders>
            <w:shd w:val="clear" w:color="auto" w:fill="FFFFFF"/>
          </w:tcPr>
          <w:p w:rsidR="00FA3C02" w:rsidRPr="00C8056F" w:rsidRDefault="00FA3C02" w:rsidP="00584C47">
            <w:pPr>
              <w:rPr>
                <w:i/>
                <w:sz w:val="20"/>
                <w:szCs w:val="20"/>
                <w:lang w:eastAsia="en-US"/>
              </w:rPr>
            </w:pPr>
            <w:r w:rsidRPr="00C8056F">
              <w:rPr>
                <w:i/>
                <w:sz w:val="20"/>
                <w:szCs w:val="20"/>
                <w:lang w:eastAsia="en-US"/>
              </w:rPr>
              <w:t>Uveďte termín, kedy by malo dôjsť k preskúmaniu účinnosti a účelnosti navrhovaného predpisu.</w:t>
            </w:r>
          </w:p>
          <w:p w:rsidR="00FA3C02" w:rsidRPr="00C8056F" w:rsidRDefault="00FA3C02" w:rsidP="00584C47">
            <w:pPr>
              <w:rPr>
                <w:i/>
                <w:sz w:val="20"/>
                <w:szCs w:val="20"/>
                <w:lang w:eastAsia="en-US"/>
              </w:rPr>
            </w:pPr>
            <w:r w:rsidRPr="00C8056F">
              <w:rPr>
                <w:i/>
                <w:sz w:val="20"/>
                <w:szCs w:val="20"/>
                <w:lang w:eastAsia="en-US"/>
              </w:rPr>
              <w:t>Uveďte kritériá, na základe ktorých bude preskúmanie vykonané.</w:t>
            </w:r>
          </w:p>
        </w:tc>
      </w:tr>
      <w:tr w:rsidR="00FA3C02" w:rsidRPr="00C8056F" w:rsidTr="00FA3C02">
        <w:trPr>
          <w:trHeight w:val="715"/>
        </w:trPr>
        <w:tc>
          <w:tcPr>
            <w:tcW w:w="9180" w:type="dxa"/>
            <w:gridSpan w:val="10"/>
            <w:tcBorders>
              <w:left w:val="nil"/>
              <w:bottom w:val="nil"/>
              <w:right w:val="nil"/>
            </w:tcBorders>
            <w:shd w:val="clear" w:color="auto" w:fill="FFFFFF"/>
          </w:tcPr>
          <w:p w:rsidR="00FA3C02" w:rsidRPr="00C8056F" w:rsidRDefault="00FA3C02" w:rsidP="00584C47">
            <w:pPr>
              <w:ind w:left="142" w:hanging="142"/>
              <w:rPr>
                <w:sz w:val="20"/>
                <w:szCs w:val="20"/>
                <w:lang w:eastAsia="en-US"/>
              </w:rPr>
            </w:pPr>
          </w:p>
          <w:p w:rsidR="00FA3C02" w:rsidRPr="00C8056F" w:rsidRDefault="00FA3C02" w:rsidP="00584C47">
            <w:pPr>
              <w:ind w:left="142" w:hanging="142"/>
              <w:rPr>
                <w:sz w:val="20"/>
                <w:szCs w:val="20"/>
                <w:lang w:eastAsia="en-US"/>
              </w:rPr>
            </w:pPr>
            <w:r w:rsidRPr="00C8056F">
              <w:rPr>
                <w:sz w:val="20"/>
                <w:szCs w:val="20"/>
                <w:lang w:eastAsia="en-US"/>
              </w:rPr>
              <w:t xml:space="preserve">* vyplniť iba v prípade, ak materiál nie je zahrnutý do Plánu práce vlády Slovenskej republiky alebo Plánu        legislatívnych úloh vlády Slovenskej republiky. </w:t>
            </w:r>
          </w:p>
          <w:p w:rsidR="00FA3C02" w:rsidRPr="00C8056F" w:rsidRDefault="00FA3C02" w:rsidP="00584C47">
            <w:pPr>
              <w:rPr>
                <w:sz w:val="20"/>
                <w:szCs w:val="20"/>
                <w:lang w:eastAsia="en-US"/>
              </w:rPr>
            </w:pPr>
            <w:r w:rsidRPr="00C8056F">
              <w:rPr>
                <w:sz w:val="20"/>
                <w:szCs w:val="20"/>
                <w:lang w:eastAsia="en-US"/>
              </w:rPr>
              <w:t>** nepovinné</w:t>
            </w:r>
          </w:p>
        </w:tc>
      </w:tr>
      <w:tr w:rsidR="00FA3C02" w:rsidRPr="00C8056F" w:rsidTr="004B44F8">
        <w:trPr>
          <w:trHeight w:val="80"/>
        </w:trPr>
        <w:tc>
          <w:tcPr>
            <w:tcW w:w="9180" w:type="dxa"/>
            <w:gridSpan w:val="10"/>
            <w:tcBorders>
              <w:top w:val="nil"/>
              <w:left w:val="nil"/>
              <w:right w:val="nil"/>
            </w:tcBorders>
            <w:shd w:val="clear" w:color="auto" w:fill="FFFFFF"/>
          </w:tcPr>
          <w:p w:rsidR="00FA3C02" w:rsidRPr="00C8056F" w:rsidRDefault="00FA3C02" w:rsidP="00584C47">
            <w:pPr>
              <w:rPr>
                <w:b/>
                <w:sz w:val="20"/>
                <w:szCs w:val="20"/>
                <w:lang w:eastAsia="en-US"/>
              </w:rPr>
            </w:pPr>
          </w:p>
        </w:tc>
      </w:tr>
      <w:tr w:rsidR="00FA3C02" w:rsidRPr="00C8056F" w:rsidTr="00FA3C02">
        <w:trPr>
          <w:trHeight w:val="577"/>
        </w:trPr>
        <w:tc>
          <w:tcPr>
            <w:tcW w:w="9180" w:type="dxa"/>
            <w:gridSpan w:val="10"/>
            <w:tcBorders>
              <w:bottom w:val="single" w:sz="4" w:space="0" w:color="FFFFFF"/>
            </w:tcBorders>
            <w:shd w:val="clear" w:color="auto" w:fill="E2E2E2"/>
            <w:vAlign w:val="center"/>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Vplyvy navrhovaného materiálu</w:t>
            </w:r>
          </w:p>
        </w:tc>
      </w:tr>
      <w:tr w:rsidR="00FA3C02" w:rsidRPr="00C8056F" w:rsidTr="00584C47">
        <w:tc>
          <w:tcPr>
            <w:tcW w:w="3812" w:type="dxa"/>
            <w:tcBorders>
              <w:bottom w:val="nil"/>
            </w:tcBorders>
            <w:shd w:val="clear" w:color="auto" w:fill="E2E2E2"/>
          </w:tcPr>
          <w:p w:rsidR="00FA3C02" w:rsidRPr="00C8056F" w:rsidRDefault="00FA3C02" w:rsidP="00584C47">
            <w:pPr>
              <w:rPr>
                <w:b/>
                <w:sz w:val="20"/>
                <w:szCs w:val="20"/>
                <w:lang w:eastAsia="en-US"/>
              </w:rPr>
            </w:pPr>
            <w:r w:rsidRPr="00C8056F">
              <w:rPr>
                <w:b/>
                <w:sz w:val="20"/>
                <w:szCs w:val="20"/>
                <w:lang w:eastAsia="en-US"/>
              </w:rPr>
              <w:t>Vplyvy na rozpočet verejnej správy</w:t>
            </w:r>
          </w:p>
        </w:tc>
        <w:tc>
          <w:tcPr>
            <w:tcW w:w="541" w:type="dxa"/>
            <w:gridSpan w:val="2"/>
            <w:tcBorders>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81" w:type="dxa"/>
            <w:gridSpan w:val="2"/>
            <w:tcBorders>
              <w:left w:val="nil"/>
              <w:right w:val="nil"/>
            </w:tcBorders>
          </w:tcPr>
          <w:p w:rsidR="00FA3C02" w:rsidRPr="00C8056F" w:rsidRDefault="00FA3C02" w:rsidP="00584C47">
            <w:pPr>
              <w:rPr>
                <w:b/>
                <w:sz w:val="20"/>
                <w:szCs w:val="20"/>
                <w:lang w:eastAsia="en-US"/>
              </w:rPr>
            </w:pPr>
            <w:r w:rsidRPr="00C8056F">
              <w:rPr>
                <w:b/>
                <w:sz w:val="20"/>
                <w:szCs w:val="20"/>
                <w:lang w:eastAsia="en-US"/>
              </w:rPr>
              <w:t>Pozitívne</w:t>
            </w:r>
          </w:p>
        </w:tc>
        <w:tc>
          <w:tcPr>
            <w:tcW w:w="569" w:type="dxa"/>
            <w:tcBorders>
              <w:left w:val="nil"/>
              <w:right w:val="nil"/>
            </w:tcBorders>
          </w:tcPr>
          <w:p w:rsidR="00FA3C02" w:rsidRPr="00C8056F" w:rsidRDefault="00FA3C02" w:rsidP="00584C47">
            <w:pPr>
              <w:jc w:val="center"/>
              <w:rPr>
                <w:b/>
                <w:sz w:val="20"/>
                <w:szCs w:val="20"/>
                <w:lang w:eastAsia="en-US"/>
              </w:rPr>
            </w:pPr>
            <w:r w:rsidRPr="00C8056F">
              <w:rPr>
                <w:rFonts w:ascii="MS Gothic" w:eastAsia="MS Gothic" w:hAnsi="MS Gothic" w:hint="eastAsia"/>
                <w:b/>
                <w:sz w:val="20"/>
                <w:szCs w:val="20"/>
                <w:lang w:eastAsia="en-US"/>
              </w:rPr>
              <w:t>☐</w:t>
            </w:r>
            <w:r w:rsidRPr="00C8056F">
              <w:rPr>
                <w:rFonts w:ascii="MS Gothic" w:eastAsia="MS Gothic" w:hAnsi="MS Gothic"/>
                <w:b/>
                <w:sz w:val="20"/>
                <w:szCs w:val="20"/>
                <w:lang w:eastAsia="en-US"/>
              </w:rPr>
              <w:t xml:space="preserve"> </w:t>
            </w:r>
          </w:p>
        </w:tc>
        <w:tc>
          <w:tcPr>
            <w:tcW w:w="1133" w:type="dxa"/>
            <w:tcBorders>
              <w:left w:val="nil"/>
              <w:right w:val="nil"/>
            </w:tcBorders>
          </w:tcPr>
          <w:p w:rsidR="00FA3C02" w:rsidRPr="00C8056F" w:rsidRDefault="00FA3C02" w:rsidP="00584C47">
            <w:pPr>
              <w:rPr>
                <w:b/>
                <w:sz w:val="20"/>
                <w:szCs w:val="20"/>
                <w:lang w:eastAsia="en-US"/>
              </w:rPr>
            </w:pPr>
            <w:r w:rsidRPr="00C8056F">
              <w:rPr>
                <w:b/>
                <w:sz w:val="20"/>
                <w:szCs w:val="20"/>
                <w:lang w:eastAsia="en-US"/>
              </w:rPr>
              <w:t>Žiadne</w:t>
            </w:r>
          </w:p>
        </w:tc>
        <w:tc>
          <w:tcPr>
            <w:tcW w:w="547" w:type="dxa"/>
            <w:gridSpan w:val="2"/>
            <w:tcBorders>
              <w:left w:val="nil"/>
              <w:right w:val="nil"/>
            </w:tcBorders>
          </w:tcPr>
          <w:p w:rsidR="00FA3C02" w:rsidRPr="00C8056F" w:rsidRDefault="00FA3C02" w:rsidP="00584C47">
            <w:pPr>
              <w:ind w:left="-107" w:right="-108"/>
              <w:jc w:val="center"/>
              <w:rPr>
                <w:b/>
                <w:sz w:val="20"/>
                <w:szCs w:val="20"/>
                <w:lang w:eastAsia="en-US"/>
              </w:rPr>
            </w:pPr>
            <w:r w:rsidRPr="00C8056F">
              <w:rPr>
                <w:rFonts w:ascii="Segoe UI Symbol" w:eastAsia="MS Mincho" w:hAnsi="Segoe UI Symbol" w:cs="Segoe UI Symbol"/>
                <w:b/>
                <w:sz w:val="20"/>
                <w:szCs w:val="20"/>
                <w:lang w:eastAsia="en-US"/>
              </w:rPr>
              <w:t>☒</w:t>
            </w:r>
            <w:r w:rsidRPr="00C8056F">
              <w:rPr>
                <w:rFonts w:ascii="MS Gothic" w:eastAsia="MS Gothic" w:hAnsi="MS Gothic"/>
                <w:b/>
                <w:sz w:val="20"/>
                <w:szCs w:val="20"/>
                <w:lang w:eastAsia="en-US"/>
              </w:rPr>
              <w:t xml:space="preserve"> </w:t>
            </w:r>
          </w:p>
        </w:tc>
        <w:tc>
          <w:tcPr>
            <w:tcW w:w="1297" w:type="dxa"/>
            <w:tcBorders>
              <w:left w:val="nil"/>
            </w:tcBorders>
          </w:tcPr>
          <w:p w:rsidR="00FA3C02" w:rsidRPr="00C8056F" w:rsidRDefault="00FA3C02" w:rsidP="00584C47">
            <w:pPr>
              <w:ind w:left="34"/>
              <w:rPr>
                <w:b/>
                <w:sz w:val="20"/>
                <w:szCs w:val="20"/>
                <w:lang w:eastAsia="en-US"/>
              </w:rPr>
            </w:pPr>
            <w:r w:rsidRPr="00C8056F">
              <w:rPr>
                <w:b/>
                <w:sz w:val="20"/>
                <w:szCs w:val="20"/>
                <w:lang w:eastAsia="en-US"/>
              </w:rPr>
              <w:t>Negatívne</w:t>
            </w:r>
          </w:p>
        </w:tc>
      </w:tr>
      <w:tr w:rsidR="00FA3C02" w:rsidRPr="00C8056F" w:rsidTr="00FA3C02">
        <w:tc>
          <w:tcPr>
            <w:tcW w:w="3812" w:type="dxa"/>
            <w:tcBorders>
              <w:top w:val="nil"/>
              <w:bottom w:val="single" w:sz="4" w:space="0" w:color="000000"/>
            </w:tcBorders>
            <w:shd w:val="clear" w:color="auto" w:fill="E2E2E2"/>
          </w:tcPr>
          <w:p w:rsidR="00FA3C02" w:rsidRPr="00C8056F" w:rsidRDefault="00FA3C02" w:rsidP="00584C47">
            <w:pPr>
              <w:rPr>
                <w:sz w:val="20"/>
                <w:szCs w:val="20"/>
                <w:lang w:eastAsia="en-US"/>
              </w:rPr>
            </w:pPr>
            <w:r w:rsidRPr="00C8056F">
              <w:rPr>
                <w:sz w:val="20"/>
                <w:szCs w:val="20"/>
                <w:lang w:eastAsia="en-US"/>
              </w:rPr>
              <w:t xml:space="preserve">    z toho rozpočtovo zabezpečené vplyvy</w:t>
            </w:r>
          </w:p>
        </w:tc>
        <w:tc>
          <w:tcPr>
            <w:tcW w:w="541" w:type="dxa"/>
            <w:gridSpan w:val="2"/>
            <w:tcBorders>
              <w:right w:val="nil"/>
            </w:tcBorders>
          </w:tcPr>
          <w:p w:rsidR="00FA3C02" w:rsidRPr="00C8056F" w:rsidRDefault="00FA3C02" w:rsidP="00584C47">
            <w:pPr>
              <w:jc w:val="center"/>
              <w:rPr>
                <w:sz w:val="20"/>
                <w:szCs w:val="20"/>
                <w:lang w:eastAsia="en-US"/>
              </w:rPr>
            </w:pPr>
            <w:r w:rsidRPr="00C8056F">
              <w:rPr>
                <w:rFonts w:ascii="MS Gothic" w:eastAsia="MS Gothic" w:hAnsi="MS Gothic" w:hint="eastAsia"/>
                <w:b/>
                <w:sz w:val="20"/>
                <w:szCs w:val="20"/>
                <w:lang w:eastAsia="en-US"/>
              </w:rPr>
              <w:t>☒</w:t>
            </w:r>
            <w:r w:rsidRPr="00C8056F">
              <w:rPr>
                <w:rFonts w:ascii="MS Mincho" w:eastAsia="MS Mincho" w:hAnsi="MS Mincho" w:cs="MS Mincho"/>
                <w:sz w:val="20"/>
                <w:szCs w:val="20"/>
                <w:lang w:eastAsia="en-US"/>
              </w:rPr>
              <w:t xml:space="preserve"> </w:t>
            </w:r>
          </w:p>
        </w:tc>
        <w:tc>
          <w:tcPr>
            <w:tcW w:w="1281" w:type="dxa"/>
            <w:gridSpan w:val="2"/>
            <w:tcBorders>
              <w:left w:val="nil"/>
              <w:right w:val="nil"/>
            </w:tcBorders>
          </w:tcPr>
          <w:p w:rsidR="00FA3C02" w:rsidRPr="00C8056F" w:rsidRDefault="00FA3C02" w:rsidP="00584C47">
            <w:pPr>
              <w:rPr>
                <w:sz w:val="20"/>
                <w:szCs w:val="20"/>
                <w:lang w:eastAsia="en-US"/>
              </w:rPr>
            </w:pPr>
            <w:r w:rsidRPr="00C8056F">
              <w:rPr>
                <w:sz w:val="20"/>
                <w:szCs w:val="20"/>
                <w:lang w:eastAsia="en-US"/>
              </w:rPr>
              <w:t>Áno</w:t>
            </w:r>
          </w:p>
        </w:tc>
        <w:tc>
          <w:tcPr>
            <w:tcW w:w="569" w:type="dxa"/>
            <w:tcBorders>
              <w:left w:val="nil"/>
              <w:right w:val="nil"/>
            </w:tcBorders>
          </w:tcPr>
          <w:p w:rsidR="00FA3C02" w:rsidRPr="00C8056F" w:rsidRDefault="00FA3C02" w:rsidP="00584C47">
            <w:pPr>
              <w:jc w:val="center"/>
              <w:rPr>
                <w:sz w:val="20"/>
                <w:szCs w:val="20"/>
                <w:lang w:eastAsia="en-US"/>
              </w:rPr>
            </w:pPr>
            <w:r w:rsidRPr="00C8056F">
              <w:rPr>
                <w:rFonts w:ascii="MS Gothic" w:eastAsia="MS Gothic" w:hAnsi="MS Gothic" w:hint="eastAsia"/>
                <w:sz w:val="20"/>
                <w:szCs w:val="20"/>
                <w:lang w:eastAsia="en-US"/>
              </w:rPr>
              <w:t>☐</w:t>
            </w:r>
          </w:p>
        </w:tc>
        <w:tc>
          <w:tcPr>
            <w:tcW w:w="1133" w:type="dxa"/>
            <w:tcBorders>
              <w:left w:val="nil"/>
              <w:right w:val="nil"/>
            </w:tcBorders>
          </w:tcPr>
          <w:p w:rsidR="00FA3C02" w:rsidRPr="00C8056F" w:rsidRDefault="00FA3C02" w:rsidP="00584C47">
            <w:pPr>
              <w:rPr>
                <w:sz w:val="20"/>
                <w:szCs w:val="20"/>
                <w:lang w:eastAsia="en-US"/>
              </w:rPr>
            </w:pPr>
            <w:r w:rsidRPr="00C8056F">
              <w:rPr>
                <w:sz w:val="20"/>
                <w:szCs w:val="20"/>
                <w:lang w:eastAsia="en-US"/>
              </w:rPr>
              <w:t>Nie</w:t>
            </w:r>
          </w:p>
        </w:tc>
        <w:tc>
          <w:tcPr>
            <w:tcW w:w="547" w:type="dxa"/>
            <w:gridSpan w:val="2"/>
            <w:tcBorders>
              <w:left w:val="nil"/>
              <w:right w:val="nil"/>
            </w:tcBorders>
          </w:tcPr>
          <w:p w:rsidR="00FA3C02" w:rsidRPr="00C8056F" w:rsidRDefault="00FA3C02" w:rsidP="00584C47">
            <w:pPr>
              <w:ind w:left="-107" w:right="-108"/>
              <w:jc w:val="center"/>
              <w:rPr>
                <w:sz w:val="20"/>
                <w:szCs w:val="20"/>
                <w:lang w:eastAsia="en-US"/>
              </w:rPr>
            </w:pPr>
            <w:r w:rsidRPr="00C8056F">
              <w:rPr>
                <w:rFonts w:ascii="Segoe UI Symbol" w:eastAsia="MS Mincho" w:hAnsi="Segoe UI Symbol" w:cs="Segoe UI Symbol"/>
                <w:sz w:val="20"/>
                <w:szCs w:val="20"/>
                <w:lang w:eastAsia="en-US"/>
              </w:rPr>
              <w:t>☐</w:t>
            </w:r>
          </w:p>
        </w:tc>
        <w:tc>
          <w:tcPr>
            <w:tcW w:w="1297" w:type="dxa"/>
            <w:tcBorders>
              <w:left w:val="nil"/>
            </w:tcBorders>
          </w:tcPr>
          <w:p w:rsidR="00FA3C02" w:rsidRPr="00C8056F" w:rsidRDefault="00FA3C02" w:rsidP="00584C47">
            <w:pPr>
              <w:ind w:left="34"/>
              <w:rPr>
                <w:sz w:val="20"/>
                <w:szCs w:val="20"/>
                <w:lang w:eastAsia="en-US"/>
              </w:rPr>
            </w:pPr>
            <w:r w:rsidRPr="00C8056F">
              <w:rPr>
                <w:sz w:val="20"/>
                <w:szCs w:val="20"/>
                <w:lang w:eastAsia="en-US"/>
              </w:rPr>
              <w:t>Čiastočne</w:t>
            </w:r>
          </w:p>
        </w:tc>
      </w:tr>
      <w:tr w:rsidR="00FA3C02" w:rsidRPr="00C8056F" w:rsidTr="00FA3C02">
        <w:tc>
          <w:tcPr>
            <w:tcW w:w="3812" w:type="dxa"/>
            <w:tcBorders>
              <w:top w:val="single" w:sz="4" w:space="0" w:color="000000"/>
              <w:bottom w:val="nil"/>
            </w:tcBorders>
            <w:shd w:val="clear" w:color="auto" w:fill="E2E2E2"/>
          </w:tcPr>
          <w:p w:rsidR="00FA3C02" w:rsidRPr="00C8056F" w:rsidRDefault="00FA3C02" w:rsidP="00584C47">
            <w:pPr>
              <w:rPr>
                <w:b/>
                <w:sz w:val="20"/>
                <w:szCs w:val="20"/>
                <w:lang w:eastAsia="en-US"/>
              </w:rPr>
            </w:pPr>
            <w:r w:rsidRPr="00C8056F">
              <w:rPr>
                <w:b/>
                <w:sz w:val="20"/>
                <w:szCs w:val="20"/>
                <w:lang w:eastAsia="en-US"/>
              </w:rPr>
              <w:t>Vplyvy na podnikateľské prostredie</w:t>
            </w:r>
          </w:p>
        </w:tc>
        <w:tc>
          <w:tcPr>
            <w:tcW w:w="541" w:type="dxa"/>
            <w:gridSpan w:val="2"/>
            <w:tcBorders>
              <w:right w:val="nil"/>
            </w:tcBorders>
          </w:tcPr>
          <w:p w:rsidR="00FA3C02" w:rsidRPr="00C8056F" w:rsidRDefault="00FA3C02" w:rsidP="00584C47">
            <w:pPr>
              <w:jc w:val="center"/>
              <w:rPr>
                <w:b/>
                <w:sz w:val="20"/>
                <w:szCs w:val="20"/>
                <w:lang w:eastAsia="en-US"/>
              </w:rPr>
            </w:pPr>
            <w:r w:rsidRPr="00C8056F">
              <w:rPr>
                <w:rFonts w:ascii="MS Gothic" w:eastAsia="MS Gothic" w:hAnsi="MS Gothic" w:hint="eastAsia"/>
                <w:b/>
                <w:sz w:val="20"/>
                <w:szCs w:val="20"/>
                <w:lang w:eastAsia="en-US"/>
              </w:rPr>
              <w:t>☒</w:t>
            </w:r>
          </w:p>
        </w:tc>
        <w:tc>
          <w:tcPr>
            <w:tcW w:w="1281" w:type="dxa"/>
            <w:gridSpan w:val="2"/>
            <w:tcBorders>
              <w:left w:val="nil"/>
              <w:right w:val="nil"/>
            </w:tcBorders>
          </w:tcPr>
          <w:p w:rsidR="00FA3C02" w:rsidRPr="00C8056F" w:rsidRDefault="00FA3C02" w:rsidP="00584C47">
            <w:pPr>
              <w:ind w:right="-108"/>
              <w:rPr>
                <w:b/>
                <w:sz w:val="20"/>
                <w:szCs w:val="20"/>
                <w:lang w:eastAsia="en-US"/>
              </w:rPr>
            </w:pPr>
            <w:r w:rsidRPr="00C8056F">
              <w:rPr>
                <w:b/>
                <w:sz w:val="20"/>
                <w:szCs w:val="20"/>
                <w:lang w:eastAsia="en-US"/>
              </w:rPr>
              <w:t>Pozitívne</w:t>
            </w:r>
          </w:p>
        </w:tc>
        <w:tc>
          <w:tcPr>
            <w:tcW w:w="569" w:type="dxa"/>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133" w:type="dxa"/>
            <w:tcBorders>
              <w:left w:val="nil"/>
              <w:right w:val="nil"/>
            </w:tcBorders>
          </w:tcPr>
          <w:p w:rsidR="00FA3C02" w:rsidRPr="00C8056F" w:rsidRDefault="00FA3C02" w:rsidP="00584C47">
            <w:pPr>
              <w:rPr>
                <w:b/>
                <w:sz w:val="20"/>
                <w:szCs w:val="20"/>
                <w:lang w:eastAsia="en-US"/>
              </w:rPr>
            </w:pPr>
            <w:r w:rsidRPr="00C8056F">
              <w:rPr>
                <w:b/>
                <w:sz w:val="20"/>
                <w:szCs w:val="20"/>
                <w:lang w:eastAsia="en-US"/>
              </w:rPr>
              <w:t>Žiadne</w:t>
            </w:r>
          </w:p>
        </w:tc>
        <w:tc>
          <w:tcPr>
            <w:tcW w:w="547" w:type="dxa"/>
            <w:gridSpan w:val="2"/>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97" w:type="dxa"/>
            <w:tcBorders>
              <w:left w:val="nil"/>
            </w:tcBorders>
          </w:tcPr>
          <w:p w:rsidR="00FA3C02" w:rsidRPr="00C8056F" w:rsidRDefault="00FA3C02" w:rsidP="00584C47">
            <w:pPr>
              <w:ind w:left="54"/>
              <w:rPr>
                <w:b/>
                <w:sz w:val="20"/>
                <w:szCs w:val="20"/>
                <w:lang w:eastAsia="en-US"/>
              </w:rPr>
            </w:pPr>
            <w:r w:rsidRPr="00C8056F">
              <w:rPr>
                <w:b/>
                <w:sz w:val="20"/>
                <w:szCs w:val="20"/>
                <w:lang w:eastAsia="en-US"/>
              </w:rPr>
              <w:t>Negatívne</w:t>
            </w:r>
          </w:p>
        </w:tc>
      </w:tr>
      <w:tr w:rsidR="00FA3C02" w:rsidRPr="00C8056F" w:rsidTr="00FA3C02">
        <w:tc>
          <w:tcPr>
            <w:tcW w:w="3812" w:type="dxa"/>
            <w:tcBorders>
              <w:top w:val="nil"/>
              <w:left w:val="single" w:sz="4" w:space="0" w:color="000000"/>
              <w:bottom w:val="single" w:sz="4" w:space="0" w:color="000000"/>
              <w:right w:val="single" w:sz="4" w:space="0" w:color="000000"/>
            </w:tcBorders>
            <w:shd w:val="clear" w:color="auto" w:fill="E2E2E2"/>
          </w:tcPr>
          <w:p w:rsidR="00FA3C02" w:rsidRPr="00C8056F" w:rsidRDefault="00FA3C02" w:rsidP="00584C47">
            <w:pPr>
              <w:rPr>
                <w:sz w:val="20"/>
                <w:szCs w:val="20"/>
                <w:lang w:eastAsia="en-US"/>
              </w:rPr>
            </w:pPr>
            <w:r w:rsidRPr="00C8056F">
              <w:rPr>
                <w:sz w:val="20"/>
                <w:szCs w:val="20"/>
                <w:lang w:eastAsia="en-US"/>
              </w:rPr>
              <w:t xml:space="preserve">    z toho vplyvy na MSP</w:t>
            </w:r>
          </w:p>
        </w:tc>
        <w:tc>
          <w:tcPr>
            <w:tcW w:w="541" w:type="dxa"/>
            <w:gridSpan w:val="2"/>
            <w:tcBorders>
              <w:left w:val="single" w:sz="4" w:space="0" w:color="000000"/>
              <w:right w:val="nil"/>
            </w:tcBorders>
          </w:tcPr>
          <w:p w:rsidR="00FA3C02" w:rsidRPr="00C8056F" w:rsidRDefault="00FA3C02" w:rsidP="00584C47">
            <w:pPr>
              <w:jc w:val="center"/>
              <w:rPr>
                <w:sz w:val="20"/>
                <w:szCs w:val="20"/>
                <w:lang w:eastAsia="en-US"/>
              </w:rPr>
            </w:pPr>
            <w:r w:rsidRPr="00C8056F">
              <w:rPr>
                <w:rFonts w:ascii="MS Gothic" w:eastAsia="MS Gothic" w:hAnsi="MS Gothic" w:hint="eastAsia"/>
                <w:sz w:val="20"/>
                <w:szCs w:val="20"/>
                <w:lang w:eastAsia="en-US"/>
              </w:rPr>
              <w:t>☒</w:t>
            </w:r>
          </w:p>
        </w:tc>
        <w:tc>
          <w:tcPr>
            <w:tcW w:w="1281" w:type="dxa"/>
            <w:gridSpan w:val="2"/>
            <w:tcBorders>
              <w:left w:val="nil"/>
              <w:right w:val="nil"/>
            </w:tcBorders>
          </w:tcPr>
          <w:p w:rsidR="00FA3C02" w:rsidRPr="00C8056F" w:rsidRDefault="00FA3C02" w:rsidP="00584C47">
            <w:pPr>
              <w:ind w:right="-108"/>
              <w:rPr>
                <w:sz w:val="20"/>
                <w:szCs w:val="20"/>
                <w:lang w:eastAsia="en-US"/>
              </w:rPr>
            </w:pPr>
            <w:r w:rsidRPr="00C8056F">
              <w:rPr>
                <w:sz w:val="20"/>
                <w:szCs w:val="20"/>
                <w:lang w:eastAsia="en-US"/>
              </w:rPr>
              <w:t>Pozitívne</w:t>
            </w:r>
          </w:p>
        </w:tc>
        <w:tc>
          <w:tcPr>
            <w:tcW w:w="569" w:type="dxa"/>
            <w:tcBorders>
              <w:left w:val="nil"/>
              <w:right w:val="nil"/>
            </w:tcBorders>
          </w:tcPr>
          <w:p w:rsidR="00FA3C02" w:rsidRPr="00C8056F" w:rsidRDefault="00FA3C02"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1133" w:type="dxa"/>
            <w:tcBorders>
              <w:left w:val="nil"/>
              <w:right w:val="nil"/>
            </w:tcBorders>
          </w:tcPr>
          <w:p w:rsidR="00FA3C02" w:rsidRPr="00C8056F" w:rsidRDefault="00FA3C02" w:rsidP="00584C47">
            <w:pPr>
              <w:rPr>
                <w:sz w:val="20"/>
                <w:szCs w:val="20"/>
                <w:lang w:eastAsia="en-US"/>
              </w:rPr>
            </w:pPr>
            <w:r w:rsidRPr="00C8056F">
              <w:rPr>
                <w:sz w:val="20"/>
                <w:szCs w:val="20"/>
                <w:lang w:eastAsia="en-US"/>
              </w:rPr>
              <w:t>Žiadne</w:t>
            </w:r>
          </w:p>
        </w:tc>
        <w:tc>
          <w:tcPr>
            <w:tcW w:w="547" w:type="dxa"/>
            <w:gridSpan w:val="2"/>
            <w:tcBorders>
              <w:left w:val="nil"/>
              <w:right w:val="nil"/>
            </w:tcBorders>
          </w:tcPr>
          <w:p w:rsidR="00FA3C02" w:rsidRPr="00C8056F" w:rsidRDefault="00FA3C02"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1297" w:type="dxa"/>
            <w:tcBorders>
              <w:left w:val="nil"/>
            </w:tcBorders>
          </w:tcPr>
          <w:p w:rsidR="00FA3C02" w:rsidRPr="00C8056F" w:rsidRDefault="00FA3C02" w:rsidP="00584C47">
            <w:pPr>
              <w:ind w:left="54"/>
              <w:rPr>
                <w:sz w:val="20"/>
                <w:szCs w:val="20"/>
                <w:lang w:eastAsia="en-US"/>
              </w:rPr>
            </w:pPr>
            <w:r w:rsidRPr="00C8056F">
              <w:rPr>
                <w:sz w:val="20"/>
                <w:szCs w:val="20"/>
                <w:lang w:eastAsia="en-US"/>
              </w:rPr>
              <w:t>Negatívne</w:t>
            </w:r>
          </w:p>
        </w:tc>
      </w:tr>
      <w:tr w:rsidR="00FA3C02" w:rsidRPr="00C8056F" w:rsidTr="00FA3C02">
        <w:tc>
          <w:tcPr>
            <w:tcW w:w="3812" w:type="dxa"/>
            <w:tcBorders>
              <w:top w:val="single" w:sz="4" w:space="0" w:color="000000"/>
            </w:tcBorders>
            <w:shd w:val="clear" w:color="auto" w:fill="E2E2E2"/>
          </w:tcPr>
          <w:p w:rsidR="00FA3C02" w:rsidRPr="00C8056F" w:rsidRDefault="00FA3C02" w:rsidP="00584C47">
            <w:pPr>
              <w:rPr>
                <w:b/>
                <w:sz w:val="20"/>
                <w:szCs w:val="20"/>
                <w:lang w:eastAsia="en-US"/>
              </w:rPr>
            </w:pPr>
            <w:r w:rsidRPr="00C8056F">
              <w:rPr>
                <w:b/>
                <w:sz w:val="20"/>
                <w:szCs w:val="20"/>
                <w:lang w:eastAsia="en-US"/>
              </w:rPr>
              <w:t>Sociálne vplyvy</w:t>
            </w:r>
          </w:p>
        </w:tc>
        <w:tc>
          <w:tcPr>
            <w:tcW w:w="541" w:type="dxa"/>
            <w:gridSpan w:val="2"/>
            <w:tcBorders>
              <w:right w:val="nil"/>
            </w:tcBorders>
          </w:tcPr>
          <w:p w:rsidR="00FA3C02" w:rsidRPr="00C8056F" w:rsidRDefault="00FA3C02" w:rsidP="00584C47">
            <w:pPr>
              <w:jc w:val="center"/>
              <w:rPr>
                <w:b/>
                <w:sz w:val="20"/>
                <w:szCs w:val="20"/>
                <w:lang w:eastAsia="en-US"/>
              </w:rPr>
            </w:pPr>
            <w:r w:rsidRPr="00C8056F">
              <w:rPr>
                <w:rFonts w:ascii="MS Gothic" w:eastAsia="MS Gothic" w:hAnsi="MS Gothic" w:hint="eastAsia"/>
                <w:b/>
                <w:sz w:val="20"/>
                <w:szCs w:val="20"/>
                <w:lang w:eastAsia="en-US"/>
              </w:rPr>
              <w:t>☒</w:t>
            </w:r>
          </w:p>
        </w:tc>
        <w:tc>
          <w:tcPr>
            <w:tcW w:w="1281" w:type="dxa"/>
            <w:gridSpan w:val="2"/>
            <w:tcBorders>
              <w:left w:val="nil"/>
              <w:right w:val="nil"/>
            </w:tcBorders>
          </w:tcPr>
          <w:p w:rsidR="00FA3C02" w:rsidRPr="00C8056F" w:rsidRDefault="00FA3C02" w:rsidP="00584C47">
            <w:pPr>
              <w:ind w:right="-108"/>
              <w:rPr>
                <w:b/>
                <w:sz w:val="20"/>
                <w:szCs w:val="20"/>
                <w:lang w:eastAsia="en-US"/>
              </w:rPr>
            </w:pPr>
            <w:r w:rsidRPr="00C8056F">
              <w:rPr>
                <w:b/>
                <w:sz w:val="20"/>
                <w:szCs w:val="20"/>
                <w:lang w:eastAsia="en-US"/>
              </w:rPr>
              <w:t>Pozitívne</w:t>
            </w:r>
          </w:p>
        </w:tc>
        <w:tc>
          <w:tcPr>
            <w:tcW w:w="569" w:type="dxa"/>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133" w:type="dxa"/>
            <w:tcBorders>
              <w:left w:val="nil"/>
              <w:right w:val="nil"/>
            </w:tcBorders>
          </w:tcPr>
          <w:p w:rsidR="00FA3C02" w:rsidRPr="00C8056F" w:rsidRDefault="00FA3C02" w:rsidP="00584C47">
            <w:pPr>
              <w:rPr>
                <w:b/>
                <w:sz w:val="20"/>
                <w:szCs w:val="20"/>
                <w:lang w:eastAsia="en-US"/>
              </w:rPr>
            </w:pPr>
            <w:r w:rsidRPr="00C8056F">
              <w:rPr>
                <w:b/>
                <w:sz w:val="20"/>
                <w:szCs w:val="20"/>
                <w:lang w:eastAsia="en-US"/>
              </w:rPr>
              <w:t>Žiadne</w:t>
            </w:r>
          </w:p>
        </w:tc>
        <w:tc>
          <w:tcPr>
            <w:tcW w:w="547" w:type="dxa"/>
            <w:gridSpan w:val="2"/>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97" w:type="dxa"/>
            <w:tcBorders>
              <w:left w:val="nil"/>
            </w:tcBorders>
          </w:tcPr>
          <w:p w:rsidR="00FA3C02" w:rsidRPr="00C8056F" w:rsidRDefault="00FA3C02" w:rsidP="00584C47">
            <w:pPr>
              <w:ind w:left="54"/>
              <w:rPr>
                <w:b/>
                <w:sz w:val="20"/>
                <w:szCs w:val="20"/>
                <w:lang w:eastAsia="en-US"/>
              </w:rPr>
            </w:pPr>
            <w:r w:rsidRPr="00C8056F">
              <w:rPr>
                <w:b/>
                <w:sz w:val="20"/>
                <w:szCs w:val="20"/>
                <w:lang w:eastAsia="en-US"/>
              </w:rPr>
              <w:t>Negatívne</w:t>
            </w:r>
          </w:p>
        </w:tc>
      </w:tr>
      <w:tr w:rsidR="00FA3C02" w:rsidRPr="00C8056F" w:rsidTr="00584C47">
        <w:tc>
          <w:tcPr>
            <w:tcW w:w="3812" w:type="dxa"/>
            <w:shd w:val="clear" w:color="auto" w:fill="E2E2E2"/>
          </w:tcPr>
          <w:p w:rsidR="00FA3C02" w:rsidRPr="00C8056F" w:rsidRDefault="00FA3C02" w:rsidP="00584C47">
            <w:pPr>
              <w:rPr>
                <w:b/>
                <w:sz w:val="20"/>
                <w:szCs w:val="20"/>
                <w:lang w:eastAsia="en-US"/>
              </w:rPr>
            </w:pPr>
            <w:r w:rsidRPr="00C8056F">
              <w:rPr>
                <w:b/>
                <w:sz w:val="20"/>
                <w:szCs w:val="20"/>
                <w:lang w:eastAsia="en-US"/>
              </w:rPr>
              <w:t>Vplyvy na životné prostredie</w:t>
            </w:r>
          </w:p>
        </w:tc>
        <w:tc>
          <w:tcPr>
            <w:tcW w:w="541" w:type="dxa"/>
            <w:gridSpan w:val="2"/>
            <w:tcBorders>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81" w:type="dxa"/>
            <w:gridSpan w:val="2"/>
            <w:tcBorders>
              <w:left w:val="nil"/>
              <w:right w:val="nil"/>
            </w:tcBorders>
          </w:tcPr>
          <w:p w:rsidR="00FA3C02" w:rsidRPr="00C8056F" w:rsidRDefault="00FA3C02" w:rsidP="00584C47">
            <w:pPr>
              <w:ind w:right="-108"/>
              <w:rPr>
                <w:b/>
                <w:sz w:val="20"/>
                <w:szCs w:val="20"/>
                <w:lang w:eastAsia="en-US"/>
              </w:rPr>
            </w:pPr>
            <w:r w:rsidRPr="00C8056F">
              <w:rPr>
                <w:b/>
                <w:sz w:val="20"/>
                <w:szCs w:val="20"/>
                <w:lang w:eastAsia="en-US"/>
              </w:rPr>
              <w:t>Pozitívne</w:t>
            </w:r>
          </w:p>
        </w:tc>
        <w:tc>
          <w:tcPr>
            <w:tcW w:w="569" w:type="dxa"/>
            <w:tcBorders>
              <w:left w:val="nil"/>
              <w:right w:val="nil"/>
            </w:tcBorders>
          </w:tcPr>
          <w:p w:rsidR="00FA3C02" w:rsidRPr="00C8056F" w:rsidRDefault="00FA3C02" w:rsidP="00584C47">
            <w:pPr>
              <w:jc w:val="center"/>
              <w:rPr>
                <w:b/>
                <w:sz w:val="20"/>
                <w:szCs w:val="20"/>
                <w:lang w:eastAsia="en-US"/>
              </w:rPr>
            </w:pPr>
            <w:r w:rsidRPr="00C8056F">
              <w:rPr>
                <w:rFonts w:ascii="MS Gothic" w:eastAsia="MS Gothic" w:hAnsi="MS Gothic" w:hint="eastAsia"/>
                <w:b/>
                <w:sz w:val="20"/>
                <w:szCs w:val="20"/>
                <w:lang w:eastAsia="en-US"/>
              </w:rPr>
              <w:t>☒</w:t>
            </w:r>
            <w:r w:rsidRPr="00C8056F">
              <w:rPr>
                <w:rFonts w:ascii="MS Mincho" w:eastAsia="MS Mincho" w:hAnsi="MS Mincho" w:cs="MS Mincho"/>
                <w:b/>
                <w:sz w:val="20"/>
                <w:szCs w:val="20"/>
                <w:lang w:eastAsia="en-US"/>
              </w:rPr>
              <w:t xml:space="preserve"> </w:t>
            </w:r>
          </w:p>
        </w:tc>
        <w:tc>
          <w:tcPr>
            <w:tcW w:w="1133" w:type="dxa"/>
            <w:tcBorders>
              <w:left w:val="nil"/>
              <w:right w:val="nil"/>
            </w:tcBorders>
          </w:tcPr>
          <w:p w:rsidR="00FA3C02" w:rsidRPr="00C8056F" w:rsidRDefault="00FA3C02" w:rsidP="00584C47">
            <w:pPr>
              <w:rPr>
                <w:b/>
                <w:sz w:val="20"/>
                <w:szCs w:val="20"/>
                <w:lang w:eastAsia="en-US"/>
              </w:rPr>
            </w:pPr>
            <w:r w:rsidRPr="00C8056F">
              <w:rPr>
                <w:b/>
                <w:sz w:val="20"/>
                <w:szCs w:val="20"/>
                <w:lang w:eastAsia="en-US"/>
              </w:rPr>
              <w:t>Žiadne</w:t>
            </w:r>
          </w:p>
        </w:tc>
        <w:tc>
          <w:tcPr>
            <w:tcW w:w="547" w:type="dxa"/>
            <w:gridSpan w:val="2"/>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97" w:type="dxa"/>
            <w:tcBorders>
              <w:left w:val="nil"/>
            </w:tcBorders>
          </w:tcPr>
          <w:p w:rsidR="00FA3C02" w:rsidRPr="00C8056F" w:rsidRDefault="00FA3C02" w:rsidP="00584C47">
            <w:pPr>
              <w:ind w:left="54"/>
              <w:rPr>
                <w:b/>
                <w:sz w:val="20"/>
                <w:szCs w:val="20"/>
                <w:lang w:eastAsia="en-US"/>
              </w:rPr>
            </w:pPr>
            <w:r w:rsidRPr="00C8056F">
              <w:rPr>
                <w:b/>
                <w:sz w:val="20"/>
                <w:szCs w:val="20"/>
                <w:lang w:eastAsia="en-US"/>
              </w:rPr>
              <w:t>Negatívne</w:t>
            </w:r>
          </w:p>
        </w:tc>
      </w:tr>
      <w:tr w:rsidR="00FA3C02" w:rsidRPr="00C8056F" w:rsidTr="00584C47">
        <w:tc>
          <w:tcPr>
            <w:tcW w:w="3812" w:type="dxa"/>
            <w:shd w:val="clear" w:color="auto" w:fill="E2E2E2"/>
          </w:tcPr>
          <w:p w:rsidR="00FA3C02" w:rsidRPr="00C8056F" w:rsidRDefault="00FA3C02" w:rsidP="00584C47">
            <w:pPr>
              <w:rPr>
                <w:b/>
                <w:sz w:val="20"/>
                <w:szCs w:val="20"/>
                <w:lang w:eastAsia="en-US"/>
              </w:rPr>
            </w:pPr>
            <w:r w:rsidRPr="00C8056F">
              <w:rPr>
                <w:b/>
                <w:sz w:val="20"/>
                <w:szCs w:val="20"/>
                <w:lang w:eastAsia="en-US"/>
              </w:rPr>
              <w:t>Vplyvy na informatizáciu</w:t>
            </w:r>
          </w:p>
        </w:tc>
        <w:tc>
          <w:tcPr>
            <w:tcW w:w="541" w:type="dxa"/>
            <w:gridSpan w:val="2"/>
            <w:tcBorders>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81" w:type="dxa"/>
            <w:gridSpan w:val="2"/>
            <w:tcBorders>
              <w:left w:val="nil"/>
              <w:right w:val="nil"/>
            </w:tcBorders>
          </w:tcPr>
          <w:p w:rsidR="00FA3C02" w:rsidRPr="00C8056F" w:rsidRDefault="00FA3C02" w:rsidP="00584C47">
            <w:pPr>
              <w:ind w:right="-108"/>
              <w:rPr>
                <w:b/>
                <w:sz w:val="20"/>
                <w:szCs w:val="20"/>
                <w:lang w:eastAsia="en-US"/>
              </w:rPr>
            </w:pPr>
            <w:r w:rsidRPr="00C8056F">
              <w:rPr>
                <w:b/>
                <w:sz w:val="20"/>
                <w:szCs w:val="20"/>
                <w:lang w:eastAsia="en-US"/>
              </w:rPr>
              <w:t>Pozitívne</w:t>
            </w:r>
          </w:p>
        </w:tc>
        <w:tc>
          <w:tcPr>
            <w:tcW w:w="569" w:type="dxa"/>
            <w:tcBorders>
              <w:left w:val="nil"/>
              <w:right w:val="nil"/>
            </w:tcBorders>
          </w:tcPr>
          <w:p w:rsidR="00FA3C02" w:rsidRPr="00C8056F" w:rsidRDefault="00FA3C02" w:rsidP="00584C47">
            <w:pPr>
              <w:jc w:val="center"/>
              <w:rPr>
                <w:b/>
                <w:sz w:val="20"/>
                <w:szCs w:val="20"/>
                <w:lang w:eastAsia="en-US"/>
              </w:rPr>
            </w:pPr>
            <w:r w:rsidRPr="00C8056F">
              <w:rPr>
                <w:rFonts w:ascii="MS Gothic" w:eastAsia="MS Gothic" w:hAnsi="MS Gothic" w:hint="eastAsia"/>
                <w:b/>
                <w:sz w:val="20"/>
                <w:szCs w:val="20"/>
                <w:lang w:eastAsia="en-US"/>
              </w:rPr>
              <w:t>☒</w:t>
            </w:r>
          </w:p>
        </w:tc>
        <w:tc>
          <w:tcPr>
            <w:tcW w:w="1133" w:type="dxa"/>
            <w:tcBorders>
              <w:left w:val="nil"/>
              <w:right w:val="nil"/>
            </w:tcBorders>
          </w:tcPr>
          <w:p w:rsidR="00FA3C02" w:rsidRPr="00C8056F" w:rsidRDefault="00FA3C02" w:rsidP="00584C47">
            <w:pPr>
              <w:rPr>
                <w:b/>
                <w:sz w:val="20"/>
                <w:szCs w:val="20"/>
                <w:lang w:eastAsia="en-US"/>
              </w:rPr>
            </w:pPr>
            <w:r w:rsidRPr="00C8056F">
              <w:rPr>
                <w:b/>
                <w:sz w:val="20"/>
                <w:szCs w:val="20"/>
                <w:lang w:eastAsia="en-US"/>
              </w:rPr>
              <w:t>Žiadne</w:t>
            </w:r>
          </w:p>
        </w:tc>
        <w:tc>
          <w:tcPr>
            <w:tcW w:w="547" w:type="dxa"/>
            <w:gridSpan w:val="2"/>
            <w:tcBorders>
              <w:left w:val="nil"/>
              <w:right w:val="nil"/>
            </w:tcBorders>
          </w:tcPr>
          <w:p w:rsidR="00FA3C02" w:rsidRPr="00C8056F" w:rsidRDefault="00FA3C02" w:rsidP="00584C47">
            <w:pPr>
              <w:jc w:val="center"/>
              <w:rPr>
                <w:b/>
                <w:sz w:val="20"/>
                <w:szCs w:val="20"/>
                <w:lang w:eastAsia="en-US"/>
              </w:rPr>
            </w:pPr>
            <w:r w:rsidRPr="00C8056F">
              <w:rPr>
                <w:rFonts w:ascii="Segoe UI Symbol" w:eastAsia="MS Mincho" w:hAnsi="Segoe UI Symbol" w:cs="Segoe UI Symbol"/>
                <w:b/>
                <w:sz w:val="20"/>
                <w:szCs w:val="20"/>
                <w:lang w:eastAsia="en-US"/>
              </w:rPr>
              <w:t>☐</w:t>
            </w:r>
          </w:p>
        </w:tc>
        <w:tc>
          <w:tcPr>
            <w:tcW w:w="1297" w:type="dxa"/>
            <w:tcBorders>
              <w:left w:val="nil"/>
            </w:tcBorders>
          </w:tcPr>
          <w:p w:rsidR="00FA3C02" w:rsidRPr="00C8056F" w:rsidRDefault="00FA3C02" w:rsidP="00584C47">
            <w:pPr>
              <w:ind w:left="54"/>
              <w:rPr>
                <w:b/>
                <w:sz w:val="20"/>
                <w:szCs w:val="20"/>
                <w:lang w:eastAsia="en-US"/>
              </w:rPr>
            </w:pPr>
            <w:r w:rsidRPr="00C8056F">
              <w:rPr>
                <w:b/>
                <w:sz w:val="20"/>
                <w:szCs w:val="20"/>
                <w:lang w:eastAsia="en-US"/>
              </w:rPr>
              <w:t>Negatívne</w:t>
            </w:r>
          </w:p>
        </w:tc>
      </w:tr>
    </w:tbl>
    <w:p w:rsidR="00FA3C02" w:rsidRPr="00C8056F" w:rsidRDefault="00FA3C02" w:rsidP="00FA3C02">
      <w:pPr>
        <w:rPr>
          <w:vanish/>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FA3C02" w:rsidRPr="00C8056F" w:rsidTr="00584C47">
        <w:tc>
          <w:tcPr>
            <w:tcW w:w="3812" w:type="dxa"/>
            <w:tcBorders>
              <w:bottom w:val="nil"/>
            </w:tcBorders>
            <w:shd w:val="clear" w:color="auto" w:fill="E2E2E2"/>
          </w:tcPr>
          <w:p w:rsidR="00FA3C02" w:rsidRPr="00C8056F" w:rsidRDefault="00FA3C02" w:rsidP="00584C47">
            <w:pPr>
              <w:rPr>
                <w:b/>
                <w:sz w:val="20"/>
                <w:szCs w:val="20"/>
              </w:rPr>
            </w:pPr>
            <w:r w:rsidRPr="00C8056F">
              <w:rPr>
                <w:b/>
                <w:sz w:val="20"/>
                <w:szCs w:val="20"/>
                <w:lang w:eastAsia="en-US"/>
              </w:rPr>
              <w:t>Vplyvy na služby verejnej správy pre občana, z toho</w:t>
            </w:r>
          </w:p>
        </w:tc>
        <w:tc>
          <w:tcPr>
            <w:tcW w:w="541" w:type="dxa"/>
            <w:tcBorders>
              <w:bottom w:val="nil"/>
              <w:right w:val="nil"/>
            </w:tcBorders>
          </w:tcPr>
          <w:p w:rsidR="00FA3C02" w:rsidRPr="00C8056F" w:rsidRDefault="00FA3C02" w:rsidP="00584C47">
            <w:pPr>
              <w:jc w:val="center"/>
              <w:rPr>
                <w:rFonts w:eastAsia="MS Mincho"/>
                <w:b/>
                <w:sz w:val="20"/>
                <w:szCs w:val="20"/>
              </w:rPr>
            </w:pPr>
          </w:p>
        </w:tc>
        <w:tc>
          <w:tcPr>
            <w:tcW w:w="1281" w:type="dxa"/>
            <w:tcBorders>
              <w:left w:val="nil"/>
              <w:bottom w:val="nil"/>
              <w:right w:val="nil"/>
            </w:tcBorders>
          </w:tcPr>
          <w:p w:rsidR="00FA3C02" w:rsidRPr="00C8056F" w:rsidRDefault="00FA3C02" w:rsidP="00584C47">
            <w:pPr>
              <w:ind w:right="-108"/>
              <w:rPr>
                <w:b/>
                <w:sz w:val="20"/>
                <w:szCs w:val="20"/>
              </w:rPr>
            </w:pPr>
          </w:p>
        </w:tc>
        <w:tc>
          <w:tcPr>
            <w:tcW w:w="569" w:type="dxa"/>
            <w:tcBorders>
              <w:left w:val="nil"/>
              <w:bottom w:val="nil"/>
              <w:right w:val="nil"/>
            </w:tcBorders>
          </w:tcPr>
          <w:p w:rsidR="00FA3C02" w:rsidRPr="00C8056F" w:rsidRDefault="00FA3C02" w:rsidP="00584C47">
            <w:pPr>
              <w:jc w:val="center"/>
              <w:rPr>
                <w:rFonts w:eastAsia="MS Mincho"/>
                <w:b/>
                <w:sz w:val="20"/>
                <w:szCs w:val="20"/>
              </w:rPr>
            </w:pPr>
          </w:p>
        </w:tc>
        <w:tc>
          <w:tcPr>
            <w:tcW w:w="1133" w:type="dxa"/>
            <w:tcBorders>
              <w:left w:val="nil"/>
              <w:bottom w:val="nil"/>
              <w:right w:val="nil"/>
            </w:tcBorders>
          </w:tcPr>
          <w:p w:rsidR="00FA3C02" w:rsidRPr="00C8056F" w:rsidRDefault="00FA3C02" w:rsidP="00584C47">
            <w:pPr>
              <w:rPr>
                <w:b/>
                <w:sz w:val="20"/>
                <w:szCs w:val="20"/>
              </w:rPr>
            </w:pPr>
          </w:p>
        </w:tc>
        <w:tc>
          <w:tcPr>
            <w:tcW w:w="547" w:type="dxa"/>
            <w:tcBorders>
              <w:left w:val="nil"/>
              <w:bottom w:val="nil"/>
              <w:right w:val="nil"/>
            </w:tcBorders>
          </w:tcPr>
          <w:p w:rsidR="00FA3C02" w:rsidRPr="00C8056F" w:rsidRDefault="00FA3C02" w:rsidP="00584C47">
            <w:pPr>
              <w:jc w:val="center"/>
              <w:rPr>
                <w:rFonts w:eastAsia="MS Mincho"/>
                <w:b/>
                <w:sz w:val="20"/>
                <w:szCs w:val="20"/>
              </w:rPr>
            </w:pPr>
          </w:p>
        </w:tc>
        <w:tc>
          <w:tcPr>
            <w:tcW w:w="1297" w:type="dxa"/>
            <w:tcBorders>
              <w:left w:val="nil"/>
              <w:bottom w:val="nil"/>
            </w:tcBorders>
          </w:tcPr>
          <w:p w:rsidR="00FA3C02" w:rsidRPr="00C8056F" w:rsidRDefault="00FA3C02" w:rsidP="00584C47">
            <w:pPr>
              <w:ind w:left="54"/>
              <w:rPr>
                <w:b/>
                <w:sz w:val="20"/>
                <w:szCs w:val="20"/>
              </w:rPr>
            </w:pPr>
          </w:p>
        </w:tc>
      </w:tr>
      <w:tr w:rsidR="00FA3C02" w:rsidRPr="00C8056F" w:rsidTr="00584C47">
        <w:tc>
          <w:tcPr>
            <w:tcW w:w="3812" w:type="dxa"/>
            <w:tcBorders>
              <w:top w:val="nil"/>
              <w:bottom w:val="nil"/>
            </w:tcBorders>
            <w:shd w:val="clear" w:color="auto" w:fill="E2E2E2"/>
          </w:tcPr>
          <w:p w:rsidR="00FA3C02" w:rsidRPr="00C8056F" w:rsidRDefault="00FA3C02" w:rsidP="00584C47">
            <w:pPr>
              <w:ind w:left="196" w:hanging="196"/>
              <w:rPr>
                <w:b/>
                <w:sz w:val="20"/>
                <w:szCs w:val="20"/>
                <w:lang w:eastAsia="en-US"/>
              </w:rPr>
            </w:pPr>
            <w:r w:rsidRPr="00C8056F">
              <w:rPr>
                <w:b/>
                <w:sz w:val="20"/>
                <w:szCs w:val="20"/>
                <w:lang w:eastAsia="en-US"/>
              </w:rPr>
              <w:t xml:space="preserve">    vplyvy služieb verejnej správy na občana</w:t>
            </w:r>
          </w:p>
        </w:tc>
        <w:tc>
          <w:tcPr>
            <w:tcW w:w="541" w:type="dxa"/>
            <w:tcBorders>
              <w:top w:val="nil"/>
              <w:bottom w:val="nil"/>
              <w:right w:val="nil"/>
            </w:tcBorders>
          </w:tcPr>
          <w:p w:rsidR="00FA3C02" w:rsidRPr="00C8056F" w:rsidRDefault="00FA3C02" w:rsidP="00584C47">
            <w:pPr>
              <w:jc w:val="center"/>
              <w:rPr>
                <w:b/>
                <w:sz w:val="20"/>
                <w:szCs w:val="20"/>
              </w:rPr>
            </w:pPr>
            <w:r w:rsidRPr="00C8056F">
              <w:rPr>
                <w:rFonts w:ascii="MS Gothic" w:eastAsia="MS Gothic" w:hAnsi="MS Gothic" w:hint="eastAsia"/>
                <w:b/>
                <w:sz w:val="20"/>
                <w:szCs w:val="20"/>
              </w:rPr>
              <w:t>☐</w:t>
            </w:r>
          </w:p>
        </w:tc>
        <w:tc>
          <w:tcPr>
            <w:tcW w:w="1281" w:type="dxa"/>
            <w:tcBorders>
              <w:top w:val="nil"/>
              <w:left w:val="nil"/>
              <w:bottom w:val="nil"/>
              <w:right w:val="nil"/>
            </w:tcBorders>
          </w:tcPr>
          <w:p w:rsidR="00FA3C02" w:rsidRPr="00C8056F" w:rsidRDefault="00FA3C02" w:rsidP="00584C47">
            <w:pPr>
              <w:ind w:right="-108"/>
              <w:rPr>
                <w:b/>
                <w:sz w:val="20"/>
                <w:szCs w:val="20"/>
              </w:rPr>
            </w:pPr>
            <w:r w:rsidRPr="00C8056F">
              <w:rPr>
                <w:b/>
                <w:sz w:val="20"/>
                <w:szCs w:val="20"/>
              </w:rPr>
              <w:t>Pozitívne</w:t>
            </w:r>
          </w:p>
        </w:tc>
        <w:tc>
          <w:tcPr>
            <w:tcW w:w="569" w:type="dxa"/>
            <w:tcBorders>
              <w:top w:val="nil"/>
              <w:left w:val="nil"/>
              <w:bottom w:val="nil"/>
              <w:right w:val="nil"/>
            </w:tcBorders>
          </w:tcPr>
          <w:p w:rsidR="00FA3C02" w:rsidRPr="00C8056F" w:rsidRDefault="00FA3C02" w:rsidP="00584C47">
            <w:pPr>
              <w:jc w:val="center"/>
              <w:rPr>
                <w:b/>
                <w:sz w:val="20"/>
                <w:szCs w:val="20"/>
              </w:rPr>
            </w:pPr>
            <w:r w:rsidRPr="00C8056F">
              <w:rPr>
                <w:rFonts w:ascii="MS Gothic" w:eastAsia="MS Gothic" w:hAnsi="MS Gothic" w:hint="eastAsia"/>
                <w:b/>
                <w:sz w:val="20"/>
                <w:szCs w:val="20"/>
              </w:rPr>
              <w:t>☒</w:t>
            </w:r>
          </w:p>
        </w:tc>
        <w:tc>
          <w:tcPr>
            <w:tcW w:w="1133" w:type="dxa"/>
            <w:tcBorders>
              <w:top w:val="nil"/>
              <w:left w:val="nil"/>
              <w:bottom w:val="nil"/>
              <w:right w:val="nil"/>
            </w:tcBorders>
          </w:tcPr>
          <w:p w:rsidR="00FA3C02" w:rsidRPr="00C8056F" w:rsidRDefault="00FA3C02" w:rsidP="00584C47">
            <w:pPr>
              <w:rPr>
                <w:b/>
                <w:sz w:val="20"/>
                <w:szCs w:val="20"/>
              </w:rPr>
            </w:pPr>
            <w:r w:rsidRPr="00C8056F">
              <w:rPr>
                <w:b/>
                <w:sz w:val="20"/>
                <w:szCs w:val="20"/>
              </w:rPr>
              <w:t>Žiadne</w:t>
            </w:r>
          </w:p>
        </w:tc>
        <w:tc>
          <w:tcPr>
            <w:tcW w:w="547" w:type="dxa"/>
            <w:tcBorders>
              <w:top w:val="nil"/>
              <w:left w:val="nil"/>
              <w:bottom w:val="nil"/>
              <w:right w:val="nil"/>
            </w:tcBorders>
          </w:tcPr>
          <w:p w:rsidR="00FA3C02" w:rsidRPr="00C8056F" w:rsidRDefault="00FA3C02" w:rsidP="00584C47">
            <w:pPr>
              <w:jc w:val="center"/>
              <w:rPr>
                <w:b/>
                <w:sz w:val="20"/>
                <w:szCs w:val="20"/>
              </w:rPr>
            </w:pPr>
            <w:r w:rsidRPr="00C8056F">
              <w:rPr>
                <w:rFonts w:ascii="Segoe UI Symbol" w:eastAsia="MS Mincho" w:hAnsi="Segoe UI Symbol" w:cs="Segoe UI Symbol"/>
                <w:b/>
                <w:sz w:val="20"/>
                <w:szCs w:val="20"/>
              </w:rPr>
              <w:t>☐</w:t>
            </w:r>
          </w:p>
        </w:tc>
        <w:tc>
          <w:tcPr>
            <w:tcW w:w="1297" w:type="dxa"/>
            <w:tcBorders>
              <w:top w:val="nil"/>
              <w:left w:val="nil"/>
              <w:bottom w:val="nil"/>
            </w:tcBorders>
          </w:tcPr>
          <w:p w:rsidR="00FA3C02" w:rsidRPr="00C8056F" w:rsidRDefault="00FA3C02" w:rsidP="00584C47">
            <w:pPr>
              <w:ind w:left="54"/>
              <w:rPr>
                <w:b/>
                <w:sz w:val="20"/>
                <w:szCs w:val="20"/>
              </w:rPr>
            </w:pPr>
            <w:r w:rsidRPr="00C8056F">
              <w:rPr>
                <w:b/>
                <w:sz w:val="20"/>
                <w:szCs w:val="20"/>
              </w:rPr>
              <w:t>Negatívne</w:t>
            </w:r>
          </w:p>
        </w:tc>
      </w:tr>
      <w:tr w:rsidR="00FA3C02" w:rsidRPr="00C8056F" w:rsidTr="00584C47">
        <w:tc>
          <w:tcPr>
            <w:tcW w:w="3812" w:type="dxa"/>
            <w:tcBorders>
              <w:top w:val="nil"/>
            </w:tcBorders>
            <w:shd w:val="clear" w:color="auto" w:fill="E2E2E2"/>
          </w:tcPr>
          <w:p w:rsidR="00FA3C02" w:rsidRPr="00C8056F" w:rsidRDefault="00FA3C02" w:rsidP="00584C47">
            <w:pPr>
              <w:ind w:left="168" w:hanging="168"/>
              <w:rPr>
                <w:b/>
                <w:sz w:val="20"/>
                <w:szCs w:val="20"/>
                <w:lang w:eastAsia="en-US"/>
              </w:rPr>
            </w:pPr>
            <w:r w:rsidRPr="00C8056F">
              <w:rPr>
                <w:b/>
                <w:sz w:val="20"/>
                <w:szCs w:val="20"/>
                <w:lang w:eastAsia="en-US"/>
              </w:rPr>
              <w:t xml:space="preserve">    vplyvy na procesy služieb vo verejnej správe</w:t>
            </w:r>
          </w:p>
        </w:tc>
        <w:tc>
          <w:tcPr>
            <w:tcW w:w="541" w:type="dxa"/>
            <w:tcBorders>
              <w:top w:val="nil"/>
              <w:right w:val="nil"/>
            </w:tcBorders>
          </w:tcPr>
          <w:p w:rsidR="00FA3C02" w:rsidRPr="00C8056F" w:rsidRDefault="00FA3C02" w:rsidP="00584C47">
            <w:pPr>
              <w:jc w:val="center"/>
              <w:rPr>
                <w:b/>
                <w:sz w:val="20"/>
                <w:szCs w:val="20"/>
              </w:rPr>
            </w:pPr>
            <w:r w:rsidRPr="00C8056F">
              <w:rPr>
                <w:rFonts w:ascii="Segoe UI Symbol" w:eastAsia="MS Mincho" w:hAnsi="Segoe UI Symbol" w:cs="Segoe UI Symbol"/>
                <w:b/>
                <w:sz w:val="20"/>
                <w:szCs w:val="20"/>
              </w:rPr>
              <w:t>☐</w:t>
            </w:r>
          </w:p>
        </w:tc>
        <w:tc>
          <w:tcPr>
            <w:tcW w:w="1281" w:type="dxa"/>
            <w:tcBorders>
              <w:top w:val="nil"/>
              <w:left w:val="nil"/>
              <w:right w:val="nil"/>
            </w:tcBorders>
          </w:tcPr>
          <w:p w:rsidR="00FA3C02" w:rsidRPr="00C8056F" w:rsidRDefault="00FA3C02" w:rsidP="00584C47">
            <w:pPr>
              <w:ind w:right="-108"/>
              <w:rPr>
                <w:b/>
                <w:sz w:val="20"/>
                <w:szCs w:val="20"/>
              </w:rPr>
            </w:pPr>
            <w:r w:rsidRPr="00C8056F">
              <w:rPr>
                <w:b/>
                <w:sz w:val="20"/>
                <w:szCs w:val="20"/>
              </w:rPr>
              <w:t>Pozitívne</w:t>
            </w:r>
          </w:p>
        </w:tc>
        <w:tc>
          <w:tcPr>
            <w:tcW w:w="569" w:type="dxa"/>
            <w:tcBorders>
              <w:top w:val="nil"/>
              <w:left w:val="nil"/>
              <w:right w:val="nil"/>
            </w:tcBorders>
          </w:tcPr>
          <w:p w:rsidR="00FA3C02" w:rsidRPr="00C8056F" w:rsidRDefault="00FA3C02" w:rsidP="00584C47">
            <w:pPr>
              <w:jc w:val="center"/>
              <w:rPr>
                <w:b/>
                <w:sz w:val="20"/>
                <w:szCs w:val="20"/>
              </w:rPr>
            </w:pPr>
            <w:r w:rsidRPr="00C8056F">
              <w:rPr>
                <w:rFonts w:ascii="MS Gothic" w:eastAsia="MS Gothic" w:hAnsi="MS Gothic" w:hint="eastAsia"/>
                <w:b/>
                <w:sz w:val="20"/>
                <w:szCs w:val="20"/>
              </w:rPr>
              <w:t>☒</w:t>
            </w:r>
          </w:p>
        </w:tc>
        <w:tc>
          <w:tcPr>
            <w:tcW w:w="1133" w:type="dxa"/>
            <w:tcBorders>
              <w:top w:val="nil"/>
              <w:left w:val="nil"/>
              <w:right w:val="nil"/>
            </w:tcBorders>
          </w:tcPr>
          <w:p w:rsidR="00FA3C02" w:rsidRPr="00C8056F" w:rsidRDefault="00FA3C02" w:rsidP="00584C47">
            <w:pPr>
              <w:rPr>
                <w:b/>
                <w:sz w:val="20"/>
                <w:szCs w:val="20"/>
              </w:rPr>
            </w:pPr>
            <w:r w:rsidRPr="00C8056F">
              <w:rPr>
                <w:b/>
                <w:sz w:val="20"/>
                <w:szCs w:val="20"/>
              </w:rPr>
              <w:t>Žiadne</w:t>
            </w:r>
          </w:p>
        </w:tc>
        <w:tc>
          <w:tcPr>
            <w:tcW w:w="547" w:type="dxa"/>
            <w:tcBorders>
              <w:top w:val="nil"/>
              <w:left w:val="nil"/>
              <w:right w:val="nil"/>
            </w:tcBorders>
          </w:tcPr>
          <w:p w:rsidR="00FA3C02" w:rsidRPr="00C8056F" w:rsidRDefault="00FA3C02" w:rsidP="00584C47">
            <w:pPr>
              <w:jc w:val="center"/>
              <w:rPr>
                <w:b/>
                <w:sz w:val="20"/>
                <w:szCs w:val="20"/>
              </w:rPr>
            </w:pPr>
            <w:r w:rsidRPr="00C8056F">
              <w:rPr>
                <w:rFonts w:ascii="Segoe UI Symbol" w:eastAsia="MS Mincho" w:hAnsi="Segoe UI Symbol" w:cs="Segoe UI Symbol"/>
                <w:b/>
                <w:sz w:val="20"/>
                <w:szCs w:val="20"/>
              </w:rPr>
              <w:t>☐</w:t>
            </w:r>
          </w:p>
        </w:tc>
        <w:tc>
          <w:tcPr>
            <w:tcW w:w="1297" w:type="dxa"/>
            <w:tcBorders>
              <w:top w:val="nil"/>
              <w:left w:val="nil"/>
            </w:tcBorders>
          </w:tcPr>
          <w:p w:rsidR="00FA3C02" w:rsidRPr="00C8056F" w:rsidRDefault="00FA3C02" w:rsidP="00584C47">
            <w:pPr>
              <w:ind w:left="54"/>
              <w:rPr>
                <w:b/>
                <w:sz w:val="20"/>
                <w:szCs w:val="20"/>
              </w:rPr>
            </w:pPr>
            <w:r w:rsidRPr="00C8056F">
              <w:rPr>
                <w:b/>
                <w:sz w:val="20"/>
                <w:szCs w:val="20"/>
              </w:rPr>
              <w:t>Negatívne</w:t>
            </w:r>
          </w:p>
        </w:tc>
      </w:tr>
    </w:tbl>
    <w:p w:rsidR="00FA3C02" w:rsidRPr="00C8056F" w:rsidRDefault="00FA3C02" w:rsidP="00FA3C02">
      <w:pPr>
        <w:ind w:right="141"/>
        <w:rPr>
          <w:b/>
          <w:sz w:val="20"/>
          <w:szCs w:val="20"/>
        </w:rPr>
      </w:pPr>
    </w:p>
    <w:tbl>
      <w:tblPr>
        <w:tblStyle w:val="Mriekatabuky"/>
        <w:tblW w:w="9176" w:type="dxa"/>
        <w:tblLayout w:type="fixed"/>
        <w:tblLook w:val="04A0" w:firstRow="1" w:lastRow="0" w:firstColumn="1" w:lastColumn="0" w:noHBand="0" w:noVBand="1"/>
      </w:tblPr>
      <w:tblGrid>
        <w:gridCol w:w="9176"/>
      </w:tblGrid>
      <w:tr w:rsidR="00FA3C02" w:rsidRPr="00C8056F" w:rsidTr="00584C47">
        <w:tc>
          <w:tcPr>
            <w:tcW w:w="9176" w:type="dxa"/>
            <w:tcBorders>
              <w:bottom w:val="nil"/>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Poznámky</w:t>
            </w:r>
          </w:p>
        </w:tc>
      </w:tr>
      <w:tr w:rsidR="00FA3C02" w:rsidRPr="00C8056F" w:rsidTr="00FA3C02">
        <w:trPr>
          <w:trHeight w:val="713"/>
        </w:trPr>
        <w:tc>
          <w:tcPr>
            <w:tcW w:w="9176" w:type="dxa"/>
            <w:tcBorders>
              <w:top w:val="nil"/>
              <w:bottom w:val="single" w:sz="4" w:space="0" w:color="FFFFFF"/>
            </w:tcBorders>
          </w:tcPr>
          <w:p w:rsidR="00FA3C02" w:rsidRPr="00C8056F" w:rsidRDefault="00FA3C02" w:rsidP="00584C47">
            <w:pPr>
              <w:jc w:val="both"/>
              <w:rPr>
                <w:sz w:val="20"/>
                <w:szCs w:val="20"/>
                <w:lang w:eastAsia="en-US"/>
              </w:rPr>
            </w:pPr>
            <w:r w:rsidRPr="00C8056F">
              <w:rPr>
                <w:sz w:val="20"/>
                <w:szCs w:val="20"/>
                <w:lang w:eastAsia="en-US"/>
              </w:rPr>
              <w:t xml:space="preserve">Schválením predloženého návrhu zákona, </w:t>
            </w:r>
            <w:r w:rsidRPr="00C8056F">
              <w:rPr>
                <w:bCs/>
                <w:sz w:val="20"/>
                <w:szCs w:val="20"/>
                <w:lang w:eastAsia="en-US"/>
              </w:rPr>
              <w:t>ktorým sa mení a dopĺňa zákon č. 150/2013 Z. z. o Štátnom fonde rozvoja bývania v znení neskorších predpisov a ktorým sa menia a dopĺňajú niektoré zákony</w:t>
            </w:r>
            <w:r w:rsidRPr="00C8056F">
              <w:rPr>
                <w:sz w:val="20"/>
                <w:szCs w:val="20"/>
                <w:lang w:eastAsia="en-US"/>
              </w:rPr>
              <w:t xml:space="preserve"> a úpravy jeho vykonávacieho predpisu nevzniknú nové požiadavky na rozpočet verejnej správy. Financovanie bude zabezpečené </w:t>
            </w:r>
            <w:r w:rsidRPr="00C8056F">
              <w:rPr>
                <w:sz w:val="20"/>
                <w:szCs w:val="20"/>
                <w:u w:val="single"/>
                <w:lang w:eastAsia="en-US"/>
              </w:rPr>
              <w:t>v rámci schválených limitov</w:t>
            </w:r>
            <w:r w:rsidRPr="00C8056F">
              <w:rPr>
                <w:sz w:val="20"/>
                <w:szCs w:val="20"/>
                <w:lang w:eastAsia="en-US"/>
              </w:rPr>
              <w:t xml:space="preserve"> výdavkov rozpočtu Štátneho fondu rozvoja bývania na príslušný rozpočtový rok. </w:t>
            </w:r>
          </w:p>
          <w:p w:rsidR="00FA3C02" w:rsidRPr="00C8056F" w:rsidRDefault="00FA3C02" w:rsidP="00584C47">
            <w:pPr>
              <w:jc w:val="both"/>
              <w:rPr>
                <w:sz w:val="20"/>
                <w:szCs w:val="20"/>
                <w:lang w:eastAsia="en-US"/>
              </w:rPr>
            </w:pPr>
            <w:r w:rsidRPr="00C8056F">
              <w:rPr>
                <w:sz w:val="20"/>
                <w:szCs w:val="20"/>
                <w:lang w:eastAsia="en-US"/>
              </w:rPr>
              <w:t xml:space="preserve">V súčasnej dobe nie je možné vyčísliť výšku poskytnutých podpôr v príslušnom rozpočtovom roku, nakoľko nie je zrejmé, koľko oprávnených žiadateľov využije túto formu financovania zákonom navrhovaného  nového účelu, rozšírenia okruhu žiadateľov v prípade účelov výstavby a obnovy zariadenia sociálnych služieb a úpravy podmienok poskytnutia podpory na obstaranie nájomných bytov inou právnickou osobou.  </w:t>
            </w:r>
          </w:p>
          <w:p w:rsidR="00FA3C02" w:rsidRPr="00C8056F" w:rsidRDefault="00FA3C02" w:rsidP="00584C47">
            <w:pPr>
              <w:jc w:val="both"/>
              <w:rPr>
                <w:sz w:val="20"/>
                <w:szCs w:val="20"/>
                <w:lang w:eastAsia="en-US"/>
              </w:rPr>
            </w:pPr>
            <w:r w:rsidRPr="00C8056F">
              <w:rPr>
                <w:sz w:val="20"/>
                <w:szCs w:val="20"/>
                <w:lang w:eastAsia="en-US"/>
              </w:rPr>
              <w:t xml:space="preserve">Navrhované zmeny majú pozitívny vplyv na podnikateľské prostredie, a to možnosťou poskytovania dlhodobých úverov s nízkym úrokom na nový účel, ktorým je obstaranie ubytovacieho domu. </w:t>
            </w:r>
          </w:p>
          <w:p w:rsidR="00FA3C02" w:rsidRPr="00C8056F" w:rsidRDefault="00FA3C02" w:rsidP="00584C47">
            <w:pPr>
              <w:jc w:val="both"/>
              <w:rPr>
                <w:b/>
                <w:sz w:val="20"/>
                <w:szCs w:val="20"/>
                <w:lang w:eastAsia="en-US"/>
              </w:rPr>
            </w:pPr>
            <w:r w:rsidRPr="00C8056F">
              <w:rPr>
                <w:sz w:val="20"/>
                <w:szCs w:val="20"/>
                <w:lang w:eastAsia="en-US"/>
              </w:rPr>
              <w:t xml:space="preserve">Navrhovaná úprava má pozitívne sociálne vplyvy. Pozitívnym vplyvom je vytvorenie podmienok pre ubytovanie pracovnej sily, zvýšenie počtu nájomných bytov a zariadení sociálnych služieb.  </w:t>
            </w:r>
          </w:p>
        </w:tc>
      </w:tr>
      <w:tr w:rsidR="00FA3C02" w:rsidRPr="00C8056F" w:rsidTr="00FA3C02">
        <w:tc>
          <w:tcPr>
            <w:tcW w:w="9176" w:type="dxa"/>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Kontakt na spracovateľa</w:t>
            </w:r>
          </w:p>
        </w:tc>
      </w:tr>
      <w:tr w:rsidR="00FA3C02" w:rsidRPr="00C8056F" w:rsidTr="00FA3C02">
        <w:trPr>
          <w:trHeight w:val="586"/>
        </w:trPr>
        <w:tc>
          <w:tcPr>
            <w:tcW w:w="9176" w:type="dxa"/>
            <w:tcBorders>
              <w:top w:val="single" w:sz="4" w:space="0" w:color="FFFFFF"/>
            </w:tcBorders>
            <w:shd w:val="clear" w:color="auto" w:fill="FFFFFF"/>
          </w:tcPr>
          <w:p w:rsidR="00FA3C02" w:rsidRPr="00C8056F" w:rsidRDefault="00FA3C02" w:rsidP="00584C47">
            <w:pPr>
              <w:rPr>
                <w:sz w:val="20"/>
                <w:szCs w:val="20"/>
                <w:lang w:eastAsia="en-US"/>
              </w:rPr>
            </w:pPr>
            <w:r w:rsidRPr="00C8056F">
              <w:rPr>
                <w:sz w:val="20"/>
                <w:szCs w:val="20"/>
                <w:lang w:eastAsia="en-US"/>
              </w:rPr>
              <w:t xml:space="preserve">MDV SR – Ing. Čerňanská,02/594 94 585, jana.cernanska@mindop.sk </w:t>
            </w:r>
          </w:p>
        </w:tc>
      </w:tr>
      <w:tr w:rsidR="00FA3C02" w:rsidRPr="00C8056F" w:rsidTr="00FA3C02">
        <w:tc>
          <w:tcPr>
            <w:tcW w:w="9176" w:type="dxa"/>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Zdroje</w:t>
            </w:r>
          </w:p>
        </w:tc>
      </w:tr>
      <w:tr w:rsidR="00FA3C02" w:rsidRPr="00C8056F" w:rsidTr="00FA3C02">
        <w:trPr>
          <w:trHeight w:val="401"/>
        </w:trPr>
        <w:tc>
          <w:tcPr>
            <w:tcW w:w="9176" w:type="dxa"/>
            <w:tcBorders>
              <w:top w:val="single" w:sz="4" w:space="0" w:color="FFFFFF"/>
            </w:tcBorders>
            <w:shd w:val="clear" w:color="auto" w:fill="FFFFFF"/>
          </w:tcPr>
          <w:p w:rsidR="00FA3C02" w:rsidRPr="00C8056F" w:rsidRDefault="00FA3C02" w:rsidP="00584C47">
            <w:pPr>
              <w:rPr>
                <w:i/>
                <w:sz w:val="20"/>
                <w:szCs w:val="20"/>
                <w:lang w:eastAsia="en-US"/>
              </w:rPr>
            </w:pPr>
            <w:r w:rsidRPr="00C8056F">
              <w:rPr>
                <w:i/>
                <w:sz w:val="20"/>
                <w:szCs w:val="20"/>
                <w:lang w:eastAsia="en-US"/>
              </w:rPr>
              <w:t>Uveďte zdroje (štatistiky, prieskumy, spoluprácu s odborníkmi a iné), z ktorých ste pri vypracovávaní doložky, príp. analýz vplyvov vychádzali.</w:t>
            </w:r>
          </w:p>
          <w:p w:rsidR="00FA3C02" w:rsidRPr="00C8056F" w:rsidRDefault="00FA3C02" w:rsidP="00584C47">
            <w:pPr>
              <w:rPr>
                <w:sz w:val="20"/>
                <w:szCs w:val="20"/>
                <w:lang w:eastAsia="en-US"/>
              </w:rPr>
            </w:pPr>
            <w:r w:rsidRPr="00C8056F">
              <w:rPr>
                <w:sz w:val="20"/>
                <w:szCs w:val="20"/>
                <w:lang w:eastAsia="en-US"/>
              </w:rPr>
              <w:t>MDV SR, ŠFRB</w:t>
            </w:r>
          </w:p>
          <w:p w:rsidR="00FA3C02" w:rsidRPr="00C8056F" w:rsidRDefault="00FA3C02" w:rsidP="00584C47">
            <w:pPr>
              <w:rPr>
                <w:b/>
                <w:sz w:val="20"/>
                <w:szCs w:val="20"/>
                <w:lang w:eastAsia="en-US"/>
              </w:rPr>
            </w:pPr>
          </w:p>
        </w:tc>
      </w:tr>
      <w:tr w:rsidR="00FA3C02" w:rsidRPr="00C8056F" w:rsidTr="00FA3C02">
        <w:tc>
          <w:tcPr>
            <w:tcW w:w="9176" w:type="dxa"/>
            <w:tcBorders>
              <w:bottom w:val="single" w:sz="4" w:space="0" w:color="FFFFFF"/>
            </w:tcBorders>
            <w:shd w:val="clear" w:color="auto" w:fill="E2E2E2"/>
          </w:tcPr>
          <w:p w:rsidR="00FA3C02" w:rsidRPr="00C8056F" w:rsidRDefault="00FA3C02" w:rsidP="00584C47">
            <w:pPr>
              <w:pStyle w:val="Odsekzoznamu"/>
              <w:numPr>
                <w:ilvl w:val="0"/>
                <w:numId w:val="1"/>
              </w:numPr>
              <w:spacing w:after="0" w:line="240" w:lineRule="auto"/>
              <w:ind w:left="426"/>
              <w:rPr>
                <w:rFonts w:ascii="Times New Roman" w:hAnsi="Times New Roman"/>
                <w:b/>
                <w:sz w:val="20"/>
                <w:szCs w:val="20"/>
              </w:rPr>
            </w:pPr>
            <w:r w:rsidRPr="00C8056F">
              <w:rPr>
                <w:rFonts w:ascii="Times New Roman" w:hAnsi="Times New Roman"/>
                <w:b/>
                <w:sz w:val="20"/>
                <w:szCs w:val="20"/>
              </w:rPr>
              <w:t>Stanovisko Komisie pre posudzovanie vybraných vplyvov z PPK</w:t>
            </w:r>
          </w:p>
        </w:tc>
      </w:tr>
      <w:tr w:rsidR="00FA3C02" w:rsidRPr="00C8056F" w:rsidTr="00FA3C02">
        <w:tc>
          <w:tcPr>
            <w:tcW w:w="9176" w:type="dxa"/>
            <w:tcBorders>
              <w:top w:val="single" w:sz="4" w:space="0" w:color="FFFFFF"/>
            </w:tcBorders>
            <w:shd w:val="clear" w:color="auto" w:fill="FFFFFF"/>
          </w:tcPr>
          <w:p w:rsidR="00FA3C02" w:rsidRPr="00C8056F" w:rsidRDefault="00FA3C02" w:rsidP="00584C47">
            <w:pPr>
              <w:jc w:val="both"/>
              <w:rPr>
                <w:i/>
                <w:sz w:val="20"/>
                <w:szCs w:val="20"/>
                <w:lang w:eastAsia="en-US"/>
              </w:rPr>
            </w:pPr>
            <w:r w:rsidRPr="00C8056F">
              <w:rPr>
                <w:i/>
                <w:sz w:val="20"/>
                <w:szCs w:val="20"/>
                <w:lang w:eastAsia="en-US"/>
              </w:rPr>
              <w:t>Uveďte stanovisko Komisie pre posudzovanie vybraných vplyvov, ktoré Vám bolo zaslané v rámci predbežného pripomienkového konania</w:t>
            </w:r>
          </w:p>
          <w:p w:rsidR="00FA3C02" w:rsidRPr="00C8056F" w:rsidRDefault="00FA3C02" w:rsidP="00584C47">
            <w:pPr>
              <w:jc w:val="both"/>
              <w:rPr>
                <w:b/>
                <w:sz w:val="20"/>
                <w:szCs w:val="20"/>
                <w:lang w:eastAsia="en-US"/>
              </w:rPr>
            </w:pPr>
          </w:p>
          <w:p w:rsidR="00FA3C02" w:rsidRPr="00C8056F" w:rsidRDefault="00FA3C02" w:rsidP="00584C47">
            <w:pPr>
              <w:suppressAutoHyphens/>
              <w:spacing w:line="100" w:lineRule="atLeast"/>
              <w:jc w:val="both"/>
              <w:rPr>
                <w:iCs/>
                <w:sz w:val="20"/>
                <w:szCs w:val="20"/>
                <w:lang w:eastAsia="ar-SA"/>
              </w:rPr>
            </w:pPr>
            <w:r w:rsidRPr="00C8056F">
              <w:rPr>
                <w:b/>
                <w:bCs/>
                <w:sz w:val="20"/>
                <w:szCs w:val="20"/>
                <w:lang w:eastAsia="ar-SA"/>
              </w:rPr>
              <w:t xml:space="preserve">I. Úvod: </w:t>
            </w:r>
            <w:r w:rsidRPr="00C8056F">
              <w:rPr>
                <w:bCs/>
                <w:sz w:val="20"/>
                <w:szCs w:val="20"/>
                <w:lang w:eastAsia="ar-SA"/>
              </w:rPr>
              <w:t>Ministerstvo dopravy a výstavby Slovenskej republiky dňa 23. januára 2019 predložilo Stálej pracovnej komisii na posudzovanie vybr</w:t>
            </w:r>
            <w:r w:rsidRPr="00C8056F">
              <w:rPr>
                <w:iCs/>
                <w:sz w:val="20"/>
                <w:szCs w:val="20"/>
                <w:lang w:eastAsia="ar-SA"/>
              </w:rPr>
              <w:t>aných vplyvov (ďalej len „Komisia“) na predbežné pripomienkové konanie materiál:</w:t>
            </w:r>
            <w:r w:rsidRPr="00C8056F">
              <w:rPr>
                <w:i/>
                <w:iCs/>
                <w:sz w:val="20"/>
                <w:szCs w:val="20"/>
                <w:lang w:eastAsia="ar-SA"/>
              </w:rPr>
              <w:t xml:space="preserve"> „Návrh zákona, ktorým sa mení a dopĺňa zákon č. 150/2013 Z. z. o Štátnom fonde rozvoja bývania v znení neskorších predpisov“</w:t>
            </w:r>
            <w:r w:rsidRPr="00C8056F">
              <w:rPr>
                <w:iCs/>
                <w:sz w:val="20"/>
                <w:szCs w:val="20"/>
                <w:lang w:eastAsia="ar-SA"/>
              </w:rPr>
              <w:t>. Materiál predpokladá negatívne vplyvy na rozpočet verejnej správy, pozitívne vplyvy na podnikateľské prostredie, vrátane pozitívnych vplyvov na malé a stredné podniky a pozitívne sociálne vplyvy.</w:t>
            </w:r>
          </w:p>
          <w:p w:rsidR="00FA3C02" w:rsidRPr="00C8056F" w:rsidRDefault="00FA3C02" w:rsidP="00584C47">
            <w:pPr>
              <w:suppressAutoHyphens/>
              <w:spacing w:line="100" w:lineRule="atLeast"/>
              <w:jc w:val="both"/>
              <w:rPr>
                <w:b/>
                <w:bCs/>
                <w:sz w:val="20"/>
                <w:szCs w:val="20"/>
                <w:lang w:eastAsia="ar-SA"/>
              </w:rPr>
            </w:pPr>
          </w:p>
          <w:p w:rsidR="00FA3C02" w:rsidRPr="00C8056F" w:rsidRDefault="00FA3C02" w:rsidP="00584C47">
            <w:pPr>
              <w:suppressAutoHyphens/>
              <w:spacing w:line="100" w:lineRule="atLeast"/>
              <w:jc w:val="both"/>
              <w:rPr>
                <w:bCs/>
                <w:sz w:val="20"/>
                <w:szCs w:val="20"/>
                <w:lang w:eastAsia="ar-SA"/>
              </w:rPr>
            </w:pPr>
            <w:r w:rsidRPr="00C8056F">
              <w:rPr>
                <w:b/>
                <w:bCs/>
                <w:sz w:val="20"/>
                <w:szCs w:val="20"/>
                <w:lang w:eastAsia="ar-SA"/>
              </w:rPr>
              <w:t>II. P</w:t>
            </w:r>
            <w:r w:rsidRPr="00C8056F">
              <w:rPr>
                <w:b/>
                <w:sz w:val="20"/>
                <w:szCs w:val="20"/>
                <w:lang w:eastAsia="ar-SA"/>
              </w:rPr>
              <w:t>r</w:t>
            </w:r>
            <w:r w:rsidRPr="00C8056F">
              <w:rPr>
                <w:b/>
                <w:bCs/>
                <w:sz w:val="20"/>
                <w:szCs w:val="20"/>
                <w:lang w:eastAsia="ar-SA"/>
              </w:rPr>
              <w:t>ipomienky a návrhy zm</w:t>
            </w:r>
            <w:r w:rsidRPr="00C8056F">
              <w:rPr>
                <w:b/>
                <w:sz w:val="20"/>
                <w:szCs w:val="20"/>
                <w:lang w:eastAsia="ar-SA"/>
              </w:rPr>
              <w:t>ie</w:t>
            </w:r>
            <w:r w:rsidRPr="00C8056F">
              <w:rPr>
                <w:b/>
                <w:bCs/>
                <w:sz w:val="20"/>
                <w:szCs w:val="20"/>
                <w:lang w:eastAsia="ar-SA"/>
              </w:rPr>
              <w:t xml:space="preserve">n: </w:t>
            </w:r>
            <w:r w:rsidRPr="00C8056F">
              <w:rPr>
                <w:bCs/>
                <w:sz w:val="20"/>
                <w:szCs w:val="20"/>
                <w:lang w:eastAsia="ar-SA"/>
              </w:rPr>
              <w:t>Komisia uplatňuje k materiálu nasledovné pripomienky a odporúčania:</w:t>
            </w:r>
          </w:p>
          <w:p w:rsidR="00FA3C02" w:rsidRDefault="00FA3C02" w:rsidP="00584C47">
            <w:pPr>
              <w:tabs>
                <w:tab w:val="center" w:pos="6379"/>
              </w:tabs>
              <w:suppressAutoHyphens/>
              <w:spacing w:line="100" w:lineRule="atLeast"/>
              <w:ind w:right="-2"/>
              <w:jc w:val="both"/>
              <w:rPr>
                <w:bCs/>
                <w:sz w:val="20"/>
                <w:szCs w:val="20"/>
                <w:lang w:eastAsia="ar-SA"/>
              </w:rPr>
            </w:pPr>
          </w:p>
          <w:p w:rsidR="00D606DF" w:rsidRPr="00C8056F" w:rsidRDefault="00D606DF" w:rsidP="00584C47">
            <w:pPr>
              <w:tabs>
                <w:tab w:val="center" w:pos="6379"/>
              </w:tabs>
              <w:suppressAutoHyphens/>
              <w:spacing w:line="100" w:lineRule="atLeast"/>
              <w:ind w:right="-2"/>
              <w:jc w:val="both"/>
              <w:rPr>
                <w:bCs/>
                <w:sz w:val="20"/>
                <w:szCs w:val="20"/>
                <w:lang w:eastAsia="ar-SA"/>
              </w:rPr>
            </w:pPr>
          </w:p>
          <w:p w:rsidR="00FA3C02" w:rsidRPr="00C8056F" w:rsidRDefault="00FA3C02" w:rsidP="00584C47">
            <w:pPr>
              <w:suppressAutoHyphens/>
              <w:spacing w:line="100" w:lineRule="atLeast"/>
              <w:ind w:right="-2"/>
              <w:jc w:val="both"/>
              <w:rPr>
                <w:b/>
                <w:bCs/>
                <w:sz w:val="20"/>
                <w:szCs w:val="20"/>
                <w:lang w:eastAsia="ar-SA"/>
              </w:rPr>
            </w:pPr>
            <w:r w:rsidRPr="00C8056F">
              <w:rPr>
                <w:b/>
                <w:bCs/>
                <w:sz w:val="20"/>
                <w:szCs w:val="20"/>
                <w:lang w:eastAsia="ar-SA"/>
              </w:rPr>
              <w:lastRenderedPageBreak/>
              <w:t>K vplyvom na rozpočet verejnej správy</w:t>
            </w:r>
          </w:p>
          <w:p w:rsidR="00FA3C02" w:rsidRPr="00C8056F" w:rsidRDefault="00FA3C02" w:rsidP="00584C47">
            <w:pPr>
              <w:tabs>
                <w:tab w:val="center" w:pos="6379"/>
              </w:tabs>
              <w:suppressAutoHyphens/>
              <w:spacing w:line="100" w:lineRule="atLeast"/>
              <w:ind w:right="-2"/>
              <w:jc w:val="both"/>
              <w:rPr>
                <w:bCs/>
                <w:sz w:val="20"/>
                <w:szCs w:val="20"/>
                <w:lang w:eastAsia="ar-SA"/>
              </w:rPr>
            </w:pPr>
            <w:r w:rsidRPr="00C8056F">
              <w:rPr>
                <w:bCs/>
                <w:sz w:val="20"/>
                <w:szCs w:val="20"/>
                <w:lang w:eastAsia="ar-SA"/>
              </w:rPr>
              <w:t>Komisia berie na vedomie, že návrhom zákona nevzniknú nové požiadavky na rozpočet verejnej správy a že v súčasnosti nie je možné vyčísliť výšku poskytnutých podpôr, pretože nie je zrejmé, koľko oprávnených žiadateľov využije takúto formu financovania navrhovaného nového účelu podpory. Financovanie návrhu je zabezpečené v rámci schváleného limitu výdavkov kapitoly MDV SR na príslušný rozpočtový rok. Komisia upozorňuje, že v doložke vybraných vplyvov v bode 9. je potrebné v riadku „z toho rozpočtovo zabezpečené vplyvy“ označiť možnosť „áno“.</w:t>
            </w:r>
          </w:p>
          <w:p w:rsidR="00C8056F" w:rsidRDefault="00C8056F" w:rsidP="00584C47">
            <w:pPr>
              <w:jc w:val="both"/>
              <w:rPr>
                <w:b/>
                <w:bCs/>
                <w:sz w:val="20"/>
                <w:szCs w:val="20"/>
                <w:lang w:eastAsia="ar-SA"/>
              </w:rPr>
            </w:pPr>
          </w:p>
          <w:p w:rsidR="00FA3C02" w:rsidRPr="00C8056F" w:rsidRDefault="00FA3C02" w:rsidP="00584C47">
            <w:pPr>
              <w:jc w:val="both"/>
              <w:rPr>
                <w:b/>
                <w:bCs/>
                <w:sz w:val="20"/>
                <w:szCs w:val="20"/>
                <w:lang w:eastAsia="ar-SA"/>
              </w:rPr>
            </w:pPr>
            <w:r w:rsidRPr="00C8056F">
              <w:rPr>
                <w:b/>
                <w:bCs/>
                <w:sz w:val="20"/>
                <w:szCs w:val="20"/>
                <w:lang w:eastAsia="ar-SA"/>
              </w:rPr>
              <w:t xml:space="preserve">K analýze sociálnych vplyvov </w:t>
            </w:r>
          </w:p>
          <w:p w:rsidR="00FA3C02" w:rsidRPr="00C8056F" w:rsidRDefault="00FA3C02" w:rsidP="00584C47">
            <w:pPr>
              <w:jc w:val="both"/>
              <w:rPr>
                <w:bCs/>
                <w:sz w:val="20"/>
                <w:szCs w:val="20"/>
                <w:lang w:eastAsia="ar-SA"/>
              </w:rPr>
            </w:pPr>
            <w:r w:rsidRPr="00C8056F">
              <w:rPr>
                <w:bCs/>
                <w:sz w:val="20"/>
                <w:szCs w:val="20"/>
                <w:lang w:eastAsia="ar-SA"/>
              </w:rPr>
              <w:t xml:space="preserve">V sekcii 4.1 analýzy predkladateľ deklaruje, že prijatím tohto návrhu dôjde k pozitívnemu vplyvu na hospodárenie domácností, avšak nešpecifikuje tento vplyv v kontexte konkrétneho vplyvu na zníženie ich nákladov. Komisia odporúča preto túto sekciu doplniť o informácie, do akej miery poklesnú náklady domácností v prípade ak: a) domácnosť bude mať lepší prístup k získaniu nájomného bývania; b) ak bude mať lepší prístup k získaniu vlastného bývania; c) ak pracujúci budú mať lepší prístup k dlhodobému ubytovaniu v ubytovacích domoch; d) ak sa zvýši počet lôžok v zariadeniach sociálnych služieb. </w:t>
            </w:r>
          </w:p>
          <w:p w:rsidR="00FA3C02" w:rsidRPr="00C8056F" w:rsidRDefault="00FA3C02" w:rsidP="00584C47">
            <w:pPr>
              <w:jc w:val="both"/>
              <w:rPr>
                <w:bCs/>
                <w:sz w:val="20"/>
                <w:szCs w:val="20"/>
                <w:lang w:eastAsia="ar-SA"/>
              </w:rPr>
            </w:pPr>
          </w:p>
          <w:p w:rsidR="00FA3C02" w:rsidRPr="00C8056F" w:rsidRDefault="00FA3C02" w:rsidP="00584C47">
            <w:pPr>
              <w:jc w:val="both"/>
              <w:rPr>
                <w:bCs/>
                <w:sz w:val="20"/>
                <w:szCs w:val="20"/>
                <w:lang w:eastAsia="ar-SA"/>
              </w:rPr>
            </w:pPr>
            <w:r w:rsidRPr="00C8056F">
              <w:rPr>
                <w:bCs/>
                <w:sz w:val="20"/>
                <w:szCs w:val="20"/>
                <w:lang w:eastAsia="ar-SA"/>
              </w:rPr>
              <w:t>V sekcii 4.4 analýzy sociálnych vplyvov predkladateľ deklaruje, že prijatie predmetného návrhu bude mať za následok zvýšenie počtu pracovných miest. Pôjde však o dlhodobé zvýšenie, alebo len krátkodobý nárast v súvislosti s potrebou vybudovania, resp. rekonštrukcie ubytovacích zariadení, na ktoré sa novela vzťahuje? Predkladateľovi Komisia odporúča tieto informácie špecifikovať a, pokiaľ je to možné, mieru tohto vplyvu minimálne orientačne kvantifikovať.</w:t>
            </w:r>
          </w:p>
          <w:p w:rsidR="00FA3C02" w:rsidRPr="00C8056F" w:rsidRDefault="00FA3C02" w:rsidP="00584C47">
            <w:pPr>
              <w:jc w:val="both"/>
              <w:rPr>
                <w:b/>
                <w:bCs/>
                <w:sz w:val="20"/>
                <w:szCs w:val="20"/>
                <w:lang w:eastAsia="ar-SA"/>
              </w:rPr>
            </w:pPr>
          </w:p>
          <w:p w:rsidR="00FA3C02" w:rsidRPr="00C8056F" w:rsidRDefault="00FA3C02" w:rsidP="00584C47">
            <w:pPr>
              <w:tabs>
                <w:tab w:val="center" w:pos="6379"/>
              </w:tabs>
              <w:suppressAutoHyphens/>
              <w:spacing w:line="100" w:lineRule="atLeast"/>
              <w:ind w:right="-2"/>
              <w:jc w:val="both"/>
              <w:rPr>
                <w:bCs/>
                <w:sz w:val="20"/>
                <w:szCs w:val="20"/>
                <w:lang w:eastAsia="ar-SA"/>
              </w:rPr>
            </w:pPr>
            <w:r w:rsidRPr="00C8056F">
              <w:rPr>
                <w:b/>
                <w:bCs/>
                <w:sz w:val="20"/>
                <w:szCs w:val="20"/>
                <w:lang w:eastAsia="ar-SA"/>
              </w:rPr>
              <w:t xml:space="preserve">III. Záver: </w:t>
            </w:r>
            <w:r w:rsidRPr="00C8056F">
              <w:rPr>
                <w:bCs/>
                <w:sz w:val="20"/>
                <w:szCs w:val="20"/>
                <w:lang w:eastAsia="ar-SA"/>
              </w:rPr>
              <w:t xml:space="preserve">Stála pracovná komisia na posudzovanie vybraných vplyvov vyjadruje </w:t>
            </w:r>
          </w:p>
          <w:p w:rsidR="00FA3C02" w:rsidRPr="00C8056F" w:rsidRDefault="00FA3C02" w:rsidP="00584C47">
            <w:pPr>
              <w:tabs>
                <w:tab w:val="center" w:pos="6379"/>
              </w:tabs>
              <w:suppressAutoHyphens/>
              <w:spacing w:line="100" w:lineRule="atLeast"/>
              <w:ind w:right="-2"/>
              <w:jc w:val="both"/>
              <w:rPr>
                <w:bCs/>
                <w:sz w:val="20"/>
                <w:szCs w:val="20"/>
                <w:lang w:eastAsia="ar-SA"/>
              </w:rPr>
            </w:pPr>
          </w:p>
          <w:p w:rsidR="00FA3C02" w:rsidRPr="00C8056F" w:rsidRDefault="00FA3C02" w:rsidP="00584C47">
            <w:pPr>
              <w:tabs>
                <w:tab w:val="center" w:pos="6379"/>
              </w:tabs>
              <w:suppressAutoHyphens/>
              <w:jc w:val="both"/>
              <w:rPr>
                <w:b/>
                <w:bCs/>
                <w:sz w:val="20"/>
                <w:szCs w:val="20"/>
                <w:lang w:eastAsia="ar-SA"/>
              </w:rPr>
            </w:pPr>
            <w:r w:rsidRPr="00C8056F">
              <w:rPr>
                <w:b/>
                <w:bCs/>
                <w:sz w:val="20"/>
                <w:szCs w:val="20"/>
                <w:lang w:eastAsia="ar-SA"/>
              </w:rPr>
              <w:t>súhlasné stanovisko s návrhom na dopracovanie</w:t>
            </w:r>
          </w:p>
          <w:p w:rsidR="00FA3C02" w:rsidRPr="00C8056F" w:rsidRDefault="00FA3C02" w:rsidP="00584C47">
            <w:pPr>
              <w:tabs>
                <w:tab w:val="center" w:pos="6379"/>
              </w:tabs>
              <w:suppressAutoHyphens/>
              <w:jc w:val="both"/>
              <w:rPr>
                <w:bCs/>
                <w:sz w:val="20"/>
                <w:szCs w:val="20"/>
                <w:lang w:eastAsia="ar-SA"/>
              </w:rPr>
            </w:pPr>
          </w:p>
          <w:p w:rsidR="00FA3C02" w:rsidRPr="00C8056F" w:rsidRDefault="00FA3C02" w:rsidP="00584C47">
            <w:pPr>
              <w:jc w:val="both"/>
              <w:rPr>
                <w:b/>
                <w:sz w:val="20"/>
                <w:szCs w:val="20"/>
                <w:lang w:eastAsia="en-US"/>
              </w:rPr>
            </w:pPr>
            <w:r w:rsidRPr="00C8056F">
              <w:rPr>
                <w:bCs/>
                <w:sz w:val="20"/>
                <w:szCs w:val="20"/>
                <w:lang w:eastAsia="ar-SA"/>
              </w:rPr>
              <w:t>s materiálom predloženým na predbežné pripomienkové konanie s odporúčaním na jeho dopracovanie podľa pripomienok v bode II.</w:t>
            </w:r>
          </w:p>
          <w:p w:rsidR="00FA3C02" w:rsidRPr="00C8056F" w:rsidRDefault="00FA3C02" w:rsidP="00584C47">
            <w:pPr>
              <w:jc w:val="both"/>
              <w:rPr>
                <w:b/>
                <w:sz w:val="20"/>
                <w:szCs w:val="20"/>
                <w:lang w:eastAsia="en-US"/>
              </w:rPr>
            </w:pPr>
          </w:p>
          <w:p w:rsidR="00FA3C02" w:rsidRPr="00C8056F" w:rsidRDefault="00FA3C02" w:rsidP="00584C47">
            <w:pPr>
              <w:jc w:val="both"/>
              <w:rPr>
                <w:b/>
                <w:sz w:val="20"/>
                <w:szCs w:val="20"/>
                <w:lang w:eastAsia="en-US"/>
              </w:rPr>
            </w:pPr>
            <w:r w:rsidRPr="00C8056F">
              <w:rPr>
                <w:bCs/>
                <w:sz w:val="20"/>
                <w:szCs w:val="20"/>
                <w:lang w:eastAsia="en-US"/>
              </w:rPr>
              <w:t>MDV SR uplatnené pripomienky Komisie v stanovisku k vplyvom na rozpočet verejnej správy akceptovalo, pripomienky</w:t>
            </w:r>
            <w:r w:rsidRPr="00C8056F">
              <w:rPr>
                <w:sz w:val="20"/>
                <w:szCs w:val="20"/>
                <w:lang w:eastAsia="en-US"/>
              </w:rPr>
              <w:t xml:space="preserve"> </w:t>
            </w:r>
            <w:r w:rsidRPr="00C8056F">
              <w:rPr>
                <w:bCs/>
                <w:sz w:val="20"/>
                <w:szCs w:val="20"/>
                <w:lang w:eastAsia="en-US"/>
              </w:rPr>
              <w:t>k analýze sociálnych vplyvov čiastočne akceptovalo a zapracovalo do návrhu materiálu, ktorý je predložený na medzirezortné pripomienkové konanie. V prípade obstarania ubytovacích domov ide o zavedenie nového účelu a  pri účele výstavby a obnovy zariadení sociálnych služieb ide rozšírenie okruhu žiadateľov, a preto nie je možné predpokladať, koľko žiadateľov využije tento druh podpory. Súčasne je potrebné uviesť, že zákon neustanovuje výšku nájmu v ubytovacích domoch ani v zariadeniach sociálnych služieb a preto, nie je možné určiť výšku ušetrených nákladov pracujúcich a ani klientov v zariadeniach sociálnych služieb.</w:t>
            </w:r>
          </w:p>
        </w:tc>
      </w:tr>
    </w:tbl>
    <w:p w:rsidR="00FA3C02" w:rsidRPr="00C8056F" w:rsidRDefault="00FA3C02" w:rsidP="00FA3C02">
      <w:pPr>
        <w:jc w:val="both"/>
        <w:rPr>
          <w:b/>
          <w:sz w:val="20"/>
          <w:szCs w:val="20"/>
        </w:rPr>
      </w:pPr>
    </w:p>
    <w:p w:rsidR="00FA3C02" w:rsidRDefault="00FA3C02"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04D70" w:rsidRDefault="00404D70" w:rsidP="00FA3C02">
      <w:pPr>
        <w:rPr>
          <w:b/>
          <w:sz w:val="20"/>
          <w:szCs w:val="20"/>
        </w:rPr>
      </w:pPr>
    </w:p>
    <w:p w:rsidR="00404D70" w:rsidRDefault="00404D70" w:rsidP="00FA3C02">
      <w:pPr>
        <w:rPr>
          <w:b/>
          <w:sz w:val="20"/>
          <w:szCs w:val="20"/>
        </w:rPr>
      </w:pPr>
    </w:p>
    <w:p w:rsidR="004B44F8" w:rsidRDefault="004B44F8" w:rsidP="00FA3C02">
      <w:pPr>
        <w:rPr>
          <w:b/>
          <w:sz w:val="20"/>
          <w:szCs w:val="20"/>
        </w:rPr>
      </w:pPr>
    </w:p>
    <w:p w:rsidR="004B44F8" w:rsidRDefault="004B44F8" w:rsidP="00FA3C02">
      <w:pPr>
        <w:rPr>
          <w:b/>
          <w:sz w:val="20"/>
          <w:szCs w:val="20"/>
        </w:rPr>
      </w:pPr>
    </w:p>
    <w:p w:rsidR="004B44F8" w:rsidRPr="00C8056F" w:rsidRDefault="004B44F8" w:rsidP="00FA3C02">
      <w:pPr>
        <w:rPr>
          <w:b/>
          <w:sz w:val="20"/>
          <w:szCs w:val="20"/>
        </w:rPr>
      </w:pPr>
    </w:p>
    <w:p w:rsidR="009B2D06" w:rsidRPr="00C8056F" w:rsidRDefault="009B2D06" w:rsidP="00FA3C02">
      <w:pPr>
        <w:rPr>
          <w:b/>
          <w:sz w:val="20"/>
          <w:szCs w:val="20"/>
        </w:rPr>
      </w:pPr>
    </w:p>
    <w:p w:rsidR="004B44F8" w:rsidRPr="004B44F8" w:rsidRDefault="004B44F8" w:rsidP="004B44F8">
      <w:pPr>
        <w:widowControl/>
        <w:adjustRightInd/>
        <w:jc w:val="center"/>
        <w:rPr>
          <w:b/>
          <w:bCs/>
          <w:sz w:val="28"/>
          <w:szCs w:val="28"/>
        </w:rPr>
      </w:pPr>
      <w:r w:rsidRPr="004B44F8">
        <w:rPr>
          <w:b/>
          <w:bCs/>
          <w:sz w:val="28"/>
          <w:szCs w:val="28"/>
        </w:rPr>
        <w:t>Analýza vplyvov na rozpočet verejnej správy,</w:t>
      </w:r>
    </w:p>
    <w:p w:rsidR="004B44F8" w:rsidRPr="004B44F8" w:rsidRDefault="004B44F8" w:rsidP="004B44F8">
      <w:pPr>
        <w:widowControl/>
        <w:adjustRightInd/>
        <w:jc w:val="center"/>
        <w:rPr>
          <w:b/>
          <w:bCs/>
          <w:sz w:val="28"/>
          <w:szCs w:val="28"/>
        </w:rPr>
      </w:pPr>
      <w:r w:rsidRPr="004B44F8">
        <w:rPr>
          <w:b/>
          <w:bCs/>
          <w:sz w:val="28"/>
          <w:szCs w:val="28"/>
        </w:rPr>
        <w:t>na zamestnanosť vo verejnej správe a financovanie návrhu</w:t>
      </w:r>
    </w:p>
    <w:p w:rsidR="004B44F8" w:rsidRPr="004B44F8" w:rsidRDefault="004B44F8" w:rsidP="004B44F8">
      <w:pPr>
        <w:widowControl/>
        <w:adjustRightInd/>
        <w:jc w:val="right"/>
        <w:rPr>
          <w:b/>
          <w:bCs/>
        </w:rPr>
      </w:pPr>
    </w:p>
    <w:p w:rsidR="004B44F8" w:rsidRPr="004B44F8" w:rsidRDefault="004B44F8" w:rsidP="004B44F8">
      <w:pPr>
        <w:widowControl/>
        <w:adjustRightInd/>
        <w:rPr>
          <w:b/>
          <w:bCs/>
        </w:rPr>
      </w:pPr>
    </w:p>
    <w:p w:rsidR="004B44F8" w:rsidRPr="004B44F8" w:rsidRDefault="004B44F8" w:rsidP="004B44F8">
      <w:pPr>
        <w:widowControl/>
        <w:adjustRightInd/>
        <w:rPr>
          <w:b/>
          <w:bCs/>
        </w:rPr>
      </w:pPr>
      <w:r w:rsidRPr="004B44F8">
        <w:rPr>
          <w:b/>
          <w:bCs/>
        </w:rPr>
        <w:t>2.1 Zhrnutie vplyvov na rozpočet verejnej správy v návrhu</w:t>
      </w:r>
    </w:p>
    <w:p w:rsidR="004B44F8" w:rsidRPr="004B44F8" w:rsidRDefault="004B44F8" w:rsidP="004B44F8">
      <w:pPr>
        <w:widowControl/>
        <w:adjustRightInd/>
        <w:jc w:val="right"/>
        <w:rPr>
          <w:sz w:val="20"/>
          <w:szCs w:val="20"/>
        </w:rPr>
      </w:pPr>
    </w:p>
    <w:p w:rsidR="004B44F8" w:rsidRPr="004B44F8" w:rsidRDefault="004B44F8" w:rsidP="004B44F8">
      <w:pPr>
        <w:widowControl/>
        <w:adjustRightInd/>
        <w:jc w:val="right"/>
        <w:rPr>
          <w:sz w:val="20"/>
          <w:szCs w:val="20"/>
        </w:rPr>
      </w:pPr>
      <w:r w:rsidRPr="004B44F8">
        <w:rPr>
          <w:sz w:val="20"/>
          <w:szCs w:val="20"/>
        </w:rPr>
        <w:t xml:space="preserve">Tabuľka č. 1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20"/>
        <w:gridCol w:w="1327"/>
        <w:gridCol w:w="1418"/>
        <w:gridCol w:w="1417"/>
      </w:tblGrid>
      <w:tr w:rsidR="004B44F8" w:rsidRPr="004B44F8" w:rsidTr="004B44F8">
        <w:trPr>
          <w:cantSplit/>
          <w:trHeight w:val="194"/>
          <w:jc w:val="center"/>
        </w:trPr>
        <w:tc>
          <w:tcPr>
            <w:tcW w:w="4661" w:type="dxa"/>
            <w:vMerge w:val="restart"/>
            <w:shd w:val="clear" w:color="auto" w:fill="BFBFBF"/>
            <w:vAlign w:val="center"/>
          </w:tcPr>
          <w:p w:rsidR="004B44F8" w:rsidRPr="004B44F8" w:rsidRDefault="004B44F8" w:rsidP="004B44F8">
            <w:pPr>
              <w:widowControl/>
              <w:adjustRightInd/>
              <w:jc w:val="center"/>
              <w:rPr>
                <w:b/>
                <w:bCs/>
              </w:rPr>
            </w:pPr>
            <w:bookmarkStart w:id="1" w:name="OLE_LINK1"/>
            <w:r w:rsidRPr="004B44F8">
              <w:rPr>
                <w:b/>
                <w:bCs/>
              </w:rPr>
              <w:t>Vplyvy na rozpočet verejnej správy</w:t>
            </w:r>
          </w:p>
        </w:tc>
        <w:tc>
          <w:tcPr>
            <w:tcW w:w="5682" w:type="dxa"/>
            <w:gridSpan w:val="4"/>
            <w:shd w:val="clear" w:color="auto" w:fill="BFBFBF"/>
            <w:vAlign w:val="center"/>
          </w:tcPr>
          <w:p w:rsidR="004B44F8" w:rsidRPr="004B44F8" w:rsidRDefault="004B44F8" w:rsidP="004B44F8">
            <w:pPr>
              <w:widowControl/>
              <w:adjustRightInd/>
              <w:jc w:val="center"/>
              <w:rPr>
                <w:b/>
                <w:bCs/>
              </w:rPr>
            </w:pPr>
            <w:r w:rsidRPr="004B44F8">
              <w:rPr>
                <w:b/>
                <w:bCs/>
              </w:rPr>
              <w:t>Vplyv na rozpočet verejnej správy (v eurách)</w:t>
            </w:r>
          </w:p>
        </w:tc>
      </w:tr>
      <w:tr w:rsidR="004B44F8" w:rsidRPr="004B44F8" w:rsidTr="004B44F8">
        <w:trPr>
          <w:cantSplit/>
          <w:trHeight w:val="70"/>
          <w:jc w:val="center"/>
        </w:trPr>
        <w:tc>
          <w:tcPr>
            <w:tcW w:w="4661" w:type="dxa"/>
            <w:vMerge/>
            <w:shd w:val="clear" w:color="auto" w:fill="BFBFBF"/>
            <w:vAlign w:val="center"/>
          </w:tcPr>
          <w:p w:rsidR="004B44F8" w:rsidRPr="004B44F8" w:rsidRDefault="004B44F8" w:rsidP="004B44F8">
            <w:pPr>
              <w:widowControl/>
              <w:adjustRightInd/>
              <w:jc w:val="center"/>
              <w:rPr>
                <w:b/>
                <w:bCs/>
              </w:rPr>
            </w:pPr>
          </w:p>
        </w:tc>
        <w:tc>
          <w:tcPr>
            <w:tcW w:w="1520" w:type="dxa"/>
            <w:shd w:val="clear" w:color="auto" w:fill="BFBFBF"/>
            <w:vAlign w:val="center"/>
          </w:tcPr>
          <w:p w:rsidR="004B44F8" w:rsidRPr="004B44F8" w:rsidRDefault="004B44F8" w:rsidP="004B44F8">
            <w:pPr>
              <w:widowControl/>
              <w:adjustRightInd/>
              <w:jc w:val="center"/>
              <w:rPr>
                <w:b/>
                <w:bCs/>
              </w:rPr>
            </w:pPr>
            <w:r w:rsidRPr="004B44F8">
              <w:rPr>
                <w:b/>
                <w:bCs/>
              </w:rPr>
              <w:t>2019</w:t>
            </w:r>
          </w:p>
        </w:tc>
        <w:tc>
          <w:tcPr>
            <w:tcW w:w="1327" w:type="dxa"/>
            <w:shd w:val="clear" w:color="auto" w:fill="BFBFBF"/>
            <w:vAlign w:val="center"/>
          </w:tcPr>
          <w:p w:rsidR="004B44F8" w:rsidRPr="004B44F8" w:rsidRDefault="004B44F8" w:rsidP="004B44F8">
            <w:pPr>
              <w:widowControl/>
              <w:adjustRightInd/>
              <w:jc w:val="center"/>
              <w:rPr>
                <w:b/>
                <w:bCs/>
              </w:rPr>
            </w:pPr>
            <w:r w:rsidRPr="004B44F8">
              <w:rPr>
                <w:b/>
                <w:bCs/>
              </w:rPr>
              <w:t>2020</w:t>
            </w:r>
          </w:p>
        </w:tc>
        <w:tc>
          <w:tcPr>
            <w:tcW w:w="1418" w:type="dxa"/>
            <w:shd w:val="clear" w:color="auto" w:fill="BFBFBF"/>
            <w:vAlign w:val="center"/>
          </w:tcPr>
          <w:p w:rsidR="004B44F8" w:rsidRPr="004B44F8" w:rsidRDefault="004B44F8" w:rsidP="004B44F8">
            <w:pPr>
              <w:widowControl/>
              <w:adjustRightInd/>
              <w:jc w:val="center"/>
              <w:rPr>
                <w:b/>
                <w:bCs/>
              </w:rPr>
            </w:pPr>
            <w:r w:rsidRPr="004B44F8">
              <w:rPr>
                <w:b/>
                <w:bCs/>
              </w:rPr>
              <w:t>2021</w:t>
            </w:r>
          </w:p>
        </w:tc>
        <w:tc>
          <w:tcPr>
            <w:tcW w:w="1417" w:type="dxa"/>
            <w:shd w:val="clear" w:color="auto" w:fill="BFBFBF"/>
            <w:vAlign w:val="center"/>
          </w:tcPr>
          <w:p w:rsidR="004B44F8" w:rsidRPr="004B44F8" w:rsidRDefault="004B44F8" w:rsidP="004B44F8">
            <w:pPr>
              <w:widowControl/>
              <w:adjustRightInd/>
              <w:jc w:val="center"/>
              <w:rPr>
                <w:b/>
                <w:bCs/>
              </w:rPr>
            </w:pPr>
            <w:r w:rsidRPr="004B44F8">
              <w:rPr>
                <w:b/>
                <w:bCs/>
              </w:rPr>
              <w:t>2022</w:t>
            </w:r>
          </w:p>
        </w:tc>
      </w:tr>
      <w:tr w:rsidR="004B44F8" w:rsidRPr="004B44F8" w:rsidTr="004B44F8">
        <w:trPr>
          <w:trHeight w:val="70"/>
          <w:jc w:val="center"/>
        </w:trPr>
        <w:tc>
          <w:tcPr>
            <w:tcW w:w="4661" w:type="dxa"/>
            <w:shd w:val="clear" w:color="auto" w:fill="C0C0C0"/>
            <w:noWrap/>
            <w:vAlign w:val="center"/>
          </w:tcPr>
          <w:p w:rsidR="004B44F8" w:rsidRPr="004B44F8" w:rsidRDefault="004B44F8" w:rsidP="004B44F8">
            <w:pPr>
              <w:widowControl/>
              <w:adjustRightInd/>
            </w:pPr>
            <w:r w:rsidRPr="004B44F8">
              <w:rPr>
                <w:b/>
                <w:bCs/>
              </w:rPr>
              <w:t>Príjmy verejnej správy celkom</w:t>
            </w:r>
          </w:p>
        </w:tc>
        <w:tc>
          <w:tcPr>
            <w:tcW w:w="1520" w:type="dxa"/>
            <w:shd w:val="clear" w:color="auto" w:fill="C0C0C0"/>
            <w:vAlign w:val="center"/>
          </w:tcPr>
          <w:p w:rsidR="004B44F8" w:rsidRPr="004B44F8" w:rsidRDefault="004B44F8" w:rsidP="004B44F8">
            <w:pPr>
              <w:widowControl/>
              <w:adjustRightInd/>
              <w:jc w:val="right"/>
              <w:rPr>
                <w:b/>
                <w:bCs/>
              </w:rPr>
            </w:pPr>
            <w:r w:rsidRPr="004B44F8">
              <w:rPr>
                <w:b/>
                <w:bCs/>
              </w:rPr>
              <w:t>0</w:t>
            </w:r>
          </w:p>
        </w:tc>
        <w:tc>
          <w:tcPr>
            <w:tcW w:w="1327" w:type="dxa"/>
            <w:shd w:val="clear" w:color="auto" w:fill="C0C0C0"/>
            <w:vAlign w:val="center"/>
          </w:tcPr>
          <w:p w:rsidR="004B44F8" w:rsidRPr="004B44F8" w:rsidRDefault="004B44F8" w:rsidP="004B44F8">
            <w:pPr>
              <w:widowControl/>
              <w:adjustRightInd/>
              <w:jc w:val="right"/>
              <w:rPr>
                <w:b/>
                <w:bCs/>
              </w:rPr>
            </w:pPr>
            <w:r w:rsidRPr="004B44F8">
              <w:rPr>
                <w:b/>
                <w:bCs/>
              </w:rPr>
              <w:t>0</w:t>
            </w:r>
          </w:p>
        </w:tc>
        <w:tc>
          <w:tcPr>
            <w:tcW w:w="1418" w:type="dxa"/>
            <w:shd w:val="clear" w:color="auto" w:fill="C0C0C0"/>
            <w:vAlign w:val="center"/>
          </w:tcPr>
          <w:p w:rsidR="004B44F8" w:rsidRPr="004B44F8" w:rsidRDefault="004B44F8" w:rsidP="004B44F8">
            <w:pPr>
              <w:widowControl/>
              <w:adjustRightInd/>
              <w:jc w:val="right"/>
              <w:rPr>
                <w:b/>
                <w:bCs/>
              </w:rPr>
            </w:pPr>
            <w:r w:rsidRPr="004B44F8">
              <w:rPr>
                <w:b/>
                <w:bCs/>
              </w:rPr>
              <w:t>0</w:t>
            </w:r>
          </w:p>
        </w:tc>
        <w:tc>
          <w:tcPr>
            <w:tcW w:w="1417" w:type="dxa"/>
            <w:shd w:val="clear" w:color="auto" w:fill="C0C0C0"/>
            <w:vAlign w:val="center"/>
          </w:tcPr>
          <w:p w:rsidR="004B44F8" w:rsidRPr="004B44F8" w:rsidRDefault="004B44F8" w:rsidP="004B44F8">
            <w:pPr>
              <w:widowControl/>
              <w:adjustRightInd/>
              <w:jc w:val="right"/>
              <w:rPr>
                <w:b/>
                <w:bCs/>
              </w:rPr>
            </w:pPr>
            <w:r w:rsidRPr="004B44F8">
              <w:rPr>
                <w:b/>
                <w:bCs/>
              </w:rPr>
              <w:t>0</w:t>
            </w:r>
          </w:p>
        </w:tc>
      </w:tr>
      <w:tr w:rsidR="004B44F8" w:rsidRPr="004B44F8" w:rsidTr="004B44F8">
        <w:trPr>
          <w:trHeight w:val="132"/>
          <w:jc w:val="center"/>
        </w:trPr>
        <w:tc>
          <w:tcPr>
            <w:tcW w:w="4661" w:type="dxa"/>
            <w:noWrap/>
            <w:vAlign w:val="center"/>
          </w:tcPr>
          <w:p w:rsidR="004B44F8" w:rsidRPr="004B44F8" w:rsidRDefault="004B44F8" w:rsidP="004B44F8">
            <w:pPr>
              <w:widowControl/>
              <w:adjustRightInd/>
            </w:pPr>
            <w:r w:rsidRPr="004B44F8">
              <w:t>v tom: za každý subjekt verejnej správy zvlášť</w:t>
            </w:r>
          </w:p>
        </w:tc>
        <w:tc>
          <w:tcPr>
            <w:tcW w:w="1520" w:type="dxa"/>
            <w:noWrap/>
            <w:vAlign w:val="center"/>
          </w:tcPr>
          <w:p w:rsidR="004B44F8" w:rsidRPr="004B44F8" w:rsidRDefault="004B44F8" w:rsidP="004B44F8">
            <w:pPr>
              <w:widowControl/>
              <w:adjustRightInd/>
              <w:jc w:val="right"/>
            </w:pPr>
            <w:r w:rsidRPr="004B44F8">
              <w:t>0</w:t>
            </w:r>
          </w:p>
        </w:tc>
        <w:tc>
          <w:tcPr>
            <w:tcW w:w="1327" w:type="dxa"/>
            <w:noWrap/>
            <w:vAlign w:val="center"/>
          </w:tcPr>
          <w:p w:rsidR="004B44F8" w:rsidRPr="004B44F8" w:rsidRDefault="004B44F8" w:rsidP="004B44F8">
            <w:pPr>
              <w:widowControl/>
              <w:adjustRightInd/>
              <w:jc w:val="right"/>
            </w:pPr>
            <w:r w:rsidRPr="004B44F8">
              <w:t>0</w:t>
            </w:r>
          </w:p>
        </w:tc>
        <w:tc>
          <w:tcPr>
            <w:tcW w:w="1418" w:type="dxa"/>
            <w:noWrap/>
            <w:vAlign w:val="center"/>
          </w:tcPr>
          <w:p w:rsidR="004B44F8" w:rsidRPr="004B44F8" w:rsidRDefault="004B44F8" w:rsidP="004B44F8">
            <w:pPr>
              <w:widowControl/>
              <w:adjustRightInd/>
              <w:jc w:val="right"/>
            </w:pPr>
            <w:r w:rsidRPr="004B44F8">
              <w:t>0</w:t>
            </w:r>
          </w:p>
        </w:tc>
        <w:tc>
          <w:tcPr>
            <w:tcW w:w="1417" w:type="dxa"/>
            <w:noWrap/>
            <w:vAlign w:val="center"/>
          </w:tcPr>
          <w:p w:rsidR="004B44F8" w:rsidRPr="004B44F8" w:rsidRDefault="004B44F8" w:rsidP="004B44F8">
            <w:pPr>
              <w:widowControl/>
              <w:adjustRightInd/>
              <w:jc w:val="right"/>
            </w:pPr>
            <w:r w:rsidRPr="004B44F8">
              <w:t>0</w:t>
            </w: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xml:space="preserve">z toho:  </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ŠR</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ind w:left="259"/>
              <w:rPr>
                <w:b/>
                <w:bCs/>
                <w:i/>
                <w:iCs/>
              </w:rPr>
            </w:pPr>
            <w:r w:rsidRPr="004B44F8">
              <w:rPr>
                <w:bCs/>
                <w:i/>
                <w:iCs/>
              </w:rPr>
              <w:t>Rozpočtové prostriedky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ind w:left="259"/>
              <w:rPr>
                <w:bCs/>
                <w:i/>
                <w:iCs/>
              </w:rPr>
            </w:pPr>
            <w:r w:rsidRPr="004B44F8">
              <w:rPr>
                <w:bCs/>
                <w:i/>
                <w:iCs/>
              </w:rPr>
              <w:t>EÚ zdroje</w:t>
            </w:r>
          </w:p>
        </w:tc>
        <w:tc>
          <w:tcPr>
            <w:tcW w:w="1520" w:type="dxa"/>
            <w:noWrap/>
            <w:vAlign w:val="center"/>
          </w:tcPr>
          <w:p w:rsidR="004B44F8" w:rsidRPr="004B44F8" w:rsidRDefault="004B44F8" w:rsidP="004B44F8">
            <w:pPr>
              <w:widowControl/>
              <w:adjustRightInd/>
              <w:jc w:val="right"/>
            </w:pPr>
            <w:r w:rsidRPr="004B44F8">
              <w:t>0</w:t>
            </w:r>
          </w:p>
        </w:tc>
        <w:tc>
          <w:tcPr>
            <w:tcW w:w="1327" w:type="dxa"/>
            <w:noWrap/>
            <w:vAlign w:val="center"/>
          </w:tcPr>
          <w:p w:rsidR="004B44F8" w:rsidRPr="004B44F8" w:rsidRDefault="004B44F8" w:rsidP="004B44F8">
            <w:pPr>
              <w:widowControl/>
              <w:adjustRightInd/>
              <w:jc w:val="right"/>
            </w:pPr>
            <w:r w:rsidRPr="004B44F8">
              <w:t>0</w:t>
            </w:r>
          </w:p>
        </w:tc>
        <w:tc>
          <w:tcPr>
            <w:tcW w:w="1418" w:type="dxa"/>
            <w:noWrap/>
            <w:vAlign w:val="center"/>
          </w:tcPr>
          <w:p w:rsidR="004B44F8" w:rsidRPr="004B44F8" w:rsidRDefault="004B44F8" w:rsidP="004B44F8">
            <w:pPr>
              <w:widowControl/>
              <w:adjustRightInd/>
              <w:jc w:val="right"/>
            </w:pPr>
            <w:r w:rsidRPr="004B44F8">
              <w:t>0</w:t>
            </w:r>
          </w:p>
        </w:tc>
        <w:tc>
          <w:tcPr>
            <w:tcW w:w="1417" w:type="dxa"/>
            <w:noWrap/>
            <w:vAlign w:val="center"/>
          </w:tcPr>
          <w:p w:rsidR="004B44F8" w:rsidRPr="004B44F8" w:rsidRDefault="004B44F8" w:rsidP="004B44F8">
            <w:pPr>
              <w:widowControl/>
              <w:adjustRightInd/>
              <w:jc w:val="right"/>
            </w:pPr>
            <w:r w:rsidRPr="004B44F8">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obce</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vyššie územné celky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ostatné subjekty verejnej správy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shd w:val="clear" w:color="auto" w:fill="C0C0C0"/>
            <w:noWrap/>
            <w:vAlign w:val="center"/>
          </w:tcPr>
          <w:p w:rsidR="004B44F8" w:rsidRPr="004B44F8" w:rsidRDefault="004B44F8" w:rsidP="004B44F8">
            <w:pPr>
              <w:widowControl/>
              <w:adjustRightInd/>
              <w:rPr>
                <w:b/>
                <w:bCs/>
              </w:rPr>
            </w:pPr>
            <w:r w:rsidRPr="004B44F8">
              <w:rPr>
                <w:b/>
                <w:bCs/>
              </w:rPr>
              <w:t>Výdavky verejnej správy celkom</w:t>
            </w:r>
          </w:p>
        </w:tc>
        <w:tc>
          <w:tcPr>
            <w:tcW w:w="1520" w:type="dxa"/>
            <w:shd w:val="clear" w:color="auto" w:fill="C0C0C0"/>
            <w:noWrap/>
            <w:vAlign w:val="center"/>
          </w:tcPr>
          <w:p w:rsidR="004B44F8" w:rsidRPr="004B44F8" w:rsidRDefault="004B44F8" w:rsidP="004B44F8">
            <w:pPr>
              <w:widowControl/>
              <w:adjustRightInd/>
              <w:jc w:val="right"/>
              <w:rPr>
                <w:b/>
                <w:bCs/>
              </w:rPr>
            </w:pPr>
            <w:r w:rsidRPr="004B44F8">
              <w:rPr>
                <w:b/>
                <w:bCs/>
              </w:rPr>
              <w:t>25 000 000</w:t>
            </w:r>
          </w:p>
        </w:tc>
        <w:tc>
          <w:tcPr>
            <w:tcW w:w="1327" w:type="dxa"/>
            <w:shd w:val="clear" w:color="auto" w:fill="C0C0C0"/>
            <w:noWrap/>
          </w:tcPr>
          <w:p w:rsidR="004B44F8" w:rsidRPr="004B44F8" w:rsidRDefault="004B44F8" w:rsidP="004B44F8">
            <w:pPr>
              <w:widowControl/>
              <w:adjustRightInd/>
              <w:jc w:val="right"/>
              <w:rPr>
                <w:b/>
                <w:bCs/>
              </w:rPr>
            </w:pPr>
            <w:r w:rsidRPr="004B44F8">
              <w:rPr>
                <w:b/>
                <w:bCs/>
              </w:rPr>
              <w:t>25 000 000</w:t>
            </w:r>
          </w:p>
        </w:tc>
        <w:tc>
          <w:tcPr>
            <w:tcW w:w="1418" w:type="dxa"/>
            <w:shd w:val="clear" w:color="auto" w:fill="C0C0C0"/>
            <w:noWrap/>
          </w:tcPr>
          <w:p w:rsidR="004B44F8" w:rsidRPr="004B44F8" w:rsidRDefault="004B44F8" w:rsidP="004B44F8">
            <w:pPr>
              <w:widowControl/>
              <w:adjustRightInd/>
              <w:jc w:val="right"/>
              <w:rPr>
                <w:b/>
                <w:bCs/>
              </w:rPr>
            </w:pPr>
            <w:r w:rsidRPr="004B44F8">
              <w:rPr>
                <w:b/>
                <w:bCs/>
              </w:rPr>
              <w:t>25 000 000</w:t>
            </w:r>
          </w:p>
        </w:tc>
        <w:tc>
          <w:tcPr>
            <w:tcW w:w="1417" w:type="dxa"/>
            <w:shd w:val="clear" w:color="auto" w:fill="C0C0C0"/>
            <w:noWrap/>
          </w:tcPr>
          <w:p w:rsidR="004B44F8" w:rsidRPr="004B44F8" w:rsidRDefault="004B44F8" w:rsidP="004B44F8">
            <w:pPr>
              <w:widowControl/>
              <w:adjustRightInd/>
              <w:jc w:val="right"/>
              <w:rPr>
                <w:b/>
                <w:b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pPr>
            <w:r w:rsidRPr="004B44F8">
              <w:t>v tom: za MDV SR /01705</w:t>
            </w:r>
          </w:p>
        </w:tc>
        <w:tc>
          <w:tcPr>
            <w:tcW w:w="1520" w:type="dxa"/>
            <w:noWrap/>
            <w:vAlign w:val="center"/>
          </w:tcPr>
          <w:p w:rsidR="004B44F8" w:rsidRPr="004B44F8" w:rsidRDefault="004B44F8" w:rsidP="004B44F8">
            <w:pPr>
              <w:widowControl/>
              <w:adjustRightInd/>
              <w:jc w:val="right"/>
              <w:rPr>
                <w:bCs/>
                <w:iCs/>
              </w:rPr>
            </w:pPr>
            <w:r w:rsidRPr="004B44F8">
              <w:rPr>
                <w:bCs/>
                <w:iCs/>
              </w:rPr>
              <w:t xml:space="preserve"> 25 000 000</w:t>
            </w:r>
          </w:p>
        </w:tc>
        <w:tc>
          <w:tcPr>
            <w:tcW w:w="1327" w:type="dxa"/>
            <w:noWrap/>
          </w:tcPr>
          <w:p w:rsidR="004B44F8" w:rsidRPr="004B44F8" w:rsidRDefault="004B44F8" w:rsidP="004B44F8">
            <w:pPr>
              <w:widowControl/>
              <w:adjustRightInd/>
              <w:jc w:val="right"/>
              <w:rPr>
                <w:bCs/>
                <w:iCs/>
              </w:rPr>
            </w:pPr>
            <w:r w:rsidRPr="004B44F8">
              <w:rPr>
                <w:bCs/>
                <w:iCs/>
              </w:rPr>
              <w:t>25 000 000</w:t>
            </w:r>
          </w:p>
        </w:tc>
        <w:tc>
          <w:tcPr>
            <w:tcW w:w="1418" w:type="dxa"/>
            <w:noWrap/>
          </w:tcPr>
          <w:p w:rsidR="004B44F8" w:rsidRPr="004B44F8" w:rsidRDefault="004B44F8" w:rsidP="004B44F8">
            <w:pPr>
              <w:widowControl/>
              <w:adjustRightInd/>
              <w:jc w:val="right"/>
              <w:rPr>
                <w:bCs/>
                <w:iCs/>
              </w:rPr>
            </w:pPr>
            <w:r w:rsidRPr="004B44F8">
              <w:rPr>
                <w:bCs/>
                <w:iCs/>
              </w:rPr>
              <w:t>25 000 000</w:t>
            </w:r>
          </w:p>
        </w:tc>
        <w:tc>
          <w:tcPr>
            <w:tcW w:w="1417" w:type="dxa"/>
            <w:noWrap/>
          </w:tcPr>
          <w:p w:rsidR="004B44F8" w:rsidRPr="004B44F8" w:rsidRDefault="004B44F8" w:rsidP="004B44F8">
            <w:pPr>
              <w:widowControl/>
              <w:adjustRightInd/>
              <w:jc w:val="right"/>
              <w:rPr>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pPr>
          </w:p>
        </w:tc>
        <w:tc>
          <w:tcPr>
            <w:tcW w:w="1520" w:type="dxa"/>
            <w:noWrap/>
            <w:vAlign w:val="center"/>
          </w:tcPr>
          <w:p w:rsidR="004B44F8" w:rsidRPr="004B44F8" w:rsidRDefault="004B44F8" w:rsidP="004B44F8">
            <w:pPr>
              <w:widowControl/>
              <w:adjustRightInd/>
              <w:jc w:val="right"/>
              <w:rPr>
                <w:bCs/>
                <w:iCs/>
              </w:rPr>
            </w:pPr>
          </w:p>
        </w:tc>
        <w:tc>
          <w:tcPr>
            <w:tcW w:w="1327" w:type="dxa"/>
            <w:noWrap/>
          </w:tcPr>
          <w:p w:rsidR="004B44F8" w:rsidRPr="004B44F8" w:rsidRDefault="004B44F8" w:rsidP="004B44F8">
            <w:pPr>
              <w:widowControl/>
              <w:adjustRightInd/>
              <w:jc w:val="right"/>
              <w:rPr>
                <w:bCs/>
                <w:iCs/>
              </w:rPr>
            </w:pPr>
          </w:p>
        </w:tc>
        <w:tc>
          <w:tcPr>
            <w:tcW w:w="1418" w:type="dxa"/>
            <w:noWrap/>
          </w:tcPr>
          <w:p w:rsidR="004B44F8" w:rsidRPr="004B44F8" w:rsidRDefault="004B44F8" w:rsidP="004B44F8">
            <w:pPr>
              <w:widowControl/>
              <w:adjustRightInd/>
              <w:jc w:val="right"/>
              <w:rPr>
                <w:bCs/>
                <w:iCs/>
              </w:rPr>
            </w:pPr>
          </w:p>
        </w:tc>
        <w:tc>
          <w:tcPr>
            <w:tcW w:w="1417" w:type="dxa"/>
            <w:noWrap/>
          </w:tcPr>
          <w:p w:rsidR="004B44F8" w:rsidRPr="004B44F8" w:rsidRDefault="004B44F8" w:rsidP="004B44F8">
            <w:pPr>
              <w:widowControl/>
              <w:adjustRightInd/>
              <w:jc w:val="right"/>
              <w:rPr>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xml:space="preserve">z toho: </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ŠR</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ind w:left="259"/>
              <w:rPr>
                <w:b/>
                <w:bCs/>
                <w:i/>
                <w:iCs/>
              </w:rPr>
            </w:pPr>
            <w:r w:rsidRPr="004B44F8">
              <w:rPr>
                <w:bCs/>
                <w:i/>
                <w:iCs/>
              </w:rPr>
              <w:t>Rozpočtové prostriedky</w:t>
            </w:r>
          </w:p>
        </w:tc>
        <w:tc>
          <w:tcPr>
            <w:tcW w:w="1520" w:type="dxa"/>
            <w:noWrap/>
            <w:vAlign w:val="center"/>
          </w:tcPr>
          <w:p w:rsidR="004B44F8" w:rsidRPr="004B44F8" w:rsidRDefault="004B44F8" w:rsidP="004B44F8">
            <w:pPr>
              <w:widowControl/>
              <w:adjustRightInd/>
              <w:jc w:val="right"/>
              <w:rPr>
                <w:bCs/>
                <w:iCs/>
              </w:rPr>
            </w:pPr>
            <w:r w:rsidRPr="004B44F8">
              <w:rPr>
                <w:bCs/>
                <w:iCs/>
              </w:rPr>
              <w:t xml:space="preserve"> 25 000 000</w:t>
            </w:r>
          </w:p>
        </w:tc>
        <w:tc>
          <w:tcPr>
            <w:tcW w:w="1327" w:type="dxa"/>
            <w:noWrap/>
          </w:tcPr>
          <w:p w:rsidR="004B44F8" w:rsidRPr="004B44F8" w:rsidRDefault="004B44F8" w:rsidP="004B44F8">
            <w:pPr>
              <w:widowControl/>
              <w:adjustRightInd/>
              <w:jc w:val="right"/>
              <w:rPr>
                <w:bCs/>
                <w:iCs/>
              </w:rPr>
            </w:pPr>
            <w:r w:rsidRPr="004B44F8">
              <w:rPr>
                <w:bCs/>
                <w:iCs/>
              </w:rPr>
              <w:t>25 000 000</w:t>
            </w:r>
          </w:p>
        </w:tc>
        <w:tc>
          <w:tcPr>
            <w:tcW w:w="1418" w:type="dxa"/>
            <w:noWrap/>
          </w:tcPr>
          <w:p w:rsidR="004B44F8" w:rsidRPr="004B44F8" w:rsidRDefault="004B44F8" w:rsidP="004B44F8">
            <w:pPr>
              <w:widowControl/>
              <w:adjustRightInd/>
              <w:jc w:val="right"/>
              <w:rPr>
                <w:bCs/>
                <w:iCs/>
              </w:rPr>
            </w:pPr>
            <w:r w:rsidRPr="004B44F8">
              <w:rPr>
                <w:bCs/>
                <w:iCs/>
              </w:rPr>
              <w:t>25 000 000</w:t>
            </w:r>
          </w:p>
        </w:tc>
        <w:tc>
          <w:tcPr>
            <w:tcW w:w="1417" w:type="dxa"/>
            <w:noWrap/>
          </w:tcPr>
          <w:p w:rsidR="004B44F8" w:rsidRPr="004B44F8" w:rsidRDefault="004B44F8" w:rsidP="004B44F8">
            <w:pPr>
              <w:widowControl/>
              <w:adjustRightInd/>
              <w:jc w:val="right"/>
              <w:rPr>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Cs/>
                <w:i/>
                <w:iCs/>
              </w:rPr>
            </w:pPr>
            <w:r w:rsidRPr="004B44F8">
              <w:rPr>
                <w:bCs/>
                <w:i/>
                <w:iCs/>
              </w:rPr>
              <w:t xml:space="preserve">    EÚ zdroje</w:t>
            </w:r>
          </w:p>
        </w:tc>
        <w:tc>
          <w:tcPr>
            <w:tcW w:w="1520" w:type="dxa"/>
            <w:noWrap/>
            <w:vAlign w:val="center"/>
          </w:tcPr>
          <w:p w:rsidR="004B44F8" w:rsidRPr="004B44F8" w:rsidRDefault="004B44F8" w:rsidP="004B44F8">
            <w:pPr>
              <w:widowControl/>
              <w:adjustRightInd/>
              <w:jc w:val="right"/>
            </w:pPr>
            <w:r w:rsidRPr="004B44F8">
              <w:t>0</w:t>
            </w:r>
          </w:p>
        </w:tc>
        <w:tc>
          <w:tcPr>
            <w:tcW w:w="1327" w:type="dxa"/>
            <w:noWrap/>
            <w:vAlign w:val="center"/>
          </w:tcPr>
          <w:p w:rsidR="004B44F8" w:rsidRPr="004B44F8" w:rsidRDefault="004B44F8" w:rsidP="004B44F8">
            <w:pPr>
              <w:widowControl/>
              <w:adjustRightInd/>
              <w:jc w:val="right"/>
            </w:pPr>
            <w:r w:rsidRPr="004B44F8">
              <w:t>0</w:t>
            </w:r>
          </w:p>
        </w:tc>
        <w:tc>
          <w:tcPr>
            <w:tcW w:w="1418" w:type="dxa"/>
            <w:noWrap/>
            <w:vAlign w:val="center"/>
          </w:tcPr>
          <w:p w:rsidR="004B44F8" w:rsidRPr="004B44F8" w:rsidRDefault="004B44F8" w:rsidP="004B44F8">
            <w:pPr>
              <w:widowControl/>
              <w:adjustRightInd/>
              <w:jc w:val="right"/>
            </w:pPr>
            <w:r w:rsidRPr="004B44F8">
              <w:t>0</w:t>
            </w:r>
          </w:p>
        </w:tc>
        <w:tc>
          <w:tcPr>
            <w:tcW w:w="1417" w:type="dxa"/>
            <w:noWrap/>
            <w:vAlign w:val="center"/>
          </w:tcPr>
          <w:p w:rsidR="004B44F8" w:rsidRPr="004B44F8" w:rsidRDefault="004B44F8" w:rsidP="004B44F8">
            <w:pPr>
              <w:widowControl/>
              <w:adjustRightInd/>
              <w:jc w:val="right"/>
            </w:pPr>
            <w:r w:rsidRPr="004B44F8">
              <w:t>0</w:t>
            </w: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Cs/>
                <w:i/>
                <w:iCs/>
              </w:rPr>
            </w:pPr>
            <w:r w:rsidRPr="004B44F8">
              <w:rPr>
                <w:bCs/>
                <w:i/>
                <w:iCs/>
              </w:rPr>
              <w:t xml:space="preserve">    spolufinancovanie</w:t>
            </w:r>
          </w:p>
        </w:tc>
        <w:tc>
          <w:tcPr>
            <w:tcW w:w="1520" w:type="dxa"/>
            <w:noWrap/>
            <w:vAlign w:val="center"/>
          </w:tcPr>
          <w:p w:rsidR="004B44F8" w:rsidRPr="004B44F8" w:rsidRDefault="004B44F8" w:rsidP="004B44F8">
            <w:pPr>
              <w:widowControl/>
              <w:adjustRightInd/>
              <w:jc w:val="right"/>
            </w:pPr>
            <w:r w:rsidRPr="004B44F8">
              <w:t>0</w:t>
            </w:r>
          </w:p>
        </w:tc>
        <w:tc>
          <w:tcPr>
            <w:tcW w:w="1327" w:type="dxa"/>
            <w:noWrap/>
            <w:vAlign w:val="center"/>
          </w:tcPr>
          <w:p w:rsidR="004B44F8" w:rsidRPr="004B44F8" w:rsidRDefault="004B44F8" w:rsidP="004B44F8">
            <w:pPr>
              <w:widowControl/>
              <w:adjustRightInd/>
              <w:jc w:val="right"/>
            </w:pPr>
            <w:r w:rsidRPr="004B44F8">
              <w:t>0</w:t>
            </w:r>
          </w:p>
        </w:tc>
        <w:tc>
          <w:tcPr>
            <w:tcW w:w="1418" w:type="dxa"/>
            <w:noWrap/>
            <w:vAlign w:val="center"/>
          </w:tcPr>
          <w:p w:rsidR="004B44F8" w:rsidRPr="004B44F8" w:rsidRDefault="004B44F8" w:rsidP="004B44F8">
            <w:pPr>
              <w:widowControl/>
              <w:adjustRightInd/>
              <w:jc w:val="right"/>
            </w:pPr>
            <w:r w:rsidRPr="004B44F8">
              <w:t>0</w:t>
            </w:r>
          </w:p>
        </w:tc>
        <w:tc>
          <w:tcPr>
            <w:tcW w:w="1417" w:type="dxa"/>
            <w:noWrap/>
            <w:vAlign w:val="center"/>
          </w:tcPr>
          <w:p w:rsidR="004B44F8" w:rsidRPr="004B44F8" w:rsidRDefault="004B44F8" w:rsidP="004B44F8">
            <w:pPr>
              <w:widowControl/>
              <w:adjustRightInd/>
              <w:jc w:val="right"/>
            </w:pPr>
            <w:r w:rsidRPr="004B44F8">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obce</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125"/>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vyššie územné celky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rPr>
            </w:pPr>
            <w:r w:rsidRPr="004B44F8">
              <w:rPr>
                <w:b/>
                <w:bCs/>
                <w:i/>
                <w:iCs/>
              </w:rPr>
              <w:t>- vplyv na ostatné subjekty verejnej správy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70"/>
          <w:jc w:val="center"/>
        </w:trPr>
        <w:tc>
          <w:tcPr>
            <w:tcW w:w="4661" w:type="dxa"/>
            <w:shd w:val="clear" w:color="auto" w:fill="BFBFBF"/>
            <w:noWrap/>
            <w:vAlign w:val="center"/>
          </w:tcPr>
          <w:p w:rsidR="004B44F8" w:rsidRPr="004B44F8" w:rsidRDefault="004B44F8" w:rsidP="004B44F8">
            <w:pPr>
              <w:widowControl/>
              <w:adjustRightInd/>
              <w:rPr>
                <w:b/>
                <w:bCs/>
              </w:rPr>
            </w:pPr>
            <w:r w:rsidRPr="004B44F8">
              <w:rPr>
                <w:b/>
                <w:bCs/>
              </w:rPr>
              <w:t xml:space="preserve">Vplyv na počet zamestnancov </w:t>
            </w:r>
          </w:p>
        </w:tc>
        <w:tc>
          <w:tcPr>
            <w:tcW w:w="1520" w:type="dxa"/>
            <w:shd w:val="clear" w:color="auto" w:fill="BFBFBF"/>
            <w:noWrap/>
            <w:vAlign w:val="center"/>
          </w:tcPr>
          <w:p w:rsidR="004B44F8" w:rsidRPr="004B44F8" w:rsidRDefault="004B44F8" w:rsidP="004B44F8">
            <w:pPr>
              <w:widowControl/>
              <w:adjustRightInd/>
              <w:jc w:val="right"/>
              <w:rPr>
                <w:b/>
                <w:bCs/>
                <w:iCs/>
              </w:rPr>
            </w:pPr>
          </w:p>
        </w:tc>
        <w:tc>
          <w:tcPr>
            <w:tcW w:w="1327" w:type="dxa"/>
            <w:shd w:val="clear" w:color="auto" w:fill="BFBFBF"/>
            <w:noWrap/>
            <w:vAlign w:val="center"/>
          </w:tcPr>
          <w:p w:rsidR="004B44F8" w:rsidRPr="004B44F8" w:rsidRDefault="004B44F8" w:rsidP="004B44F8">
            <w:pPr>
              <w:widowControl/>
              <w:adjustRightInd/>
              <w:jc w:val="right"/>
              <w:rPr>
                <w:b/>
                <w:bCs/>
                <w:iCs/>
              </w:rPr>
            </w:pPr>
          </w:p>
        </w:tc>
        <w:tc>
          <w:tcPr>
            <w:tcW w:w="1418" w:type="dxa"/>
            <w:shd w:val="clear" w:color="auto" w:fill="BFBFBF"/>
            <w:noWrap/>
            <w:vAlign w:val="center"/>
          </w:tcPr>
          <w:p w:rsidR="004B44F8" w:rsidRPr="004B44F8" w:rsidRDefault="004B44F8" w:rsidP="004B44F8">
            <w:pPr>
              <w:widowControl/>
              <w:adjustRightInd/>
              <w:jc w:val="right"/>
              <w:rPr>
                <w:b/>
                <w:bCs/>
                <w:iCs/>
              </w:rPr>
            </w:pPr>
          </w:p>
        </w:tc>
        <w:tc>
          <w:tcPr>
            <w:tcW w:w="1417" w:type="dxa"/>
            <w:shd w:val="clear" w:color="auto" w:fill="BFBFBF"/>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ŠR</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obce</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vyššie územné celky</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ostatné subjekty verejnej správy</w:t>
            </w:r>
          </w:p>
        </w:tc>
        <w:tc>
          <w:tcPr>
            <w:tcW w:w="1520" w:type="dxa"/>
            <w:noWrap/>
            <w:vAlign w:val="center"/>
          </w:tcPr>
          <w:p w:rsidR="004B44F8" w:rsidRPr="004B44F8" w:rsidRDefault="004B44F8" w:rsidP="004B44F8">
            <w:pPr>
              <w:widowControl/>
              <w:adjustRightInd/>
              <w:jc w:val="right"/>
              <w:rPr>
                <w:b/>
                <w:bCs/>
                <w:iCs/>
              </w:rPr>
            </w:pPr>
            <w:r w:rsidRPr="004B44F8">
              <w:rPr>
                <w:b/>
                <w:bCs/>
                <w:iCs/>
              </w:rPr>
              <w:t>0</w:t>
            </w:r>
          </w:p>
        </w:tc>
        <w:tc>
          <w:tcPr>
            <w:tcW w:w="1327" w:type="dxa"/>
            <w:noWrap/>
            <w:vAlign w:val="center"/>
          </w:tcPr>
          <w:p w:rsidR="004B44F8" w:rsidRPr="004B44F8" w:rsidRDefault="004B44F8" w:rsidP="004B44F8">
            <w:pPr>
              <w:widowControl/>
              <w:adjustRightInd/>
              <w:jc w:val="right"/>
              <w:rPr>
                <w:b/>
                <w:bCs/>
                <w:iCs/>
              </w:rPr>
            </w:pPr>
            <w:r w:rsidRPr="004B44F8">
              <w:rPr>
                <w:b/>
                <w:bCs/>
                <w:iCs/>
              </w:rPr>
              <w:t>0</w:t>
            </w:r>
          </w:p>
        </w:tc>
        <w:tc>
          <w:tcPr>
            <w:tcW w:w="1418" w:type="dxa"/>
            <w:noWrap/>
            <w:vAlign w:val="center"/>
          </w:tcPr>
          <w:p w:rsidR="004B44F8" w:rsidRPr="004B44F8" w:rsidRDefault="004B44F8" w:rsidP="004B44F8">
            <w:pPr>
              <w:widowControl/>
              <w:adjustRightInd/>
              <w:jc w:val="right"/>
              <w:rPr>
                <w:b/>
                <w:bCs/>
                <w:iCs/>
              </w:rPr>
            </w:pPr>
            <w:r w:rsidRPr="004B44F8">
              <w:rPr>
                <w:b/>
                <w:bCs/>
                <w:iCs/>
              </w:rPr>
              <w:t>0</w:t>
            </w:r>
          </w:p>
        </w:tc>
        <w:tc>
          <w:tcPr>
            <w:tcW w:w="1417" w:type="dxa"/>
            <w:noWrap/>
            <w:vAlign w:val="center"/>
          </w:tcPr>
          <w:p w:rsidR="004B44F8" w:rsidRPr="004B44F8" w:rsidRDefault="004B44F8" w:rsidP="004B44F8">
            <w:pPr>
              <w:widowControl/>
              <w:adjustRightInd/>
              <w:jc w:val="right"/>
              <w:rPr>
                <w:b/>
                <w:bCs/>
                <w:iCs/>
              </w:rPr>
            </w:pPr>
            <w:r w:rsidRPr="004B44F8">
              <w:rPr>
                <w:b/>
                <w:bCs/>
                <w:iCs/>
              </w:rPr>
              <w:t>0</w:t>
            </w:r>
          </w:p>
        </w:tc>
      </w:tr>
      <w:tr w:rsidR="004B44F8" w:rsidRPr="004B44F8" w:rsidTr="004B44F8">
        <w:trPr>
          <w:trHeight w:val="70"/>
          <w:jc w:val="center"/>
        </w:trPr>
        <w:tc>
          <w:tcPr>
            <w:tcW w:w="4661" w:type="dxa"/>
            <w:shd w:val="clear" w:color="auto" w:fill="BFBFBF"/>
            <w:noWrap/>
            <w:vAlign w:val="center"/>
          </w:tcPr>
          <w:p w:rsidR="004B44F8" w:rsidRPr="004B44F8" w:rsidRDefault="004B44F8" w:rsidP="004B44F8">
            <w:pPr>
              <w:widowControl/>
              <w:adjustRightInd/>
              <w:rPr>
                <w:b/>
              </w:rPr>
            </w:pPr>
            <w:r w:rsidRPr="004B44F8">
              <w:rPr>
                <w:b/>
              </w:rPr>
              <w:t>Vplyv na mzdové výdavky</w:t>
            </w:r>
          </w:p>
        </w:tc>
        <w:tc>
          <w:tcPr>
            <w:tcW w:w="1520" w:type="dxa"/>
            <w:shd w:val="clear" w:color="auto" w:fill="BFBFBF"/>
            <w:noWrap/>
          </w:tcPr>
          <w:p w:rsidR="004B44F8" w:rsidRPr="004B44F8" w:rsidRDefault="004B44F8" w:rsidP="004B44F8">
            <w:pPr>
              <w:widowControl/>
              <w:adjustRightInd/>
              <w:jc w:val="right"/>
              <w:rPr>
                <w:b/>
                <w:bCs/>
                <w:iCs/>
              </w:rPr>
            </w:pPr>
          </w:p>
        </w:tc>
        <w:tc>
          <w:tcPr>
            <w:tcW w:w="1327" w:type="dxa"/>
            <w:shd w:val="clear" w:color="auto" w:fill="BFBFBF"/>
            <w:noWrap/>
          </w:tcPr>
          <w:p w:rsidR="004B44F8" w:rsidRPr="004B44F8" w:rsidRDefault="004B44F8" w:rsidP="004B44F8">
            <w:pPr>
              <w:widowControl/>
              <w:adjustRightInd/>
              <w:jc w:val="right"/>
              <w:rPr>
                <w:b/>
                <w:bCs/>
                <w:iCs/>
              </w:rPr>
            </w:pPr>
          </w:p>
        </w:tc>
        <w:tc>
          <w:tcPr>
            <w:tcW w:w="1418" w:type="dxa"/>
            <w:shd w:val="clear" w:color="auto" w:fill="BFBFBF"/>
            <w:noWrap/>
          </w:tcPr>
          <w:p w:rsidR="004B44F8" w:rsidRPr="004B44F8" w:rsidRDefault="004B44F8" w:rsidP="004B44F8">
            <w:pPr>
              <w:widowControl/>
              <w:adjustRightInd/>
              <w:jc w:val="right"/>
              <w:rPr>
                <w:b/>
                <w:bCs/>
                <w:iCs/>
              </w:rPr>
            </w:pPr>
          </w:p>
        </w:tc>
        <w:tc>
          <w:tcPr>
            <w:tcW w:w="1417" w:type="dxa"/>
            <w:shd w:val="clear" w:color="auto" w:fill="BFBFBF"/>
            <w:noWrap/>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ŠR</w:t>
            </w:r>
          </w:p>
        </w:tc>
        <w:tc>
          <w:tcPr>
            <w:tcW w:w="1520" w:type="dxa"/>
            <w:noWrap/>
          </w:tcPr>
          <w:p w:rsidR="004B44F8" w:rsidRPr="004B44F8" w:rsidRDefault="004B44F8" w:rsidP="004B44F8">
            <w:pPr>
              <w:widowControl/>
              <w:adjustRightInd/>
              <w:jc w:val="right"/>
              <w:rPr>
                <w:bCs/>
                <w:iCs/>
              </w:rPr>
            </w:pPr>
          </w:p>
        </w:tc>
        <w:tc>
          <w:tcPr>
            <w:tcW w:w="1327" w:type="dxa"/>
            <w:noWrap/>
          </w:tcPr>
          <w:p w:rsidR="004B44F8" w:rsidRPr="004B44F8" w:rsidRDefault="004B44F8" w:rsidP="004B44F8">
            <w:pPr>
              <w:widowControl/>
              <w:adjustRightInd/>
              <w:jc w:val="right"/>
              <w:rPr>
                <w:bCs/>
                <w:iCs/>
              </w:rPr>
            </w:pPr>
          </w:p>
        </w:tc>
        <w:tc>
          <w:tcPr>
            <w:tcW w:w="1418" w:type="dxa"/>
            <w:noWrap/>
          </w:tcPr>
          <w:p w:rsidR="004B44F8" w:rsidRPr="004B44F8" w:rsidRDefault="004B44F8" w:rsidP="004B44F8">
            <w:pPr>
              <w:widowControl/>
              <w:adjustRightInd/>
              <w:jc w:val="right"/>
              <w:rPr>
                <w:bCs/>
                <w:iCs/>
              </w:rPr>
            </w:pPr>
          </w:p>
        </w:tc>
        <w:tc>
          <w:tcPr>
            <w:tcW w:w="1417" w:type="dxa"/>
            <w:noWrap/>
          </w:tcPr>
          <w:p w:rsidR="004B44F8" w:rsidRPr="004B44F8" w:rsidRDefault="004B44F8" w:rsidP="004B44F8">
            <w:pPr>
              <w:widowControl/>
              <w:adjustRightInd/>
              <w:jc w:val="right"/>
              <w:rPr>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obce</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i/>
                <w:iCs/>
              </w:rPr>
            </w:pPr>
            <w:r w:rsidRPr="004B44F8">
              <w:rPr>
                <w:b/>
                <w:bCs/>
                <w:i/>
                <w:iCs/>
              </w:rPr>
              <w:t>- vplyv na vyššie územné celky</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rPr>
                <w:b/>
                <w:bCs/>
              </w:rPr>
            </w:pPr>
            <w:r w:rsidRPr="004B44F8">
              <w:rPr>
                <w:b/>
                <w:bCs/>
                <w:i/>
                <w:iCs/>
              </w:rPr>
              <w:t>- vplyv na ostatné subjekty verejnej správy</w:t>
            </w:r>
          </w:p>
        </w:tc>
        <w:tc>
          <w:tcPr>
            <w:tcW w:w="1520" w:type="dxa"/>
            <w:noWrap/>
            <w:vAlign w:val="center"/>
          </w:tcPr>
          <w:p w:rsidR="004B44F8" w:rsidRPr="004B44F8" w:rsidRDefault="004B44F8" w:rsidP="004B44F8">
            <w:pPr>
              <w:widowControl/>
              <w:adjustRightInd/>
              <w:jc w:val="right"/>
              <w:rPr>
                <w:b/>
                <w:bCs/>
                <w:iCs/>
              </w:rPr>
            </w:pPr>
          </w:p>
        </w:tc>
        <w:tc>
          <w:tcPr>
            <w:tcW w:w="1327" w:type="dxa"/>
            <w:noWrap/>
            <w:vAlign w:val="center"/>
          </w:tcPr>
          <w:p w:rsidR="004B44F8" w:rsidRPr="004B44F8" w:rsidRDefault="004B44F8" w:rsidP="004B44F8">
            <w:pPr>
              <w:widowControl/>
              <w:adjustRightInd/>
              <w:jc w:val="right"/>
              <w:rPr>
                <w:b/>
                <w:bCs/>
                <w:iCs/>
              </w:rPr>
            </w:pPr>
          </w:p>
        </w:tc>
        <w:tc>
          <w:tcPr>
            <w:tcW w:w="1418" w:type="dxa"/>
            <w:noWrap/>
            <w:vAlign w:val="center"/>
          </w:tcPr>
          <w:p w:rsidR="004B44F8" w:rsidRPr="004B44F8" w:rsidRDefault="004B44F8" w:rsidP="004B44F8">
            <w:pPr>
              <w:widowControl/>
              <w:adjustRightInd/>
              <w:jc w:val="right"/>
              <w:rPr>
                <w:b/>
                <w:bCs/>
                <w:iCs/>
              </w:rPr>
            </w:pPr>
          </w:p>
        </w:tc>
        <w:tc>
          <w:tcPr>
            <w:tcW w:w="1417" w:type="dxa"/>
            <w:noWrap/>
            <w:vAlign w:val="center"/>
          </w:tcPr>
          <w:p w:rsidR="004B44F8" w:rsidRPr="004B44F8" w:rsidRDefault="004B44F8" w:rsidP="004B44F8">
            <w:pPr>
              <w:widowControl/>
              <w:adjustRightInd/>
              <w:jc w:val="right"/>
              <w:rPr>
                <w:b/>
                <w:bCs/>
                <w:iCs/>
              </w:rPr>
            </w:pPr>
          </w:p>
        </w:tc>
      </w:tr>
      <w:tr w:rsidR="004B44F8" w:rsidRPr="004B44F8" w:rsidTr="004B44F8">
        <w:trPr>
          <w:trHeight w:val="70"/>
          <w:jc w:val="center"/>
        </w:trPr>
        <w:tc>
          <w:tcPr>
            <w:tcW w:w="4661" w:type="dxa"/>
            <w:shd w:val="clear" w:color="auto" w:fill="C0C0C0"/>
            <w:noWrap/>
            <w:vAlign w:val="center"/>
          </w:tcPr>
          <w:p w:rsidR="004B44F8" w:rsidRPr="004B44F8" w:rsidRDefault="004B44F8" w:rsidP="004B44F8">
            <w:pPr>
              <w:widowControl/>
              <w:adjustRightInd/>
              <w:rPr>
                <w:b/>
                <w:bCs/>
              </w:rPr>
            </w:pPr>
            <w:r w:rsidRPr="004B44F8">
              <w:rPr>
                <w:b/>
                <w:bCs/>
              </w:rPr>
              <w:t>Financovanie zabezpečené v rozpočte</w:t>
            </w:r>
          </w:p>
        </w:tc>
        <w:tc>
          <w:tcPr>
            <w:tcW w:w="1520" w:type="dxa"/>
            <w:shd w:val="clear" w:color="auto" w:fill="C0C0C0"/>
            <w:noWrap/>
            <w:vAlign w:val="center"/>
          </w:tcPr>
          <w:p w:rsidR="004B44F8" w:rsidRPr="004B44F8" w:rsidRDefault="004B44F8" w:rsidP="004B44F8">
            <w:pPr>
              <w:widowControl/>
              <w:adjustRightInd/>
              <w:jc w:val="right"/>
              <w:rPr>
                <w:b/>
                <w:bCs/>
              </w:rPr>
            </w:pPr>
            <w:r w:rsidRPr="004B44F8">
              <w:rPr>
                <w:b/>
                <w:bCs/>
              </w:rPr>
              <w:t>25 000 000</w:t>
            </w:r>
          </w:p>
        </w:tc>
        <w:tc>
          <w:tcPr>
            <w:tcW w:w="1327" w:type="dxa"/>
            <w:shd w:val="clear" w:color="auto" w:fill="C0C0C0"/>
            <w:noWrap/>
          </w:tcPr>
          <w:p w:rsidR="004B44F8" w:rsidRPr="004B44F8" w:rsidRDefault="004B44F8" w:rsidP="004B44F8">
            <w:pPr>
              <w:widowControl/>
              <w:adjustRightInd/>
              <w:jc w:val="right"/>
              <w:rPr>
                <w:b/>
                <w:bCs/>
              </w:rPr>
            </w:pPr>
            <w:r w:rsidRPr="004B44F8">
              <w:rPr>
                <w:b/>
                <w:bCs/>
              </w:rPr>
              <w:t>25 000 000</w:t>
            </w:r>
          </w:p>
        </w:tc>
        <w:tc>
          <w:tcPr>
            <w:tcW w:w="1418" w:type="dxa"/>
            <w:shd w:val="clear" w:color="auto" w:fill="C0C0C0"/>
            <w:noWrap/>
          </w:tcPr>
          <w:p w:rsidR="004B44F8" w:rsidRPr="004B44F8" w:rsidRDefault="004B44F8" w:rsidP="004B44F8">
            <w:pPr>
              <w:widowControl/>
              <w:adjustRightInd/>
              <w:jc w:val="right"/>
              <w:rPr>
                <w:b/>
                <w:bCs/>
              </w:rPr>
            </w:pPr>
            <w:r w:rsidRPr="004B44F8">
              <w:rPr>
                <w:b/>
                <w:bCs/>
              </w:rPr>
              <w:t>25 000 000</w:t>
            </w:r>
          </w:p>
        </w:tc>
        <w:tc>
          <w:tcPr>
            <w:tcW w:w="1417" w:type="dxa"/>
            <w:shd w:val="clear" w:color="auto" w:fill="C0C0C0"/>
            <w:noWrap/>
          </w:tcPr>
          <w:p w:rsidR="004B44F8" w:rsidRPr="004B44F8" w:rsidRDefault="004B44F8" w:rsidP="004B44F8">
            <w:pPr>
              <w:widowControl/>
              <w:adjustRightInd/>
              <w:jc w:val="right"/>
              <w:rPr>
                <w:b/>
                <w:bCs/>
              </w:rPr>
            </w:pPr>
          </w:p>
        </w:tc>
      </w:tr>
      <w:tr w:rsidR="004B44F8" w:rsidRPr="004B44F8" w:rsidTr="004B44F8">
        <w:trPr>
          <w:trHeight w:val="70"/>
          <w:jc w:val="center"/>
        </w:trPr>
        <w:tc>
          <w:tcPr>
            <w:tcW w:w="4661" w:type="dxa"/>
            <w:noWrap/>
            <w:vAlign w:val="center"/>
          </w:tcPr>
          <w:p w:rsidR="004B44F8" w:rsidRPr="004B44F8" w:rsidRDefault="004B44F8" w:rsidP="004B44F8">
            <w:pPr>
              <w:widowControl/>
              <w:adjustRightInd/>
            </w:pPr>
            <w:r w:rsidRPr="004B44F8">
              <w:t>v tom: za MDV SR /01705</w:t>
            </w:r>
          </w:p>
        </w:tc>
        <w:tc>
          <w:tcPr>
            <w:tcW w:w="1520" w:type="dxa"/>
            <w:noWrap/>
            <w:vAlign w:val="center"/>
          </w:tcPr>
          <w:p w:rsidR="004B44F8" w:rsidRPr="004B44F8" w:rsidRDefault="004B44F8" w:rsidP="004B44F8">
            <w:pPr>
              <w:widowControl/>
              <w:adjustRightInd/>
              <w:jc w:val="right"/>
              <w:rPr>
                <w:bCs/>
                <w:iCs/>
              </w:rPr>
            </w:pPr>
            <w:r w:rsidRPr="004B44F8">
              <w:rPr>
                <w:bCs/>
                <w:iCs/>
              </w:rPr>
              <w:t xml:space="preserve"> 25 000 000</w:t>
            </w:r>
          </w:p>
        </w:tc>
        <w:tc>
          <w:tcPr>
            <w:tcW w:w="1327" w:type="dxa"/>
            <w:noWrap/>
          </w:tcPr>
          <w:p w:rsidR="004B44F8" w:rsidRPr="004B44F8" w:rsidRDefault="004B44F8" w:rsidP="004B44F8">
            <w:pPr>
              <w:widowControl/>
              <w:adjustRightInd/>
              <w:jc w:val="right"/>
              <w:rPr>
                <w:bCs/>
                <w:iCs/>
              </w:rPr>
            </w:pPr>
            <w:r w:rsidRPr="004B44F8">
              <w:rPr>
                <w:bCs/>
                <w:iCs/>
              </w:rPr>
              <w:t>25 000 000</w:t>
            </w:r>
          </w:p>
        </w:tc>
        <w:tc>
          <w:tcPr>
            <w:tcW w:w="1418" w:type="dxa"/>
            <w:noWrap/>
          </w:tcPr>
          <w:p w:rsidR="004B44F8" w:rsidRPr="004B44F8" w:rsidRDefault="004B44F8" w:rsidP="004B44F8">
            <w:pPr>
              <w:widowControl/>
              <w:adjustRightInd/>
              <w:jc w:val="right"/>
              <w:rPr>
                <w:bCs/>
                <w:iCs/>
              </w:rPr>
            </w:pPr>
            <w:r w:rsidRPr="004B44F8">
              <w:rPr>
                <w:bCs/>
                <w:iCs/>
              </w:rPr>
              <w:t>25 000 000</w:t>
            </w:r>
          </w:p>
        </w:tc>
        <w:tc>
          <w:tcPr>
            <w:tcW w:w="1417" w:type="dxa"/>
            <w:noWrap/>
          </w:tcPr>
          <w:p w:rsidR="004B44F8" w:rsidRPr="004B44F8" w:rsidRDefault="004B44F8" w:rsidP="004B44F8">
            <w:pPr>
              <w:widowControl/>
              <w:adjustRightInd/>
              <w:jc w:val="right"/>
              <w:rPr>
                <w:bCs/>
                <w:iCs/>
              </w:rPr>
            </w:pPr>
          </w:p>
        </w:tc>
      </w:tr>
      <w:tr w:rsidR="004B44F8" w:rsidRPr="004B44F8" w:rsidTr="004B44F8">
        <w:trPr>
          <w:trHeight w:val="70"/>
          <w:jc w:val="center"/>
        </w:trPr>
        <w:tc>
          <w:tcPr>
            <w:tcW w:w="4661" w:type="dxa"/>
            <w:shd w:val="clear" w:color="auto" w:fill="BFBFBF"/>
            <w:noWrap/>
            <w:vAlign w:val="center"/>
          </w:tcPr>
          <w:p w:rsidR="004B44F8" w:rsidRPr="004B44F8" w:rsidRDefault="004B44F8" w:rsidP="004B44F8">
            <w:pPr>
              <w:widowControl/>
              <w:adjustRightInd/>
              <w:rPr>
                <w:b/>
              </w:rPr>
            </w:pPr>
            <w:r w:rsidRPr="004B44F8">
              <w:rPr>
                <w:b/>
              </w:rPr>
              <w:t>Iné ako rozpočtové zdroje</w:t>
            </w:r>
          </w:p>
        </w:tc>
        <w:tc>
          <w:tcPr>
            <w:tcW w:w="1520" w:type="dxa"/>
            <w:shd w:val="clear" w:color="auto" w:fill="BFBFBF"/>
            <w:noWrap/>
            <w:vAlign w:val="center"/>
          </w:tcPr>
          <w:p w:rsidR="004B44F8" w:rsidRPr="004B44F8" w:rsidRDefault="004B44F8" w:rsidP="004B44F8">
            <w:pPr>
              <w:widowControl/>
              <w:adjustRightInd/>
              <w:jc w:val="right"/>
              <w:rPr>
                <w:b/>
                <w:bCs/>
              </w:rPr>
            </w:pPr>
            <w:r w:rsidRPr="004B44F8">
              <w:rPr>
                <w:b/>
                <w:bCs/>
              </w:rPr>
              <w:t>0</w:t>
            </w:r>
          </w:p>
        </w:tc>
        <w:tc>
          <w:tcPr>
            <w:tcW w:w="1327" w:type="dxa"/>
            <w:shd w:val="clear" w:color="auto" w:fill="BFBFBF"/>
            <w:noWrap/>
            <w:vAlign w:val="center"/>
          </w:tcPr>
          <w:p w:rsidR="004B44F8" w:rsidRPr="004B44F8" w:rsidRDefault="004B44F8" w:rsidP="004B44F8">
            <w:pPr>
              <w:widowControl/>
              <w:adjustRightInd/>
              <w:jc w:val="right"/>
              <w:rPr>
                <w:b/>
                <w:bCs/>
              </w:rPr>
            </w:pPr>
            <w:r w:rsidRPr="004B44F8">
              <w:rPr>
                <w:b/>
                <w:bCs/>
              </w:rPr>
              <w:t>0</w:t>
            </w:r>
          </w:p>
        </w:tc>
        <w:tc>
          <w:tcPr>
            <w:tcW w:w="1418" w:type="dxa"/>
            <w:shd w:val="clear" w:color="auto" w:fill="BFBFBF"/>
            <w:noWrap/>
            <w:vAlign w:val="center"/>
          </w:tcPr>
          <w:p w:rsidR="004B44F8" w:rsidRPr="004B44F8" w:rsidRDefault="004B44F8" w:rsidP="004B44F8">
            <w:pPr>
              <w:widowControl/>
              <w:adjustRightInd/>
              <w:jc w:val="right"/>
              <w:rPr>
                <w:b/>
                <w:bCs/>
              </w:rPr>
            </w:pPr>
            <w:r w:rsidRPr="004B44F8">
              <w:rPr>
                <w:b/>
                <w:bCs/>
              </w:rPr>
              <w:t>0</w:t>
            </w:r>
          </w:p>
        </w:tc>
        <w:tc>
          <w:tcPr>
            <w:tcW w:w="1417" w:type="dxa"/>
            <w:shd w:val="clear" w:color="auto" w:fill="BFBFBF"/>
            <w:noWrap/>
            <w:vAlign w:val="center"/>
          </w:tcPr>
          <w:p w:rsidR="004B44F8" w:rsidRPr="004B44F8" w:rsidRDefault="004B44F8" w:rsidP="004B44F8">
            <w:pPr>
              <w:widowControl/>
              <w:adjustRightInd/>
              <w:jc w:val="right"/>
              <w:rPr>
                <w:b/>
                <w:bCs/>
              </w:rPr>
            </w:pPr>
            <w:r w:rsidRPr="004B44F8">
              <w:rPr>
                <w:b/>
                <w:bCs/>
              </w:rPr>
              <w:t>0</w:t>
            </w:r>
          </w:p>
        </w:tc>
      </w:tr>
      <w:tr w:rsidR="004B44F8" w:rsidRPr="004B44F8" w:rsidTr="004B44F8">
        <w:trPr>
          <w:trHeight w:val="70"/>
          <w:jc w:val="center"/>
        </w:trPr>
        <w:tc>
          <w:tcPr>
            <w:tcW w:w="4661" w:type="dxa"/>
            <w:shd w:val="clear" w:color="auto" w:fill="A6A6A6"/>
            <w:noWrap/>
            <w:vAlign w:val="center"/>
          </w:tcPr>
          <w:p w:rsidR="004B44F8" w:rsidRPr="004B44F8" w:rsidRDefault="004B44F8" w:rsidP="004B44F8">
            <w:pPr>
              <w:widowControl/>
              <w:adjustRightInd/>
              <w:rPr>
                <w:b/>
                <w:bCs/>
              </w:rPr>
            </w:pPr>
            <w:r w:rsidRPr="004B44F8">
              <w:rPr>
                <w:b/>
                <w:bCs/>
              </w:rPr>
              <w:t>Rozpočtovo nekrytý vplyv / úspora</w:t>
            </w:r>
          </w:p>
        </w:tc>
        <w:tc>
          <w:tcPr>
            <w:tcW w:w="1520" w:type="dxa"/>
            <w:shd w:val="clear" w:color="auto" w:fill="A6A6A6"/>
            <w:noWrap/>
            <w:vAlign w:val="center"/>
          </w:tcPr>
          <w:p w:rsidR="004B44F8" w:rsidRPr="004B44F8" w:rsidRDefault="004B44F8" w:rsidP="004B44F8">
            <w:pPr>
              <w:widowControl/>
              <w:adjustRightInd/>
              <w:jc w:val="right"/>
              <w:rPr>
                <w:b/>
                <w:bCs/>
              </w:rPr>
            </w:pPr>
            <w:r w:rsidRPr="004B44F8">
              <w:rPr>
                <w:b/>
                <w:bCs/>
              </w:rPr>
              <w:t>0</w:t>
            </w:r>
          </w:p>
        </w:tc>
        <w:tc>
          <w:tcPr>
            <w:tcW w:w="1327" w:type="dxa"/>
            <w:shd w:val="clear" w:color="auto" w:fill="A6A6A6"/>
            <w:noWrap/>
            <w:vAlign w:val="center"/>
          </w:tcPr>
          <w:p w:rsidR="004B44F8" w:rsidRPr="004B44F8" w:rsidRDefault="004B44F8" w:rsidP="004B44F8">
            <w:pPr>
              <w:widowControl/>
              <w:adjustRightInd/>
              <w:jc w:val="right"/>
              <w:rPr>
                <w:b/>
                <w:bCs/>
              </w:rPr>
            </w:pPr>
            <w:r w:rsidRPr="004B44F8">
              <w:rPr>
                <w:b/>
                <w:bCs/>
              </w:rPr>
              <w:t>0</w:t>
            </w:r>
          </w:p>
        </w:tc>
        <w:tc>
          <w:tcPr>
            <w:tcW w:w="1418" w:type="dxa"/>
            <w:shd w:val="clear" w:color="auto" w:fill="A6A6A6"/>
            <w:noWrap/>
            <w:vAlign w:val="center"/>
          </w:tcPr>
          <w:p w:rsidR="004B44F8" w:rsidRPr="004B44F8" w:rsidRDefault="004B44F8" w:rsidP="004B44F8">
            <w:pPr>
              <w:widowControl/>
              <w:adjustRightInd/>
              <w:jc w:val="right"/>
              <w:rPr>
                <w:b/>
                <w:bCs/>
              </w:rPr>
            </w:pPr>
            <w:r w:rsidRPr="004B44F8">
              <w:rPr>
                <w:b/>
                <w:bCs/>
              </w:rPr>
              <w:t>0</w:t>
            </w:r>
          </w:p>
        </w:tc>
        <w:tc>
          <w:tcPr>
            <w:tcW w:w="1417" w:type="dxa"/>
            <w:shd w:val="clear" w:color="auto" w:fill="A6A6A6"/>
            <w:noWrap/>
            <w:vAlign w:val="center"/>
          </w:tcPr>
          <w:p w:rsidR="004B44F8" w:rsidRPr="004B44F8" w:rsidRDefault="004B44F8" w:rsidP="004B44F8">
            <w:pPr>
              <w:widowControl/>
              <w:adjustRightInd/>
              <w:jc w:val="right"/>
              <w:rPr>
                <w:b/>
                <w:bCs/>
              </w:rPr>
            </w:pPr>
            <w:r w:rsidRPr="004B44F8">
              <w:rPr>
                <w:b/>
                <w:bCs/>
              </w:rPr>
              <w:t>0</w:t>
            </w:r>
          </w:p>
        </w:tc>
      </w:tr>
      <w:bookmarkEnd w:id="1"/>
    </w:tbl>
    <w:p w:rsidR="004B44F8" w:rsidRPr="004B44F8" w:rsidRDefault="004B44F8" w:rsidP="004B44F8">
      <w:pPr>
        <w:widowControl/>
        <w:adjustRightInd/>
        <w:jc w:val="both"/>
        <w:rPr>
          <w:bCs/>
          <w:sz w:val="20"/>
          <w:szCs w:val="20"/>
        </w:rPr>
      </w:pPr>
      <w:r w:rsidRPr="004B44F8">
        <w:rPr>
          <w:b/>
          <w:bCs/>
        </w:rPr>
        <w:br w:type="page"/>
      </w:r>
    </w:p>
    <w:p w:rsidR="004B44F8" w:rsidRPr="004B44F8" w:rsidRDefault="004B44F8" w:rsidP="004B44F8">
      <w:pPr>
        <w:widowControl/>
        <w:adjustRightInd/>
        <w:jc w:val="both"/>
        <w:rPr>
          <w:b/>
          <w:bCs/>
        </w:rPr>
      </w:pPr>
      <w:r w:rsidRPr="004B44F8">
        <w:rPr>
          <w:b/>
          <w:bCs/>
        </w:rPr>
        <w:t>2.1.1. Financovanie návrhu - Návrh na riešenie úbytku príjmov alebo zvýšených výdavkov podľa § 33 ods. 1 zákona č. 523/2004 Z. z. o rozpočtových pravidlách verejnej správy:</w:t>
      </w:r>
    </w:p>
    <w:p w:rsidR="004B44F8" w:rsidRPr="004B44F8" w:rsidRDefault="004B44F8" w:rsidP="004B44F8">
      <w:pPr>
        <w:widowControl/>
        <w:adjustRightInd/>
        <w:jc w:val="both"/>
        <w:rPr>
          <w:b/>
          <w:bCs/>
          <w:sz w:val="12"/>
        </w:rPr>
      </w:pPr>
    </w:p>
    <w:p w:rsidR="004B44F8" w:rsidRPr="004B44F8" w:rsidRDefault="004B44F8" w:rsidP="004B44F8">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4B44F8">
        <w:rPr>
          <w:sz w:val="22"/>
          <w:szCs w:val="22"/>
          <w:lang w:eastAsia="en-US"/>
        </w:rPr>
        <w:t xml:space="preserve">Predkladaný materiál predpokladá vplyv na rozpočet verejnej správy v rokoch 2019 až 2022. Výdavky sú zabezpečené v rámci limitu výdavkov rozpočtu MDV SR na príslušný rozpočtový rok.  </w:t>
      </w:r>
    </w:p>
    <w:p w:rsidR="004B44F8" w:rsidRPr="004B44F8" w:rsidRDefault="004B44F8" w:rsidP="004B44F8">
      <w:pPr>
        <w:widowControl/>
        <w:adjustRightInd/>
        <w:rPr>
          <w:b/>
          <w:bCs/>
          <w:sz w:val="18"/>
          <w:szCs w:val="18"/>
        </w:rPr>
      </w:pPr>
    </w:p>
    <w:p w:rsidR="004B44F8" w:rsidRPr="004B44F8" w:rsidRDefault="004B44F8" w:rsidP="004B44F8">
      <w:pPr>
        <w:widowControl/>
        <w:adjustRightInd/>
        <w:rPr>
          <w:b/>
          <w:bCs/>
        </w:rPr>
      </w:pPr>
      <w:r w:rsidRPr="004B44F8">
        <w:rPr>
          <w:b/>
          <w:bCs/>
        </w:rPr>
        <w:t>2.2. Popis a charakteristika návrhu</w:t>
      </w:r>
    </w:p>
    <w:p w:rsidR="004B44F8" w:rsidRPr="004B44F8" w:rsidRDefault="004B44F8" w:rsidP="004B44F8">
      <w:pPr>
        <w:widowControl/>
        <w:adjustRightInd/>
        <w:rPr>
          <w:sz w:val="18"/>
          <w:szCs w:val="18"/>
        </w:rPr>
      </w:pPr>
    </w:p>
    <w:p w:rsidR="004B44F8" w:rsidRPr="004B44F8" w:rsidRDefault="004B44F8" w:rsidP="004B44F8">
      <w:pPr>
        <w:widowControl/>
        <w:adjustRightInd/>
        <w:jc w:val="both"/>
        <w:rPr>
          <w:b/>
          <w:bCs/>
        </w:rPr>
      </w:pPr>
      <w:r w:rsidRPr="004B44F8">
        <w:rPr>
          <w:b/>
          <w:bCs/>
        </w:rPr>
        <w:t>2.2.1. Popis návrhu:</w:t>
      </w:r>
    </w:p>
    <w:p w:rsidR="004B44F8" w:rsidRPr="004B44F8" w:rsidRDefault="004B44F8" w:rsidP="004B44F8">
      <w:pPr>
        <w:widowControl/>
        <w:adjustRightInd/>
        <w:spacing w:before="120"/>
        <w:ind w:firstLine="720"/>
        <w:jc w:val="both"/>
        <w:rPr>
          <w:lang w:eastAsia="en-US"/>
        </w:rPr>
      </w:pPr>
      <w:r w:rsidRPr="004B44F8">
        <w:rPr>
          <w:lang w:eastAsia="en-US"/>
        </w:rPr>
        <w:t xml:space="preserve">Štátny fond rozvoja bývania patrí k významným nástrojom podpory rozvoja bývania. Prostredníctvom Štátneho fondu rozvoja bývania štát dlhodobo podporuje financovanie priorít, ktoré sú premietnuté v štátnej bytovej politike pri rozširovaní a zveľaďovaní bytového fondu. V súčasnosti jeho podpora smeruje predovšetkým do oblasti podpory obstarávania nájomných bytov a do obnovy bytových budov. Záujem o tento nástroj je dôkazom, že aj pri existujúcich nastavených podmienkach patrí k významným prvkom zvyšovania kvality a dostupnosti bývania pre široký okruh žiadateľov. </w:t>
      </w:r>
    </w:p>
    <w:p w:rsidR="004B44F8" w:rsidRPr="004B44F8" w:rsidRDefault="004B44F8" w:rsidP="004B44F8">
      <w:pPr>
        <w:widowControl/>
        <w:adjustRightInd/>
        <w:spacing w:before="120" w:after="120"/>
        <w:ind w:firstLine="720"/>
        <w:jc w:val="both"/>
        <w:rPr>
          <w:lang w:eastAsia="en-US"/>
        </w:rPr>
      </w:pPr>
      <w:r w:rsidRPr="004B44F8">
        <w:rPr>
          <w:lang w:eastAsia="en-US"/>
        </w:rPr>
        <w:t>Predloženým návrhom zákona sa dopĺňa nový účel podpory, ktorým je  obstaranie ubytovacieho domu. V rámci účelov výstavby a obnovy zariadení sociálnych služieb sa navrhuje rozšíriť okruh žiadateľov o inú právnickú osobu. V snahe zvýšiť záujem súkromného sektora investovať do oblasti obstarania nájomných bytov navrhuje sa zmena podmienok na tento účel, a to zvýšenie priemernej podlahovej plochy obstarávacích nájomných bytov, neurčenie limitu obstarávacích nákladov a povinnosť skúmať príjem domácnosti iba pri uzavretí nájomnej zmluvy.</w:t>
      </w:r>
    </w:p>
    <w:p w:rsidR="004B44F8" w:rsidRPr="004B44F8" w:rsidRDefault="004B44F8" w:rsidP="004B44F8">
      <w:pPr>
        <w:widowControl/>
        <w:adjustRightInd/>
        <w:rPr>
          <w:b/>
          <w:bCs/>
        </w:rPr>
      </w:pPr>
      <w:r w:rsidRPr="004B44F8">
        <w:rPr>
          <w:b/>
          <w:bCs/>
        </w:rPr>
        <w:t>2.2.2. Charakteristika návrhu:</w:t>
      </w:r>
    </w:p>
    <w:p w:rsidR="004B44F8" w:rsidRPr="004B44F8" w:rsidRDefault="004B44F8" w:rsidP="004B44F8">
      <w:pPr>
        <w:widowControl/>
        <w:adjustRightInd/>
      </w:pPr>
    </w:p>
    <w:p w:rsidR="004B44F8" w:rsidRPr="004B44F8" w:rsidRDefault="004B44F8" w:rsidP="004B44F8">
      <w:pPr>
        <w:widowControl/>
        <w:adjustRightInd/>
      </w:pPr>
      <w:r w:rsidRPr="004B44F8">
        <w:rPr>
          <w:b/>
          <w:bdr w:val="single" w:sz="4" w:space="0" w:color="auto"/>
        </w:rPr>
        <w:t xml:space="preserve">     </w:t>
      </w:r>
      <w:r w:rsidRPr="004B44F8">
        <w:rPr>
          <w:b/>
        </w:rPr>
        <w:t xml:space="preserve">  </w:t>
      </w:r>
      <w:r w:rsidRPr="004B44F8">
        <w:t>zmena sadzby</w:t>
      </w:r>
    </w:p>
    <w:p w:rsidR="004B44F8" w:rsidRPr="004B44F8" w:rsidRDefault="004B44F8" w:rsidP="004B44F8">
      <w:pPr>
        <w:widowControl/>
        <w:adjustRightInd/>
      </w:pPr>
      <w:r w:rsidRPr="004B44F8">
        <w:rPr>
          <w:bdr w:val="single" w:sz="4" w:space="0" w:color="auto"/>
        </w:rPr>
        <w:t xml:space="preserve">     </w:t>
      </w:r>
      <w:r w:rsidRPr="004B44F8">
        <w:t xml:space="preserve">  zmena v nároku</w:t>
      </w:r>
    </w:p>
    <w:p w:rsidR="004B44F8" w:rsidRPr="004B44F8" w:rsidRDefault="004B44F8" w:rsidP="004B44F8">
      <w:pPr>
        <w:widowControl/>
        <w:adjustRightInd/>
      </w:pPr>
      <w:r w:rsidRPr="004B44F8">
        <w:rPr>
          <w:bdr w:val="single" w:sz="4" w:space="0" w:color="auto"/>
        </w:rPr>
        <w:t xml:space="preserve">     </w:t>
      </w:r>
      <w:r w:rsidRPr="004B44F8">
        <w:t xml:space="preserve">  nová služba alebo nariadenie (alebo ich zrušenie)</w:t>
      </w:r>
    </w:p>
    <w:p w:rsidR="004B44F8" w:rsidRPr="004B44F8" w:rsidRDefault="004B44F8" w:rsidP="004B44F8">
      <w:pPr>
        <w:widowControl/>
        <w:adjustRightInd/>
      </w:pPr>
      <w:r w:rsidRPr="004B44F8">
        <w:rPr>
          <w:bdr w:val="single" w:sz="4" w:space="0" w:color="auto"/>
        </w:rPr>
        <w:t xml:space="preserve">     </w:t>
      </w:r>
      <w:r w:rsidRPr="004B44F8">
        <w:t xml:space="preserve">  kombinovaný návrh</w:t>
      </w:r>
    </w:p>
    <w:p w:rsidR="004B44F8" w:rsidRPr="004B44F8" w:rsidRDefault="004B44F8" w:rsidP="004B44F8">
      <w:pPr>
        <w:widowControl/>
        <w:adjustRightInd/>
      </w:pPr>
      <w:r w:rsidRPr="004B44F8">
        <w:rPr>
          <w:bdr w:val="single" w:sz="4" w:space="0" w:color="auto"/>
        </w:rPr>
        <w:t xml:space="preserve"> x  </w:t>
      </w:r>
      <w:r w:rsidRPr="004B44F8">
        <w:t xml:space="preserve">  iné </w:t>
      </w:r>
    </w:p>
    <w:p w:rsidR="004B44F8" w:rsidRPr="004B44F8" w:rsidRDefault="004B44F8" w:rsidP="004B44F8">
      <w:pPr>
        <w:widowControl/>
        <w:adjustRightInd/>
      </w:pPr>
    </w:p>
    <w:p w:rsidR="004B44F8" w:rsidRPr="004B44F8" w:rsidRDefault="004B44F8" w:rsidP="004B44F8">
      <w:pPr>
        <w:widowControl/>
        <w:adjustRightInd/>
      </w:pPr>
      <w:r w:rsidRPr="004B44F8">
        <w:rPr>
          <w:b/>
          <w:bCs/>
        </w:rPr>
        <w:t>2.2.3. Predpoklady vývoja objemu aktivít:</w:t>
      </w:r>
    </w:p>
    <w:p w:rsidR="004B44F8" w:rsidRPr="004B44F8" w:rsidRDefault="004B44F8" w:rsidP="004B44F8">
      <w:pPr>
        <w:widowControl/>
        <w:adjustRightInd/>
        <w:ind w:firstLine="708"/>
        <w:jc w:val="both"/>
      </w:pPr>
      <w:r w:rsidRPr="004B44F8">
        <w:t>Jasne popíšte, v prípade potreby použite nižšie uvedenú tabuľku. Uveďte aj odhady základov daní a/alebo poplatkov, ak sa ich táto zmena týka.</w:t>
      </w:r>
    </w:p>
    <w:p w:rsidR="004B44F8" w:rsidRPr="004B44F8" w:rsidRDefault="004B44F8" w:rsidP="004B44F8">
      <w:pPr>
        <w:widowControl/>
        <w:adjustRightInd/>
        <w:jc w:val="right"/>
        <w:rPr>
          <w:sz w:val="20"/>
          <w:szCs w:val="20"/>
        </w:rPr>
      </w:pPr>
      <w:r w:rsidRPr="004B44F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B44F8" w:rsidRPr="004B44F8" w:rsidTr="004B44F8">
        <w:trPr>
          <w:cantSplit/>
          <w:trHeight w:val="70"/>
        </w:trPr>
        <w:tc>
          <w:tcPr>
            <w:tcW w:w="4530" w:type="dxa"/>
            <w:vMerge w:val="restart"/>
            <w:shd w:val="clear" w:color="auto" w:fill="BFBFBF"/>
            <w:vAlign w:val="center"/>
          </w:tcPr>
          <w:p w:rsidR="004B44F8" w:rsidRPr="004B44F8" w:rsidRDefault="004B44F8" w:rsidP="004B44F8">
            <w:pPr>
              <w:widowControl/>
              <w:autoSpaceDE w:val="0"/>
              <w:autoSpaceDN w:val="0"/>
              <w:jc w:val="center"/>
              <w:rPr>
                <w:b/>
                <w:bCs/>
              </w:rPr>
            </w:pPr>
            <w:r w:rsidRPr="004B44F8">
              <w:rPr>
                <w:b/>
                <w:bCs/>
              </w:rPr>
              <w:t>Objem aktivít</w:t>
            </w:r>
          </w:p>
        </w:tc>
        <w:tc>
          <w:tcPr>
            <w:tcW w:w="1134" w:type="dxa"/>
            <w:gridSpan w:val="4"/>
            <w:shd w:val="clear" w:color="auto" w:fill="BFBFBF"/>
            <w:vAlign w:val="center"/>
          </w:tcPr>
          <w:p w:rsidR="004B44F8" w:rsidRPr="004B44F8" w:rsidRDefault="004B44F8" w:rsidP="004B44F8">
            <w:pPr>
              <w:widowControl/>
              <w:autoSpaceDE w:val="0"/>
              <w:autoSpaceDN w:val="0"/>
              <w:jc w:val="center"/>
              <w:rPr>
                <w:b/>
                <w:bCs/>
              </w:rPr>
            </w:pPr>
            <w:r w:rsidRPr="004B44F8">
              <w:rPr>
                <w:b/>
                <w:bCs/>
              </w:rPr>
              <w:t>Odhadované objemy</w:t>
            </w:r>
          </w:p>
        </w:tc>
      </w:tr>
      <w:tr w:rsidR="004B44F8" w:rsidRPr="004B44F8" w:rsidTr="004B44F8">
        <w:trPr>
          <w:cantSplit/>
          <w:trHeight w:val="70"/>
        </w:trPr>
        <w:tc>
          <w:tcPr>
            <w:tcW w:w="4530" w:type="dxa"/>
            <w:vMerge/>
            <w:shd w:val="clear" w:color="auto" w:fill="BFBFBF"/>
          </w:tcPr>
          <w:p w:rsidR="004B44F8" w:rsidRPr="004B44F8" w:rsidRDefault="004B44F8" w:rsidP="004B44F8">
            <w:pPr>
              <w:widowControl/>
              <w:autoSpaceDE w:val="0"/>
              <w:autoSpaceDN w:val="0"/>
              <w:jc w:val="center"/>
              <w:rPr>
                <w:b/>
                <w:bCs/>
              </w:rPr>
            </w:pPr>
          </w:p>
        </w:tc>
        <w:tc>
          <w:tcPr>
            <w:tcW w:w="1134" w:type="dxa"/>
            <w:shd w:val="clear" w:color="auto" w:fill="BFBFBF"/>
            <w:vAlign w:val="center"/>
          </w:tcPr>
          <w:p w:rsidR="004B44F8" w:rsidRPr="004B44F8" w:rsidRDefault="004B44F8" w:rsidP="004B44F8">
            <w:pPr>
              <w:widowControl/>
              <w:autoSpaceDE w:val="0"/>
              <w:autoSpaceDN w:val="0"/>
              <w:jc w:val="center"/>
              <w:rPr>
                <w:b/>
                <w:bCs/>
              </w:rPr>
            </w:pPr>
            <w:r w:rsidRPr="004B44F8">
              <w:rPr>
                <w:b/>
                <w:bCs/>
              </w:rPr>
              <w:t>2019</w:t>
            </w:r>
          </w:p>
        </w:tc>
        <w:tc>
          <w:tcPr>
            <w:tcW w:w="1134" w:type="dxa"/>
            <w:shd w:val="clear" w:color="auto" w:fill="BFBFBF"/>
            <w:vAlign w:val="center"/>
          </w:tcPr>
          <w:p w:rsidR="004B44F8" w:rsidRPr="004B44F8" w:rsidRDefault="004B44F8" w:rsidP="004B44F8">
            <w:pPr>
              <w:widowControl/>
              <w:autoSpaceDE w:val="0"/>
              <w:autoSpaceDN w:val="0"/>
              <w:jc w:val="center"/>
              <w:rPr>
                <w:b/>
                <w:bCs/>
              </w:rPr>
            </w:pPr>
            <w:r w:rsidRPr="004B44F8">
              <w:rPr>
                <w:b/>
                <w:bCs/>
              </w:rPr>
              <w:t>2020</w:t>
            </w:r>
          </w:p>
        </w:tc>
        <w:tc>
          <w:tcPr>
            <w:tcW w:w="1134" w:type="dxa"/>
            <w:shd w:val="clear" w:color="auto" w:fill="BFBFBF"/>
            <w:vAlign w:val="center"/>
          </w:tcPr>
          <w:p w:rsidR="004B44F8" w:rsidRPr="004B44F8" w:rsidRDefault="004B44F8" w:rsidP="004B44F8">
            <w:pPr>
              <w:widowControl/>
              <w:autoSpaceDE w:val="0"/>
              <w:autoSpaceDN w:val="0"/>
              <w:jc w:val="center"/>
              <w:rPr>
                <w:b/>
                <w:bCs/>
              </w:rPr>
            </w:pPr>
            <w:r w:rsidRPr="004B44F8">
              <w:rPr>
                <w:b/>
                <w:bCs/>
              </w:rPr>
              <w:t>2021</w:t>
            </w:r>
          </w:p>
        </w:tc>
        <w:tc>
          <w:tcPr>
            <w:tcW w:w="1134" w:type="dxa"/>
            <w:shd w:val="clear" w:color="auto" w:fill="BFBFBF"/>
            <w:vAlign w:val="center"/>
          </w:tcPr>
          <w:p w:rsidR="004B44F8" w:rsidRPr="004B44F8" w:rsidRDefault="004B44F8" w:rsidP="004B44F8">
            <w:pPr>
              <w:widowControl/>
              <w:autoSpaceDE w:val="0"/>
              <w:autoSpaceDN w:val="0"/>
              <w:jc w:val="center"/>
              <w:rPr>
                <w:b/>
                <w:bCs/>
              </w:rPr>
            </w:pPr>
            <w:r w:rsidRPr="004B44F8">
              <w:rPr>
                <w:b/>
                <w:bCs/>
              </w:rPr>
              <w:t>2022</w:t>
            </w:r>
          </w:p>
        </w:tc>
      </w:tr>
      <w:tr w:rsidR="004B44F8" w:rsidRPr="004B44F8" w:rsidTr="004B44F8">
        <w:trPr>
          <w:trHeight w:val="70"/>
        </w:trPr>
        <w:tc>
          <w:tcPr>
            <w:tcW w:w="4530" w:type="dxa"/>
          </w:tcPr>
          <w:p w:rsidR="004B44F8" w:rsidRPr="004B44F8" w:rsidRDefault="004B44F8" w:rsidP="004B44F8">
            <w:pPr>
              <w:widowControl/>
              <w:autoSpaceDE w:val="0"/>
              <w:autoSpaceDN w:val="0"/>
            </w:pPr>
            <w:r w:rsidRPr="004B44F8">
              <w:t>Indikátor ABC</w:t>
            </w: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r>
      <w:tr w:rsidR="004B44F8" w:rsidRPr="004B44F8" w:rsidTr="004B44F8">
        <w:trPr>
          <w:trHeight w:val="70"/>
        </w:trPr>
        <w:tc>
          <w:tcPr>
            <w:tcW w:w="4530" w:type="dxa"/>
          </w:tcPr>
          <w:p w:rsidR="004B44F8" w:rsidRPr="004B44F8" w:rsidRDefault="004B44F8" w:rsidP="004B44F8">
            <w:pPr>
              <w:widowControl/>
              <w:autoSpaceDE w:val="0"/>
              <w:autoSpaceDN w:val="0"/>
            </w:pPr>
            <w:r w:rsidRPr="004B44F8">
              <w:t>Indikátor KLM</w:t>
            </w: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r>
      <w:tr w:rsidR="004B44F8" w:rsidRPr="004B44F8" w:rsidTr="004B44F8">
        <w:trPr>
          <w:trHeight w:val="70"/>
        </w:trPr>
        <w:tc>
          <w:tcPr>
            <w:tcW w:w="4530" w:type="dxa"/>
          </w:tcPr>
          <w:p w:rsidR="004B44F8" w:rsidRPr="004B44F8" w:rsidRDefault="004B44F8" w:rsidP="004B44F8">
            <w:pPr>
              <w:widowControl/>
              <w:autoSpaceDE w:val="0"/>
              <w:autoSpaceDN w:val="0"/>
            </w:pPr>
            <w:r w:rsidRPr="004B44F8">
              <w:t>Indikátor XYZ</w:t>
            </w: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c>
          <w:tcPr>
            <w:tcW w:w="1134" w:type="dxa"/>
          </w:tcPr>
          <w:p w:rsidR="004B44F8" w:rsidRPr="004B44F8" w:rsidRDefault="004B44F8" w:rsidP="004B44F8">
            <w:pPr>
              <w:widowControl/>
              <w:autoSpaceDE w:val="0"/>
              <w:autoSpaceDN w:val="0"/>
              <w:jc w:val="right"/>
            </w:pPr>
          </w:p>
        </w:tc>
      </w:tr>
    </w:tbl>
    <w:p w:rsidR="004B44F8" w:rsidRPr="004B44F8" w:rsidRDefault="004B44F8" w:rsidP="004B44F8">
      <w:pPr>
        <w:widowControl/>
        <w:adjustRightInd/>
        <w:ind w:firstLine="708"/>
        <w:jc w:val="both"/>
      </w:pPr>
      <w:r w:rsidRPr="004B44F8">
        <w:t xml:space="preserve"> </w:t>
      </w:r>
    </w:p>
    <w:p w:rsidR="004B44F8" w:rsidRPr="004B44F8" w:rsidRDefault="004B44F8" w:rsidP="004B44F8">
      <w:pPr>
        <w:widowControl/>
        <w:adjustRightInd/>
        <w:rPr>
          <w:b/>
          <w:bCs/>
        </w:rPr>
      </w:pPr>
      <w:r w:rsidRPr="004B44F8">
        <w:rPr>
          <w:b/>
          <w:bCs/>
        </w:rPr>
        <w:t>2.2.4. Výpočty vplyvov na verejné financie</w:t>
      </w:r>
    </w:p>
    <w:p w:rsidR="004B44F8" w:rsidRPr="004B44F8" w:rsidRDefault="004B44F8" w:rsidP="004B44F8">
      <w:pPr>
        <w:widowControl/>
        <w:adjustRightInd/>
        <w:ind w:firstLine="708"/>
        <w:jc w:val="both"/>
      </w:pPr>
      <w:r w:rsidRPr="004B44F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B44F8" w:rsidRPr="004B44F8" w:rsidRDefault="004B44F8" w:rsidP="004B44F8">
      <w:pPr>
        <w:widowControl/>
        <w:adjustRightInd/>
        <w:rPr>
          <w:b/>
          <w:bCs/>
        </w:rPr>
      </w:pPr>
    </w:p>
    <w:p w:rsidR="004B44F8" w:rsidRPr="004B44F8" w:rsidRDefault="004B44F8" w:rsidP="004B44F8">
      <w:pPr>
        <w:widowControl/>
        <w:adjustRightInd/>
        <w:ind w:firstLine="708"/>
        <w:jc w:val="both"/>
        <w:rPr>
          <w:bCs/>
          <w:szCs w:val="20"/>
        </w:rPr>
      </w:pPr>
      <w:r w:rsidRPr="004B44F8">
        <w:t>Predkladaný materiál má vplyv na verejné financie v roku 2019 ako aj  v rokoch 2020 až 2022 vo výške finančných prostriedkov nevyhnutných na zabezpečenie úloh spojených s poskytnutím úverov zo Štátneho fondu rozvoja bývania.</w:t>
      </w:r>
    </w:p>
    <w:p w:rsidR="004B44F8" w:rsidRPr="004B44F8" w:rsidRDefault="004B44F8" w:rsidP="004B44F8">
      <w:pPr>
        <w:widowControl/>
        <w:tabs>
          <w:tab w:val="num" w:pos="1080"/>
        </w:tabs>
        <w:adjustRightInd/>
        <w:jc w:val="both"/>
        <w:rPr>
          <w:bCs/>
          <w:szCs w:val="20"/>
        </w:rPr>
      </w:pPr>
    </w:p>
    <w:p w:rsidR="004B44F8" w:rsidRPr="004B44F8" w:rsidRDefault="004B44F8" w:rsidP="004B44F8">
      <w:pPr>
        <w:widowControl/>
        <w:tabs>
          <w:tab w:val="num" w:pos="1080"/>
        </w:tabs>
        <w:adjustRightInd/>
        <w:jc w:val="both"/>
        <w:rPr>
          <w:bCs/>
          <w:szCs w:val="20"/>
        </w:rPr>
        <w:sectPr w:rsidR="004B44F8" w:rsidRPr="004B44F8" w:rsidSect="009D7019">
          <w:headerReference w:type="even" r:id="rId8"/>
          <w:footerReference w:type="even" r:id="rId9"/>
          <w:footerReference w:type="default" r:id="rId10"/>
          <w:headerReference w:type="first" r:id="rId11"/>
          <w:pgSz w:w="11906" w:h="16838"/>
          <w:pgMar w:top="1417" w:right="991" w:bottom="1276" w:left="1417" w:header="708" w:footer="708" w:gutter="0"/>
          <w:pgNumType w:start="1"/>
          <w:cols w:space="708"/>
          <w:docGrid w:linePitch="360"/>
        </w:sectPr>
      </w:pPr>
    </w:p>
    <w:p w:rsidR="004B44F8" w:rsidRPr="004B44F8" w:rsidRDefault="004B44F8" w:rsidP="004B44F8">
      <w:pPr>
        <w:widowControl/>
        <w:tabs>
          <w:tab w:val="num" w:pos="1080"/>
        </w:tabs>
        <w:adjustRightInd/>
        <w:jc w:val="right"/>
        <w:rPr>
          <w:bCs/>
          <w:sz w:val="20"/>
          <w:szCs w:val="20"/>
        </w:rPr>
      </w:pPr>
      <w:r w:rsidRPr="004B44F8">
        <w:rPr>
          <w:bCs/>
          <w:sz w:val="20"/>
          <w:szCs w:val="20"/>
        </w:rPr>
        <w:lastRenderedPageBreak/>
        <w:t xml:space="preserve">Tabuľka č. 3 </w:t>
      </w:r>
    </w:p>
    <w:p w:rsidR="004B44F8" w:rsidRPr="004B44F8" w:rsidRDefault="004B44F8" w:rsidP="004B44F8">
      <w:pPr>
        <w:widowControl/>
        <w:tabs>
          <w:tab w:val="num" w:pos="1080"/>
        </w:tabs>
        <w:adjustRightInd/>
        <w:jc w:val="both"/>
        <w:rPr>
          <w:bCs/>
          <w:sz w:val="20"/>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B44F8" w:rsidRPr="009D7019" w:rsidTr="004B44F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B44F8" w:rsidRPr="004B44F8" w:rsidRDefault="004B44F8" w:rsidP="004B44F8">
            <w:pPr>
              <w:widowControl/>
              <w:adjustRightInd/>
              <w:jc w:val="center"/>
              <w:rPr>
                <w:b/>
                <w:bCs/>
                <w:sz w:val="20"/>
                <w:szCs w:val="20"/>
              </w:rPr>
            </w:pPr>
            <w:r w:rsidRPr="004B44F8">
              <w:rPr>
                <w:b/>
                <w:bCs/>
                <w:sz w:val="20"/>
                <w:szCs w:val="20"/>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4B44F8" w:rsidRPr="004B44F8" w:rsidRDefault="004B44F8" w:rsidP="004B44F8">
            <w:pPr>
              <w:widowControl/>
              <w:adjustRightInd/>
              <w:jc w:val="center"/>
              <w:rPr>
                <w:b/>
                <w:bCs/>
                <w:sz w:val="20"/>
                <w:szCs w:val="20"/>
              </w:rPr>
            </w:pPr>
            <w:r w:rsidRPr="004B44F8">
              <w:rPr>
                <w:b/>
                <w:bCs/>
                <w:sz w:val="20"/>
                <w:szCs w:val="20"/>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4B44F8" w:rsidRPr="004B44F8" w:rsidRDefault="004B44F8" w:rsidP="004B44F8">
            <w:pPr>
              <w:widowControl/>
              <w:adjustRightInd/>
              <w:jc w:val="center"/>
              <w:rPr>
                <w:b/>
                <w:bCs/>
                <w:sz w:val="20"/>
                <w:szCs w:val="20"/>
              </w:rPr>
            </w:pPr>
            <w:r w:rsidRPr="004B44F8">
              <w:rPr>
                <w:b/>
                <w:bCs/>
                <w:sz w:val="20"/>
                <w:szCs w:val="20"/>
              </w:rPr>
              <w:t>poznámka</w:t>
            </w:r>
          </w:p>
        </w:tc>
      </w:tr>
      <w:tr w:rsidR="004B44F8" w:rsidRPr="009D7019" w:rsidTr="004B44F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B44F8" w:rsidRPr="004B44F8" w:rsidRDefault="004B44F8" w:rsidP="004B44F8">
            <w:pPr>
              <w:widowControl/>
              <w:adjustRightInd/>
              <w:rPr>
                <w:b/>
                <w:bCs/>
                <w:sz w:val="20"/>
                <w:szCs w:val="20"/>
              </w:rPr>
            </w:pPr>
          </w:p>
        </w:tc>
        <w:tc>
          <w:tcPr>
            <w:tcW w:w="1500" w:type="dxa"/>
            <w:tcBorders>
              <w:top w:val="nil"/>
              <w:left w:val="nil"/>
              <w:bottom w:val="single" w:sz="4" w:space="0" w:color="auto"/>
              <w:right w:val="single" w:sz="4" w:space="0" w:color="auto"/>
            </w:tcBorders>
            <w:shd w:val="clear" w:color="auto" w:fill="BFBFBF"/>
          </w:tcPr>
          <w:p w:rsidR="004B44F8" w:rsidRPr="004B44F8" w:rsidRDefault="004B44F8" w:rsidP="004B44F8">
            <w:pPr>
              <w:widowControl/>
              <w:adjustRightInd/>
              <w:jc w:val="center"/>
              <w:rPr>
                <w:b/>
                <w:bCs/>
                <w:sz w:val="20"/>
                <w:szCs w:val="20"/>
              </w:rPr>
            </w:pPr>
            <w:r w:rsidRPr="004B44F8">
              <w:rPr>
                <w:b/>
                <w:bCs/>
                <w:sz w:val="20"/>
                <w:szCs w:val="20"/>
              </w:rPr>
              <w:t>2019</w:t>
            </w:r>
          </w:p>
        </w:tc>
        <w:tc>
          <w:tcPr>
            <w:tcW w:w="1500" w:type="dxa"/>
            <w:tcBorders>
              <w:top w:val="nil"/>
              <w:left w:val="nil"/>
              <w:bottom w:val="single" w:sz="4" w:space="0" w:color="auto"/>
              <w:right w:val="single" w:sz="4" w:space="0" w:color="auto"/>
            </w:tcBorders>
            <w:shd w:val="clear" w:color="auto" w:fill="BFBFBF"/>
          </w:tcPr>
          <w:p w:rsidR="004B44F8" w:rsidRPr="004B44F8" w:rsidRDefault="004B44F8" w:rsidP="004B44F8">
            <w:pPr>
              <w:widowControl/>
              <w:adjustRightInd/>
              <w:jc w:val="center"/>
              <w:rPr>
                <w:b/>
                <w:bCs/>
                <w:sz w:val="20"/>
                <w:szCs w:val="20"/>
              </w:rPr>
            </w:pPr>
            <w:r w:rsidRPr="004B44F8">
              <w:rPr>
                <w:b/>
                <w:bCs/>
                <w:sz w:val="20"/>
                <w:szCs w:val="20"/>
              </w:rPr>
              <w:t>2020</w:t>
            </w:r>
          </w:p>
        </w:tc>
        <w:tc>
          <w:tcPr>
            <w:tcW w:w="1500" w:type="dxa"/>
            <w:tcBorders>
              <w:top w:val="nil"/>
              <w:left w:val="nil"/>
              <w:bottom w:val="single" w:sz="4" w:space="0" w:color="auto"/>
              <w:right w:val="single" w:sz="4" w:space="0" w:color="auto"/>
            </w:tcBorders>
            <w:shd w:val="clear" w:color="auto" w:fill="BFBFBF"/>
          </w:tcPr>
          <w:p w:rsidR="004B44F8" w:rsidRPr="004B44F8" w:rsidRDefault="004B44F8" w:rsidP="004B44F8">
            <w:pPr>
              <w:widowControl/>
              <w:adjustRightInd/>
              <w:jc w:val="center"/>
              <w:rPr>
                <w:b/>
                <w:bCs/>
                <w:sz w:val="20"/>
                <w:szCs w:val="20"/>
              </w:rPr>
            </w:pPr>
            <w:r w:rsidRPr="004B44F8">
              <w:rPr>
                <w:b/>
                <w:bCs/>
                <w:sz w:val="20"/>
                <w:szCs w:val="20"/>
              </w:rPr>
              <w:t>2021</w:t>
            </w:r>
          </w:p>
        </w:tc>
        <w:tc>
          <w:tcPr>
            <w:tcW w:w="1500" w:type="dxa"/>
            <w:tcBorders>
              <w:top w:val="nil"/>
              <w:left w:val="nil"/>
              <w:bottom w:val="single" w:sz="4" w:space="0" w:color="auto"/>
              <w:right w:val="single" w:sz="4" w:space="0" w:color="auto"/>
            </w:tcBorders>
            <w:shd w:val="clear" w:color="auto" w:fill="BFBFBF"/>
          </w:tcPr>
          <w:p w:rsidR="004B44F8" w:rsidRPr="004B44F8" w:rsidRDefault="004B44F8" w:rsidP="004B44F8">
            <w:pPr>
              <w:widowControl/>
              <w:adjustRightInd/>
              <w:jc w:val="center"/>
              <w:rPr>
                <w:b/>
                <w:bCs/>
                <w:sz w:val="20"/>
                <w:szCs w:val="20"/>
              </w:rPr>
            </w:pPr>
            <w:r w:rsidRPr="004B44F8">
              <w:rPr>
                <w:b/>
                <w:bCs/>
                <w:sz w:val="20"/>
                <w:szCs w:val="20"/>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4B44F8" w:rsidRPr="004B44F8" w:rsidRDefault="004B44F8" w:rsidP="004B44F8">
            <w:pPr>
              <w:widowControl/>
              <w:adjustRightInd/>
              <w:rPr>
                <w:b/>
                <w:bCs/>
                <w:sz w:val="20"/>
                <w:szCs w:val="20"/>
              </w:rPr>
            </w:pPr>
          </w:p>
        </w:tc>
      </w:tr>
      <w:tr w:rsidR="004B44F8" w:rsidRPr="009D7019" w:rsidTr="000B25B5">
        <w:trPr>
          <w:trHeight w:val="255"/>
        </w:trPr>
        <w:tc>
          <w:tcPr>
            <w:tcW w:w="4950" w:type="dxa"/>
            <w:tcBorders>
              <w:top w:val="nil"/>
              <w:left w:val="single" w:sz="4" w:space="0" w:color="auto"/>
              <w:bottom w:val="single" w:sz="4" w:space="0" w:color="auto"/>
              <w:right w:val="single" w:sz="4" w:space="0" w:color="auto"/>
            </w:tcBorders>
          </w:tcPr>
          <w:p w:rsidR="004B44F8" w:rsidRPr="004B44F8" w:rsidRDefault="004B44F8" w:rsidP="004B44F8">
            <w:pPr>
              <w:widowControl/>
              <w:adjustRightInd/>
              <w:rPr>
                <w:b/>
                <w:bCs/>
                <w:sz w:val="20"/>
                <w:szCs w:val="20"/>
                <w:vertAlign w:val="superscript"/>
              </w:rPr>
            </w:pPr>
            <w:r w:rsidRPr="004B44F8">
              <w:rPr>
                <w:b/>
                <w:bCs/>
                <w:sz w:val="20"/>
                <w:szCs w:val="20"/>
              </w:rPr>
              <w:t>Daňové príjmy (100)</w:t>
            </w:r>
            <w:r w:rsidRPr="004B44F8">
              <w:rPr>
                <w:b/>
                <w:bCs/>
                <w:sz w:val="20"/>
                <w:szCs w:val="20"/>
                <w:vertAlign w:val="superscript"/>
              </w:rPr>
              <w:t>1</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noWrap/>
            <w:vAlign w:val="bottom"/>
          </w:tcPr>
          <w:p w:rsidR="004B44F8" w:rsidRPr="004B44F8" w:rsidRDefault="004B44F8" w:rsidP="004B44F8">
            <w:pPr>
              <w:widowControl/>
              <w:adjustRightInd/>
              <w:rPr>
                <w:sz w:val="20"/>
                <w:szCs w:val="20"/>
              </w:rPr>
            </w:pPr>
            <w:r w:rsidRPr="004B44F8">
              <w:rPr>
                <w:sz w:val="20"/>
                <w:szCs w:val="20"/>
              </w:rPr>
              <w:t> </w:t>
            </w:r>
          </w:p>
        </w:tc>
      </w:tr>
      <w:tr w:rsidR="004B44F8" w:rsidRPr="009D7019" w:rsidTr="000B25B5">
        <w:trPr>
          <w:trHeight w:val="255"/>
        </w:trPr>
        <w:tc>
          <w:tcPr>
            <w:tcW w:w="4950" w:type="dxa"/>
            <w:tcBorders>
              <w:top w:val="nil"/>
              <w:left w:val="single" w:sz="4" w:space="0" w:color="auto"/>
              <w:bottom w:val="single" w:sz="4" w:space="0" w:color="auto"/>
              <w:right w:val="single" w:sz="4" w:space="0" w:color="auto"/>
            </w:tcBorders>
          </w:tcPr>
          <w:p w:rsidR="004B44F8" w:rsidRPr="004B44F8" w:rsidRDefault="004B44F8" w:rsidP="004B44F8">
            <w:pPr>
              <w:widowControl/>
              <w:adjustRightInd/>
              <w:rPr>
                <w:b/>
                <w:bCs/>
                <w:sz w:val="20"/>
                <w:szCs w:val="20"/>
              </w:rPr>
            </w:pPr>
            <w:r w:rsidRPr="004B44F8">
              <w:rPr>
                <w:b/>
                <w:bCs/>
                <w:sz w:val="20"/>
                <w:szCs w:val="20"/>
              </w:rPr>
              <w:t>Nedaňové príjmy (200)</w:t>
            </w:r>
            <w:r w:rsidRPr="004B44F8">
              <w:rPr>
                <w:b/>
                <w:bCs/>
                <w:sz w:val="20"/>
                <w:szCs w:val="20"/>
                <w:vertAlign w:val="superscript"/>
              </w:rPr>
              <w:t>1</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noWrap/>
            <w:vAlign w:val="bottom"/>
          </w:tcPr>
          <w:p w:rsidR="004B44F8" w:rsidRPr="004B44F8" w:rsidRDefault="004B44F8" w:rsidP="004B44F8">
            <w:pPr>
              <w:widowControl/>
              <w:adjustRightInd/>
              <w:rPr>
                <w:sz w:val="20"/>
                <w:szCs w:val="20"/>
              </w:rPr>
            </w:pPr>
            <w:r w:rsidRPr="004B44F8">
              <w:rPr>
                <w:sz w:val="20"/>
                <w:szCs w:val="20"/>
              </w:rPr>
              <w:t> </w:t>
            </w:r>
          </w:p>
        </w:tc>
      </w:tr>
      <w:tr w:rsidR="004B44F8" w:rsidRPr="009D7019" w:rsidTr="000B25B5">
        <w:trPr>
          <w:trHeight w:val="255"/>
        </w:trPr>
        <w:tc>
          <w:tcPr>
            <w:tcW w:w="4950" w:type="dxa"/>
            <w:tcBorders>
              <w:top w:val="nil"/>
              <w:left w:val="single" w:sz="4" w:space="0" w:color="auto"/>
              <w:bottom w:val="single" w:sz="4" w:space="0" w:color="auto"/>
              <w:right w:val="single" w:sz="4" w:space="0" w:color="auto"/>
            </w:tcBorders>
          </w:tcPr>
          <w:p w:rsidR="004B44F8" w:rsidRPr="004B44F8" w:rsidRDefault="004B44F8" w:rsidP="004B44F8">
            <w:pPr>
              <w:widowControl/>
              <w:adjustRightInd/>
              <w:rPr>
                <w:b/>
                <w:bCs/>
                <w:sz w:val="20"/>
                <w:szCs w:val="20"/>
              </w:rPr>
            </w:pPr>
            <w:r w:rsidRPr="004B44F8">
              <w:rPr>
                <w:b/>
                <w:bCs/>
                <w:sz w:val="20"/>
                <w:szCs w:val="20"/>
              </w:rPr>
              <w:t>Granty a transfery (300)</w:t>
            </w:r>
            <w:r w:rsidRPr="004B44F8">
              <w:rPr>
                <w:b/>
                <w:bCs/>
                <w:sz w:val="20"/>
                <w:szCs w:val="20"/>
                <w:vertAlign w:val="superscript"/>
              </w:rPr>
              <w:t>1</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noWrap/>
            <w:vAlign w:val="bottom"/>
          </w:tcPr>
          <w:p w:rsidR="004B44F8" w:rsidRPr="004B44F8" w:rsidRDefault="004B44F8" w:rsidP="004B44F8">
            <w:pPr>
              <w:widowControl/>
              <w:adjustRightInd/>
              <w:rPr>
                <w:sz w:val="20"/>
                <w:szCs w:val="20"/>
              </w:rPr>
            </w:pPr>
            <w:r w:rsidRPr="004B44F8">
              <w:rPr>
                <w:sz w:val="20"/>
                <w:szCs w:val="20"/>
              </w:rPr>
              <w:t> </w:t>
            </w:r>
          </w:p>
        </w:tc>
      </w:tr>
      <w:tr w:rsidR="004B44F8" w:rsidRPr="009D7019" w:rsidTr="000B25B5">
        <w:trPr>
          <w:trHeight w:val="255"/>
        </w:trPr>
        <w:tc>
          <w:tcPr>
            <w:tcW w:w="4950" w:type="dxa"/>
            <w:tcBorders>
              <w:top w:val="nil"/>
              <w:left w:val="single" w:sz="4" w:space="0" w:color="auto"/>
              <w:bottom w:val="single" w:sz="4" w:space="0" w:color="auto"/>
              <w:right w:val="single" w:sz="4" w:space="0" w:color="auto"/>
            </w:tcBorders>
          </w:tcPr>
          <w:p w:rsidR="004B44F8" w:rsidRPr="004B44F8" w:rsidRDefault="004B44F8" w:rsidP="004B44F8">
            <w:pPr>
              <w:widowControl/>
              <w:adjustRightInd/>
              <w:rPr>
                <w:b/>
                <w:bCs/>
                <w:sz w:val="20"/>
                <w:szCs w:val="20"/>
              </w:rPr>
            </w:pPr>
            <w:r w:rsidRPr="004B44F8">
              <w:rPr>
                <w:b/>
                <w:bCs/>
                <w:sz w:val="20"/>
                <w:szCs w:val="20"/>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noWrap/>
            <w:vAlign w:val="bottom"/>
          </w:tcPr>
          <w:p w:rsidR="004B44F8" w:rsidRPr="004B44F8" w:rsidRDefault="004B44F8" w:rsidP="004B44F8">
            <w:pPr>
              <w:widowControl/>
              <w:adjustRightInd/>
              <w:rPr>
                <w:sz w:val="20"/>
                <w:szCs w:val="20"/>
              </w:rPr>
            </w:pPr>
            <w:r w:rsidRPr="004B44F8">
              <w:rPr>
                <w:sz w:val="20"/>
                <w:szCs w:val="20"/>
              </w:rPr>
              <w:t> </w:t>
            </w:r>
          </w:p>
        </w:tc>
      </w:tr>
      <w:tr w:rsidR="004B44F8" w:rsidRPr="009D7019" w:rsidTr="000B25B5">
        <w:trPr>
          <w:trHeight w:val="255"/>
        </w:trPr>
        <w:tc>
          <w:tcPr>
            <w:tcW w:w="4950" w:type="dxa"/>
            <w:tcBorders>
              <w:top w:val="nil"/>
              <w:left w:val="single" w:sz="4" w:space="0" w:color="auto"/>
              <w:bottom w:val="single" w:sz="4" w:space="0" w:color="auto"/>
              <w:right w:val="single" w:sz="4" w:space="0" w:color="auto"/>
            </w:tcBorders>
          </w:tcPr>
          <w:p w:rsidR="004B44F8" w:rsidRPr="004B44F8" w:rsidRDefault="004B44F8" w:rsidP="004B44F8">
            <w:pPr>
              <w:widowControl/>
              <w:adjustRightInd/>
              <w:rPr>
                <w:b/>
                <w:bCs/>
                <w:sz w:val="20"/>
                <w:szCs w:val="20"/>
              </w:rPr>
            </w:pPr>
            <w:r w:rsidRPr="004B44F8">
              <w:rPr>
                <w:b/>
                <w:bCs/>
                <w:sz w:val="20"/>
                <w:szCs w:val="20"/>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FFFF99"/>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noWrap/>
            <w:vAlign w:val="bottom"/>
          </w:tcPr>
          <w:p w:rsidR="004B44F8" w:rsidRPr="004B44F8" w:rsidRDefault="004B44F8" w:rsidP="004B44F8">
            <w:pPr>
              <w:widowControl/>
              <w:adjustRightInd/>
              <w:rPr>
                <w:sz w:val="20"/>
                <w:szCs w:val="20"/>
              </w:rPr>
            </w:pPr>
            <w:r w:rsidRPr="004B44F8">
              <w:rPr>
                <w:sz w:val="20"/>
                <w:szCs w:val="20"/>
              </w:rPr>
              <w:t> </w:t>
            </w:r>
          </w:p>
        </w:tc>
      </w:tr>
      <w:tr w:rsidR="004B44F8" w:rsidRPr="009D7019" w:rsidTr="004B44F8">
        <w:trPr>
          <w:trHeight w:val="255"/>
        </w:trPr>
        <w:tc>
          <w:tcPr>
            <w:tcW w:w="4950" w:type="dxa"/>
            <w:tcBorders>
              <w:top w:val="nil"/>
              <w:left w:val="single" w:sz="4" w:space="0" w:color="auto"/>
              <w:bottom w:val="single" w:sz="4" w:space="0" w:color="auto"/>
              <w:right w:val="single" w:sz="4" w:space="0" w:color="auto"/>
            </w:tcBorders>
            <w:shd w:val="clear" w:color="auto" w:fill="BFBFBF"/>
          </w:tcPr>
          <w:p w:rsidR="004B44F8" w:rsidRPr="004B44F8" w:rsidRDefault="004B44F8" w:rsidP="004B44F8">
            <w:pPr>
              <w:widowControl/>
              <w:adjustRightInd/>
              <w:rPr>
                <w:b/>
                <w:bCs/>
                <w:sz w:val="20"/>
                <w:szCs w:val="20"/>
              </w:rPr>
            </w:pPr>
            <w:r w:rsidRPr="004B44F8">
              <w:rPr>
                <w:b/>
                <w:bCs/>
                <w:sz w:val="20"/>
                <w:szCs w:val="20"/>
              </w:rPr>
              <w:t>Dopad na príjmy verejnej správy celkom</w:t>
            </w:r>
          </w:p>
        </w:tc>
        <w:tc>
          <w:tcPr>
            <w:tcW w:w="1500" w:type="dxa"/>
            <w:tcBorders>
              <w:top w:val="nil"/>
              <w:left w:val="nil"/>
              <w:bottom w:val="single" w:sz="4" w:space="0" w:color="auto"/>
              <w:right w:val="single" w:sz="4" w:space="0" w:color="auto"/>
            </w:tcBorders>
            <w:shd w:val="clear" w:color="auto" w:fill="BFBFBF"/>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BFBFBF"/>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BFBFBF"/>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1500" w:type="dxa"/>
            <w:tcBorders>
              <w:top w:val="nil"/>
              <w:left w:val="nil"/>
              <w:bottom w:val="single" w:sz="4" w:space="0" w:color="auto"/>
              <w:right w:val="single" w:sz="4" w:space="0" w:color="auto"/>
            </w:tcBorders>
            <w:shd w:val="clear" w:color="auto" w:fill="BFBFBF"/>
            <w:vAlign w:val="center"/>
          </w:tcPr>
          <w:p w:rsidR="004B44F8" w:rsidRPr="004B44F8" w:rsidRDefault="004B44F8" w:rsidP="004B44F8">
            <w:pPr>
              <w:widowControl/>
              <w:adjustRightInd/>
              <w:jc w:val="center"/>
              <w:rPr>
                <w:bCs/>
                <w:sz w:val="20"/>
                <w:szCs w:val="20"/>
              </w:rPr>
            </w:pPr>
            <w:r w:rsidRPr="004B44F8">
              <w:rPr>
                <w:bCs/>
                <w:sz w:val="20"/>
                <w:szCs w:val="20"/>
              </w:rPr>
              <w:t>0</w:t>
            </w:r>
          </w:p>
        </w:tc>
        <w:tc>
          <w:tcPr>
            <w:tcW w:w="3000" w:type="dxa"/>
            <w:tcBorders>
              <w:top w:val="nil"/>
              <w:left w:val="nil"/>
              <w:bottom w:val="single" w:sz="4" w:space="0" w:color="auto"/>
              <w:right w:val="single" w:sz="4" w:space="0" w:color="auto"/>
            </w:tcBorders>
            <w:shd w:val="clear" w:color="auto" w:fill="BFBFBF"/>
            <w:noWrap/>
            <w:vAlign w:val="bottom"/>
          </w:tcPr>
          <w:p w:rsidR="004B44F8" w:rsidRPr="004B44F8" w:rsidRDefault="004B44F8" w:rsidP="004B44F8">
            <w:pPr>
              <w:widowControl/>
              <w:adjustRightInd/>
              <w:rPr>
                <w:sz w:val="20"/>
                <w:szCs w:val="20"/>
              </w:rPr>
            </w:pPr>
            <w:r w:rsidRPr="004B44F8">
              <w:rPr>
                <w:sz w:val="20"/>
                <w:szCs w:val="20"/>
              </w:rPr>
              <w:t> </w:t>
            </w:r>
          </w:p>
        </w:tc>
      </w:tr>
    </w:tbl>
    <w:p w:rsidR="004B44F8" w:rsidRPr="004B44F8" w:rsidRDefault="004B44F8" w:rsidP="004B44F8">
      <w:pPr>
        <w:widowControl/>
        <w:tabs>
          <w:tab w:val="num" w:pos="1080"/>
        </w:tabs>
        <w:adjustRightInd/>
        <w:jc w:val="both"/>
        <w:rPr>
          <w:bCs/>
          <w:sz w:val="20"/>
          <w:szCs w:val="20"/>
        </w:rPr>
      </w:pPr>
      <w:r w:rsidRPr="004B44F8">
        <w:rPr>
          <w:bCs/>
          <w:sz w:val="20"/>
          <w:szCs w:val="20"/>
        </w:rPr>
        <w:t>1 –  príjmy rozpísať až do položiek platnej ekonomickej klasifikácie</w:t>
      </w:r>
    </w:p>
    <w:p w:rsidR="004B44F8" w:rsidRPr="004B44F8" w:rsidRDefault="004B44F8" w:rsidP="004B44F8">
      <w:pPr>
        <w:widowControl/>
        <w:tabs>
          <w:tab w:val="num" w:pos="1080"/>
        </w:tabs>
        <w:adjustRightInd/>
        <w:jc w:val="both"/>
        <w:rPr>
          <w:bCs/>
          <w:sz w:val="20"/>
          <w:szCs w:val="20"/>
        </w:rPr>
      </w:pPr>
    </w:p>
    <w:p w:rsidR="004B44F8" w:rsidRPr="004B44F8" w:rsidRDefault="004B44F8" w:rsidP="004B44F8">
      <w:pPr>
        <w:widowControl/>
        <w:tabs>
          <w:tab w:val="num" w:pos="1080"/>
        </w:tabs>
        <w:adjustRightInd/>
        <w:jc w:val="both"/>
        <w:rPr>
          <w:b/>
          <w:bCs/>
          <w:sz w:val="20"/>
          <w:szCs w:val="20"/>
        </w:rPr>
      </w:pPr>
      <w:r w:rsidRPr="004B44F8">
        <w:rPr>
          <w:b/>
          <w:bCs/>
          <w:sz w:val="20"/>
          <w:szCs w:val="20"/>
        </w:rPr>
        <w:t>Poznámka:</w:t>
      </w:r>
    </w:p>
    <w:p w:rsidR="004B44F8" w:rsidRDefault="004B44F8" w:rsidP="004B44F8">
      <w:pPr>
        <w:widowControl/>
        <w:tabs>
          <w:tab w:val="num" w:pos="1080"/>
        </w:tabs>
        <w:adjustRightInd/>
        <w:jc w:val="both"/>
        <w:rPr>
          <w:bCs/>
          <w:sz w:val="20"/>
          <w:szCs w:val="20"/>
        </w:rPr>
      </w:pPr>
      <w:r w:rsidRPr="004B44F8">
        <w:rPr>
          <w:bCs/>
          <w:sz w:val="20"/>
          <w:szCs w:val="20"/>
        </w:rPr>
        <w:t>Ak sa vplyv týka viacerých subjektov verejnej správy, vypĺňa sa samostatná tabuľka za každý subjekt.</w:t>
      </w:r>
    </w:p>
    <w:p w:rsidR="00B144EE" w:rsidRPr="00B144EE" w:rsidRDefault="00B144EE" w:rsidP="00B144EE">
      <w:pPr>
        <w:tabs>
          <w:tab w:val="num" w:pos="1080"/>
        </w:tabs>
        <w:ind w:right="-32"/>
        <w:jc w:val="right"/>
        <w:rPr>
          <w:bCs/>
          <w:sz w:val="20"/>
          <w:szCs w:val="20"/>
        </w:rPr>
      </w:pPr>
      <w:r w:rsidRPr="00B144EE">
        <w:rPr>
          <w:bCs/>
          <w:sz w:val="20"/>
          <w:szCs w:val="20"/>
        </w:rPr>
        <w:t xml:space="preserve">Tabuľka č. 4 </w:t>
      </w:r>
    </w:p>
    <w:p w:rsidR="00B144EE" w:rsidRPr="00B144EE" w:rsidRDefault="00B144EE" w:rsidP="00B144EE">
      <w:pPr>
        <w:tabs>
          <w:tab w:val="num" w:pos="1080"/>
        </w:tabs>
        <w:jc w:val="both"/>
        <w:rPr>
          <w:bCs/>
          <w:sz w:val="20"/>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144EE" w:rsidRPr="00B144EE" w:rsidTr="00B144E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B144EE" w:rsidRPr="00B144EE" w:rsidRDefault="00B144EE" w:rsidP="004E6EB9">
            <w:pPr>
              <w:jc w:val="center"/>
              <w:rPr>
                <w:b/>
                <w:bCs/>
                <w:sz w:val="20"/>
                <w:szCs w:val="20"/>
              </w:rPr>
            </w:pPr>
            <w:r w:rsidRPr="00B144EE">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B144EE" w:rsidRPr="00B144EE" w:rsidRDefault="00B144EE" w:rsidP="004E6EB9">
            <w:pPr>
              <w:jc w:val="center"/>
              <w:rPr>
                <w:b/>
                <w:bCs/>
                <w:sz w:val="20"/>
                <w:szCs w:val="20"/>
              </w:rPr>
            </w:pPr>
            <w:r w:rsidRPr="00B144EE">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B144EE" w:rsidRPr="00B144EE" w:rsidRDefault="00B144EE" w:rsidP="004E6EB9">
            <w:pPr>
              <w:jc w:val="center"/>
              <w:rPr>
                <w:b/>
                <w:bCs/>
                <w:sz w:val="20"/>
                <w:szCs w:val="20"/>
              </w:rPr>
            </w:pPr>
            <w:r w:rsidRPr="00B144EE">
              <w:rPr>
                <w:b/>
                <w:bCs/>
                <w:sz w:val="20"/>
                <w:szCs w:val="20"/>
              </w:rPr>
              <w:t>poznámka</w:t>
            </w:r>
          </w:p>
        </w:tc>
      </w:tr>
      <w:tr w:rsidR="00B144EE" w:rsidRPr="00B144EE" w:rsidTr="00B144E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144EE" w:rsidRPr="00B144EE" w:rsidRDefault="00B144EE" w:rsidP="004E6EB9">
            <w:pPr>
              <w:rPr>
                <w:b/>
                <w:bCs/>
                <w:sz w:val="20"/>
                <w:szCs w:val="20"/>
              </w:rPr>
            </w:pPr>
          </w:p>
        </w:tc>
        <w:tc>
          <w:tcPr>
            <w:tcW w:w="1540" w:type="dxa"/>
            <w:tcBorders>
              <w:top w:val="nil"/>
              <w:left w:val="nil"/>
              <w:bottom w:val="single" w:sz="4" w:space="0" w:color="auto"/>
              <w:right w:val="single" w:sz="4" w:space="0" w:color="auto"/>
            </w:tcBorders>
            <w:shd w:val="clear" w:color="auto" w:fill="BFBFBF"/>
          </w:tcPr>
          <w:p w:rsidR="00B144EE" w:rsidRPr="00B144EE" w:rsidRDefault="00B144EE" w:rsidP="004E6EB9">
            <w:pPr>
              <w:jc w:val="center"/>
              <w:rPr>
                <w:b/>
                <w:bCs/>
                <w:sz w:val="20"/>
                <w:szCs w:val="20"/>
              </w:rPr>
            </w:pPr>
            <w:r w:rsidRPr="00B144EE">
              <w:rPr>
                <w:b/>
                <w:bCs/>
                <w:sz w:val="20"/>
                <w:szCs w:val="20"/>
              </w:rPr>
              <w:t>2019</w:t>
            </w:r>
          </w:p>
        </w:tc>
        <w:tc>
          <w:tcPr>
            <w:tcW w:w="1540" w:type="dxa"/>
            <w:tcBorders>
              <w:top w:val="nil"/>
              <w:left w:val="nil"/>
              <w:bottom w:val="single" w:sz="4" w:space="0" w:color="auto"/>
              <w:right w:val="single" w:sz="4" w:space="0" w:color="auto"/>
            </w:tcBorders>
            <w:shd w:val="clear" w:color="auto" w:fill="BFBFBF"/>
          </w:tcPr>
          <w:p w:rsidR="00B144EE" w:rsidRPr="00B144EE" w:rsidRDefault="00B144EE" w:rsidP="004E6EB9">
            <w:pPr>
              <w:jc w:val="center"/>
              <w:rPr>
                <w:b/>
                <w:bCs/>
                <w:sz w:val="20"/>
                <w:szCs w:val="20"/>
              </w:rPr>
            </w:pPr>
            <w:r w:rsidRPr="00B144EE">
              <w:rPr>
                <w:b/>
                <w:bCs/>
                <w:sz w:val="20"/>
                <w:szCs w:val="20"/>
              </w:rPr>
              <w:t>2020</w:t>
            </w:r>
          </w:p>
        </w:tc>
        <w:tc>
          <w:tcPr>
            <w:tcW w:w="1540" w:type="dxa"/>
            <w:tcBorders>
              <w:top w:val="nil"/>
              <w:left w:val="nil"/>
              <w:bottom w:val="single" w:sz="4" w:space="0" w:color="auto"/>
              <w:right w:val="single" w:sz="4" w:space="0" w:color="auto"/>
            </w:tcBorders>
            <w:shd w:val="clear" w:color="auto" w:fill="BFBFBF"/>
          </w:tcPr>
          <w:p w:rsidR="00B144EE" w:rsidRPr="00B144EE" w:rsidRDefault="00B144EE" w:rsidP="004E6EB9">
            <w:pPr>
              <w:jc w:val="center"/>
              <w:rPr>
                <w:b/>
                <w:bCs/>
                <w:sz w:val="20"/>
                <w:szCs w:val="20"/>
              </w:rPr>
            </w:pPr>
            <w:r w:rsidRPr="00B144EE">
              <w:rPr>
                <w:b/>
                <w:bCs/>
                <w:sz w:val="20"/>
                <w:szCs w:val="20"/>
              </w:rPr>
              <w:t>2021</w:t>
            </w:r>
          </w:p>
        </w:tc>
        <w:tc>
          <w:tcPr>
            <w:tcW w:w="1540" w:type="dxa"/>
            <w:tcBorders>
              <w:top w:val="nil"/>
              <w:left w:val="nil"/>
              <w:bottom w:val="single" w:sz="4" w:space="0" w:color="auto"/>
              <w:right w:val="single" w:sz="4" w:space="0" w:color="auto"/>
            </w:tcBorders>
            <w:shd w:val="clear" w:color="auto" w:fill="BFBFBF"/>
          </w:tcPr>
          <w:p w:rsidR="00B144EE" w:rsidRPr="00B144EE" w:rsidRDefault="00B144EE" w:rsidP="004E6EB9">
            <w:pPr>
              <w:jc w:val="center"/>
              <w:rPr>
                <w:b/>
                <w:bCs/>
                <w:sz w:val="20"/>
                <w:szCs w:val="20"/>
              </w:rPr>
            </w:pPr>
            <w:r w:rsidRPr="00B144EE">
              <w:rPr>
                <w:b/>
                <w:bCs/>
                <w:sz w:val="20"/>
                <w:szCs w:val="20"/>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B144EE" w:rsidRPr="00B144EE" w:rsidRDefault="00B144EE" w:rsidP="004E6EB9">
            <w:pPr>
              <w:rPr>
                <w:b/>
                <w:bCs/>
                <w:sz w:val="20"/>
                <w:szCs w:val="20"/>
              </w:rPr>
            </w:pP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b/>
                <w:bCs/>
                <w:sz w:val="20"/>
                <w:szCs w:val="20"/>
              </w:rPr>
            </w:pPr>
            <w:r w:rsidRPr="00B144EE">
              <w:rPr>
                <w:b/>
                <w:bCs/>
                <w:sz w:val="20"/>
                <w:szCs w:val="20"/>
              </w:rPr>
              <w:t>Bežné výdavky (600)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rPr>
            </w:pPr>
            <w:r w:rsidRPr="00B144EE">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vertAlign w:val="superscript"/>
              </w:rPr>
            </w:pPr>
            <w:r w:rsidRPr="00B144EE">
              <w:rPr>
                <w:sz w:val="20"/>
                <w:szCs w:val="20"/>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vertAlign w:val="superscript"/>
              </w:rPr>
            </w:pPr>
            <w:r w:rsidRPr="00B144EE">
              <w:rPr>
                <w:sz w:val="20"/>
                <w:szCs w:val="20"/>
              </w:rPr>
              <w:t xml:space="preserve">  Tovary a služby (630)</w:t>
            </w:r>
            <w:r w:rsidRPr="00B144EE">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rPr>
            </w:pPr>
            <w:r w:rsidRPr="00B144EE">
              <w:rPr>
                <w:sz w:val="20"/>
                <w:szCs w:val="20"/>
              </w:rPr>
              <w:t xml:space="preserve">  Bežné transfery (640)</w:t>
            </w:r>
            <w:r w:rsidRPr="00B144EE">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vAlign w:val="center"/>
          </w:tcPr>
          <w:p w:rsidR="00B144EE" w:rsidRPr="00B144EE" w:rsidRDefault="00B144EE" w:rsidP="004E6EB9">
            <w:pPr>
              <w:rPr>
                <w:sz w:val="20"/>
                <w:szCs w:val="20"/>
              </w:rPr>
            </w:pPr>
            <w:r w:rsidRPr="00B144EE">
              <w:rPr>
                <w:sz w:val="20"/>
                <w:szCs w:val="20"/>
              </w:rPr>
              <w:t xml:space="preserve">  Splácanie úrokov a ostatné platby súvisiace s  úverom, pôžičkou, návratnou finančnou výpomocou a finančným prenájmom (650)</w:t>
            </w:r>
            <w:r w:rsidRPr="00B144EE">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b/>
                <w:bCs/>
                <w:sz w:val="20"/>
                <w:szCs w:val="20"/>
              </w:rPr>
            </w:pPr>
            <w:r w:rsidRPr="00B144EE">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rPr>
            </w:pPr>
            <w:r w:rsidRPr="00B144EE">
              <w:rPr>
                <w:sz w:val="20"/>
                <w:szCs w:val="20"/>
              </w:rPr>
              <w:t xml:space="preserve">  Obstarávanie kapitálových aktív (710)</w:t>
            </w:r>
            <w:r w:rsidRPr="00B144EE">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sz w:val="20"/>
                <w:szCs w:val="20"/>
              </w:rPr>
            </w:pPr>
            <w:r w:rsidRPr="00B144EE">
              <w:rPr>
                <w:sz w:val="20"/>
                <w:szCs w:val="20"/>
              </w:rPr>
              <w:t xml:space="preserve">  Kapitálové transfery (720)</w:t>
            </w:r>
            <w:r w:rsidRPr="00B144EE">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r w:rsidRPr="00B144EE">
              <w:rPr>
                <w:sz w:val="20"/>
                <w:szCs w:val="20"/>
              </w:rPr>
              <w:t>25 000 000</w:t>
            </w:r>
          </w:p>
        </w:tc>
        <w:tc>
          <w:tcPr>
            <w:tcW w:w="1540" w:type="dxa"/>
            <w:tcBorders>
              <w:top w:val="nil"/>
              <w:left w:val="nil"/>
              <w:bottom w:val="single" w:sz="4" w:space="0" w:color="auto"/>
              <w:right w:val="single" w:sz="4" w:space="0" w:color="auto"/>
            </w:tcBorders>
            <w:vAlign w:val="center"/>
          </w:tcPr>
          <w:p w:rsidR="00B144EE" w:rsidRPr="00B144EE" w:rsidRDefault="00B144EE" w:rsidP="004E6EB9">
            <w:pPr>
              <w:jc w:val="center"/>
              <w:rPr>
                <w:sz w:val="20"/>
                <w:szCs w:val="20"/>
              </w:rPr>
            </w:pP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4E6EB9">
        <w:trPr>
          <w:trHeight w:val="255"/>
        </w:trPr>
        <w:tc>
          <w:tcPr>
            <w:tcW w:w="7070" w:type="dxa"/>
            <w:tcBorders>
              <w:top w:val="nil"/>
              <w:left w:val="single" w:sz="4" w:space="0" w:color="auto"/>
              <w:bottom w:val="single" w:sz="4" w:space="0" w:color="auto"/>
              <w:right w:val="single" w:sz="4" w:space="0" w:color="auto"/>
            </w:tcBorders>
          </w:tcPr>
          <w:p w:rsidR="00B144EE" w:rsidRPr="00B144EE" w:rsidRDefault="00B144EE" w:rsidP="004E6EB9">
            <w:pPr>
              <w:rPr>
                <w:b/>
                <w:bCs/>
                <w:sz w:val="20"/>
                <w:szCs w:val="20"/>
              </w:rPr>
            </w:pPr>
            <w:r w:rsidRPr="00B144EE">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B144EE" w:rsidRPr="00B144EE" w:rsidRDefault="00B144EE" w:rsidP="004E6EB9">
            <w:pPr>
              <w:jc w:val="center"/>
              <w:rPr>
                <w:b/>
                <w:bCs/>
                <w:sz w:val="20"/>
                <w:szCs w:val="20"/>
              </w:rPr>
            </w:pPr>
            <w:r w:rsidRPr="00B144EE">
              <w:rPr>
                <w:b/>
                <w:bCs/>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144EE" w:rsidRPr="00B144EE" w:rsidRDefault="00B144EE" w:rsidP="004E6EB9">
            <w:pPr>
              <w:jc w:val="center"/>
              <w:rPr>
                <w:b/>
                <w:bCs/>
                <w:sz w:val="20"/>
                <w:szCs w:val="20"/>
              </w:rPr>
            </w:pPr>
            <w:r w:rsidRPr="00B144EE">
              <w:rPr>
                <w:b/>
                <w:bCs/>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144EE" w:rsidRPr="00B144EE" w:rsidRDefault="00B144EE" w:rsidP="004E6EB9">
            <w:pPr>
              <w:jc w:val="center"/>
              <w:rPr>
                <w:b/>
                <w:bCs/>
                <w:sz w:val="20"/>
                <w:szCs w:val="20"/>
              </w:rPr>
            </w:pPr>
            <w:r w:rsidRPr="00B144EE">
              <w:rPr>
                <w:b/>
                <w:bCs/>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144EE" w:rsidRPr="00B144EE" w:rsidRDefault="00B144EE" w:rsidP="004E6EB9">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B144EE" w:rsidRPr="00B144EE" w:rsidRDefault="00B144EE" w:rsidP="004E6EB9">
            <w:pPr>
              <w:rPr>
                <w:sz w:val="20"/>
                <w:szCs w:val="20"/>
              </w:rPr>
            </w:pPr>
            <w:r w:rsidRPr="00B144EE">
              <w:rPr>
                <w:sz w:val="20"/>
                <w:szCs w:val="20"/>
              </w:rPr>
              <w:t> </w:t>
            </w:r>
          </w:p>
        </w:tc>
      </w:tr>
      <w:tr w:rsidR="00B144EE" w:rsidRPr="00B144EE" w:rsidTr="00B144E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B144EE" w:rsidRPr="00B144EE" w:rsidRDefault="00B144EE" w:rsidP="004E6EB9">
            <w:pPr>
              <w:rPr>
                <w:b/>
                <w:bCs/>
                <w:sz w:val="20"/>
                <w:szCs w:val="20"/>
              </w:rPr>
            </w:pPr>
            <w:r w:rsidRPr="00B144EE">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single" w:sz="4" w:space="0" w:color="auto"/>
              <w:left w:val="nil"/>
              <w:bottom w:val="single" w:sz="4" w:space="0" w:color="auto"/>
              <w:right w:val="single" w:sz="4" w:space="0" w:color="auto"/>
            </w:tcBorders>
            <w:shd w:val="clear" w:color="auto" w:fill="BFBFBF"/>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single" w:sz="4" w:space="0" w:color="auto"/>
              <w:left w:val="nil"/>
              <w:bottom w:val="single" w:sz="4" w:space="0" w:color="auto"/>
              <w:right w:val="single" w:sz="4" w:space="0" w:color="auto"/>
            </w:tcBorders>
            <w:shd w:val="clear" w:color="auto" w:fill="BFBFBF"/>
            <w:vAlign w:val="center"/>
          </w:tcPr>
          <w:p w:rsidR="00B144EE" w:rsidRPr="00B144EE" w:rsidRDefault="00B144EE" w:rsidP="004E6EB9">
            <w:pPr>
              <w:jc w:val="center"/>
              <w:rPr>
                <w:b/>
                <w:bCs/>
                <w:sz w:val="20"/>
                <w:szCs w:val="20"/>
              </w:rPr>
            </w:pPr>
            <w:r w:rsidRPr="00B144EE">
              <w:rPr>
                <w:b/>
                <w:bCs/>
                <w:sz w:val="20"/>
                <w:szCs w:val="20"/>
              </w:rPr>
              <w:t>25 000 000</w:t>
            </w:r>
          </w:p>
        </w:tc>
        <w:tc>
          <w:tcPr>
            <w:tcW w:w="1540" w:type="dxa"/>
            <w:tcBorders>
              <w:top w:val="single" w:sz="4" w:space="0" w:color="auto"/>
              <w:left w:val="nil"/>
              <w:bottom w:val="single" w:sz="4" w:space="0" w:color="auto"/>
              <w:right w:val="single" w:sz="4" w:space="0" w:color="auto"/>
            </w:tcBorders>
            <w:shd w:val="clear" w:color="auto" w:fill="BFBFBF"/>
            <w:vAlign w:val="center"/>
          </w:tcPr>
          <w:p w:rsidR="00B144EE" w:rsidRPr="00B144EE" w:rsidRDefault="00B144EE" w:rsidP="004E6EB9">
            <w:pPr>
              <w:jc w:val="center"/>
              <w:rPr>
                <w:b/>
                <w:bCs/>
                <w:sz w:val="20"/>
                <w:szCs w:val="20"/>
              </w:rPr>
            </w:pP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B144EE" w:rsidRPr="00B144EE" w:rsidRDefault="00B144EE" w:rsidP="004E6EB9">
            <w:pPr>
              <w:rPr>
                <w:sz w:val="20"/>
                <w:szCs w:val="20"/>
              </w:rPr>
            </w:pPr>
            <w:r w:rsidRPr="00B144EE">
              <w:rPr>
                <w:sz w:val="20"/>
                <w:szCs w:val="20"/>
              </w:rPr>
              <w:t> </w:t>
            </w:r>
          </w:p>
        </w:tc>
      </w:tr>
    </w:tbl>
    <w:p w:rsidR="00B144EE" w:rsidRPr="00B144EE" w:rsidRDefault="00B144EE" w:rsidP="00B144EE">
      <w:pPr>
        <w:tabs>
          <w:tab w:val="num" w:pos="1080"/>
        </w:tabs>
        <w:jc w:val="both"/>
        <w:rPr>
          <w:bCs/>
          <w:sz w:val="20"/>
          <w:szCs w:val="20"/>
        </w:rPr>
      </w:pPr>
      <w:r w:rsidRPr="00B144EE">
        <w:rPr>
          <w:bCs/>
          <w:sz w:val="20"/>
          <w:szCs w:val="20"/>
        </w:rPr>
        <w:t>2 –  výdavky rozpísať až do položiek platnej ekonomickej klasifikácie</w:t>
      </w:r>
    </w:p>
    <w:p w:rsidR="00B144EE" w:rsidRPr="00B144EE" w:rsidRDefault="00B144EE" w:rsidP="00B144EE">
      <w:pPr>
        <w:tabs>
          <w:tab w:val="num" w:pos="1080"/>
        </w:tabs>
        <w:ind w:left="-900"/>
        <w:jc w:val="both"/>
        <w:rPr>
          <w:bCs/>
          <w:sz w:val="20"/>
          <w:szCs w:val="20"/>
        </w:rPr>
      </w:pPr>
    </w:p>
    <w:p w:rsidR="00B144EE" w:rsidRPr="00B144EE" w:rsidRDefault="00B144EE" w:rsidP="00B144EE">
      <w:pPr>
        <w:tabs>
          <w:tab w:val="num" w:pos="1080"/>
        </w:tabs>
        <w:jc w:val="both"/>
        <w:rPr>
          <w:b/>
          <w:bCs/>
          <w:sz w:val="20"/>
          <w:szCs w:val="20"/>
        </w:rPr>
      </w:pPr>
      <w:r w:rsidRPr="00B144EE">
        <w:rPr>
          <w:b/>
          <w:bCs/>
          <w:sz w:val="20"/>
          <w:szCs w:val="20"/>
        </w:rPr>
        <w:t>Poznámka:</w:t>
      </w:r>
    </w:p>
    <w:p w:rsidR="00EB27EC" w:rsidRDefault="00B144EE" w:rsidP="00EB27EC">
      <w:pPr>
        <w:ind w:right="-32"/>
        <w:rPr>
          <w:bCs/>
          <w:sz w:val="20"/>
          <w:szCs w:val="20"/>
        </w:rPr>
      </w:pPr>
      <w:r w:rsidRPr="00B144EE">
        <w:rPr>
          <w:bCs/>
          <w:sz w:val="20"/>
          <w:szCs w:val="20"/>
        </w:rPr>
        <w:t>Ak sa vplyv týka viacerých subjektov verejnej správy, vypĺňa sa samostatná tabuľka za každý subjekt.</w:t>
      </w:r>
      <w:r w:rsidR="00EB27EC" w:rsidRPr="00EB27EC">
        <w:rPr>
          <w:bCs/>
          <w:sz w:val="20"/>
          <w:szCs w:val="20"/>
        </w:rPr>
        <w:t xml:space="preserve"> </w:t>
      </w:r>
    </w:p>
    <w:p w:rsidR="00EB27EC" w:rsidRPr="00B144EE" w:rsidRDefault="00EB27EC" w:rsidP="00EB27EC">
      <w:pPr>
        <w:tabs>
          <w:tab w:val="num" w:pos="1080"/>
        </w:tabs>
        <w:ind w:right="-32"/>
        <w:jc w:val="right"/>
        <w:rPr>
          <w:bCs/>
          <w:sz w:val="20"/>
          <w:szCs w:val="20"/>
        </w:rPr>
      </w:pPr>
      <w:r>
        <w:rPr>
          <w:bCs/>
          <w:sz w:val="20"/>
          <w:szCs w:val="20"/>
        </w:rPr>
        <w:lastRenderedPageBreak/>
        <w:t>Tabuľka č. 5</w:t>
      </w:r>
    </w:p>
    <w:p w:rsidR="00B144EE" w:rsidRPr="00B144EE" w:rsidRDefault="00B144EE" w:rsidP="00B144EE">
      <w:pPr>
        <w:tabs>
          <w:tab w:val="num" w:pos="1080"/>
        </w:tabs>
        <w:jc w:val="both"/>
        <w:rPr>
          <w:bCs/>
          <w:sz w:val="20"/>
          <w:szCs w:val="20"/>
        </w:rPr>
      </w:pPr>
    </w:p>
    <w:tbl>
      <w:tblPr>
        <w:tblW w:w="15434" w:type="dxa"/>
        <w:tblInd w:w="-214" w:type="dxa"/>
        <w:tblCellMar>
          <w:left w:w="70" w:type="dxa"/>
          <w:right w:w="70" w:type="dxa"/>
        </w:tblCellMar>
        <w:tblLook w:val="0000" w:firstRow="0" w:lastRow="0" w:firstColumn="0" w:lastColumn="0" w:noHBand="0" w:noVBand="0"/>
      </w:tblPr>
      <w:tblGrid>
        <w:gridCol w:w="5924"/>
        <w:gridCol w:w="1746"/>
        <w:gridCol w:w="1839"/>
        <w:gridCol w:w="2078"/>
        <w:gridCol w:w="2042"/>
        <w:gridCol w:w="1805"/>
      </w:tblGrid>
      <w:tr w:rsidR="00B144EE" w:rsidRPr="00EB27EC" w:rsidTr="00B144EE">
        <w:trPr>
          <w:cantSplit/>
          <w:trHeight w:val="255"/>
        </w:trPr>
        <w:tc>
          <w:tcPr>
            <w:tcW w:w="592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144EE" w:rsidRPr="00B144EE" w:rsidRDefault="00B144EE" w:rsidP="00B144EE">
            <w:pPr>
              <w:widowControl/>
              <w:adjustRightInd/>
              <w:jc w:val="center"/>
              <w:rPr>
                <w:b/>
                <w:bCs/>
                <w:sz w:val="20"/>
                <w:szCs w:val="20"/>
              </w:rPr>
            </w:pPr>
            <w:r w:rsidRPr="00B144EE">
              <w:rPr>
                <w:b/>
                <w:bCs/>
                <w:sz w:val="20"/>
                <w:szCs w:val="20"/>
              </w:rPr>
              <w:t>Zamestnanosť</w:t>
            </w:r>
          </w:p>
        </w:tc>
        <w:tc>
          <w:tcPr>
            <w:tcW w:w="7705" w:type="dxa"/>
            <w:gridSpan w:val="4"/>
            <w:tcBorders>
              <w:top w:val="single" w:sz="4" w:space="0" w:color="auto"/>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r w:rsidRPr="00B144EE">
              <w:rPr>
                <w:b/>
                <w:bCs/>
                <w:sz w:val="20"/>
                <w:szCs w:val="20"/>
              </w:rPr>
              <w:t>Vplyv na rozpočet verejnej správy</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B144EE" w:rsidRPr="00B144EE" w:rsidRDefault="00B144EE" w:rsidP="00B144EE">
            <w:pPr>
              <w:widowControl/>
              <w:adjustRightInd/>
              <w:jc w:val="center"/>
              <w:rPr>
                <w:b/>
                <w:bCs/>
                <w:sz w:val="20"/>
                <w:szCs w:val="20"/>
              </w:rPr>
            </w:pPr>
            <w:r w:rsidRPr="00B144EE">
              <w:rPr>
                <w:b/>
                <w:bCs/>
                <w:sz w:val="20"/>
                <w:szCs w:val="20"/>
              </w:rPr>
              <w:t>poznámka</w:t>
            </w:r>
          </w:p>
        </w:tc>
      </w:tr>
      <w:tr w:rsidR="00B144EE" w:rsidRPr="00EB27EC" w:rsidTr="00B144EE">
        <w:trPr>
          <w:cantSplit/>
          <w:trHeight w:val="255"/>
        </w:trPr>
        <w:tc>
          <w:tcPr>
            <w:tcW w:w="5924"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144EE" w:rsidRPr="00B144EE" w:rsidRDefault="00B144EE" w:rsidP="00B144EE">
            <w:pPr>
              <w:widowControl/>
              <w:adjustRightInd/>
              <w:rPr>
                <w:b/>
                <w:bCs/>
                <w:sz w:val="20"/>
                <w:szCs w:val="20"/>
              </w:rPr>
            </w:pPr>
          </w:p>
        </w:tc>
        <w:tc>
          <w:tcPr>
            <w:tcW w:w="1746"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r w:rsidRPr="00B144EE">
              <w:rPr>
                <w:b/>
                <w:bCs/>
                <w:sz w:val="20"/>
                <w:szCs w:val="20"/>
              </w:rPr>
              <w:t>2019</w:t>
            </w:r>
          </w:p>
        </w:tc>
        <w:tc>
          <w:tcPr>
            <w:tcW w:w="1839"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r w:rsidRPr="00B144EE">
              <w:rPr>
                <w:b/>
                <w:bCs/>
                <w:sz w:val="20"/>
                <w:szCs w:val="20"/>
              </w:rPr>
              <w:t>2020</w:t>
            </w:r>
          </w:p>
        </w:tc>
        <w:tc>
          <w:tcPr>
            <w:tcW w:w="2078"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r w:rsidRPr="00B144EE">
              <w:rPr>
                <w:b/>
                <w:bCs/>
                <w:sz w:val="20"/>
                <w:szCs w:val="20"/>
              </w:rPr>
              <w:t>2021</w:t>
            </w:r>
          </w:p>
        </w:tc>
        <w:tc>
          <w:tcPr>
            <w:tcW w:w="2042"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r w:rsidRPr="00B144EE">
              <w:rPr>
                <w:b/>
                <w:bCs/>
                <w:sz w:val="20"/>
                <w:szCs w:val="20"/>
              </w:rPr>
              <w:t>2022</w:t>
            </w:r>
          </w:p>
        </w:tc>
        <w:tc>
          <w:tcPr>
            <w:tcW w:w="18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144EE" w:rsidRPr="00B144EE" w:rsidRDefault="00B144EE" w:rsidP="00B144EE">
            <w:pPr>
              <w:widowControl/>
              <w:adjustRightInd/>
              <w:rPr>
                <w:b/>
                <w:bCs/>
                <w:sz w:val="20"/>
                <w:szCs w:val="20"/>
              </w:rPr>
            </w:pP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b/>
                <w:bCs/>
                <w:sz w:val="20"/>
                <w:szCs w:val="20"/>
              </w:rPr>
            </w:pPr>
            <w:r w:rsidRPr="00B144EE">
              <w:rPr>
                <w:b/>
                <w:bCs/>
                <w:sz w:val="20"/>
                <w:szCs w:val="20"/>
              </w:rPr>
              <w:t>Počet zamestnancov celkom</w:t>
            </w:r>
          </w:p>
        </w:tc>
        <w:tc>
          <w:tcPr>
            <w:tcW w:w="1746" w:type="dxa"/>
            <w:tcBorders>
              <w:top w:val="nil"/>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39" w:type="dxa"/>
            <w:tcBorders>
              <w:top w:val="nil"/>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78" w:type="dxa"/>
            <w:tcBorders>
              <w:top w:val="nil"/>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42" w:type="dxa"/>
            <w:tcBorders>
              <w:top w:val="nil"/>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r w:rsidRPr="00B144EE">
              <w:rPr>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b/>
                <w:bCs/>
                <w:sz w:val="20"/>
                <w:szCs w:val="20"/>
              </w:rPr>
            </w:pPr>
            <w:r w:rsidRPr="00B144EE">
              <w:rPr>
                <w:b/>
                <w:bCs/>
                <w:sz w:val="20"/>
                <w:szCs w:val="20"/>
              </w:rPr>
              <w:t xml:space="preserve">   z toho vplyv na ŠR</w:t>
            </w:r>
          </w:p>
        </w:tc>
        <w:tc>
          <w:tcPr>
            <w:tcW w:w="1746"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39"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78"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42"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b/>
                <w:bCs/>
                <w:sz w:val="20"/>
                <w:szCs w:val="20"/>
              </w:rPr>
            </w:pPr>
            <w:r w:rsidRPr="00B144EE">
              <w:rPr>
                <w:b/>
                <w:bCs/>
                <w:sz w:val="20"/>
                <w:szCs w:val="20"/>
              </w:rPr>
              <w:t>Priemerný mzdový výdavok (v eurách)</w:t>
            </w:r>
          </w:p>
        </w:tc>
        <w:tc>
          <w:tcPr>
            <w:tcW w:w="1746"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39"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78"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42"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r w:rsidRPr="00B144EE">
              <w:rPr>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sz w:val="20"/>
                <w:szCs w:val="20"/>
              </w:rPr>
            </w:pPr>
            <w:r w:rsidRPr="00B144EE">
              <w:rPr>
                <w:b/>
                <w:bCs/>
                <w:sz w:val="20"/>
                <w:szCs w:val="20"/>
              </w:rPr>
              <w:t xml:space="preserve">   z toho vplyv na ŠR</w:t>
            </w:r>
          </w:p>
        </w:tc>
        <w:tc>
          <w:tcPr>
            <w:tcW w:w="1746"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39"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78"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2042" w:type="dxa"/>
            <w:tcBorders>
              <w:top w:val="single" w:sz="4" w:space="0" w:color="auto"/>
              <w:left w:val="nil"/>
              <w:bottom w:val="single" w:sz="4" w:space="0" w:color="auto"/>
              <w:right w:val="single" w:sz="4" w:space="0" w:color="auto"/>
            </w:tcBorders>
          </w:tcPr>
          <w:p w:rsidR="00B144EE" w:rsidRPr="00B144EE" w:rsidRDefault="00B144EE" w:rsidP="00B144EE">
            <w:pPr>
              <w:widowControl/>
              <w:adjustRightInd/>
              <w:jc w:val="center"/>
              <w:rPr>
                <w:bCs/>
                <w:sz w:val="20"/>
                <w:szCs w:val="20"/>
              </w:rPr>
            </w:pPr>
            <w:r w:rsidRPr="00B144EE">
              <w:rPr>
                <w:bCs/>
                <w:sz w:val="20"/>
                <w:szCs w:val="20"/>
              </w:rPr>
              <w:t>0</w:t>
            </w: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r w:rsidRPr="00B144EE">
              <w:rPr>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shd w:val="clear" w:color="auto" w:fill="BFBFBF"/>
          </w:tcPr>
          <w:p w:rsidR="00B144EE" w:rsidRPr="00B144EE" w:rsidRDefault="00B144EE" w:rsidP="00B144EE">
            <w:pPr>
              <w:widowControl/>
              <w:adjustRightInd/>
              <w:rPr>
                <w:b/>
                <w:bCs/>
                <w:sz w:val="20"/>
                <w:szCs w:val="20"/>
              </w:rPr>
            </w:pPr>
            <w:r w:rsidRPr="00B144EE">
              <w:rPr>
                <w:b/>
                <w:bCs/>
                <w:sz w:val="20"/>
                <w:szCs w:val="20"/>
              </w:rPr>
              <w:t>Osobné výdavky celkom (v eurách)</w:t>
            </w:r>
          </w:p>
        </w:tc>
        <w:tc>
          <w:tcPr>
            <w:tcW w:w="1746"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p>
        </w:tc>
        <w:tc>
          <w:tcPr>
            <w:tcW w:w="1839"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p>
        </w:tc>
        <w:tc>
          <w:tcPr>
            <w:tcW w:w="2078"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p>
        </w:tc>
        <w:tc>
          <w:tcPr>
            <w:tcW w:w="2042" w:type="dxa"/>
            <w:tcBorders>
              <w:top w:val="nil"/>
              <w:left w:val="nil"/>
              <w:bottom w:val="single" w:sz="4" w:space="0" w:color="auto"/>
              <w:right w:val="single" w:sz="4" w:space="0" w:color="auto"/>
            </w:tcBorders>
            <w:shd w:val="clear" w:color="auto" w:fill="BFBFBF"/>
          </w:tcPr>
          <w:p w:rsidR="00B144EE" w:rsidRPr="00B144EE" w:rsidRDefault="00B144EE" w:rsidP="00B144EE">
            <w:pPr>
              <w:widowControl/>
              <w:adjustRightInd/>
              <w:jc w:val="center"/>
              <w:rPr>
                <w:b/>
                <w:bCs/>
                <w:sz w:val="20"/>
                <w:szCs w:val="20"/>
              </w:rPr>
            </w:pPr>
          </w:p>
        </w:tc>
        <w:tc>
          <w:tcPr>
            <w:tcW w:w="1805" w:type="dxa"/>
            <w:tcBorders>
              <w:top w:val="nil"/>
              <w:left w:val="nil"/>
              <w:bottom w:val="single" w:sz="4" w:space="0" w:color="auto"/>
              <w:right w:val="single" w:sz="4" w:space="0" w:color="auto"/>
            </w:tcBorders>
            <w:shd w:val="clear" w:color="auto" w:fill="BFBFBF"/>
            <w:noWrap/>
            <w:vAlign w:val="bottom"/>
          </w:tcPr>
          <w:p w:rsidR="00B144EE" w:rsidRPr="00B144EE" w:rsidRDefault="00B144EE" w:rsidP="00B144EE">
            <w:pPr>
              <w:widowControl/>
              <w:adjustRightInd/>
              <w:rPr>
                <w:b/>
                <w:bCs/>
                <w:sz w:val="20"/>
                <w:szCs w:val="20"/>
              </w:rPr>
            </w:pPr>
            <w:r w:rsidRPr="00B144EE">
              <w:rPr>
                <w:b/>
                <w:bCs/>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b/>
                <w:bCs/>
                <w:sz w:val="20"/>
                <w:szCs w:val="20"/>
              </w:rPr>
            </w:pPr>
            <w:r w:rsidRPr="00B144EE">
              <w:rPr>
                <w:b/>
                <w:bCs/>
                <w:sz w:val="20"/>
                <w:szCs w:val="20"/>
              </w:rPr>
              <w:t>Mzdy, platy, služobné príjmy a ostatné osobné vyrovnania (610)</w:t>
            </w:r>
          </w:p>
        </w:tc>
        <w:tc>
          <w:tcPr>
            <w:tcW w:w="1746"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1839"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2078"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2042"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b/>
                <w:bCs/>
                <w:sz w:val="20"/>
                <w:szCs w:val="20"/>
              </w:rPr>
            </w:pPr>
            <w:r w:rsidRPr="00B144EE">
              <w:rPr>
                <w:b/>
                <w:bCs/>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sz w:val="20"/>
                <w:szCs w:val="20"/>
              </w:rPr>
            </w:pPr>
            <w:r w:rsidRPr="00B144EE">
              <w:rPr>
                <w:b/>
                <w:bCs/>
                <w:sz w:val="20"/>
                <w:szCs w:val="20"/>
              </w:rPr>
              <w:t xml:space="preserve">   z toho vplyv na ŠR</w:t>
            </w:r>
          </w:p>
        </w:tc>
        <w:tc>
          <w:tcPr>
            <w:tcW w:w="1746"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1839"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2078"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2042"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r w:rsidRPr="00B144EE">
              <w:rPr>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b/>
                <w:bCs/>
                <w:sz w:val="20"/>
                <w:szCs w:val="20"/>
              </w:rPr>
            </w:pPr>
            <w:r w:rsidRPr="00B144EE">
              <w:rPr>
                <w:b/>
                <w:bCs/>
                <w:sz w:val="20"/>
                <w:szCs w:val="20"/>
              </w:rPr>
              <w:t>Poistné a príspevok do poisťovní (620)</w:t>
            </w:r>
          </w:p>
        </w:tc>
        <w:tc>
          <w:tcPr>
            <w:tcW w:w="1746"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1839"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2078"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2042" w:type="dxa"/>
            <w:tcBorders>
              <w:top w:val="nil"/>
              <w:left w:val="nil"/>
              <w:bottom w:val="single" w:sz="4" w:space="0" w:color="auto"/>
              <w:right w:val="single" w:sz="4" w:space="0" w:color="auto"/>
            </w:tcBorders>
          </w:tcPr>
          <w:p w:rsidR="00B144EE" w:rsidRPr="00B144EE" w:rsidRDefault="00B144EE" w:rsidP="00B144EE">
            <w:pPr>
              <w:widowControl/>
              <w:adjustRightInd/>
              <w:jc w:val="center"/>
              <w:rPr>
                <w:b/>
                <w:sz w:val="20"/>
                <w:szCs w:val="20"/>
              </w:rPr>
            </w:pP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b/>
                <w:bCs/>
                <w:sz w:val="20"/>
                <w:szCs w:val="20"/>
              </w:rPr>
            </w:pPr>
            <w:r w:rsidRPr="00B144EE">
              <w:rPr>
                <w:b/>
                <w:bCs/>
                <w:sz w:val="20"/>
                <w:szCs w:val="20"/>
              </w:rPr>
              <w:t> </w:t>
            </w:r>
          </w:p>
        </w:tc>
      </w:tr>
      <w:tr w:rsidR="00B144EE" w:rsidRPr="00EB27EC" w:rsidTr="00B144EE">
        <w:trPr>
          <w:trHeight w:val="255"/>
        </w:trPr>
        <w:tc>
          <w:tcPr>
            <w:tcW w:w="5924" w:type="dxa"/>
            <w:tcBorders>
              <w:top w:val="nil"/>
              <w:left w:val="single" w:sz="4" w:space="0" w:color="auto"/>
              <w:bottom w:val="single" w:sz="4" w:space="0" w:color="auto"/>
              <w:right w:val="single" w:sz="4" w:space="0" w:color="auto"/>
            </w:tcBorders>
          </w:tcPr>
          <w:p w:rsidR="00B144EE" w:rsidRPr="00B144EE" w:rsidRDefault="00B144EE" w:rsidP="00B144EE">
            <w:pPr>
              <w:widowControl/>
              <w:adjustRightInd/>
              <w:rPr>
                <w:sz w:val="20"/>
                <w:szCs w:val="20"/>
              </w:rPr>
            </w:pPr>
            <w:r w:rsidRPr="00B144EE">
              <w:rPr>
                <w:b/>
                <w:bCs/>
                <w:sz w:val="20"/>
                <w:szCs w:val="20"/>
              </w:rPr>
              <w:t xml:space="preserve">   z toho vplyv na ŠR</w:t>
            </w:r>
          </w:p>
        </w:tc>
        <w:tc>
          <w:tcPr>
            <w:tcW w:w="1746"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1839"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2078"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2042" w:type="dxa"/>
            <w:tcBorders>
              <w:top w:val="nil"/>
              <w:left w:val="nil"/>
              <w:bottom w:val="single" w:sz="4" w:space="0" w:color="auto"/>
              <w:right w:val="single" w:sz="4" w:space="0" w:color="auto"/>
            </w:tcBorders>
          </w:tcPr>
          <w:p w:rsidR="00B144EE" w:rsidRPr="00B144EE" w:rsidRDefault="00B144EE" w:rsidP="00B144EE">
            <w:pPr>
              <w:widowControl/>
              <w:adjustRightInd/>
              <w:jc w:val="center"/>
              <w:rPr>
                <w:sz w:val="20"/>
                <w:szCs w:val="20"/>
              </w:rPr>
            </w:pPr>
          </w:p>
        </w:tc>
        <w:tc>
          <w:tcPr>
            <w:tcW w:w="1805" w:type="dxa"/>
            <w:tcBorders>
              <w:top w:val="nil"/>
              <w:left w:val="nil"/>
              <w:bottom w:val="single" w:sz="4" w:space="0" w:color="auto"/>
              <w:right w:val="single" w:sz="4" w:space="0" w:color="auto"/>
            </w:tcBorders>
            <w:noWrap/>
            <w:vAlign w:val="bottom"/>
          </w:tcPr>
          <w:p w:rsidR="00B144EE" w:rsidRPr="00B144EE" w:rsidRDefault="00B144EE" w:rsidP="00B144EE">
            <w:pPr>
              <w:widowControl/>
              <w:adjustRightInd/>
              <w:rPr>
                <w:sz w:val="20"/>
                <w:szCs w:val="20"/>
              </w:rPr>
            </w:pPr>
            <w:r w:rsidRPr="00B144EE">
              <w:rPr>
                <w:sz w:val="20"/>
                <w:szCs w:val="20"/>
              </w:rPr>
              <w:t> </w:t>
            </w:r>
          </w:p>
        </w:tc>
      </w:tr>
    </w:tbl>
    <w:p w:rsidR="00B144EE" w:rsidRPr="00EB27EC" w:rsidRDefault="00B144EE" w:rsidP="004B44F8">
      <w:pPr>
        <w:widowControl/>
        <w:tabs>
          <w:tab w:val="num" w:pos="1080"/>
        </w:tabs>
        <w:adjustRightInd/>
        <w:jc w:val="both"/>
        <w:rPr>
          <w:bCs/>
          <w:sz w:val="20"/>
          <w:szCs w:val="20"/>
        </w:rPr>
      </w:pPr>
    </w:p>
    <w:p w:rsidR="004B44F8" w:rsidRPr="00EB27EC" w:rsidRDefault="004B44F8" w:rsidP="004B44F8">
      <w:pPr>
        <w:widowControl/>
        <w:tabs>
          <w:tab w:val="num" w:pos="1080"/>
        </w:tabs>
        <w:adjustRightInd/>
        <w:ind w:right="-578"/>
        <w:jc w:val="right"/>
        <w:rPr>
          <w:bCs/>
          <w:sz w:val="20"/>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00"/>
        <w:gridCol w:w="1985"/>
        <w:gridCol w:w="765"/>
        <w:gridCol w:w="990"/>
      </w:tblGrid>
      <w:tr w:rsidR="00B144EE" w:rsidRPr="00EB27EC" w:rsidTr="004E6EB9">
        <w:trPr>
          <w:trHeight w:val="255"/>
        </w:trPr>
        <w:tc>
          <w:tcPr>
            <w:tcW w:w="6188" w:type="dxa"/>
            <w:tcBorders>
              <w:top w:val="nil"/>
              <w:left w:val="nil"/>
              <w:bottom w:val="nil"/>
              <w:right w:val="nil"/>
            </w:tcBorders>
          </w:tcPr>
          <w:p w:rsidR="00B144EE" w:rsidRPr="00B144EE" w:rsidRDefault="00EB27EC" w:rsidP="00EB27EC">
            <w:pPr>
              <w:widowControl/>
              <w:adjustRightInd/>
              <w:rPr>
                <w:b/>
                <w:bCs/>
                <w:sz w:val="20"/>
                <w:szCs w:val="20"/>
              </w:rPr>
            </w:pPr>
            <w:r w:rsidRPr="00EB27EC">
              <w:rPr>
                <w:bCs/>
                <w:sz w:val="20"/>
                <w:szCs w:val="20"/>
              </w:rPr>
              <w:t xml:space="preserve">         </w:t>
            </w:r>
            <w:r w:rsidR="00B144EE" w:rsidRPr="00B144EE">
              <w:rPr>
                <w:b/>
                <w:bCs/>
                <w:sz w:val="20"/>
                <w:szCs w:val="20"/>
              </w:rPr>
              <w:t>Poznámky:</w:t>
            </w:r>
          </w:p>
        </w:tc>
        <w:tc>
          <w:tcPr>
            <w:tcW w:w="1698" w:type="dxa"/>
            <w:tcBorders>
              <w:top w:val="nil"/>
              <w:left w:val="nil"/>
              <w:bottom w:val="nil"/>
              <w:right w:val="nil"/>
            </w:tcBorders>
            <w:noWrap/>
            <w:vAlign w:val="bottom"/>
          </w:tcPr>
          <w:p w:rsidR="00B144EE" w:rsidRPr="00B144EE" w:rsidRDefault="00B144EE" w:rsidP="00B144EE">
            <w:pPr>
              <w:widowControl/>
              <w:adjustRightInd/>
              <w:rPr>
                <w:sz w:val="20"/>
                <w:szCs w:val="20"/>
              </w:rPr>
            </w:pPr>
          </w:p>
        </w:tc>
        <w:tc>
          <w:tcPr>
            <w:tcW w:w="1788" w:type="dxa"/>
            <w:tcBorders>
              <w:top w:val="nil"/>
              <w:left w:val="nil"/>
              <w:bottom w:val="nil"/>
              <w:right w:val="nil"/>
            </w:tcBorders>
            <w:noWrap/>
            <w:vAlign w:val="bottom"/>
          </w:tcPr>
          <w:p w:rsidR="00B144EE" w:rsidRPr="00B144EE" w:rsidRDefault="00B144EE" w:rsidP="00B144EE">
            <w:pPr>
              <w:widowControl/>
              <w:adjustRightInd/>
              <w:rPr>
                <w:sz w:val="20"/>
                <w:szCs w:val="20"/>
              </w:rPr>
            </w:pPr>
          </w:p>
        </w:tc>
        <w:tc>
          <w:tcPr>
            <w:tcW w:w="2020" w:type="dxa"/>
            <w:gridSpan w:val="2"/>
            <w:tcBorders>
              <w:top w:val="nil"/>
              <w:left w:val="nil"/>
              <w:bottom w:val="nil"/>
              <w:right w:val="nil"/>
            </w:tcBorders>
            <w:noWrap/>
            <w:vAlign w:val="bottom"/>
          </w:tcPr>
          <w:p w:rsidR="00B144EE" w:rsidRPr="00B144EE" w:rsidRDefault="00B144EE" w:rsidP="00B144EE">
            <w:pPr>
              <w:widowControl/>
              <w:adjustRightInd/>
              <w:rPr>
                <w:sz w:val="20"/>
                <w:szCs w:val="20"/>
              </w:rPr>
            </w:pPr>
          </w:p>
        </w:tc>
        <w:tc>
          <w:tcPr>
            <w:tcW w:w="1985" w:type="dxa"/>
            <w:tcBorders>
              <w:top w:val="nil"/>
              <w:left w:val="nil"/>
              <w:bottom w:val="nil"/>
              <w:right w:val="nil"/>
            </w:tcBorders>
            <w:noWrap/>
            <w:vAlign w:val="bottom"/>
          </w:tcPr>
          <w:p w:rsidR="00B144EE" w:rsidRPr="00B144EE" w:rsidRDefault="00B144EE" w:rsidP="00B144EE">
            <w:pPr>
              <w:widowControl/>
              <w:adjustRightInd/>
              <w:rPr>
                <w:sz w:val="20"/>
                <w:szCs w:val="20"/>
              </w:rPr>
            </w:pPr>
          </w:p>
        </w:tc>
        <w:tc>
          <w:tcPr>
            <w:tcW w:w="1755" w:type="dxa"/>
            <w:gridSpan w:val="2"/>
            <w:tcBorders>
              <w:top w:val="nil"/>
              <w:left w:val="nil"/>
              <w:bottom w:val="nil"/>
              <w:right w:val="nil"/>
            </w:tcBorders>
            <w:noWrap/>
            <w:vAlign w:val="bottom"/>
          </w:tcPr>
          <w:p w:rsidR="00B144EE" w:rsidRPr="00B144EE" w:rsidRDefault="00B144EE" w:rsidP="00B144EE">
            <w:pPr>
              <w:widowControl/>
              <w:adjustRightInd/>
              <w:rPr>
                <w:sz w:val="20"/>
                <w:szCs w:val="20"/>
              </w:rPr>
            </w:pPr>
          </w:p>
        </w:tc>
      </w:tr>
      <w:tr w:rsidR="00B144EE" w:rsidRPr="00EB27EC" w:rsidTr="004E6EB9">
        <w:trPr>
          <w:trHeight w:val="255"/>
        </w:trPr>
        <w:tc>
          <w:tcPr>
            <w:tcW w:w="13679" w:type="dxa"/>
            <w:gridSpan w:val="6"/>
            <w:tcBorders>
              <w:top w:val="nil"/>
              <w:left w:val="nil"/>
              <w:bottom w:val="nil"/>
              <w:right w:val="nil"/>
            </w:tcBorders>
            <w:noWrap/>
          </w:tcPr>
          <w:p w:rsidR="00B144EE" w:rsidRPr="00B144EE" w:rsidRDefault="00B144EE" w:rsidP="00EB27EC">
            <w:pPr>
              <w:widowControl/>
              <w:tabs>
                <w:tab w:val="num" w:pos="1080"/>
              </w:tabs>
              <w:adjustRightInd/>
              <w:ind w:left="500"/>
              <w:jc w:val="both"/>
              <w:rPr>
                <w:bCs/>
                <w:sz w:val="20"/>
                <w:szCs w:val="20"/>
              </w:rPr>
            </w:pPr>
            <w:r w:rsidRPr="00B144EE">
              <w:rPr>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144EE" w:rsidRPr="00B144EE" w:rsidRDefault="00B144EE" w:rsidP="00EB27EC">
            <w:pPr>
              <w:widowControl/>
              <w:adjustRightInd/>
              <w:ind w:left="500"/>
              <w:jc w:val="both"/>
              <w:rPr>
                <w:sz w:val="20"/>
                <w:szCs w:val="20"/>
              </w:rPr>
            </w:pPr>
            <w:r w:rsidRPr="00B144EE">
              <w:rPr>
                <w:sz w:val="20"/>
                <w:szCs w:val="20"/>
              </w:rPr>
              <w:t>Priemerný mzdový výdavok je tvorený podielom mzdových výdavkov na jedného zamestnanca na jeden kalendárny mesiac bežného roka.</w:t>
            </w:r>
          </w:p>
        </w:tc>
        <w:tc>
          <w:tcPr>
            <w:tcW w:w="1755" w:type="dxa"/>
            <w:gridSpan w:val="2"/>
            <w:tcBorders>
              <w:top w:val="nil"/>
              <w:left w:val="nil"/>
              <w:bottom w:val="nil"/>
              <w:right w:val="nil"/>
            </w:tcBorders>
            <w:noWrap/>
            <w:vAlign w:val="bottom"/>
          </w:tcPr>
          <w:p w:rsidR="00B144EE" w:rsidRPr="00B144EE" w:rsidRDefault="00B144EE" w:rsidP="00EB27EC">
            <w:pPr>
              <w:widowControl/>
              <w:adjustRightInd/>
              <w:jc w:val="both"/>
              <w:rPr>
                <w:sz w:val="20"/>
                <w:szCs w:val="20"/>
              </w:rPr>
            </w:pPr>
          </w:p>
        </w:tc>
      </w:tr>
      <w:tr w:rsidR="00B144EE" w:rsidRPr="00EB27EC" w:rsidTr="004E6EB9">
        <w:trPr>
          <w:trHeight w:val="255"/>
        </w:trPr>
        <w:tc>
          <w:tcPr>
            <w:tcW w:w="10394" w:type="dxa"/>
            <w:gridSpan w:val="4"/>
            <w:tcBorders>
              <w:top w:val="nil"/>
              <w:left w:val="nil"/>
              <w:bottom w:val="nil"/>
              <w:right w:val="nil"/>
            </w:tcBorders>
            <w:noWrap/>
            <w:vAlign w:val="bottom"/>
          </w:tcPr>
          <w:p w:rsidR="00B144EE" w:rsidRPr="00B144EE" w:rsidRDefault="00B144EE" w:rsidP="00EB27EC">
            <w:pPr>
              <w:widowControl/>
              <w:adjustRightInd/>
              <w:ind w:firstLine="500"/>
              <w:jc w:val="both"/>
              <w:rPr>
                <w:sz w:val="20"/>
                <w:szCs w:val="20"/>
              </w:rPr>
            </w:pPr>
            <w:r w:rsidRPr="00B144EE">
              <w:rPr>
                <w:sz w:val="20"/>
                <w:szCs w:val="20"/>
              </w:rPr>
              <w:t>Kategórie 610 a 620 sú z tejto prílohy prenášané do príslušných kategórií prílohy „výdavky“.</w:t>
            </w:r>
          </w:p>
        </w:tc>
        <w:tc>
          <w:tcPr>
            <w:tcW w:w="1300" w:type="dxa"/>
            <w:tcBorders>
              <w:top w:val="nil"/>
              <w:left w:val="nil"/>
              <w:bottom w:val="nil"/>
              <w:right w:val="nil"/>
            </w:tcBorders>
            <w:noWrap/>
            <w:vAlign w:val="bottom"/>
          </w:tcPr>
          <w:p w:rsidR="00B144EE" w:rsidRPr="00B144EE" w:rsidRDefault="00B144EE" w:rsidP="00EB27EC">
            <w:pPr>
              <w:widowControl/>
              <w:adjustRightInd/>
              <w:jc w:val="both"/>
              <w:rPr>
                <w:sz w:val="20"/>
                <w:szCs w:val="20"/>
              </w:rPr>
            </w:pPr>
          </w:p>
        </w:tc>
        <w:tc>
          <w:tcPr>
            <w:tcW w:w="2750" w:type="dxa"/>
            <w:gridSpan w:val="2"/>
            <w:tcBorders>
              <w:top w:val="nil"/>
              <w:left w:val="nil"/>
              <w:bottom w:val="nil"/>
              <w:right w:val="nil"/>
            </w:tcBorders>
            <w:noWrap/>
            <w:vAlign w:val="bottom"/>
          </w:tcPr>
          <w:p w:rsidR="00B144EE" w:rsidRPr="00B144EE" w:rsidRDefault="00B144EE" w:rsidP="00EB27EC">
            <w:pPr>
              <w:widowControl/>
              <w:adjustRightInd/>
              <w:jc w:val="both"/>
              <w:rPr>
                <w:sz w:val="20"/>
                <w:szCs w:val="20"/>
              </w:rPr>
            </w:pPr>
          </w:p>
        </w:tc>
        <w:tc>
          <w:tcPr>
            <w:tcW w:w="990" w:type="dxa"/>
            <w:tcBorders>
              <w:top w:val="nil"/>
              <w:left w:val="nil"/>
              <w:bottom w:val="nil"/>
              <w:right w:val="nil"/>
            </w:tcBorders>
            <w:noWrap/>
            <w:vAlign w:val="bottom"/>
          </w:tcPr>
          <w:p w:rsidR="00B144EE" w:rsidRPr="00B144EE" w:rsidRDefault="00B144EE" w:rsidP="00EB27EC">
            <w:pPr>
              <w:widowControl/>
              <w:adjustRightInd/>
              <w:jc w:val="both"/>
              <w:rPr>
                <w:sz w:val="20"/>
                <w:szCs w:val="20"/>
              </w:rPr>
            </w:pPr>
          </w:p>
        </w:tc>
      </w:tr>
    </w:tbl>
    <w:p w:rsidR="00D606DF" w:rsidRPr="00EB27EC" w:rsidRDefault="00D606DF" w:rsidP="00EB27EC">
      <w:pPr>
        <w:widowControl/>
        <w:tabs>
          <w:tab w:val="num" w:pos="1080"/>
        </w:tabs>
        <w:adjustRightInd/>
        <w:ind w:firstLine="709"/>
        <w:jc w:val="both"/>
        <w:rPr>
          <w:bCs/>
          <w:sz w:val="20"/>
          <w:szCs w:val="20"/>
        </w:rPr>
      </w:pPr>
    </w:p>
    <w:p w:rsidR="00D606DF" w:rsidRDefault="00D606DF" w:rsidP="00B144EE">
      <w:pPr>
        <w:widowControl/>
        <w:tabs>
          <w:tab w:val="num" w:pos="1080"/>
        </w:tabs>
        <w:adjustRightInd/>
        <w:ind w:left="-900" w:firstLine="709"/>
        <w:jc w:val="both"/>
        <w:rPr>
          <w:bCs/>
          <w:sz w:val="20"/>
          <w:szCs w:val="20"/>
        </w:rPr>
      </w:pPr>
    </w:p>
    <w:p w:rsidR="00EB27EC" w:rsidRDefault="00EB27EC" w:rsidP="00EB27EC">
      <w:pPr>
        <w:widowControl/>
        <w:tabs>
          <w:tab w:val="num" w:pos="1080"/>
        </w:tabs>
        <w:adjustRightInd/>
        <w:jc w:val="both"/>
        <w:rPr>
          <w:bCs/>
          <w:sz w:val="20"/>
          <w:szCs w:val="20"/>
        </w:rPr>
        <w:sectPr w:rsidR="00EB27EC" w:rsidSect="00EB27EC">
          <w:headerReference w:type="default" r:id="rId12"/>
          <w:footerReference w:type="default" r:id="rId13"/>
          <w:footnotePr>
            <w:numFmt w:val="chicago"/>
          </w:footnotePr>
          <w:pgSz w:w="16838" w:h="11906" w:orient="landscape"/>
          <w:pgMar w:top="1418" w:right="1418" w:bottom="1276" w:left="851" w:header="510" w:footer="567" w:gutter="0"/>
          <w:cols w:space="708"/>
          <w:docGrid w:linePitch="360"/>
        </w:sectPr>
      </w:pPr>
      <w:r>
        <w:rPr>
          <w:bCs/>
          <w:sz w:val="20"/>
          <w:szCs w:val="20"/>
        </w:rPr>
        <w:br w:type="page"/>
      </w:r>
    </w:p>
    <w:p w:rsidR="004B44F8" w:rsidRPr="004B44F8" w:rsidRDefault="004B44F8" w:rsidP="00EB27EC">
      <w:pPr>
        <w:widowControl/>
        <w:tabs>
          <w:tab w:val="num" w:pos="1080"/>
        </w:tabs>
        <w:adjustRightInd/>
        <w:jc w:val="both"/>
        <w:rPr>
          <w:bCs/>
          <w:sz w:val="20"/>
          <w:szCs w:val="20"/>
        </w:rPr>
      </w:pPr>
    </w:p>
    <w:p w:rsidR="004B44F8" w:rsidRPr="004B44F8" w:rsidRDefault="004B44F8" w:rsidP="004B44F8">
      <w:pPr>
        <w:widowControl/>
        <w:tabs>
          <w:tab w:val="num" w:pos="1080"/>
        </w:tabs>
        <w:adjustRightInd/>
        <w:jc w:val="right"/>
        <w:rPr>
          <w:bCs/>
          <w:sz w:val="20"/>
          <w:szCs w:val="20"/>
        </w:rPr>
      </w:pPr>
    </w:p>
    <w:tbl>
      <w:tblPr>
        <w:tblStyle w:val="Mriekatabuky"/>
        <w:tblW w:w="0" w:type="auto"/>
        <w:tblLook w:val="04A0" w:firstRow="1" w:lastRow="0" w:firstColumn="1" w:lastColumn="0" w:noHBand="0" w:noVBand="1"/>
      </w:tblPr>
      <w:tblGrid>
        <w:gridCol w:w="9212"/>
      </w:tblGrid>
      <w:tr w:rsidR="009B2D06" w:rsidRPr="00F04CCD" w:rsidTr="009B2D06">
        <w:trPr>
          <w:trHeight w:val="567"/>
        </w:trPr>
        <w:tc>
          <w:tcPr>
            <w:tcW w:w="9212" w:type="dxa"/>
            <w:shd w:val="clear" w:color="auto" w:fill="D9D9D9"/>
          </w:tcPr>
          <w:p w:rsidR="009B2D06" w:rsidRPr="00042C66" w:rsidRDefault="00B144EE" w:rsidP="00584C47">
            <w:pPr>
              <w:jc w:val="center"/>
              <w:rPr>
                <w:b/>
                <w:sz w:val="24"/>
                <w:lang w:eastAsia="en-US"/>
              </w:rPr>
            </w:pPr>
            <w:r>
              <w:rPr>
                <w:bCs/>
                <w:sz w:val="20"/>
                <w:szCs w:val="20"/>
                <w:lang w:eastAsia="en-US"/>
              </w:rPr>
              <w:br w:type="page"/>
            </w:r>
            <w:r w:rsidR="009B2D06" w:rsidRPr="008A1252">
              <w:rPr>
                <w:b/>
                <w:sz w:val="28"/>
                <w:lang w:eastAsia="en-US"/>
              </w:rPr>
              <w:t xml:space="preserve">Analýza </w:t>
            </w:r>
            <w:r w:rsidR="009B2D06">
              <w:rPr>
                <w:b/>
                <w:sz w:val="28"/>
                <w:lang w:eastAsia="en-US"/>
              </w:rPr>
              <w:t>v</w:t>
            </w:r>
            <w:r w:rsidR="009B2D06" w:rsidRPr="00042C66">
              <w:rPr>
                <w:b/>
                <w:sz w:val="28"/>
                <w:lang w:eastAsia="en-US"/>
              </w:rPr>
              <w:t>plyv</w:t>
            </w:r>
            <w:r w:rsidR="009B2D06">
              <w:rPr>
                <w:b/>
                <w:sz w:val="28"/>
                <w:lang w:eastAsia="en-US"/>
              </w:rPr>
              <w:t>ov</w:t>
            </w:r>
            <w:r w:rsidR="009B2D06" w:rsidRPr="00042C66">
              <w:rPr>
                <w:b/>
                <w:sz w:val="28"/>
                <w:lang w:eastAsia="en-US"/>
              </w:rPr>
              <w:t xml:space="preserve"> na podnikateľské prostredie </w:t>
            </w:r>
          </w:p>
          <w:p w:rsidR="009B2D06" w:rsidRPr="00F04CCD" w:rsidRDefault="009B2D06" w:rsidP="00584C47">
            <w:pPr>
              <w:jc w:val="center"/>
              <w:rPr>
                <w:b/>
                <w:lang w:eastAsia="en-US"/>
              </w:rPr>
            </w:pPr>
            <w:r w:rsidRPr="00042C66">
              <w:rPr>
                <w:b/>
                <w:sz w:val="24"/>
                <w:lang w:eastAsia="en-US"/>
              </w:rPr>
              <w:t xml:space="preserve">(vrátane </w:t>
            </w:r>
            <w:r>
              <w:rPr>
                <w:b/>
                <w:sz w:val="24"/>
                <w:lang w:eastAsia="en-US"/>
              </w:rPr>
              <w:t xml:space="preserve">testu </w:t>
            </w:r>
            <w:r w:rsidRPr="00042C66">
              <w:rPr>
                <w:b/>
                <w:sz w:val="24"/>
                <w:lang w:eastAsia="en-US"/>
              </w:rPr>
              <w:t>MSP)</w:t>
            </w:r>
          </w:p>
        </w:tc>
      </w:tr>
      <w:tr w:rsidR="009B2D06" w:rsidRPr="00F04CCD" w:rsidTr="009B2D06">
        <w:trPr>
          <w:trHeight w:val="567"/>
        </w:trPr>
        <w:tc>
          <w:tcPr>
            <w:tcW w:w="9212" w:type="dxa"/>
            <w:shd w:val="clear" w:color="auto" w:fill="D9D9D9"/>
          </w:tcPr>
          <w:p w:rsidR="009B2D06" w:rsidRPr="00042C66" w:rsidRDefault="009B2D06" w:rsidP="00584C47">
            <w:pPr>
              <w:rPr>
                <w:b/>
                <w:sz w:val="24"/>
                <w:lang w:eastAsia="en-US"/>
              </w:rPr>
            </w:pPr>
            <w:r w:rsidRPr="00042C66">
              <w:rPr>
                <w:b/>
                <w:sz w:val="24"/>
                <w:lang w:eastAsia="en-US"/>
              </w:rPr>
              <w:t>Materiál bude mať vplyv s ohľadom na veľkostnú kategóriu podnikov:</w:t>
            </w:r>
          </w:p>
        </w:tc>
      </w:tr>
      <w:tr w:rsidR="009B2D06" w:rsidRPr="00F04CCD" w:rsidTr="00584C47">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B2D06" w:rsidRPr="00C8056F" w:rsidTr="00584C47">
              <w:tc>
                <w:tcPr>
                  <w:tcW w:w="436" w:type="dxa"/>
                  <w:tcBorders>
                    <w:top w:val="nil"/>
                    <w:left w:val="nil"/>
                    <w:bottom w:val="nil"/>
                    <w:right w:val="nil"/>
                  </w:tcBorders>
                </w:tcPr>
                <w:p w:rsidR="009B2D06" w:rsidRPr="00C8056F" w:rsidRDefault="009B2D06"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8545" w:type="dxa"/>
                  <w:tcBorders>
                    <w:top w:val="nil"/>
                    <w:left w:val="nil"/>
                    <w:bottom w:val="nil"/>
                    <w:right w:val="nil"/>
                  </w:tcBorders>
                </w:tcPr>
                <w:p w:rsidR="009B2D06" w:rsidRPr="00C8056F" w:rsidRDefault="009B2D06" w:rsidP="00584C47">
                  <w:pPr>
                    <w:rPr>
                      <w:b/>
                      <w:sz w:val="20"/>
                      <w:szCs w:val="20"/>
                      <w:lang w:eastAsia="en-US"/>
                    </w:rPr>
                  </w:pPr>
                  <w:r w:rsidRPr="00C8056F">
                    <w:rPr>
                      <w:b/>
                      <w:sz w:val="20"/>
                      <w:szCs w:val="20"/>
                      <w:lang w:eastAsia="en-US"/>
                    </w:rPr>
                    <w:t xml:space="preserve">iba na MSP (0 - 249 zamestnancov) </w:t>
                  </w:r>
                </w:p>
              </w:tc>
            </w:tr>
            <w:tr w:rsidR="009B2D06" w:rsidRPr="00C8056F" w:rsidTr="00584C47">
              <w:tc>
                <w:tcPr>
                  <w:tcW w:w="436" w:type="dxa"/>
                  <w:tcBorders>
                    <w:top w:val="nil"/>
                    <w:left w:val="nil"/>
                    <w:bottom w:val="nil"/>
                    <w:right w:val="nil"/>
                  </w:tcBorders>
                </w:tcPr>
                <w:p w:rsidR="009B2D06" w:rsidRPr="00C8056F" w:rsidRDefault="009B2D06" w:rsidP="00584C47">
                  <w:pPr>
                    <w:jc w:val="center"/>
                    <w:rPr>
                      <w:sz w:val="20"/>
                      <w:szCs w:val="20"/>
                      <w:lang w:eastAsia="en-US"/>
                    </w:rPr>
                  </w:pPr>
                  <w:r w:rsidRPr="00C8056F">
                    <w:rPr>
                      <w:rFonts w:ascii="Segoe UI Symbol" w:eastAsia="MS Mincho" w:hAnsi="Segoe UI Symbol" w:cs="Segoe UI Symbol"/>
                      <w:sz w:val="20"/>
                      <w:szCs w:val="20"/>
                      <w:lang w:eastAsia="en-US"/>
                    </w:rPr>
                    <w:t>☐</w:t>
                  </w:r>
                </w:p>
              </w:tc>
              <w:tc>
                <w:tcPr>
                  <w:tcW w:w="8545" w:type="dxa"/>
                  <w:tcBorders>
                    <w:top w:val="nil"/>
                    <w:left w:val="nil"/>
                    <w:bottom w:val="nil"/>
                    <w:right w:val="nil"/>
                  </w:tcBorders>
                </w:tcPr>
                <w:p w:rsidR="009B2D06" w:rsidRPr="00C8056F" w:rsidRDefault="009B2D06" w:rsidP="00584C47">
                  <w:pPr>
                    <w:rPr>
                      <w:b/>
                      <w:sz w:val="20"/>
                      <w:szCs w:val="20"/>
                      <w:lang w:eastAsia="en-US"/>
                    </w:rPr>
                  </w:pPr>
                  <w:r w:rsidRPr="00C8056F">
                    <w:rPr>
                      <w:b/>
                      <w:sz w:val="20"/>
                      <w:szCs w:val="20"/>
                      <w:lang w:eastAsia="en-US"/>
                    </w:rPr>
                    <w:t>iba na veľké podniky (250 a viac zamestnancov)</w:t>
                  </w:r>
                </w:p>
              </w:tc>
            </w:tr>
            <w:tr w:rsidR="009B2D06" w:rsidRPr="00C8056F" w:rsidTr="00584C47">
              <w:tc>
                <w:tcPr>
                  <w:tcW w:w="436" w:type="dxa"/>
                  <w:tcBorders>
                    <w:top w:val="nil"/>
                    <w:left w:val="nil"/>
                    <w:bottom w:val="nil"/>
                    <w:right w:val="nil"/>
                  </w:tcBorders>
                </w:tcPr>
                <w:p w:rsidR="009B2D06" w:rsidRPr="00C8056F" w:rsidRDefault="009B2D06" w:rsidP="00584C47">
                  <w:pPr>
                    <w:jc w:val="center"/>
                    <w:rPr>
                      <w:sz w:val="20"/>
                      <w:szCs w:val="20"/>
                      <w:lang w:eastAsia="en-US"/>
                    </w:rPr>
                  </w:pPr>
                  <w:r w:rsidRPr="00C8056F">
                    <w:rPr>
                      <w:rFonts w:ascii="MS Gothic" w:eastAsia="MS Gothic" w:hAnsi="MS Gothic" w:hint="eastAsia"/>
                      <w:b/>
                      <w:sz w:val="20"/>
                      <w:szCs w:val="20"/>
                      <w:lang w:eastAsia="en-US"/>
                    </w:rPr>
                    <w:t>☒</w:t>
                  </w:r>
                </w:p>
              </w:tc>
              <w:tc>
                <w:tcPr>
                  <w:tcW w:w="8545" w:type="dxa"/>
                  <w:tcBorders>
                    <w:top w:val="nil"/>
                    <w:left w:val="nil"/>
                    <w:bottom w:val="nil"/>
                    <w:right w:val="nil"/>
                  </w:tcBorders>
                </w:tcPr>
                <w:p w:rsidR="009B2D06" w:rsidRPr="00C8056F" w:rsidRDefault="009B2D06" w:rsidP="00584C47">
                  <w:pPr>
                    <w:rPr>
                      <w:sz w:val="20"/>
                      <w:szCs w:val="20"/>
                      <w:lang w:eastAsia="en-US"/>
                    </w:rPr>
                  </w:pPr>
                  <w:r w:rsidRPr="00C8056F">
                    <w:rPr>
                      <w:b/>
                      <w:sz w:val="20"/>
                      <w:szCs w:val="20"/>
                      <w:lang w:eastAsia="en-US"/>
                    </w:rPr>
                    <w:t>na všetky kategórie podnikov</w:t>
                  </w:r>
                </w:p>
              </w:tc>
            </w:tr>
          </w:tbl>
          <w:p w:rsidR="009B2D06" w:rsidRPr="00F04CCD" w:rsidRDefault="009B2D06" w:rsidP="00584C47">
            <w:pPr>
              <w:rPr>
                <w:b/>
                <w:lang w:eastAsia="en-US"/>
              </w:rPr>
            </w:pPr>
          </w:p>
        </w:tc>
      </w:tr>
      <w:tr w:rsidR="009B2D06" w:rsidRPr="00F04CCD" w:rsidTr="009B2D06">
        <w:tc>
          <w:tcPr>
            <w:tcW w:w="9212" w:type="dxa"/>
            <w:shd w:val="clear" w:color="auto" w:fill="D9D9D9"/>
          </w:tcPr>
          <w:p w:rsidR="009B2D06" w:rsidRPr="00042C66" w:rsidRDefault="009B2D06" w:rsidP="00584C47">
            <w:pPr>
              <w:rPr>
                <w:b/>
                <w:sz w:val="24"/>
                <w:lang w:eastAsia="en-US"/>
              </w:rPr>
            </w:pPr>
            <w:r>
              <w:rPr>
                <w:b/>
                <w:sz w:val="24"/>
                <w:lang w:eastAsia="en-US"/>
              </w:rPr>
              <w:t>3</w:t>
            </w:r>
            <w:r w:rsidRPr="00042C66">
              <w:rPr>
                <w:b/>
                <w:sz w:val="24"/>
                <w:lang w:eastAsia="en-US"/>
              </w:rPr>
              <w:t>.1 Dotknuté podnikateľské subjekty</w:t>
            </w:r>
          </w:p>
          <w:p w:rsidR="009B2D06" w:rsidRPr="00F04CCD" w:rsidRDefault="009B2D06" w:rsidP="00584C47">
            <w:pPr>
              <w:ind w:left="284"/>
              <w:rPr>
                <w:b/>
                <w:lang w:eastAsia="en-US"/>
              </w:rPr>
            </w:pPr>
            <w:r w:rsidRPr="00042C66">
              <w:rPr>
                <w:sz w:val="24"/>
                <w:lang w:eastAsia="en-US"/>
              </w:rPr>
              <w:t xml:space="preserve"> - </w:t>
            </w:r>
            <w:r w:rsidRPr="00042C66">
              <w:rPr>
                <w:b/>
                <w:sz w:val="24"/>
                <w:lang w:eastAsia="en-US"/>
              </w:rPr>
              <w:t>z toho MSP</w:t>
            </w:r>
          </w:p>
        </w:tc>
      </w:tr>
      <w:tr w:rsidR="009B2D06" w:rsidRPr="00F04CCD" w:rsidTr="00584C47">
        <w:tc>
          <w:tcPr>
            <w:tcW w:w="9212" w:type="dxa"/>
          </w:tcPr>
          <w:p w:rsidR="009B2D06" w:rsidRPr="00C8056F" w:rsidRDefault="009B2D06" w:rsidP="00584C47">
            <w:pPr>
              <w:rPr>
                <w:i/>
                <w:sz w:val="20"/>
                <w:szCs w:val="20"/>
                <w:lang w:eastAsia="en-US"/>
              </w:rPr>
            </w:pPr>
            <w:r w:rsidRPr="00C8056F">
              <w:rPr>
                <w:i/>
                <w:sz w:val="20"/>
                <w:szCs w:val="20"/>
                <w:lang w:eastAsia="en-US"/>
              </w:rPr>
              <w:t>Uveďte, aké podnikateľské subjekty budú predkladaným návrhom ovplyvnené.</w:t>
            </w:r>
          </w:p>
          <w:p w:rsidR="009B2D06" w:rsidRPr="00F04CCD" w:rsidRDefault="009B2D06" w:rsidP="00584C47">
            <w:pPr>
              <w:rPr>
                <w:i/>
                <w:lang w:eastAsia="en-US"/>
              </w:rPr>
            </w:pPr>
            <w:r w:rsidRPr="00C8056F">
              <w:rPr>
                <w:i/>
                <w:sz w:val="20"/>
                <w:szCs w:val="20"/>
                <w:lang w:eastAsia="en-US"/>
              </w:rPr>
              <w:t>Aký je ich počet?</w:t>
            </w:r>
          </w:p>
        </w:tc>
      </w:tr>
      <w:tr w:rsidR="009B2D06" w:rsidRPr="00F04CCD" w:rsidTr="00C8056F">
        <w:trPr>
          <w:trHeight w:val="978"/>
        </w:trPr>
        <w:tc>
          <w:tcPr>
            <w:tcW w:w="9212" w:type="dxa"/>
          </w:tcPr>
          <w:p w:rsidR="009B2D06" w:rsidRPr="00C8056F" w:rsidRDefault="009B2D06" w:rsidP="00584C47">
            <w:pPr>
              <w:jc w:val="both"/>
              <w:rPr>
                <w:sz w:val="20"/>
                <w:szCs w:val="20"/>
                <w:lang w:eastAsia="en-US"/>
              </w:rPr>
            </w:pPr>
            <w:r w:rsidRPr="00C8056F">
              <w:rPr>
                <w:sz w:val="20"/>
                <w:szCs w:val="20"/>
                <w:lang w:eastAsia="en-US"/>
              </w:rPr>
              <w:t xml:space="preserve">Vytvorením podmienok pre podporu rozširovania a zveľaďovania bytového fondu sa vytvárajú následne podmienky pre všetky kategórie podnikov pre rozvoj  aktivít v rámci obstarávania ubytovacích domov, výstavby a obnovy zariadení sociálnych služieb a obstarávania nájomných bytov.  </w:t>
            </w:r>
          </w:p>
          <w:p w:rsidR="009B2D06" w:rsidRPr="000E6A9A" w:rsidRDefault="009B2D06" w:rsidP="00584C47">
            <w:pPr>
              <w:jc w:val="both"/>
              <w:rPr>
                <w:lang w:eastAsia="en-US"/>
              </w:rPr>
            </w:pPr>
            <w:r w:rsidRPr="00C8056F">
              <w:rPr>
                <w:sz w:val="20"/>
                <w:szCs w:val="20"/>
                <w:lang w:eastAsia="en-US"/>
              </w:rPr>
              <w:t>MSP sa vytvárajú možnosti  predovšetkým v oblasti projektovej prípravy stavieb.</w:t>
            </w:r>
            <w:r>
              <w:rPr>
                <w:lang w:eastAsia="en-US"/>
              </w:rPr>
              <w:t xml:space="preserve"> </w:t>
            </w:r>
          </w:p>
        </w:tc>
      </w:tr>
      <w:tr w:rsidR="009B2D06" w:rsidRPr="00F04CCD" w:rsidTr="009B2D06">
        <w:trPr>
          <w:trHeight w:val="339"/>
        </w:trPr>
        <w:tc>
          <w:tcPr>
            <w:tcW w:w="9212" w:type="dxa"/>
            <w:shd w:val="clear" w:color="auto" w:fill="D9D9D9"/>
          </w:tcPr>
          <w:p w:rsidR="009B2D06" w:rsidRPr="00042C66" w:rsidRDefault="009B2D06" w:rsidP="00584C47">
            <w:pPr>
              <w:rPr>
                <w:b/>
                <w:sz w:val="24"/>
                <w:lang w:eastAsia="en-US"/>
              </w:rPr>
            </w:pPr>
            <w:r>
              <w:rPr>
                <w:b/>
                <w:sz w:val="24"/>
                <w:lang w:eastAsia="en-US"/>
              </w:rPr>
              <w:t>3</w:t>
            </w:r>
            <w:r w:rsidRPr="00042C66">
              <w:rPr>
                <w:b/>
                <w:sz w:val="24"/>
                <w:lang w:eastAsia="en-US"/>
              </w:rPr>
              <w:t>.2 Vyhodnotenie konzultácií</w:t>
            </w:r>
          </w:p>
          <w:p w:rsidR="009B2D06" w:rsidRPr="00F04CCD" w:rsidRDefault="009B2D06" w:rsidP="00584C47">
            <w:pPr>
              <w:rPr>
                <w:b/>
                <w:lang w:eastAsia="en-US"/>
              </w:rPr>
            </w:pPr>
            <w:r w:rsidRPr="00042C66">
              <w:rPr>
                <w:sz w:val="24"/>
                <w:lang w:eastAsia="en-US"/>
              </w:rPr>
              <w:t xml:space="preserve">       - </w:t>
            </w:r>
            <w:r w:rsidRPr="00042C66">
              <w:rPr>
                <w:b/>
                <w:sz w:val="24"/>
                <w:lang w:eastAsia="en-US"/>
              </w:rPr>
              <w:t>z toho MSP</w:t>
            </w:r>
          </w:p>
        </w:tc>
      </w:tr>
      <w:tr w:rsidR="009B2D06" w:rsidRPr="00F04CCD" w:rsidTr="00584C47">
        <w:trPr>
          <w:trHeight w:val="557"/>
        </w:trPr>
        <w:tc>
          <w:tcPr>
            <w:tcW w:w="9212" w:type="dxa"/>
          </w:tcPr>
          <w:p w:rsidR="009B2D06" w:rsidRPr="00C8056F" w:rsidRDefault="009B2D06" w:rsidP="00584C47">
            <w:pPr>
              <w:rPr>
                <w:i/>
                <w:sz w:val="20"/>
                <w:szCs w:val="20"/>
                <w:lang w:eastAsia="en-US"/>
              </w:rPr>
            </w:pPr>
            <w:r w:rsidRPr="00C8056F">
              <w:rPr>
                <w:i/>
                <w:sz w:val="20"/>
                <w:szCs w:val="20"/>
                <w:lang w:eastAsia="en-US"/>
              </w:rPr>
              <w:t>Uveďte, akou formou (verejné alebo cielené konzultácie a prečo) a s kým bol návrh konzultovaný.</w:t>
            </w:r>
          </w:p>
          <w:p w:rsidR="009B2D06" w:rsidRPr="00C8056F" w:rsidRDefault="009B2D06" w:rsidP="00584C47">
            <w:pPr>
              <w:rPr>
                <w:i/>
                <w:sz w:val="20"/>
                <w:szCs w:val="20"/>
                <w:lang w:eastAsia="en-US"/>
              </w:rPr>
            </w:pPr>
            <w:r w:rsidRPr="00C8056F">
              <w:rPr>
                <w:i/>
                <w:sz w:val="20"/>
                <w:szCs w:val="20"/>
                <w:lang w:eastAsia="en-US"/>
              </w:rPr>
              <w:t>Ako dlho trvali konzultácie?</w:t>
            </w:r>
          </w:p>
          <w:p w:rsidR="009B2D06" w:rsidRPr="000D2622" w:rsidRDefault="009B2D06" w:rsidP="00584C47">
            <w:pPr>
              <w:rPr>
                <w:i/>
                <w:lang w:eastAsia="en-US"/>
              </w:rPr>
            </w:pPr>
            <w:r w:rsidRPr="00C8056F">
              <w:rPr>
                <w:i/>
                <w:sz w:val="20"/>
                <w:szCs w:val="20"/>
                <w:lang w:eastAsia="en-US"/>
              </w:rPr>
              <w:t>Uveďte hlavné body konzultácií a výsledky konzultácií.</w:t>
            </w:r>
            <w:r w:rsidRPr="00F04CCD">
              <w:rPr>
                <w:i/>
                <w:lang w:eastAsia="en-US"/>
              </w:rPr>
              <w:t xml:space="preserve"> </w:t>
            </w:r>
          </w:p>
        </w:tc>
      </w:tr>
      <w:tr w:rsidR="009B2D06" w:rsidRPr="00F04CCD" w:rsidTr="00C8056F">
        <w:trPr>
          <w:trHeight w:val="629"/>
        </w:trPr>
        <w:tc>
          <w:tcPr>
            <w:tcW w:w="9212" w:type="dxa"/>
          </w:tcPr>
          <w:p w:rsidR="009B2D06" w:rsidRPr="00C8056F" w:rsidRDefault="009B2D06" w:rsidP="00584C47">
            <w:pPr>
              <w:jc w:val="both"/>
              <w:rPr>
                <w:sz w:val="20"/>
                <w:szCs w:val="20"/>
                <w:lang w:eastAsia="en-US"/>
              </w:rPr>
            </w:pPr>
            <w:r w:rsidRPr="00C8056F">
              <w:rPr>
                <w:sz w:val="20"/>
                <w:szCs w:val="20"/>
                <w:lang w:eastAsia="en-US"/>
              </w:rPr>
              <w:t>K návrhu sa uskutočnilo niekoľko rokovaní so zástupcami KLUB-u 500 ako aj so zástupcami spoločnosti Volkswagen Slovakia, a.s. a ich návrhy sú premietnuté v predkladanom materiáli.</w:t>
            </w:r>
          </w:p>
        </w:tc>
      </w:tr>
      <w:tr w:rsidR="009B2D06" w:rsidRPr="00F04CCD" w:rsidTr="009B2D06">
        <w:tc>
          <w:tcPr>
            <w:tcW w:w="9212" w:type="dxa"/>
            <w:shd w:val="clear" w:color="auto" w:fill="D9D9D9"/>
          </w:tcPr>
          <w:p w:rsidR="009B2D06" w:rsidRPr="00C8056F" w:rsidRDefault="009B2D06" w:rsidP="00584C47">
            <w:pPr>
              <w:rPr>
                <w:b/>
                <w:sz w:val="20"/>
                <w:szCs w:val="20"/>
                <w:lang w:eastAsia="en-US"/>
              </w:rPr>
            </w:pPr>
            <w:r w:rsidRPr="00C8056F">
              <w:rPr>
                <w:b/>
                <w:sz w:val="20"/>
                <w:szCs w:val="20"/>
                <w:lang w:eastAsia="en-US"/>
              </w:rPr>
              <w:t>3.3 Náklady regulácie</w:t>
            </w:r>
          </w:p>
          <w:p w:rsidR="009B2D06" w:rsidRPr="00C8056F" w:rsidRDefault="009B2D06" w:rsidP="00584C47">
            <w:pPr>
              <w:rPr>
                <w:b/>
                <w:sz w:val="20"/>
                <w:szCs w:val="20"/>
                <w:lang w:eastAsia="en-US"/>
              </w:rPr>
            </w:pPr>
            <w:r w:rsidRPr="00C8056F">
              <w:rPr>
                <w:sz w:val="20"/>
                <w:szCs w:val="20"/>
                <w:lang w:eastAsia="en-US"/>
              </w:rPr>
              <w:t xml:space="preserve">      - </w:t>
            </w:r>
            <w:r w:rsidRPr="00C8056F">
              <w:rPr>
                <w:b/>
                <w:sz w:val="20"/>
                <w:szCs w:val="20"/>
                <w:lang w:eastAsia="en-US"/>
              </w:rPr>
              <w:t>z toho MSP</w:t>
            </w:r>
          </w:p>
        </w:tc>
      </w:tr>
      <w:tr w:rsidR="009B2D06" w:rsidRPr="00F04CCD" w:rsidTr="00584C47">
        <w:tc>
          <w:tcPr>
            <w:tcW w:w="9212" w:type="dxa"/>
          </w:tcPr>
          <w:p w:rsidR="009B2D06" w:rsidRPr="00F04CCD" w:rsidRDefault="009B2D06" w:rsidP="00584C47">
            <w:pPr>
              <w:rPr>
                <w:b/>
                <w:i/>
                <w:lang w:eastAsia="en-US"/>
              </w:rPr>
            </w:pPr>
            <w:r>
              <w:rPr>
                <w:b/>
                <w:i/>
                <w:lang w:eastAsia="en-US"/>
              </w:rPr>
              <w:t>3</w:t>
            </w:r>
            <w:r w:rsidRPr="00F04CCD">
              <w:rPr>
                <w:b/>
                <w:i/>
                <w:lang w:eastAsia="en-US"/>
              </w:rPr>
              <w:t>.3.1 Priame finančné náklady</w:t>
            </w:r>
          </w:p>
          <w:p w:rsidR="009B2D06" w:rsidRPr="00C8056F" w:rsidRDefault="009B2D06" w:rsidP="00584C47">
            <w:pPr>
              <w:rPr>
                <w:i/>
                <w:sz w:val="20"/>
                <w:szCs w:val="20"/>
                <w:lang w:eastAsia="en-US"/>
              </w:rPr>
            </w:pPr>
            <w:r w:rsidRPr="00C8056F">
              <w:rPr>
                <w:i/>
                <w:sz w:val="20"/>
                <w:szCs w:val="20"/>
                <w:lang w:eastAsia="en-US"/>
              </w:rPr>
              <w:t xml:space="preserve">Dochádza k zvýšeniu/zníženiu priamych finančných nákladov (poplatky, odvody, dane clá...)? Ak áno, popíšte a vyčíslite ich. Uveďte tiež spôsob ich výpočtu. </w:t>
            </w:r>
          </w:p>
        </w:tc>
      </w:tr>
      <w:tr w:rsidR="009B2D06" w:rsidRPr="00F04CCD" w:rsidTr="00584C47">
        <w:tc>
          <w:tcPr>
            <w:tcW w:w="9212" w:type="dxa"/>
          </w:tcPr>
          <w:p w:rsidR="009B2D06" w:rsidRPr="00C8056F" w:rsidRDefault="009B2D06" w:rsidP="00C8056F">
            <w:pPr>
              <w:rPr>
                <w:sz w:val="20"/>
                <w:szCs w:val="20"/>
                <w:lang w:eastAsia="en-US"/>
              </w:rPr>
            </w:pPr>
            <w:r w:rsidRPr="00C8056F">
              <w:rPr>
                <w:sz w:val="20"/>
                <w:szCs w:val="20"/>
                <w:lang w:eastAsia="en-US"/>
              </w:rPr>
              <w:t>Nedochádza k vzniku priamych finančných nákladov.</w:t>
            </w:r>
          </w:p>
        </w:tc>
      </w:tr>
      <w:tr w:rsidR="009B2D06" w:rsidRPr="00F04CCD" w:rsidTr="00584C47">
        <w:tc>
          <w:tcPr>
            <w:tcW w:w="9212" w:type="dxa"/>
          </w:tcPr>
          <w:p w:rsidR="009B2D06" w:rsidRPr="00F04CCD" w:rsidRDefault="009B2D06" w:rsidP="00584C47">
            <w:pPr>
              <w:rPr>
                <w:b/>
                <w:i/>
                <w:lang w:eastAsia="en-US"/>
              </w:rPr>
            </w:pPr>
            <w:r>
              <w:rPr>
                <w:b/>
                <w:i/>
                <w:lang w:eastAsia="en-US"/>
              </w:rPr>
              <w:t>3</w:t>
            </w:r>
            <w:r w:rsidRPr="00F04CCD">
              <w:rPr>
                <w:b/>
                <w:i/>
                <w:lang w:eastAsia="en-US"/>
              </w:rPr>
              <w:t>.3.2 Nepriame finančné náklady</w:t>
            </w:r>
          </w:p>
          <w:p w:rsidR="009B2D06" w:rsidRPr="00C8056F" w:rsidRDefault="009B2D06" w:rsidP="00584C47">
            <w:pPr>
              <w:rPr>
                <w:i/>
                <w:sz w:val="20"/>
                <w:szCs w:val="20"/>
                <w:lang w:eastAsia="en-US"/>
              </w:rPr>
            </w:pPr>
            <w:r w:rsidRPr="00C8056F">
              <w:rPr>
                <w:i/>
                <w:sz w:val="20"/>
                <w:szCs w:val="20"/>
                <w:lang w:eastAsia="en-US"/>
              </w:rPr>
              <w:t>Vyžaduje si predkladaný návrh dodatočné náklady na nákup tovarov alebo služieb? Zvyšuje predkladaný návrh náklady súvisiace so zamestnávaním? Ak áno, popíšte a vyčíslite ich. Uveďte tiež spôsob ich výpočtu.</w:t>
            </w:r>
          </w:p>
        </w:tc>
      </w:tr>
      <w:tr w:rsidR="009B2D06" w:rsidRPr="00F04CCD" w:rsidTr="00584C47">
        <w:tc>
          <w:tcPr>
            <w:tcW w:w="9212" w:type="dxa"/>
          </w:tcPr>
          <w:p w:rsidR="009B2D06" w:rsidRPr="00C8056F" w:rsidRDefault="009B2D06" w:rsidP="00C8056F">
            <w:pPr>
              <w:rPr>
                <w:lang w:eastAsia="en-US"/>
              </w:rPr>
            </w:pPr>
            <w:r w:rsidRPr="00C8056F">
              <w:rPr>
                <w:sz w:val="20"/>
                <w:szCs w:val="20"/>
                <w:lang w:eastAsia="en-US"/>
              </w:rPr>
              <w:t>Nedochádza k vzniku nepriamych finančných nákladov</w:t>
            </w:r>
            <w:r>
              <w:rPr>
                <w:lang w:eastAsia="en-US"/>
              </w:rPr>
              <w:t>.</w:t>
            </w:r>
          </w:p>
        </w:tc>
      </w:tr>
      <w:tr w:rsidR="009B2D06" w:rsidRPr="00F04CCD" w:rsidTr="00584C47">
        <w:tc>
          <w:tcPr>
            <w:tcW w:w="9212" w:type="dxa"/>
          </w:tcPr>
          <w:p w:rsidR="009B2D06" w:rsidRPr="00F04CCD" w:rsidRDefault="009B2D06" w:rsidP="00584C47">
            <w:pPr>
              <w:rPr>
                <w:b/>
                <w:i/>
                <w:lang w:eastAsia="en-US"/>
              </w:rPr>
            </w:pPr>
            <w:r>
              <w:rPr>
                <w:b/>
                <w:i/>
                <w:lang w:eastAsia="en-US"/>
              </w:rPr>
              <w:t>3</w:t>
            </w:r>
            <w:r w:rsidRPr="00F04CCD">
              <w:rPr>
                <w:b/>
                <w:i/>
                <w:lang w:eastAsia="en-US"/>
              </w:rPr>
              <w:t>.3.3 Administratívne náklady</w:t>
            </w:r>
          </w:p>
          <w:p w:rsidR="009B2D06" w:rsidRPr="00C8056F" w:rsidRDefault="009B2D06" w:rsidP="00584C47">
            <w:pPr>
              <w:rPr>
                <w:i/>
                <w:sz w:val="20"/>
                <w:szCs w:val="20"/>
                <w:lang w:eastAsia="en-US"/>
              </w:rPr>
            </w:pPr>
            <w:r w:rsidRPr="00C8056F">
              <w:rPr>
                <w:i/>
                <w:sz w:val="20"/>
                <w:szCs w:val="20"/>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B2D06" w:rsidRPr="00F04CCD" w:rsidTr="00584C47">
        <w:tc>
          <w:tcPr>
            <w:tcW w:w="9212" w:type="dxa"/>
          </w:tcPr>
          <w:p w:rsidR="009B2D06" w:rsidRPr="00C8056F" w:rsidRDefault="009B2D06" w:rsidP="00C8056F">
            <w:pPr>
              <w:rPr>
                <w:lang w:eastAsia="en-US"/>
              </w:rPr>
            </w:pPr>
            <w:r w:rsidRPr="00C8056F">
              <w:rPr>
                <w:sz w:val="20"/>
                <w:szCs w:val="20"/>
                <w:lang w:eastAsia="en-US"/>
              </w:rPr>
              <w:t>Nedochádza k vzniku administratívnych nákladov</w:t>
            </w:r>
            <w:r>
              <w:rPr>
                <w:lang w:eastAsia="en-US"/>
              </w:rPr>
              <w:t>.</w:t>
            </w:r>
          </w:p>
        </w:tc>
      </w:tr>
      <w:tr w:rsidR="009B2D06" w:rsidRPr="00F04CCD" w:rsidTr="00584C47">
        <w:trPr>
          <w:trHeight w:val="2318"/>
        </w:trPr>
        <w:tc>
          <w:tcPr>
            <w:tcW w:w="9212" w:type="dxa"/>
          </w:tcPr>
          <w:p w:rsidR="009B2D06" w:rsidRPr="00C8056F" w:rsidRDefault="009B2D06" w:rsidP="00584C47">
            <w:pPr>
              <w:rPr>
                <w:i/>
                <w:sz w:val="20"/>
                <w:szCs w:val="20"/>
                <w:lang w:eastAsia="en-US"/>
              </w:rPr>
            </w:pPr>
            <w:r>
              <w:rPr>
                <w:b/>
                <w:i/>
                <w:lang w:eastAsia="en-US"/>
              </w:rPr>
              <w:t>3</w:t>
            </w:r>
            <w:r w:rsidRPr="00C8056F">
              <w:rPr>
                <w:b/>
                <w:i/>
                <w:sz w:val="20"/>
                <w:szCs w:val="20"/>
                <w:lang w:eastAsia="en-US"/>
              </w:rPr>
              <w:t>.3.4 Súhrnná tabuľka nákladov regulácie</w:t>
            </w:r>
          </w:p>
          <w:p w:rsidR="009B2D06" w:rsidRPr="00C8056F" w:rsidRDefault="009B2D06" w:rsidP="00584C47">
            <w:pPr>
              <w:rPr>
                <w:i/>
                <w:sz w:val="20"/>
                <w:szCs w:val="20"/>
                <w:lang w:eastAsia="en-US"/>
              </w:rPr>
            </w:pPr>
          </w:p>
          <w:tbl>
            <w:tblPr>
              <w:tblStyle w:val="Mriekatabuky"/>
              <w:tblW w:w="0" w:type="auto"/>
              <w:tblLook w:val="04A0" w:firstRow="1" w:lastRow="0" w:firstColumn="1" w:lastColumn="0" w:noHBand="0" w:noVBand="1"/>
            </w:tblPr>
            <w:tblGrid>
              <w:gridCol w:w="2993"/>
              <w:gridCol w:w="2994"/>
              <w:gridCol w:w="2994"/>
            </w:tblGrid>
            <w:tr w:rsidR="009B2D06" w:rsidRPr="00C8056F" w:rsidTr="00584C47">
              <w:tc>
                <w:tcPr>
                  <w:tcW w:w="2993"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rPr>
                      <w:i/>
                      <w:sz w:val="20"/>
                      <w:szCs w:val="20"/>
                      <w:lang w:eastAsia="en-US"/>
                    </w:rPr>
                  </w:pP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Náklady na celé podnikateľské prostredie</w:t>
                  </w:r>
                </w:p>
              </w:tc>
            </w:tr>
            <w:tr w:rsidR="009B2D06" w:rsidRPr="00C8056F" w:rsidTr="00584C47">
              <w:tc>
                <w:tcPr>
                  <w:tcW w:w="2993"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rPr>
                      <w:i/>
                      <w:sz w:val="20"/>
                      <w:szCs w:val="20"/>
                      <w:lang w:eastAsia="en-US"/>
                    </w:rPr>
                  </w:pPr>
                  <w:r w:rsidRPr="00C8056F">
                    <w:rPr>
                      <w:i/>
                      <w:sz w:val="20"/>
                      <w:szCs w:val="20"/>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r>
            <w:tr w:rsidR="009B2D06" w:rsidRPr="00C8056F" w:rsidTr="00584C47">
              <w:tc>
                <w:tcPr>
                  <w:tcW w:w="2993"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rPr>
                      <w:i/>
                      <w:sz w:val="20"/>
                      <w:szCs w:val="20"/>
                      <w:lang w:eastAsia="en-US"/>
                    </w:rPr>
                  </w:pPr>
                  <w:r w:rsidRPr="00C8056F">
                    <w:rPr>
                      <w:i/>
                      <w:sz w:val="20"/>
                      <w:szCs w:val="20"/>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r>
            <w:tr w:rsidR="009B2D06" w:rsidRPr="00C8056F" w:rsidTr="00584C47">
              <w:tc>
                <w:tcPr>
                  <w:tcW w:w="2993"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rPr>
                      <w:i/>
                      <w:sz w:val="20"/>
                      <w:szCs w:val="20"/>
                      <w:lang w:eastAsia="en-US"/>
                    </w:rPr>
                  </w:pPr>
                  <w:r w:rsidRPr="00C8056F">
                    <w:rPr>
                      <w:i/>
                      <w:sz w:val="20"/>
                      <w:szCs w:val="20"/>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i/>
                      <w:sz w:val="20"/>
                      <w:szCs w:val="20"/>
                      <w:lang w:eastAsia="en-US"/>
                    </w:rPr>
                  </w:pPr>
                  <w:r w:rsidRPr="00C8056F">
                    <w:rPr>
                      <w:i/>
                      <w:sz w:val="20"/>
                      <w:szCs w:val="20"/>
                      <w:lang w:eastAsia="en-US"/>
                    </w:rPr>
                    <w:t>0</w:t>
                  </w:r>
                </w:p>
              </w:tc>
            </w:tr>
            <w:tr w:rsidR="009B2D06" w:rsidRPr="00C8056F" w:rsidTr="00584C47">
              <w:tc>
                <w:tcPr>
                  <w:tcW w:w="2993"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rPr>
                      <w:b/>
                      <w:i/>
                      <w:sz w:val="20"/>
                      <w:szCs w:val="20"/>
                      <w:lang w:eastAsia="en-US"/>
                    </w:rPr>
                  </w:pPr>
                  <w:r w:rsidRPr="00C8056F">
                    <w:rPr>
                      <w:b/>
                      <w:i/>
                      <w:sz w:val="20"/>
                      <w:szCs w:val="20"/>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b/>
                      <w:i/>
                      <w:sz w:val="20"/>
                      <w:szCs w:val="20"/>
                      <w:lang w:eastAsia="en-US"/>
                    </w:rPr>
                  </w:pPr>
                  <w:r w:rsidRPr="00C8056F">
                    <w:rPr>
                      <w:b/>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cPr>
                <w:p w:rsidR="009B2D06" w:rsidRPr="00C8056F" w:rsidRDefault="009B2D06" w:rsidP="00584C47">
                  <w:pPr>
                    <w:jc w:val="center"/>
                    <w:rPr>
                      <w:b/>
                      <w:i/>
                      <w:sz w:val="20"/>
                      <w:szCs w:val="20"/>
                      <w:lang w:eastAsia="en-US"/>
                    </w:rPr>
                  </w:pPr>
                  <w:r w:rsidRPr="00C8056F">
                    <w:rPr>
                      <w:b/>
                      <w:i/>
                      <w:sz w:val="20"/>
                      <w:szCs w:val="20"/>
                      <w:lang w:eastAsia="en-US"/>
                    </w:rPr>
                    <w:t>0</w:t>
                  </w:r>
                </w:p>
              </w:tc>
            </w:tr>
          </w:tbl>
          <w:p w:rsidR="009B2D06" w:rsidRPr="00F04CCD" w:rsidRDefault="009B2D06" w:rsidP="00584C47">
            <w:pPr>
              <w:rPr>
                <w:i/>
                <w:lang w:eastAsia="en-US"/>
              </w:rPr>
            </w:pPr>
          </w:p>
        </w:tc>
      </w:tr>
      <w:tr w:rsidR="009B2D06" w:rsidRPr="00F04CCD" w:rsidTr="009B2D06">
        <w:tc>
          <w:tcPr>
            <w:tcW w:w="9212" w:type="dxa"/>
            <w:shd w:val="clear" w:color="auto" w:fill="D9D9D9"/>
          </w:tcPr>
          <w:p w:rsidR="009B2D06" w:rsidRPr="00042C66" w:rsidRDefault="009B2D06" w:rsidP="00584C47">
            <w:pPr>
              <w:rPr>
                <w:b/>
                <w:sz w:val="24"/>
                <w:lang w:eastAsia="en-US"/>
              </w:rPr>
            </w:pPr>
            <w:r>
              <w:rPr>
                <w:b/>
                <w:sz w:val="24"/>
                <w:lang w:eastAsia="en-US"/>
              </w:rPr>
              <w:t>3</w:t>
            </w:r>
            <w:r w:rsidRPr="00042C66">
              <w:rPr>
                <w:b/>
                <w:sz w:val="24"/>
                <w:lang w:eastAsia="en-US"/>
              </w:rPr>
              <w:t>.4 Konkurencieschopnosť a správanie sa podnikov na trhu</w:t>
            </w:r>
          </w:p>
          <w:p w:rsidR="009B2D06" w:rsidRPr="00F04CCD" w:rsidRDefault="009B2D06" w:rsidP="00584C47">
            <w:pPr>
              <w:rPr>
                <w:lang w:eastAsia="en-US"/>
              </w:rPr>
            </w:pPr>
            <w:r w:rsidRPr="00042C66">
              <w:rPr>
                <w:b/>
                <w:sz w:val="24"/>
                <w:lang w:eastAsia="en-US"/>
              </w:rPr>
              <w:t xml:space="preserve">       </w:t>
            </w:r>
            <w:r w:rsidRPr="00042C66">
              <w:rPr>
                <w:sz w:val="24"/>
                <w:lang w:eastAsia="en-US"/>
              </w:rPr>
              <w:t xml:space="preserve">- </w:t>
            </w:r>
            <w:r w:rsidRPr="00042C66">
              <w:rPr>
                <w:b/>
                <w:sz w:val="24"/>
                <w:lang w:eastAsia="en-US"/>
              </w:rPr>
              <w:t>z toho MSP</w:t>
            </w:r>
          </w:p>
        </w:tc>
      </w:tr>
      <w:tr w:rsidR="009B2D06" w:rsidRPr="00F04CCD" w:rsidTr="00584C47">
        <w:tc>
          <w:tcPr>
            <w:tcW w:w="9212" w:type="dxa"/>
          </w:tcPr>
          <w:p w:rsidR="009B2D06" w:rsidRPr="00C8056F" w:rsidRDefault="009B2D06" w:rsidP="00584C47">
            <w:pPr>
              <w:rPr>
                <w:i/>
                <w:sz w:val="20"/>
                <w:szCs w:val="20"/>
                <w:lang w:eastAsia="en-US"/>
              </w:rPr>
            </w:pPr>
            <w:r w:rsidRPr="00C8056F">
              <w:rPr>
                <w:i/>
                <w:sz w:val="20"/>
                <w:szCs w:val="20"/>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B2D06" w:rsidRPr="00C8056F" w:rsidRDefault="009B2D06" w:rsidP="00584C47">
            <w:pPr>
              <w:rPr>
                <w:i/>
                <w:sz w:val="20"/>
                <w:szCs w:val="20"/>
                <w:lang w:eastAsia="en-US"/>
              </w:rPr>
            </w:pPr>
            <w:r w:rsidRPr="00C8056F">
              <w:rPr>
                <w:i/>
                <w:sz w:val="20"/>
                <w:szCs w:val="20"/>
                <w:lang w:eastAsia="en-US"/>
              </w:rPr>
              <w:t>Aký vplyv bude mať navrhovaná zmena na obchodné bariéry? Bude mať vplyv na vyvolanie</w:t>
            </w:r>
            <w:r w:rsidRPr="00F04CCD">
              <w:rPr>
                <w:i/>
                <w:lang w:eastAsia="en-US"/>
              </w:rPr>
              <w:t xml:space="preserve"> cezhraničných </w:t>
            </w:r>
            <w:r w:rsidRPr="00C8056F">
              <w:rPr>
                <w:i/>
                <w:sz w:val="20"/>
                <w:szCs w:val="20"/>
                <w:lang w:eastAsia="en-US"/>
              </w:rPr>
              <w:t>investícií (príliv /odliv zahraničných investícií resp. uplatnenie slovenských podnikov na zahraničných trhoch)? Ak áno, popíšte.</w:t>
            </w:r>
          </w:p>
          <w:p w:rsidR="009B2D06" w:rsidRPr="00C8056F" w:rsidRDefault="009B2D06" w:rsidP="00584C47">
            <w:pPr>
              <w:rPr>
                <w:i/>
                <w:sz w:val="20"/>
                <w:szCs w:val="20"/>
                <w:lang w:eastAsia="en-US"/>
              </w:rPr>
            </w:pPr>
            <w:r w:rsidRPr="00C8056F">
              <w:rPr>
                <w:i/>
                <w:sz w:val="20"/>
                <w:szCs w:val="20"/>
                <w:lang w:eastAsia="en-US"/>
              </w:rPr>
              <w:lastRenderedPageBreak/>
              <w:t>Ako ovplyvní cenu alebo dostupnosť základných zdrojov (suroviny, mechanizmy, pracovná sila, energie atď.)?</w:t>
            </w:r>
          </w:p>
          <w:p w:rsidR="009B2D06" w:rsidRPr="00F04CCD" w:rsidRDefault="009B2D06" w:rsidP="00584C47">
            <w:pPr>
              <w:rPr>
                <w:i/>
                <w:lang w:eastAsia="en-US"/>
              </w:rPr>
            </w:pPr>
            <w:r w:rsidRPr="00C8056F">
              <w:rPr>
                <w:i/>
                <w:sz w:val="20"/>
                <w:szCs w:val="20"/>
                <w:lang w:eastAsia="en-US"/>
              </w:rPr>
              <w:t>Ovplyvňuje prístup k financiám? Ak áno, ako?</w:t>
            </w:r>
          </w:p>
        </w:tc>
      </w:tr>
      <w:tr w:rsidR="009B2D06" w:rsidRPr="00F04CCD" w:rsidTr="00C8056F">
        <w:trPr>
          <w:trHeight w:val="272"/>
        </w:trPr>
        <w:tc>
          <w:tcPr>
            <w:tcW w:w="9212" w:type="dxa"/>
          </w:tcPr>
          <w:p w:rsidR="009B2D06" w:rsidRPr="00C8056F" w:rsidRDefault="009B2D06" w:rsidP="00584C47">
            <w:pPr>
              <w:rPr>
                <w:sz w:val="20"/>
                <w:szCs w:val="20"/>
                <w:lang w:eastAsia="en-US"/>
              </w:rPr>
            </w:pPr>
            <w:r w:rsidRPr="00C8056F">
              <w:rPr>
                <w:sz w:val="20"/>
                <w:szCs w:val="20"/>
                <w:lang w:eastAsia="en-US"/>
              </w:rPr>
              <w:lastRenderedPageBreak/>
              <w:t>Nedochádza k vytvoreniu bariér pre vstup na trh pre nových dodávateľov alebo poskytovateľov služieb.</w:t>
            </w:r>
          </w:p>
        </w:tc>
      </w:tr>
      <w:tr w:rsidR="009B2D06" w:rsidRPr="00F04CCD" w:rsidTr="009B2D06">
        <w:tc>
          <w:tcPr>
            <w:tcW w:w="9212" w:type="dxa"/>
            <w:shd w:val="clear" w:color="auto" w:fill="D9D9D9"/>
          </w:tcPr>
          <w:p w:rsidR="009B2D06" w:rsidRPr="00042C66" w:rsidRDefault="009B2D06" w:rsidP="00584C47">
            <w:pPr>
              <w:rPr>
                <w:b/>
                <w:sz w:val="24"/>
                <w:lang w:eastAsia="en-US"/>
              </w:rPr>
            </w:pPr>
            <w:r>
              <w:rPr>
                <w:b/>
                <w:sz w:val="24"/>
                <w:lang w:eastAsia="en-US"/>
              </w:rPr>
              <w:t>3</w:t>
            </w:r>
            <w:r w:rsidRPr="00042C66">
              <w:rPr>
                <w:b/>
                <w:sz w:val="24"/>
                <w:lang w:eastAsia="en-US"/>
              </w:rPr>
              <w:t xml:space="preserve">.5 Inovácie </w:t>
            </w:r>
          </w:p>
          <w:p w:rsidR="009B2D06" w:rsidRPr="00F04CCD" w:rsidRDefault="009B2D06" w:rsidP="00584C47">
            <w:pPr>
              <w:rPr>
                <w:b/>
                <w:lang w:eastAsia="en-US"/>
              </w:rPr>
            </w:pPr>
            <w:r w:rsidRPr="00042C66">
              <w:rPr>
                <w:sz w:val="24"/>
                <w:lang w:eastAsia="en-US"/>
              </w:rPr>
              <w:t xml:space="preserve">       - </w:t>
            </w:r>
            <w:r w:rsidRPr="00042C66">
              <w:rPr>
                <w:b/>
                <w:sz w:val="24"/>
                <w:lang w:eastAsia="en-US"/>
              </w:rPr>
              <w:t>z toho MSP</w:t>
            </w:r>
          </w:p>
        </w:tc>
      </w:tr>
      <w:tr w:rsidR="009B2D06" w:rsidRPr="00F04CCD" w:rsidTr="00584C47">
        <w:tc>
          <w:tcPr>
            <w:tcW w:w="9212" w:type="dxa"/>
          </w:tcPr>
          <w:p w:rsidR="009B2D06" w:rsidRPr="00C8056F" w:rsidRDefault="009B2D06" w:rsidP="00584C47">
            <w:pPr>
              <w:rPr>
                <w:i/>
                <w:sz w:val="20"/>
                <w:szCs w:val="20"/>
                <w:lang w:eastAsia="en-US"/>
              </w:rPr>
            </w:pPr>
            <w:r w:rsidRPr="00C8056F">
              <w:rPr>
                <w:i/>
                <w:sz w:val="20"/>
                <w:szCs w:val="20"/>
                <w:lang w:eastAsia="en-US"/>
              </w:rPr>
              <w:t>Uveďte, ako podporuje navrhovaná zmena inovácie.</w:t>
            </w:r>
          </w:p>
          <w:p w:rsidR="009B2D06" w:rsidRPr="00C8056F" w:rsidRDefault="009B2D06" w:rsidP="00584C47">
            <w:pPr>
              <w:rPr>
                <w:i/>
                <w:sz w:val="20"/>
                <w:szCs w:val="20"/>
                <w:lang w:eastAsia="en-US"/>
              </w:rPr>
            </w:pPr>
            <w:r w:rsidRPr="00C8056F">
              <w:rPr>
                <w:i/>
                <w:sz w:val="20"/>
                <w:szCs w:val="20"/>
                <w:lang w:eastAsia="en-US"/>
              </w:rPr>
              <w:t>Zjednodušuje uvedenie alebo rozšírenie nových výrobných metód, technológií a výrobkov na trh?</w:t>
            </w:r>
          </w:p>
          <w:p w:rsidR="009B2D06" w:rsidRPr="00C8056F" w:rsidRDefault="009B2D06" w:rsidP="00584C47">
            <w:pPr>
              <w:rPr>
                <w:i/>
                <w:sz w:val="20"/>
                <w:szCs w:val="20"/>
                <w:lang w:eastAsia="en-US"/>
              </w:rPr>
            </w:pPr>
            <w:r w:rsidRPr="00C8056F">
              <w:rPr>
                <w:i/>
                <w:sz w:val="20"/>
                <w:szCs w:val="20"/>
                <w:lang w:eastAsia="en-US"/>
              </w:rPr>
              <w:t>Uveďte, ako vplýva navrhovaná zmena na jednotlivé práva duševného vlastníctva (napr. patenty, ochranné známky, autorské práva, vlastníctvo know-how).</w:t>
            </w:r>
          </w:p>
          <w:p w:rsidR="009B2D06" w:rsidRPr="00C8056F" w:rsidRDefault="009B2D06" w:rsidP="00584C47">
            <w:pPr>
              <w:rPr>
                <w:i/>
                <w:sz w:val="20"/>
                <w:szCs w:val="20"/>
                <w:lang w:eastAsia="en-US"/>
              </w:rPr>
            </w:pPr>
            <w:r w:rsidRPr="00C8056F">
              <w:rPr>
                <w:i/>
                <w:sz w:val="20"/>
                <w:szCs w:val="20"/>
                <w:lang w:eastAsia="en-US"/>
              </w:rPr>
              <w:t>Podporuje vyššiu efektivitu výroby/využívania zdrojov? Ak áno, ako?</w:t>
            </w:r>
          </w:p>
          <w:p w:rsidR="009B2D06" w:rsidRPr="00F04CCD" w:rsidRDefault="009B2D06" w:rsidP="00584C47">
            <w:pPr>
              <w:rPr>
                <w:lang w:eastAsia="en-US"/>
              </w:rPr>
            </w:pPr>
            <w:r w:rsidRPr="00C8056F">
              <w:rPr>
                <w:i/>
                <w:sz w:val="20"/>
                <w:szCs w:val="20"/>
                <w:lang w:eastAsia="en-US"/>
              </w:rPr>
              <w:t>Vytvorí zmena nové pracovné miesta pre zamestnancov výskumu a vývoja v SR?</w:t>
            </w:r>
          </w:p>
        </w:tc>
      </w:tr>
      <w:tr w:rsidR="009B2D06" w:rsidRPr="00F04CCD" w:rsidTr="00C8056F">
        <w:trPr>
          <w:trHeight w:val="163"/>
        </w:trPr>
        <w:tc>
          <w:tcPr>
            <w:tcW w:w="9212" w:type="dxa"/>
          </w:tcPr>
          <w:p w:rsidR="009B2D06" w:rsidRPr="00DF311D" w:rsidRDefault="009B2D06" w:rsidP="00584C47">
            <w:pPr>
              <w:rPr>
                <w:lang w:eastAsia="en-US"/>
              </w:rPr>
            </w:pPr>
            <w:r w:rsidRPr="00C8056F">
              <w:rPr>
                <w:sz w:val="20"/>
                <w:szCs w:val="20"/>
                <w:lang w:eastAsia="en-US"/>
              </w:rPr>
              <w:t>Neutrálne.</w:t>
            </w:r>
          </w:p>
        </w:tc>
      </w:tr>
    </w:tbl>
    <w:p w:rsidR="009B2D06" w:rsidRPr="00F04CCD" w:rsidRDefault="009B2D06" w:rsidP="009B2D06">
      <w:pPr>
        <w:spacing w:before="240"/>
        <w:jc w:val="both"/>
      </w:pPr>
    </w:p>
    <w:p w:rsidR="009B2D06" w:rsidRDefault="009B2D06"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4B44F8" w:rsidRDefault="004B44F8"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B2D06" w:rsidRDefault="009B2D06" w:rsidP="00FA3C02">
      <w:pPr>
        <w:rPr>
          <w:b/>
        </w:rPr>
      </w:pPr>
    </w:p>
    <w:p w:rsidR="009B2D06" w:rsidRDefault="009B2D06" w:rsidP="00FA3C02">
      <w:pPr>
        <w:rPr>
          <w:b/>
        </w:rPr>
      </w:pP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740"/>
        <w:gridCol w:w="12"/>
      </w:tblGrid>
      <w:tr w:rsidR="00970BC1" w:rsidRPr="00CD4982" w:rsidTr="00EB27EC">
        <w:trPr>
          <w:trHeight w:val="534"/>
          <w:jc w:val="center"/>
        </w:trPr>
        <w:tc>
          <w:tcPr>
            <w:tcW w:w="5000" w:type="pct"/>
            <w:gridSpan w:val="2"/>
            <w:shd w:val="clear" w:color="auto" w:fill="D9D9D9"/>
          </w:tcPr>
          <w:p w:rsidR="00970BC1" w:rsidRPr="00CD4982" w:rsidRDefault="00970BC1" w:rsidP="00F42949">
            <w:pPr>
              <w:ind w:left="-284" w:firstLine="284"/>
              <w:jc w:val="center"/>
              <w:rPr>
                <w:b/>
              </w:rPr>
            </w:pPr>
            <w:r>
              <w:rPr>
                <w:b/>
                <w:sz w:val="28"/>
              </w:rPr>
              <w:lastRenderedPageBreak/>
              <w:t>Analýza s</w:t>
            </w:r>
            <w:r w:rsidRPr="00CD4982">
              <w:rPr>
                <w:b/>
                <w:sz w:val="28"/>
              </w:rPr>
              <w:t>ociáln</w:t>
            </w:r>
            <w:r>
              <w:rPr>
                <w:b/>
                <w:sz w:val="28"/>
              </w:rPr>
              <w:t>ych</w:t>
            </w:r>
            <w:r w:rsidRPr="00CD4982">
              <w:rPr>
                <w:b/>
                <w:sz w:val="28"/>
              </w:rPr>
              <w:t xml:space="preserve"> vplyv</w:t>
            </w:r>
            <w:r>
              <w:rPr>
                <w:b/>
                <w:sz w:val="28"/>
              </w:rPr>
              <w:t>ov</w:t>
            </w:r>
          </w:p>
          <w:p w:rsidR="00970BC1" w:rsidRPr="00CD4982" w:rsidRDefault="00970BC1" w:rsidP="00F42949">
            <w:pPr>
              <w:jc w:val="center"/>
              <w:rPr>
                <w:b/>
              </w:rPr>
            </w:pPr>
            <w:r w:rsidRPr="00CD4982">
              <w:rPr>
                <w:b/>
              </w:rPr>
              <w:t>Vplyvy na hospodárenie domácností, prístup k zdrojom, právam, tovarom a službám, sociálnu inklúziu, rovnosť príležitostí a rodovú rovnosť a vplyvy na zamestnanosť</w:t>
            </w:r>
          </w:p>
        </w:tc>
      </w:tr>
      <w:tr w:rsidR="00970BC1" w:rsidRPr="00CD4982" w:rsidTr="00EB27EC">
        <w:trPr>
          <w:jc w:val="center"/>
        </w:trPr>
        <w:tc>
          <w:tcPr>
            <w:tcW w:w="5000" w:type="pct"/>
            <w:gridSpan w:val="2"/>
            <w:tcBorders>
              <w:bottom w:val="nil"/>
            </w:tcBorders>
            <w:shd w:val="clear" w:color="auto" w:fill="D9D9D9"/>
          </w:tcPr>
          <w:p w:rsidR="00970BC1" w:rsidRPr="0040544D" w:rsidRDefault="00970BC1" w:rsidP="00F42949">
            <w:pPr>
              <w:rPr>
                <w:b/>
              </w:rPr>
            </w:pPr>
            <w:r w:rsidRPr="00CD4982">
              <w:rPr>
                <w:b/>
              </w:rPr>
              <w:t>4.1 Identifikujte, popíšte a kvantifikujte vplyv na hospodárenie domácností a špecifikujte ovplyvnené skupiny domácností, ktoré budú pozitívne/negatívne ovplyvnené.</w:t>
            </w:r>
          </w:p>
        </w:tc>
      </w:tr>
      <w:tr w:rsidR="00970BC1" w:rsidRPr="00CD4982" w:rsidTr="00EB27EC">
        <w:trPr>
          <w:gridAfter w:val="1"/>
          <w:wAfter w:w="6" w:type="pct"/>
          <w:trHeight w:val="736"/>
          <w:jc w:val="center"/>
        </w:trPr>
        <w:tc>
          <w:tcPr>
            <w:tcW w:w="4994" w:type="pct"/>
            <w:shd w:val="clear" w:color="auto" w:fill="F2F2F2"/>
          </w:tcPr>
          <w:p w:rsidR="00970BC1" w:rsidRPr="00CD4982" w:rsidRDefault="00970BC1" w:rsidP="00F42949">
            <w:pPr>
              <w:shd w:val="clear" w:color="auto" w:fill="F2F2F2"/>
              <w:rPr>
                <w:i/>
                <w:sz w:val="20"/>
                <w:szCs w:val="20"/>
              </w:rPr>
            </w:pPr>
            <w:r w:rsidRPr="00CD4982">
              <w:rPr>
                <w:i/>
                <w:sz w:val="20"/>
                <w:szCs w:val="20"/>
              </w:rPr>
              <w:t xml:space="preserve">Vedie návrh k zvýšeniu alebo zníženiu príjmov alebo výdavkov domácností? </w:t>
            </w:r>
          </w:p>
          <w:p w:rsidR="00970BC1" w:rsidRPr="00CD4982" w:rsidRDefault="00970BC1" w:rsidP="00F42949">
            <w:pPr>
              <w:shd w:val="clear" w:color="auto" w:fill="F2F2F2"/>
              <w:rPr>
                <w:i/>
                <w:sz w:val="20"/>
                <w:szCs w:val="20"/>
              </w:rPr>
            </w:pPr>
            <w:r w:rsidRPr="00CD4982">
              <w:rPr>
                <w:i/>
                <w:sz w:val="20"/>
                <w:szCs w:val="20"/>
              </w:rPr>
              <w:t xml:space="preserve">Ktoré skupiny domácností/obyvateľstva sú takto ovplyvnené a akým spôsobom? </w:t>
            </w:r>
          </w:p>
          <w:p w:rsidR="00970BC1" w:rsidRPr="00CD4982" w:rsidRDefault="00970BC1" w:rsidP="00F42949">
            <w:pPr>
              <w:shd w:val="clear" w:color="auto" w:fill="F2F2F2"/>
              <w:rPr>
                <w:rFonts w:ascii="Calibri" w:hAnsi="Calibri"/>
                <w:i/>
                <w:sz w:val="20"/>
                <w:szCs w:val="20"/>
              </w:rPr>
            </w:pPr>
            <w:r w:rsidRPr="00CD4982">
              <w:rPr>
                <w:i/>
                <w:sz w:val="20"/>
                <w:szCs w:val="20"/>
              </w:rPr>
              <w:t>Sú medzi potenciálne ovplyvnenými skupinami skupiny v riziku chudoby alebo sociálneho vylúčenia?</w:t>
            </w:r>
          </w:p>
        </w:tc>
      </w:tr>
    </w:tbl>
    <w:p w:rsidR="00970BC1" w:rsidRDefault="00970BC1" w:rsidP="00970BC1">
      <w:pPr>
        <w:rPr>
          <w:i/>
          <w:sz w:val="20"/>
          <w:szCs w:val="20"/>
        </w:rPr>
        <w:sectPr w:rsidR="00970BC1" w:rsidSect="00B144EE">
          <w:footnotePr>
            <w:numFmt w:val="chicago"/>
          </w:footnotePr>
          <w:pgSz w:w="11906" w:h="16838"/>
          <w:pgMar w:top="1134" w:right="1418" w:bottom="1134" w:left="1418" w:header="510" w:footer="567" w:gutter="0"/>
          <w:cols w:space="708"/>
          <w:docGrid w:linePitch="360"/>
        </w:sect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963"/>
      </w:tblGrid>
      <w:tr w:rsidR="00970BC1" w:rsidRPr="00CD4982" w:rsidTr="00EB27EC">
        <w:trPr>
          <w:trHeight w:val="759"/>
          <w:jc w:val="center"/>
        </w:trPr>
        <w:tc>
          <w:tcPr>
            <w:tcW w:w="2459" w:type="pct"/>
            <w:tcBorders>
              <w:top w:val="nil"/>
              <w:bottom w:val="dotted" w:sz="4" w:space="0" w:color="auto"/>
            </w:tcBorders>
          </w:tcPr>
          <w:p w:rsidR="00970BC1" w:rsidRPr="00CD4982" w:rsidRDefault="00970BC1" w:rsidP="00F42949">
            <w:pPr>
              <w:rPr>
                <w:i/>
                <w:sz w:val="20"/>
                <w:szCs w:val="20"/>
              </w:rPr>
            </w:pPr>
            <w:r>
              <w:rPr>
                <w:i/>
                <w:sz w:val="20"/>
                <w:szCs w:val="20"/>
              </w:rPr>
              <w:t xml:space="preserve">Popíšte </w:t>
            </w:r>
            <w:r w:rsidRPr="00E538C0">
              <w:rPr>
                <w:b/>
                <w:i/>
                <w:sz w:val="20"/>
                <w:szCs w:val="20"/>
              </w:rPr>
              <w:t>pozitívny</w:t>
            </w:r>
            <w:r>
              <w:rPr>
                <w:i/>
                <w:sz w:val="20"/>
                <w:szCs w:val="20"/>
              </w:rPr>
              <w:t xml:space="preserve"> vplyv na hospodárenie domácností s uvedením, či ide o zvýšenie príjmov alebo zníženie výdavkov:</w:t>
            </w:r>
          </w:p>
        </w:tc>
        <w:tc>
          <w:tcPr>
            <w:tcW w:w="2541" w:type="pct"/>
            <w:tcBorders>
              <w:top w:val="nil"/>
              <w:bottom w:val="dotted" w:sz="4" w:space="0" w:color="auto"/>
            </w:tcBorders>
          </w:tcPr>
          <w:p w:rsidR="00970BC1" w:rsidRPr="008556A1" w:rsidRDefault="00970BC1" w:rsidP="00F42949">
            <w:pPr>
              <w:jc w:val="both"/>
              <w:rPr>
                <w:sz w:val="20"/>
                <w:szCs w:val="20"/>
              </w:rPr>
            </w:pPr>
            <w:r w:rsidRPr="008556A1">
              <w:rPr>
                <w:sz w:val="20"/>
                <w:szCs w:val="20"/>
              </w:rPr>
              <w:t xml:space="preserve">Domácnosti </w:t>
            </w:r>
            <w:r>
              <w:rPr>
                <w:sz w:val="20"/>
                <w:szCs w:val="20"/>
              </w:rPr>
              <w:t>budú mať zabezpečené</w:t>
            </w:r>
            <w:r w:rsidRPr="008556A1">
              <w:rPr>
                <w:sz w:val="20"/>
                <w:szCs w:val="20"/>
              </w:rPr>
              <w:t xml:space="preserve"> nájomné bývanie.</w:t>
            </w:r>
          </w:p>
          <w:p w:rsidR="00970BC1" w:rsidRDefault="00970BC1" w:rsidP="00F42949">
            <w:pPr>
              <w:jc w:val="both"/>
              <w:rPr>
                <w:sz w:val="20"/>
                <w:szCs w:val="20"/>
              </w:rPr>
            </w:pPr>
            <w:r>
              <w:rPr>
                <w:sz w:val="20"/>
                <w:szCs w:val="20"/>
              </w:rPr>
              <w:t xml:space="preserve">Pracujúci budú mať zabezpečené dlhodobé ubytovanie v ubytovacích domoch. </w:t>
            </w:r>
          </w:p>
          <w:p w:rsidR="00970BC1" w:rsidRPr="008556A1" w:rsidRDefault="00970BC1" w:rsidP="00F42949">
            <w:pPr>
              <w:jc w:val="both"/>
              <w:rPr>
                <w:sz w:val="20"/>
                <w:szCs w:val="20"/>
              </w:rPr>
            </w:pPr>
            <w:r>
              <w:rPr>
                <w:sz w:val="20"/>
                <w:szCs w:val="20"/>
              </w:rPr>
              <w:t>Zvýšenie počtu lôžok v zariadeniach sociálnych služieb.</w:t>
            </w:r>
            <w:r w:rsidRPr="008556A1">
              <w:rPr>
                <w:sz w:val="20"/>
                <w:szCs w:val="20"/>
              </w:rPr>
              <w:t xml:space="preserve"> </w:t>
            </w:r>
          </w:p>
        </w:tc>
      </w:tr>
      <w:tr w:rsidR="00970BC1" w:rsidRPr="00CD4982" w:rsidTr="00EB27EC">
        <w:trPr>
          <w:trHeight w:val="624"/>
          <w:jc w:val="center"/>
        </w:trPr>
        <w:tc>
          <w:tcPr>
            <w:tcW w:w="2459" w:type="pct"/>
            <w:tcBorders>
              <w:top w:val="dotted" w:sz="4" w:space="0" w:color="auto"/>
            </w:tcBorders>
          </w:tcPr>
          <w:p w:rsidR="00970BC1" w:rsidRPr="00CD4982" w:rsidRDefault="00970BC1" w:rsidP="00F42949">
            <w:pPr>
              <w:rPr>
                <w:i/>
                <w:sz w:val="20"/>
                <w:szCs w:val="20"/>
              </w:rPr>
            </w:pPr>
            <w:r>
              <w:rPr>
                <w:i/>
                <w:sz w:val="20"/>
                <w:szCs w:val="20"/>
              </w:rPr>
              <w:t xml:space="preserve">Špecifikujte </w:t>
            </w:r>
            <w:r w:rsidRPr="00E538C0">
              <w:rPr>
                <w:b/>
                <w:i/>
                <w:sz w:val="20"/>
                <w:szCs w:val="20"/>
              </w:rPr>
              <w:t>pozitívne</w:t>
            </w:r>
            <w:r>
              <w:rPr>
                <w:i/>
                <w:sz w:val="20"/>
                <w:szCs w:val="20"/>
              </w:rPr>
              <w:t xml:space="preserve"> ovplyvnené skupiny:</w:t>
            </w:r>
          </w:p>
        </w:tc>
        <w:tc>
          <w:tcPr>
            <w:tcW w:w="2541" w:type="pct"/>
            <w:tcBorders>
              <w:top w:val="dotted" w:sz="4" w:space="0" w:color="auto"/>
            </w:tcBorders>
          </w:tcPr>
          <w:p w:rsidR="00970BC1" w:rsidRDefault="00970BC1" w:rsidP="00F42949">
            <w:pPr>
              <w:rPr>
                <w:sz w:val="20"/>
                <w:szCs w:val="20"/>
              </w:rPr>
            </w:pPr>
            <w:r w:rsidRPr="008556A1">
              <w:rPr>
                <w:sz w:val="20"/>
                <w:szCs w:val="20"/>
              </w:rPr>
              <w:t xml:space="preserve">Domácnosti </w:t>
            </w:r>
            <w:r>
              <w:rPr>
                <w:sz w:val="20"/>
                <w:szCs w:val="20"/>
              </w:rPr>
              <w:t xml:space="preserve">– zabezpečenie nájomného bývania </w:t>
            </w:r>
            <w:r w:rsidRPr="008556A1">
              <w:rPr>
                <w:sz w:val="20"/>
                <w:szCs w:val="20"/>
              </w:rPr>
              <w:t>v bytových budovách</w:t>
            </w:r>
            <w:r>
              <w:rPr>
                <w:sz w:val="20"/>
                <w:szCs w:val="20"/>
              </w:rPr>
              <w:t xml:space="preserve">, </w:t>
            </w:r>
          </w:p>
          <w:p w:rsidR="00970BC1" w:rsidRDefault="00970BC1" w:rsidP="00F42949">
            <w:pPr>
              <w:rPr>
                <w:sz w:val="20"/>
                <w:szCs w:val="20"/>
              </w:rPr>
            </w:pPr>
            <w:r>
              <w:rPr>
                <w:sz w:val="20"/>
                <w:szCs w:val="20"/>
              </w:rPr>
              <w:t>Pracujúci - zabezpečenie bývania v ubytovacích domoch.</w:t>
            </w:r>
          </w:p>
          <w:p w:rsidR="00970BC1" w:rsidRPr="008556A1" w:rsidRDefault="00970BC1" w:rsidP="00F42949">
            <w:pPr>
              <w:rPr>
                <w:sz w:val="20"/>
                <w:szCs w:val="20"/>
              </w:rPr>
            </w:pPr>
            <w:r>
              <w:rPr>
                <w:sz w:val="20"/>
                <w:szCs w:val="20"/>
              </w:rPr>
              <w:t>Fyzické osoby v zariadeniach sociálnych služieb.</w:t>
            </w:r>
          </w:p>
        </w:tc>
      </w:tr>
      <w:tr w:rsidR="00970BC1" w:rsidRPr="00CD4982" w:rsidTr="00EB27EC">
        <w:trPr>
          <w:trHeight w:val="759"/>
          <w:jc w:val="center"/>
        </w:trPr>
        <w:tc>
          <w:tcPr>
            <w:tcW w:w="2459" w:type="pct"/>
            <w:tcBorders>
              <w:bottom w:val="dotted" w:sz="4" w:space="0" w:color="auto"/>
            </w:tcBorders>
          </w:tcPr>
          <w:p w:rsidR="00970BC1" w:rsidRPr="00E538C0" w:rsidRDefault="00970BC1" w:rsidP="00F42949">
            <w:pPr>
              <w:rPr>
                <w:i/>
                <w:sz w:val="20"/>
                <w:szCs w:val="20"/>
              </w:rPr>
            </w:pPr>
            <w:r>
              <w:rPr>
                <w:i/>
                <w:sz w:val="20"/>
                <w:szCs w:val="20"/>
              </w:rPr>
              <w:t xml:space="preserve">Popíšte </w:t>
            </w:r>
            <w:r>
              <w:rPr>
                <w:b/>
                <w:i/>
                <w:sz w:val="20"/>
                <w:szCs w:val="20"/>
              </w:rPr>
              <w:t xml:space="preserve">negatívny </w:t>
            </w:r>
            <w:r>
              <w:rPr>
                <w:i/>
                <w:sz w:val="20"/>
                <w:szCs w:val="20"/>
              </w:rPr>
              <w:t>vplyv na hospodárenie domácností s uvedením, či ide o zníženie príjmov alebo zvýšenie výdavkov:</w:t>
            </w:r>
          </w:p>
        </w:tc>
        <w:tc>
          <w:tcPr>
            <w:tcW w:w="2541" w:type="pct"/>
            <w:tcBorders>
              <w:bottom w:val="dotted" w:sz="4" w:space="0" w:color="auto"/>
            </w:tcBorders>
          </w:tcPr>
          <w:p w:rsidR="00970BC1" w:rsidRPr="008556A1" w:rsidRDefault="00970BC1" w:rsidP="00F42949">
            <w:pPr>
              <w:pStyle w:val="Odsekzoznamu"/>
              <w:spacing w:after="0" w:line="240" w:lineRule="auto"/>
              <w:rPr>
                <w:rFonts w:ascii="Times New Roman" w:hAnsi="Times New Roman"/>
                <w:sz w:val="20"/>
                <w:szCs w:val="20"/>
                <w:lang w:eastAsia="sk-SK"/>
              </w:rPr>
            </w:pPr>
          </w:p>
        </w:tc>
      </w:tr>
      <w:tr w:rsidR="00970BC1" w:rsidRPr="00CD4982" w:rsidTr="00EB27EC">
        <w:trPr>
          <w:trHeight w:val="624"/>
          <w:jc w:val="center"/>
        </w:trPr>
        <w:tc>
          <w:tcPr>
            <w:tcW w:w="2459" w:type="pct"/>
            <w:tcBorders>
              <w:top w:val="dotted" w:sz="4" w:space="0" w:color="auto"/>
            </w:tcBorders>
          </w:tcPr>
          <w:p w:rsidR="00970BC1" w:rsidRPr="00CD4982" w:rsidRDefault="00970BC1" w:rsidP="00F42949">
            <w:pPr>
              <w:rPr>
                <w:i/>
                <w:sz w:val="20"/>
                <w:szCs w:val="20"/>
              </w:rPr>
            </w:pPr>
            <w:r>
              <w:rPr>
                <w:i/>
                <w:sz w:val="20"/>
                <w:szCs w:val="20"/>
              </w:rPr>
              <w:t xml:space="preserve">Špecifikujte </w:t>
            </w:r>
            <w:r w:rsidRPr="00F2597D">
              <w:rPr>
                <w:b/>
                <w:i/>
                <w:sz w:val="20"/>
                <w:szCs w:val="20"/>
              </w:rPr>
              <w:t>negatívne</w:t>
            </w:r>
            <w:r>
              <w:rPr>
                <w:i/>
                <w:sz w:val="20"/>
                <w:szCs w:val="20"/>
              </w:rPr>
              <w:t xml:space="preserve"> ovplyvnené skupiny:</w:t>
            </w:r>
          </w:p>
        </w:tc>
        <w:tc>
          <w:tcPr>
            <w:tcW w:w="2541" w:type="pct"/>
            <w:tcBorders>
              <w:top w:val="dotted" w:sz="4" w:space="0" w:color="auto"/>
            </w:tcBorders>
          </w:tcPr>
          <w:p w:rsidR="00970BC1" w:rsidRPr="008556A1" w:rsidRDefault="00970BC1" w:rsidP="00F42949">
            <w:pPr>
              <w:rPr>
                <w:sz w:val="20"/>
                <w:szCs w:val="20"/>
              </w:rPr>
            </w:pPr>
          </w:p>
        </w:tc>
      </w:tr>
      <w:tr w:rsidR="00970BC1" w:rsidRPr="00CD4982" w:rsidTr="00EB27EC">
        <w:trPr>
          <w:trHeight w:val="680"/>
          <w:jc w:val="center"/>
        </w:trPr>
        <w:tc>
          <w:tcPr>
            <w:tcW w:w="2459" w:type="pct"/>
            <w:tcBorders>
              <w:bottom w:val="nil"/>
            </w:tcBorders>
          </w:tcPr>
          <w:p w:rsidR="00970BC1" w:rsidRPr="00CD4982" w:rsidRDefault="00970BC1" w:rsidP="00F42949">
            <w:pPr>
              <w:rPr>
                <w:i/>
                <w:sz w:val="20"/>
                <w:szCs w:val="20"/>
              </w:rPr>
            </w:pPr>
            <w:r>
              <w:rPr>
                <w:i/>
                <w:sz w:val="20"/>
                <w:szCs w:val="20"/>
              </w:rPr>
              <w:t xml:space="preserve">Špecifikujte ovplyvnené skupiny </w:t>
            </w:r>
            <w:r w:rsidRPr="00E538C0">
              <w:rPr>
                <w:b/>
                <w:i/>
                <w:sz w:val="20"/>
                <w:szCs w:val="20"/>
              </w:rPr>
              <w:t>v riziku chudoby alebo sociálneho vylúčenia</w:t>
            </w:r>
            <w:r>
              <w:rPr>
                <w:i/>
                <w:sz w:val="20"/>
                <w:szCs w:val="20"/>
              </w:rPr>
              <w:t xml:space="preserve"> a popíšte vplyv:</w:t>
            </w:r>
          </w:p>
        </w:tc>
        <w:tc>
          <w:tcPr>
            <w:tcW w:w="2541" w:type="pct"/>
            <w:tcBorders>
              <w:bottom w:val="nil"/>
            </w:tcBorders>
          </w:tcPr>
          <w:p w:rsidR="00970BC1" w:rsidRPr="0040544D" w:rsidRDefault="00970BC1" w:rsidP="00F42949">
            <w:pPr>
              <w:rPr>
                <w:sz w:val="20"/>
                <w:szCs w:val="20"/>
              </w:rPr>
            </w:pPr>
          </w:p>
        </w:tc>
      </w:tr>
    </w:tbl>
    <w:p w:rsidR="00970BC1" w:rsidRDefault="00970BC1" w:rsidP="00970BC1">
      <w:pPr>
        <w:jc w:val="both"/>
        <w:rPr>
          <w:i/>
          <w:sz w:val="20"/>
          <w:szCs w:val="20"/>
        </w:rPr>
        <w:sectPr w:rsidR="00970BC1" w:rsidSect="00F42949">
          <w:footnotePr>
            <w:numFmt w:val="chicago"/>
          </w:footnotePr>
          <w:type w:val="continuous"/>
          <w:pgSz w:w="11906" w:h="16838"/>
          <w:pgMar w:top="1134" w:right="1418" w:bottom="1134" w:left="1418" w:header="510" w:footer="567" w:gutter="0"/>
          <w:cols w:space="708"/>
          <w:formProt w:val="0"/>
          <w:docGrid w:linePitch="360"/>
        </w:sect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765"/>
      </w:tblGrid>
      <w:tr w:rsidR="00970BC1" w:rsidRPr="00CD4982" w:rsidTr="00EB27EC">
        <w:trPr>
          <w:trHeight w:val="680"/>
          <w:jc w:val="center"/>
        </w:trPr>
        <w:tc>
          <w:tcPr>
            <w:tcW w:w="5000" w:type="pct"/>
            <w:shd w:val="clear" w:color="auto" w:fill="F2F2F2"/>
          </w:tcPr>
          <w:p w:rsidR="00970BC1" w:rsidRDefault="00970BC1" w:rsidP="00F42949">
            <w:pPr>
              <w:jc w:val="both"/>
              <w:rPr>
                <w:i/>
                <w:sz w:val="20"/>
                <w:szCs w:val="20"/>
              </w:rPr>
            </w:pPr>
            <w:r w:rsidRPr="00CD4982">
              <w:rPr>
                <w:i/>
                <w:sz w:val="20"/>
                <w:szCs w:val="20"/>
              </w:rPr>
              <w:t>Kvantifikujte rast alebo pokles príjmov/výdavkov za jednotlivé ovplyvnené skupiny domácností / skupiny jednotlivcov a počet obyvateľstva/domácností ovplyvnených predkladaným materiálom.</w:t>
            </w:r>
          </w:p>
          <w:p w:rsidR="00970BC1" w:rsidRPr="00CD4982" w:rsidRDefault="00970BC1" w:rsidP="00F42949">
            <w:pPr>
              <w:jc w:val="both"/>
              <w:rPr>
                <w:i/>
                <w:sz w:val="20"/>
                <w:szCs w:val="20"/>
              </w:rPr>
            </w:pPr>
            <w:r>
              <w:rPr>
                <w:i/>
                <w:sz w:val="20"/>
                <w:szCs w:val="20"/>
              </w:rPr>
              <w:t>V prípade vyššieho počtu ovplyvnených skupín doplňte do tabuľky ďalšie riadky.</w:t>
            </w:r>
          </w:p>
          <w:p w:rsidR="00970BC1" w:rsidRPr="0040544D" w:rsidRDefault="00970BC1" w:rsidP="00F42949">
            <w:pPr>
              <w:tabs>
                <w:tab w:val="left" w:pos="3505"/>
              </w:tabs>
              <w:rPr>
                <w:sz w:val="20"/>
                <w:szCs w:val="20"/>
              </w:rPr>
            </w:pPr>
            <w:r w:rsidRPr="00CD4982">
              <w:rPr>
                <w:i/>
                <w:sz w:val="20"/>
                <w:szCs w:val="20"/>
              </w:rPr>
              <w:t>V prípade, ak neuvádzate kvantifikáciu, uveďte dôvod.</w:t>
            </w:r>
          </w:p>
        </w:tc>
      </w:tr>
    </w:tbl>
    <w:p w:rsidR="00970BC1" w:rsidRDefault="00970BC1" w:rsidP="00970BC1">
      <w:pPr>
        <w:jc w:val="both"/>
        <w:rPr>
          <w:b/>
          <w:i/>
          <w:sz w:val="20"/>
          <w:szCs w:val="20"/>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963"/>
      </w:tblGrid>
      <w:tr w:rsidR="00970BC1" w:rsidRPr="00CD4982" w:rsidTr="00EB27EC">
        <w:trPr>
          <w:trHeight w:val="286"/>
          <w:jc w:val="center"/>
        </w:trPr>
        <w:tc>
          <w:tcPr>
            <w:tcW w:w="5000" w:type="pct"/>
            <w:gridSpan w:val="2"/>
            <w:tcBorders>
              <w:top w:val="nil"/>
            </w:tcBorders>
          </w:tcPr>
          <w:p w:rsidR="00970BC1" w:rsidRPr="00E919A6" w:rsidRDefault="00970BC1" w:rsidP="00F42949">
            <w:pPr>
              <w:jc w:val="both"/>
              <w:rPr>
                <w:i/>
                <w:sz w:val="20"/>
                <w:szCs w:val="20"/>
              </w:rPr>
            </w:pPr>
            <w:r w:rsidRPr="00E919A6">
              <w:rPr>
                <w:b/>
                <w:i/>
                <w:sz w:val="20"/>
                <w:szCs w:val="20"/>
              </w:rPr>
              <w:t>Ovplyvnená skupina č. 1:</w:t>
            </w:r>
          </w:p>
        </w:tc>
      </w:tr>
      <w:tr w:rsidR="00970BC1" w:rsidRPr="00CD4982" w:rsidTr="00EB27EC">
        <w:trPr>
          <w:trHeight w:val="503"/>
          <w:jc w:val="center"/>
        </w:trPr>
        <w:tc>
          <w:tcPr>
            <w:tcW w:w="2459" w:type="pct"/>
            <w:tcBorders>
              <w:bottom w:val="single" w:sz="4" w:space="0" w:color="BFBFBF"/>
            </w:tcBorders>
          </w:tcPr>
          <w:p w:rsidR="00970BC1" w:rsidRPr="00E919A6" w:rsidRDefault="00970BC1" w:rsidP="00F42949">
            <w:pPr>
              <w:rPr>
                <w:i/>
                <w:sz w:val="20"/>
                <w:szCs w:val="20"/>
              </w:rPr>
            </w:pPr>
            <w:r w:rsidRPr="00E919A6">
              <w:rPr>
                <w:i/>
                <w:sz w:val="20"/>
                <w:szCs w:val="20"/>
              </w:rPr>
              <w:t>Pozitívny vplyv - priemerný rast príjmov/ pokles výdavkov v skupine v eurách a/alebo v % / obdobie:</w:t>
            </w:r>
          </w:p>
        </w:tc>
        <w:tc>
          <w:tcPr>
            <w:tcW w:w="2541" w:type="pct"/>
            <w:tcBorders>
              <w:bottom w:val="single" w:sz="4" w:space="0" w:color="D9D9D9"/>
            </w:tcBorders>
          </w:tcPr>
          <w:p w:rsidR="00970BC1" w:rsidRPr="00E919A6" w:rsidRDefault="00970BC1" w:rsidP="00F42949">
            <w:pPr>
              <w:jc w:val="both"/>
              <w:rPr>
                <w:sz w:val="20"/>
                <w:szCs w:val="20"/>
              </w:rPr>
            </w:pPr>
            <w:r w:rsidRPr="00E919A6">
              <w:rPr>
                <w:sz w:val="20"/>
                <w:szCs w:val="20"/>
              </w:rPr>
              <w:t>Odhadujeme, že priemerné domácnosti ušetria cca 200 eur na nájomnom za prenájom bytu obstaraného z verejných zdrojov oproti trhovému nájomnému za byt.</w:t>
            </w:r>
          </w:p>
        </w:tc>
      </w:tr>
      <w:tr w:rsidR="00970BC1" w:rsidRPr="00CD4982" w:rsidTr="00EB27EC">
        <w:trPr>
          <w:trHeight w:val="497"/>
          <w:jc w:val="center"/>
        </w:trPr>
        <w:tc>
          <w:tcPr>
            <w:tcW w:w="2459" w:type="pct"/>
            <w:tcBorders>
              <w:top w:val="single" w:sz="4" w:space="0" w:color="BFBFBF"/>
              <w:bottom w:val="single" w:sz="4" w:space="0" w:color="BFBFBF"/>
            </w:tcBorders>
          </w:tcPr>
          <w:p w:rsidR="00970BC1" w:rsidRPr="00CD4982" w:rsidRDefault="00970BC1" w:rsidP="00F42949">
            <w:pPr>
              <w:rPr>
                <w:rFonts w:ascii="Calibri" w:hAnsi="Calibri"/>
                <w:i/>
                <w:sz w:val="20"/>
                <w:szCs w:val="20"/>
              </w:rPr>
            </w:pPr>
            <w:r w:rsidRPr="00CD4982">
              <w:rPr>
                <w:i/>
                <w:sz w:val="20"/>
                <w:szCs w:val="20"/>
              </w:rPr>
              <w:t xml:space="preserve">Negatívny vplyv - priemerný pokles príjmov/ rast výdavkov v skupine v eurách a/alebo v % / obdobie: </w:t>
            </w:r>
          </w:p>
        </w:tc>
        <w:tc>
          <w:tcPr>
            <w:tcW w:w="2541" w:type="pct"/>
            <w:tcBorders>
              <w:top w:val="single" w:sz="4" w:space="0" w:color="D9D9D9"/>
              <w:bottom w:val="single" w:sz="4" w:space="0" w:color="BFBFBF"/>
            </w:tcBorders>
          </w:tcPr>
          <w:p w:rsidR="00970BC1" w:rsidRPr="00CA6BAF" w:rsidRDefault="00970BC1" w:rsidP="00F42949">
            <w:pPr>
              <w:jc w:val="both"/>
              <w:rPr>
                <w:sz w:val="20"/>
                <w:szCs w:val="20"/>
              </w:rPr>
            </w:pPr>
          </w:p>
        </w:tc>
      </w:tr>
      <w:tr w:rsidR="00970BC1" w:rsidRPr="00CD4982" w:rsidTr="00EB27EC">
        <w:trPr>
          <w:trHeight w:val="363"/>
          <w:jc w:val="center"/>
        </w:trPr>
        <w:tc>
          <w:tcPr>
            <w:tcW w:w="2459" w:type="pct"/>
            <w:tcBorders>
              <w:top w:val="single" w:sz="4" w:space="0" w:color="BFBFBF"/>
            </w:tcBorders>
          </w:tcPr>
          <w:p w:rsidR="00970BC1" w:rsidRPr="00CD4982" w:rsidRDefault="00970BC1" w:rsidP="00F42949">
            <w:pPr>
              <w:rPr>
                <w:rFonts w:ascii="Calibri" w:hAnsi="Calibri"/>
                <w:i/>
                <w:sz w:val="20"/>
                <w:szCs w:val="20"/>
              </w:rPr>
            </w:pPr>
            <w:r w:rsidRPr="00CD4982">
              <w:rPr>
                <w:i/>
                <w:sz w:val="20"/>
                <w:szCs w:val="20"/>
              </w:rPr>
              <w:t>Veľkosť skupiny (počet obyvateľov):</w:t>
            </w:r>
          </w:p>
        </w:tc>
        <w:tc>
          <w:tcPr>
            <w:tcW w:w="2541" w:type="pct"/>
            <w:tcBorders>
              <w:top w:val="single" w:sz="4" w:space="0" w:color="BFBFBF"/>
            </w:tcBorders>
          </w:tcPr>
          <w:p w:rsidR="00970BC1" w:rsidRPr="00CA6BAF" w:rsidRDefault="00970BC1" w:rsidP="00F42949">
            <w:pPr>
              <w:jc w:val="both"/>
              <w:rPr>
                <w:sz w:val="20"/>
                <w:szCs w:val="20"/>
              </w:rPr>
            </w:pPr>
            <w:r w:rsidRPr="00DE15A7">
              <w:rPr>
                <w:sz w:val="20"/>
                <w:szCs w:val="20"/>
              </w:rPr>
              <w:t>Vzhľadom na objem predpokladaných výdavkov zo</w:t>
            </w:r>
            <w:r>
              <w:rPr>
                <w:sz w:val="20"/>
                <w:szCs w:val="20"/>
              </w:rPr>
              <w:t> </w:t>
            </w:r>
            <w:r w:rsidRPr="00DE15A7">
              <w:rPr>
                <w:sz w:val="20"/>
                <w:szCs w:val="20"/>
              </w:rPr>
              <w:t xml:space="preserve">štátneho rozpočtu návrh môže ovplyvniť cca </w:t>
            </w:r>
            <w:r>
              <w:rPr>
                <w:sz w:val="20"/>
                <w:szCs w:val="20"/>
              </w:rPr>
              <w:t>10 000</w:t>
            </w:r>
            <w:r w:rsidRPr="00DE15A7">
              <w:rPr>
                <w:sz w:val="20"/>
                <w:szCs w:val="20"/>
              </w:rPr>
              <w:t xml:space="preserve"> domácností.</w:t>
            </w:r>
          </w:p>
        </w:tc>
      </w:tr>
      <w:tr w:rsidR="00970BC1" w:rsidRPr="00CD4982" w:rsidTr="00EB27EC">
        <w:trPr>
          <w:trHeight w:val="265"/>
          <w:jc w:val="center"/>
        </w:trPr>
        <w:tc>
          <w:tcPr>
            <w:tcW w:w="5000" w:type="pct"/>
            <w:gridSpan w:val="2"/>
          </w:tcPr>
          <w:p w:rsidR="00970BC1" w:rsidRPr="00CD4982" w:rsidRDefault="00970BC1" w:rsidP="00F42949">
            <w:pPr>
              <w:jc w:val="both"/>
              <w:rPr>
                <w:i/>
                <w:sz w:val="20"/>
                <w:szCs w:val="20"/>
              </w:rPr>
            </w:pPr>
            <w:r w:rsidRPr="00DA4453">
              <w:rPr>
                <w:b/>
                <w:i/>
                <w:sz w:val="20"/>
                <w:szCs w:val="20"/>
              </w:rPr>
              <w:t>Ovplyvnená skupina č. 2:</w:t>
            </w:r>
          </w:p>
        </w:tc>
      </w:tr>
      <w:tr w:rsidR="00970BC1" w:rsidRPr="00CD4982" w:rsidTr="00EB27EC">
        <w:trPr>
          <w:trHeight w:val="587"/>
          <w:jc w:val="center"/>
        </w:trPr>
        <w:tc>
          <w:tcPr>
            <w:tcW w:w="2459" w:type="pct"/>
            <w:tcBorders>
              <w:bottom w:val="single" w:sz="4" w:space="0" w:color="BFBFBF"/>
            </w:tcBorders>
          </w:tcPr>
          <w:p w:rsidR="00970BC1" w:rsidRPr="00CD4982" w:rsidRDefault="00970BC1" w:rsidP="00F42949">
            <w:pPr>
              <w:rPr>
                <w:i/>
                <w:sz w:val="20"/>
                <w:szCs w:val="20"/>
              </w:rPr>
            </w:pPr>
            <w:r w:rsidRPr="00CD4982">
              <w:rPr>
                <w:i/>
                <w:sz w:val="20"/>
                <w:szCs w:val="20"/>
              </w:rPr>
              <w:t>Pozitívny vplyv - priemerný rast príjmov/pokles výdavkov v skupine v eurách a/alebo v % / obdobie:</w:t>
            </w:r>
          </w:p>
        </w:tc>
        <w:tc>
          <w:tcPr>
            <w:tcW w:w="2541" w:type="pct"/>
            <w:tcBorders>
              <w:bottom w:val="single" w:sz="4" w:space="0" w:color="BFBFBF"/>
            </w:tcBorders>
          </w:tcPr>
          <w:p w:rsidR="00970BC1" w:rsidRPr="00CA6BAF" w:rsidRDefault="00970BC1" w:rsidP="00F42949">
            <w:pPr>
              <w:jc w:val="both"/>
              <w:rPr>
                <w:sz w:val="20"/>
                <w:szCs w:val="20"/>
              </w:rPr>
            </w:pPr>
          </w:p>
        </w:tc>
      </w:tr>
      <w:tr w:rsidR="00970BC1" w:rsidRPr="00CD4982" w:rsidTr="00EB27EC">
        <w:trPr>
          <w:trHeight w:val="497"/>
          <w:jc w:val="center"/>
        </w:trPr>
        <w:tc>
          <w:tcPr>
            <w:tcW w:w="2459" w:type="pct"/>
            <w:tcBorders>
              <w:top w:val="single" w:sz="4" w:space="0" w:color="BFBFBF"/>
              <w:bottom w:val="single" w:sz="4" w:space="0" w:color="BFBFBF"/>
            </w:tcBorders>
          </w:tcPr>
          <w:p w:rsidR="00970BC1" w:rsidRPr="00CD4982" w:rsidRDefault="00970BC1" w:rsidP="00F42949">
            <w:pPr>
              <w:rPr>
                <w:rFonts w:ascii="Calibri" w:hAnsi="Calibri"/>
                <w:i/>
                <w:sz w:val="20"/>
                <w:szCs w:val="20"/>
              </w:rPr>
            </w:pPr>
            <w:r w:rsidRPr="00CD4982">
              <w:rPr>
                <w:i/>
                <w:sz w:val="20"/>
                <w:szCs w:val="20"/>
              </w:rPr>
              <w:t xml:space="preserve">Negatívny vplyv - priemerný pokles príjmov/ rast výdavkov v skupine v eurách a/alebo v % / obdobie: </w:t>
            </w:r>
          </w:p>
        </w:tc>
        <w:tc>
          <w:tcPr>
            <w:tcW w:w="2541" w:type="pct"/>
            <w:tcBorders>
              <w:top w:val="single" w:sz="4" w:space="0" w:color="BFBFBF"/>
              <w:bottom w:val="single" w:sz="4" w:space="0" w:color="BFBFBF"/>
            </w:tcBorders>
          </w:tcPr>
          <w:p w:rsidR="00970BC1" w:rsidRPr="00CA6BAF" w:rsidRDefault="00970BC1" w:rsidP="00F42949">
            <w:pPr>
              <w:jc w:val="both"/>
              <w:rPr>
                <w:sz w:val="20"/>
                <w:szCs w:val="20"/>
              </w:rPr>
            </w:pPr>
          </w:p>
        </w:tc>
      </w:tr>
      <w:tr w:rsidR="00970BC1" w:rsidRPr="00CD4982" w:rsidTr="00EB27EC">
        <w:trPr>
          <w:trHeight w:val="363"/>
          <w:jc w:val="center"/>
        </w:trPr>
        <w:tc>
          <w:tcPr>
            <w:tcW w:w="2459" w:type="pct"/>
            <w:tcBorders>
              <w:top w:val="single" w:sz="4" w:space="0" w:color="BFBFBF"/>
            </w:tcBorders>
          </w:tcPr>
          <w:p w:rsidR="00970BC1" w:rsidRPr="00CD4982" w:rsidRDefault="00970BC1" w:rsidP="00F42949">
            <w:pPr>
              <w:rPr>
                <w:rFonts w:ascii="Calibri" w:hAnsi="Calibri"/>
                <w:i/>
                <w:sz w:val="20"/>
                <w:szCs w:val="20"/>
              </w:rPr>
            </w:pPr>
            <w:r w:rsidRPr="00CD4982">
              <w:rPr>
                <w:i/>
                <w:sz w:val="20"/>
                <w:szCs w:val="20"/>
              </w:rPr>
              <w:t>Veľkosť skupiny (počet obyvateľov):</w:t>
            </w:r>
          </w:p>
        </w:tc>
        <w:tc>
          <w:tcPr>
            <w:tcW w:w="2541" w:type="pct"/>
            <w:tcBorders>
              <w:top w:val="single" w:sz="4" w:space="0" w:color="BFBFBF"/>
            </w:tcBorders>
          </w:tcPr>
          <w:p w:rsidR="00970BC1" w:rsidRPr="00CA6BAF" w:rsidRDefault="00970BC1" w:rsidP="00F42949">
            <w:pPr>
              <w:jc w:val="both"/>
              <w:rPr>
                <w:sz w:val="20"/>
                <w:szCs w:val="20"/>
              </w:rPr>
            </w:pPr>
          </w:p>
        </w:tc>
      </w:tr>
      <w:tr w:rsidR="00970BC1" w:rsidRPr="00CD4982" w:rsidTr="00EB27EC">
        <w:trPr>
          <w:trHeight w:val="341"/>
          <w:jc w:val="center"/>
        </w:trPr>
        <w:tc>
          <w:tcPr>
            <w:tcW w:w="2459" w:type="pct"/>
          </w:tcPr>
          <w:p w:rsidR="00970BC1" w:rsidRPr="00CD4982" w:rsidRDefault="00970BC1" w:rsidP="00F42949">
            <w:pPr>
              <w:rPr>
                <w:rFonts w:ascii="Calibri" w:hAnsi="Calibri"/>
                <w:i/>
                <w:sz w:val="20"/>
                <w:szCs w:val="20"/>
              </w:rPr>
            </w:pPr>
            <w:r w:rsidRPr="00CD4982">
              <w:rPr>
                <w:i/>
                <w:sz w:val="20"/>
                <w:szCs w:val="20"/>
              </w:rPr>
              <w:t>Dôvod chýbajúcej kvantifikácie:</w:t>
            </w:r>
          </w:p>
        </w:tc>
        <w:tc>
          <w:tcPr>
            <w:tcW w:w="2541" w:type="pct"/>
          </w:tcPr>
          <w:p w:rsidR="00970BC1" w:rsidRPr="00CA6BAF" w:rsidRDefault="00970BC1" w:rsidP="00F42949">
            <w:pPr>
              <w:jc w:val="both"/>
              <w:rPr>
                <w:sz w:val="20"/>
                <w:szCs w:val="20"/>
              </w:rPr>
            </w:pPr>
          </w:p>
        </w:tc>
      </w:tr>
      <w:tr w:rsidR="00970BC1" w:rsidRPr="00CD4982" w:rsidTr="00EB27EC">
        <w:trPr>
          <w:trHeight w:val="670"/>
          <w:jc w:val="center"/>
        </w:trPr>
        <w:tc>
          <w:tcPr>
            <w:tcW w:w="2459" w:type="pct"/>
          </w:tcPr>
          <w:p w:rsidR="00970BC1" w:rsidRPr="00CD4982" w:rsidRDefault="00970BC1" w:rsidP="00F42949">
            <w:pPr>
              <w:jc w:val="both"/>
              <w:rPr>
                <w:i/>
              </w:rPr>
            </w:pPr>
            <w:r w:rsidRPr="00CD4982">
              <w:rPr>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41" w:type="pct"/>
          </w:tcPr>
          <w:p w:rsidR="00970BC1" w:rsidRPr="00CA6BAF" w:rsidRDefault="00970BC1" w:rsidP="00F42949">
            <w:pPr>
              <w:jc w:val="both"/>
              <w:rPr>
                <w:sz w:val="20"/>
                <w:szCs w:val="20"/>
              </w:rPr>
            </w:pPr>
          </w:p>
        </w:tc>
      </w:tr>
    </w:tbl>
    <w:p w:rsidR="00970BC1" w:rsidRDefault="00970BC1" w:rsidP="00970BC1">
      <w:pPr>
        <w:rPr>
          <w:b/>
        </w:rPr>
      </w:pPr>
    </w:p>
    <w:p w:rsidR="00970BC1" w:rsidRDefault="00970BC1" w:rsidP="00970BC1">
      <w:pPr>
        <w:rPr>
          <w:b/>
        </w:rPr>
      </w:pPr>
    </w:p>
    <w:p w:rsidR="00970BC1" w:rsidRDefault="00970BC1" w:rsidP="00970BC1">
      <w:pPr>
        <w:rPr>
          <w:b/>
        </w:rPr>
      </w:pPr>
    </w:p>
    <w:p w:rsidR="00970BC1" w:rsidRDefault="00970BC1" w:rsidP="00970BC1">
      <w:pPr>
        <w:rPr>
          <w:b/>
        </w:rPr>
        <w:sectPr w:rsidR="00970BC1" w:rsidSect="00F4294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CD4982" w:rsidTr="00F42949">
        <w:trPr>
          <w:trHeight w:val="339"/>
          <w:jc w:val="center"/>
        </w:trPr>
        <w:tc>
          <w:tcPr>
            <w:tcW w:w="5000" w:type="pct"/>
            <w:shd w:val="clear" w:color="auto" w:fill="D9D9D9"/>
          </w:tcPr>
          <w:p w:rsidR="00970BC1" w:rsidRPr="00CD4982" w:rsidRDefault="00970BC1" w:rsidP="00F42949">
            <w:pPr>
              <w:rPr>
                <w:b/>
              </w:rPr>
            </w:pPr>
            <w:r w:rsidRPr="00CD4982">
              <w:rPr>
                <w:b/>
              </w:rPr>
              <w:lastRenderedPageBreak/>
              <w:t>4.2 Identifikujte, popíšte a kvantifikujte vplyvy na prístup k zdrojom, právam, tovarom a službám u jednotlivých ovplyvnených skupín obyvateľstva a vplyv na sociálnu inklúziu.</w:t>
            </w:r>
          </w:p>
        </w:tc>
      </w:tr>
      <w:tr w:rsidR="00970BC1" w:rsidRPr="00CD4982" w:rsidTr="00F42949">
        <w:trPr>
          <w:trHeight w:val="290"/>
          <w:jc w:val="center"/>
        </w:trPr>
        <w:tc>
          <w:tcPr>
            <w:tcW w:w="5000" w:type="pct"/>
            <w:shd w:val="clear" w:color="auto" w:fill="F2F2F2"/>
          </w:tcPr>
          <w:p w:rsidR="00970BC1" w:rsidRPr="00CD4982" w:rsidRDefault="00970BC1" w:rsidP="00F42949">
            <w:pPr>
              <w:jc w:val="both"/>
              <w:rPr>
                <w:i/>
                <w:sz w:val="20"/>
              </w:rPr>
            </w:pPr>
            <w:r w:rsidRPr="00CD4982">
              <w:rPr>
                <w:i/>
                <w:sz w:val="20"/>
              </w:rPr>
              <w:t xml:space="preserve">Má návrh vplyv na prístup k zdrojom, právam, tovarom a službám? </w:t>
            </w:r>
          </w:p>
          <w:p w:rsidR="00970BC1" w:rsidRPr="00CD4982" w:rsidRDefault="00970BC1" w:rsidP="00F42949">
            <w:pPr>
              <w:jc w:val="both"/>
              <w:rPr>
                <w:rFonts w:ascii="Calibri" w:hAnsi="Calibri"/>
                <w:i/>
              </w:rPr>
            </w:pPr>
            <w:r w:rsidRPr="00CD4982">
              <w:rPr>
                <w:i/>
                <w:sz w:val="20"/>
              </w:rPr>
              <w:t>Špecifikujete ovplyvnené skupiny obyvateľstva a charakter zmeny v prístupnosti s ohľadom na dostupnosť finančnú, geografickú, kvalitu, organizovanie a pod. Uveďte veľkosť jednotlivých ovplyvnených skupín.</w:t>
            </w:r>
          </w:p>
        </w:tc>
      </w:tr>
    </w:tbl>
    <w:p w:rsidR="00970BC1" w:rsidRDefault="00970BC1" w:rsidP="00970BC1">
      <w:pPr>
        <w:jc w:val="both"/>
        <w:rPr>
          <w:i/>
          <w:sz w:val="18"/>
          <w:szCs w:val="18"/>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70BC1" w:rsidRPr="00CD4982" w:rsidTr="00F42949">
        <w:trPr>
          <w:trHeight w:val="557"/>
          <w:jc w:val="center"/>
        </w:trPr>
        <w:tc>
          <w:tcPr>
            <w:tcW w:w="1993" w:type="pct"/>
          </w:tcPr>
          <w:p w:rsidR="00970BC1" w:rsidRPr="00CD4982" w:rsidRDefault="00970BC1" w:rsidP="00F42949">
            <w:pPr>
              <w:jc w:val="both"/>
              <w:rPr>
                <w:i/>
                <w:sz w:val="18"/>
                <w:szCs w:val="18"/>
              </w:rPr>
            </w:pPr>
            <w:r w:rsidRPr="00CD4982">
              <w:rPr>
                <w:i/>
                <w:sz w:val="18"/>
                <w:szCs w:val="18"/>
              </w:rPr>
              <w:t>Rozumie sa najmä na prístup k:</w:t>
            </w:r>
          </w:p>
          <w:p w:rsidR="00970BC1" w:rsidRPr="00CD4982" w:rsidRDefault="00970BC1" w:rsidP="00970BC1">
            <w:pPr>
              <w:widowControl/>
              <w:numPr>
                <w:ilvl w:val="0"/>
                <w:numId w:val="2"/>
              </w:numPr>
              <w:adjustRightInd/>
              <w:jc w:val="both"/>
              <w:rPr>
                <w:i/>
                <w:sz w:val="18"/>
                <w:szCs w:val="18"/>
              </w:rPr>
            </w:pPr>
            <w:r w:rsidRPr="00CD4982">
              <w:rPr>
                <w:i/>
                <w:sz w:val="18"/>
                <w:szCs w:val="18"/>
              </w:rPr>
              <w:t xml:space="preserve">sociálnej ochrane, sociálno-právnej ochrane, sociálnym službám (vrátane služieb starostlivosti o deti, starších ľudí a ľudí so zdravotným postihnutím), </w:t>
            </w:r>
          </w:p>
          <w:p w:rsidR="00970BC1" w:rsidRPr="00CD4982" w:rsidRDefault="00970BC1" w:rsidP="00970BC1">
            <w:pPr>
              <w:widowControl/>
              <w:numPr>
                <w:ilvl w:val="0"/>
                <w:numId w:val="2"/>
              </w:numPr>
              <w:adjustRightInd/>
              <w:jc w:val="both"/>
              <w:rPr>
                <w:i/>
                <w:sz w:val="18"/>
                <w:szCs w:val="18"/>
              </w:rPr>
            </w:pPr>
            <w:r w:rsidRPr="00CD4982">
              <w:rPr>
                <w:i/>
                <w:sz w:val="18"/>
                <w:szCs w:val="18"/>
              </w:rPr>
              <w:t>kvalitnej práci, ochrane zdravia, dôstojnosti a bezpečnosti pri práci pre zamestnancov a existujúcim zamestnaneckým právam,</w:t>
            </w:r>
          </w:p>
          <w:p w:rsidR="00970BC1" w:rsidRPr="00CD4982" w:rsidRDefault="00970BC1" w:rsidP="00970BC1">
            <w:pPr>
              <w:widowControl/>
              <w:numPr>
                <w:ilvl w:val="0"/>
                <w:numId w:val="2"/>
              </w:numPr>
              <w:adjustRightInd/>
              <w:jc w:val="both"/>
              <w:rPr>
                <w:i/>
                <w:sz w:val="18"/>
                <w:szCs w:val="18"/>
              </w:rPr>
            </w:pPr>
            <w:r w:rsidRPr="00CD4982">
              <w:rPr>
                <w:i/>
                <w:sz w:val="18"/>
                <w:szCs w:val="18"/>
              </w:rPr>
              <w:t xml:space="preserve">pomoci pri úhrade výdavkov súvisiacich so zdravotným postihnutím, </w:t>
            </w:r>
          </w:p>
          <w:p w:rsidR="00970BC1" w:rsidRPr="00CD4982" w:rsidRDefault="00970BC1" w:rsidP="00970BC1">
            <w:pPr>
              <w:widowControl/>
              <w:numPr>
                <w:ilvl w:val="0"/>
                <w:numId w:val="2"/>
              </w:numPr>
              <w:adjustRightInd/>
              <w:jc w:val="both"/>
              <w:rPr>
                <w:i/>
                <w:sz w:val="18"/>
                <w:szCs w:val="18"/>
              </w:rPr>
            </w:pPr>
            <w:r w:rsidRPr="00CD4982">
              <w:rPr>
                <w:i/>
                <w:sz w:val="18"/>
                <w:szCs w:val="18"/>
              </w:rPr>
              <w:t>zamestnaniu, na trh práce (napr. uľahčenie zosúladenia rodinných a pracovných povinností, služby zamestnanosti), k školeniam, odbornému vzdelávaniu a príprave na trh práce,</w:t>
            </w:r>
          </w:p>
          <w:p w:rsidR="00970BC1" w:rsidRPr="00CD4982" w:rsidRDefault="00970BC1" w:rsidP="00970BC1">
            <w:pPr>
              <w:widowControl/>
              <w:numPr>
                <w:ilvl w:val="0"/>
                <w:numId w:val="2"/>
              </w:numPr>
              <w:adjustRightInd/>
              <w:jc w:val="both"/>
              <w:rPr>
                <w:i/>
                <w:sz w:val="18"/>
                <w:szCs w:val="18"/>
              </w:rPr>
            </w:pPr>
            <w:r w:rsidRPr="00CD4982">
              <w:rPr>
                <w:i/>
                <w:sz w:val="18"/>
                <w:szCs w:val="18"/>
              </w:rPr>
              <w:t xml:space="preserve">zdravotnej starostlivosti vrátane cenovo dostupných pomôcok pre občanov so zdravotným postihnutím, </w:t>
            </w:r>
          </w:p>
          <w:p w:rsidR="00970BC1" w:rsidRPr="00CD4982" w:rsidRDefault="00970BC1" w:rsidP="00970BC1">
            <w:pPr>
              <w:widowControl/>
              <w:numPr>
                <w:ilvl w:val="0"/>
                <w:numId w:val="2"/>
              </w:numPr>
              <w:adjustRightInd/>
              <w:jc w:val="both"/>
              <w:rPr>
                <w:i/>
                <w:sz w:val="18"/>
                <w:szCs w:val="18"/>
              </w:rPr>
            </w:pPr>
            <w:r w:rsidRPr="00CD4982">
              <w:rPr>
                <w:i/>
                <w:sz w:val="18"/>
                <w:szCs w:val="18"/>
              </w:rPr>
              <w:t>k formálnemu i neformálnemu vzdelávaniu a celo</w:t>
            </w:r>
            <w:r w:rsidRPr="00CD4982">
              <w:rPr>
                <w:i/>
                <w:sz w:val="18"/>
                <w:szCs w:val="18"/>
              </w:rPr>
              <w:softHyphen/>
              <w:t xml:space="preserve">životnému vzdelávaniu, </w:t>
            </w:r>
          </w:p>
          <w:p w:rsidR="00970BC1" w:rsidRPr="00CD4982" w:rsidRDefault="00970BC1" w:rsidP="00970BC1">
            <w:pPr>
              <w:widowControl/>
              <w:numPr>
                <w:ilvl w:val="0"/>
                <w:numId w:val="2"/>
              </w:numPr>
              <w:adjustRightInd/>
              <w:jc w:val="both"/>
              <w:rPr>
                <w:i/>
                <w:sz w:val="18"/>
                <w:szCs w:val="18"/>
              </w:rPr>
            </w:pPr>
            <w:r w:rsidRPr="00CD4982">
              <w:rPr>
                <w:i/>
                <w:sz w:val="18"/>
                <w:szCs w:val="18"/>
              </w:rPr>
              <w:t>bývaniu a súvisiacim základným komunálnym službám,</w:t>
            </w:r>
          </w:p>
          <w:p w:rsidR="00970BC1" w:rsidRPr="00CD4982" w:rsidRDefault="00970BC1" w:rsidP="00970BC1">
            <w:pPr>
              <w:widowControl/>
              <w:numPr>
                <w:ilvl w:val="0"/>
                <w:numId w:val="2"/>
              </w:numPr>
              <w:adjustRightInd/>
              <w:jc w:val="both"/>
              <w:rPr>
                <w:i/>
                <w:sz w:val="18"/>
                <w:szCs w:val="18"/>
              </w:rPr>
            </w:pPr>
            <w:r w:rsidRPr="00CD4982">
              <w:rPr>
                <w:i/>
                <w:sz w:val="18"/>
                <w:szCs w:val="18"/>
              </w:rPr>
              <w:t>doprave,</w:t>
            </w:r>
          </w:p>
          <w:p w:rsidR="00970BC1" w:rsidRPr="00CD4982" w:rsidRDefault="00970BC1" w:rsidP="00970BC1">
            <w:pPr>
              <w:widowControl/>
              <w:numPr>
                <w:ilvl w:val="0"/>
                <w:numId w:val="2"/>
              </w:numPr>
              <w:adjustRightInd/>
              <w:jc w:val="both"/>
              <w:rPr>
                <w:i/>
                <w:sz w:val="18"/>
                <w:szCs w:val="18"/>
              </w:rPr>
            </w:pPr>
            <w:r w:rsidRPr="00CD4982">
              <w:rPr>
                <w:i/>
                <w:sz w:val="18"/>
                <w:szCs w:val="18"/>
              </w:rPr>
              <w:t>ďalším službám najmä službám všeobecného záujmu a tovarom,</w:t>
            </w:r>
          </w:p>
          <w:p w:rsidR="00970BC1" w:rsidRPr="00CD4982" w:rsidRDefault="00970BC1" w:rsidP="00970BC1">
            <w:pPr>
              <w:widowControl/>
              <w:numPr>
                <w:ilvl w:val="0"/>
                <w:numId w:val="2"/>
              </w:numPr>
              <w:adjustRightInd/>
              <w:jc w:val="both"/>
              <w:rPr>
                <w:i/>
                <w:sz w:val="18"/>
                <w:szCs w:val="18"/>
              </w:rPr>
            </w:pPr>
            <w:r w:rsidRPr="00CD4982">
              <w:rPr>
                <w:i/>
                <w:sz w:val="18"/>
                <w:szCs w:val="18"/>
              </w:rPr>
              <w:t>spravodlivosti, právnej ochrane, právnym službám,</w:t>
            </w:r>
          </w:p>
          <w:p w:rsidR="00970BC1" w:rsidRPr="00CD4982" w:rsidRDefault="00970BC1" w:rsidP="00970BC1">
            <w:pPr>
              <w:widowControl/>
              <w:numPr>
                <w:ilvl w:val="0"/>
                <w:numId w:val="2"/>
              </w:numPr>
              <w:adjustRightInd/>
              <w:jc w:val="both"/>
              <w:rPr>
                <w:i/>
                <w:sz w:val="18"/>
                <w:szCs w:val="18"/>
              </w:rPr>
            </w:pPr>
            <w:r w:rsidRPr="00CD4982">
              <w:rPr>
                <w:i/>
                <w:sz w:val="18"/>
                <w:szCs w:val="18"/>
              </w:rPr>
              <w:t>informáciám</w:t>
            </w:r>
          </w:p>
          <w:p w:rsidR="00970BC1" w:rsidRPr="00CD4982" w:rsidRDefault="00970BC1" w:rsidP="00970BC1">
            <w:pPr>
              <w:widowControl/>
              <w:numPr>
                <w:ilvl w:val="0"/>
                <w:numId w:val="2"/>
              </w:numPr>
              <w:adjustRightInd/>
              <w:jc w:val="both"/>
              <w:rPr>
                <w:rFonts w:ascii="Calibri" w:hAnsi="Calibri"/>
                <w:i/>
                <w:sz w:val="20"/>
                <w:szCs w:val="20"/>
              </w:rPr>
            </w:pPr>
            <w:r w:rsidRPr="00CD4982">
              <w:rPr>
                <w:i/>
                <w:sz w:val="18"/>
                <w:szCs w:val="18"/>
              </w:rPr>
              <w:t>k iným právam (napr. politickým).</w:t>
            </w:r>
          </w:p>
        </w:tc>
        <w:tc>
          <w:tcPr>
            <w:tcW w:w="3007" w:type="pct"/>
          </w:tcPr>
          <w:p w:rsidR="00970BC1" w:rsidRPr="00C428F5" w:rsidRDefault="00970BC1" w:rsidP="00F42949">
            <w:pPr>
              <w:rPr>
                <w:sz w:val="20"/>
                <w:szCs w:val="20"/>
              </w:rPr>
            </w:pPr>
            <w:r w:rsidRPr="00247C57">
              <w:rPr>
                <w:sz w:val="20"/>
                <w:szCs w:val="20"/>
              </w:rPr>
              <w:t>Návrh vytvára podmienky pre prístup k bývaniu</w:t>
            </w:r>
            <w:r>
              <w:rPr>
                <w:sz w:val="20"/>
                <w:szCs w:val="20"/>
              </w:rPr>
              <w:t xml:space="preserve"> v ubytovacích domoch, nájomných bytoch a zariadeniach sociálnych služieb</w:t>
            </w:r>
            <w:r w:rsidRPr="00247C57">
              <w:rPr>
                <w:sz w:val="20"/>
                <w:szCs w:val="20"/>
              </w:rPr>
              <w:t>.</w:t>
            </w:r>
          </w:p>
          <w:p w:rsidR="00970BC1" w:rsidRDefault="00970BC1" w:rsidP="00F42949">
            <w:pPr>
              <w:rPr>
                <w:sz w:val="20"/>
                <w:szCs w:val="20"/>
              </w:rPr>
            </w:pPr>
          </w:p>
          <w:p w:rsidR="00970BC1" w:rsidRPr="0040544D" w:rsidRDefault="00970BC1" w:rsidP="00F42949">
            <w:pPr>
              <w:rPr>
                <w:sz w:val="20"/>
                <w:szCs w:val="20"/>
              </w:rPr>
            </w:pPr>
          </w:p>
        </w:tc>
      </w:tr>
    </w:tbl>
    <w:p w:rsidR="00970BC1" w:rsidRDefault="00970BC1" w:rsidP="00970BC1">
      <w:pPr>
        <w:jc w:val="both"/>
        <w:rPr>
          <w:i/>
          <w:sz w:val="20"/>
          <w:szCs w:val="20"/>
        </w:rPr>
        <w:sectPr w:rsidR="00970BC1" w:rsidSect="00F4294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CD4982" w:rsidTr="00F42949">
        <w:trPr>
          <w:jc w:val="center"/>
        </w:trPr>
        <w:tc>
          <w:tcPr>
            <w:tcW w:w="5000" w:type="pct"/>
            <w:shd w:val="clear" w:color="auto" w:fill="F2F2F2"/>
          </w:tcPr>
          <w:p w:rsidR="00970BC1" w:rsidRPr="00CD4982" w:rsidRDefault="00970BC1" w:rsidP="00F42949">
            <w:pPr>
              <w:jc w:val="both"/>
              <w:rPr>
                <w:i/>
                <w:sz w:val="20"/>
                <w:szCs w:val="20"/>
              </w:rPr>
            </w:pPr>
            <w:r w:rsidRPr="00CD4982">
              <w:rPr>
                <w:i/>
                <w:sz w:val="20"/>
                <w:szCs w:val="20"/>
              </w:rPr>
              <w:t xml:space="preserve">Má návrh významný vplyv na niektorú zo zraniteľných skupín obyvateľstva alebo skupín v riziku chudoby alebo sociálneho vylúčenia? </w:t>
            </w:r>
          </w:p>
          <w:p w:rsidR="00970BC1" w:rsidRPr="00CD4982" w:rsidRDefault="00970BC1" w:rsidP="00F42949">
            <w:pPr>
              <w:jc w:val="both"/>
              <w:rPr>
                <w:rFonts w:ascii="Calibri" w:hAnsi="Calibri"/>
                <w:i/>
              </w:rPr>
            </w:pPr>
            <w:r w:rsidRPr="00CD4982">
              <w:rPr>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970BC1" w:rsidRDefault="00970BC1" w:rsidP="00970BC1">
      <w:pPr>
        <w:jc w:val="both"/>
        <w:rPr>
          <w:i/>
          <w:sz w:val="18"/>
          <w:szCs w:val="18"/>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70BC1" w:rsidRPr="00CD4982" w:rsidTr="00F42949">
        <w:trPr>
          <w:trHeight w:val="677"/>
          <w:jc w:val="center"/>
        </w:trPr>
        <w:tc>
          <w:tcPr>
            <w:tcW w:w="1993" w:type="pct"/>
          </w:tcPr>
          <w:p w:rsidR="00970BC1" w:rsidRPr="00CD4982" w:rsidRDefault="00970BC1" w:rsidP="00F42949">
            <w:pPr>
              <w:jc w:val="both"/>
              <w:rPr>
                <w:i/>
                <w:sz w:val="18"/>
                <w:szCs w:val="18"/>
              </w:rPr>
            </w:pPr>
            <w:r>
              <w:rPr>
                <w:i/>
                <w:sz w:val="18"/>
                <w:szCs w:val="18"/>
              </w:rPr>
              <w:t>Zraniteľné skupiny alebo s</w:t>
            </w:r>
            <w:r w:rsidRPr="00CD4982">
              <w:rPr>
                <w:i/>
                <w:sz w:val="18"/>
                <w:szCs w:val="18"/>
              </w:rPr>
              <w:t>kupiny v riziku chudoby alebo sociálneho vylúčenia</w:t>
            </w:r>
            <w:r>
              <w:rPr>
                <w:i/>
                <w:sz w:val="18"/>
                <w:szCs w:val="18"/>
              </w:rPr>
              <w:t xml:space="preserve"> sú napr.</w:t>
            </w:r>
            <w:r w:rsidRPr="00CD4982">
              <w:rPr>
                <w:i/>
                <w:sz w:val="18"/>
                <w:szCs w:val="18"/>
              </w:rPr>
              <w:t>:</w:t>
            </w:r>
          </w:p>
          <w:p w:rsidR="00970BC1" w:rsidRPr="00CD4982" w:rsidRDefault="00970BC1" w:rsidP="00970BC1">
            <w:pPr>
              <w:widowControl/>
              <w:numPr>
                <w:ilvl w:val="0"/>
                <w:numId w:val="3"/>
              </w:numPr>
              <w:adjustRightInd/>
              <w:jc w:val="both"/>
              <w:rPr>
                <w:i/>
                <w:sz w:val="18"/>
                <w:szCs w:val="18"/>
              </w:rPr>
            </w:pPr>
            <w:r w:rsidRPr="00CD4982">
              <w:rPr>
                <w:i/>
                <w:sz w:val="18"/>
                <w:szCs w:val="18"/>
              </w:rPr>
              <w:t>domácnosti s nízkym príjmom (napr. žijúce iba zo sociálnych príjmov, alebo z príjmov pod hranicou rizika chudoby, alebo s príjmom pod životným minimom, alebo patriace medzi 25% domácností s najnižším príjmom),</w:t>
            </w:r>
          </w:p>
          <w:p w:rsidR="00970BC1" w:rsidRPr="00CD4982" w:rsidRDefault="00970BC1" w:rsidP="00970BC1">
            <w:pPr>
              <w:widowControl/>
              <w:numPr>
                <w:ilvl w:val="0"/>
                <w:numId w:val="3"/>
              </w:numPr>
              <w:adjustRightInd/>
              <w:jc w:val="both"/>
              <w:rPr>
                <w:i/>
                <w:sz w:val="18"/>
                <w:szCs w:val="18"/>
              </w:rPr>
            </w:pPr>
            <w:r w:rsidRPr="00CD4982">
              <w:rPr>
                <w:i/>
                <w:sz w:val="18"/>
                <w:szCs w:val="18"/>
              </w:rPr>
              <w:t>nezamestnaní, najmä dlhodobo nezamestnaní, mladí nezamestnaní a nezamestnaní nad 50 rokov,</w:t>
            </w:r>
          </w:p>
          <w:p w:rsidR="00970BC1" w:rsidRPr="00CD4982" w:rsidRDefault="00970BC1" w:rsidP="00970BC1">
            <w:pPr>
              <w:widowControl/>
              <w:numPr>
                <w:ilvl w:val="0"/>
                <w:numId w:val="3"/>
              </w:numPr>
              <w:adjustRightInd/>
              <w:jc w:val="both"/>
              <w:rPr>
                <w:i/>
                <w:sz w:val="18"/>
                <w:szCs w:val="18"/>
              </w:rPr>
            </w:pPr>
            <w:r w:rsidRPr="00CD4982">
              <w:rPr>
                <w:i/>
                <w:sz w:val="18"/>
                <w:szCs w:val="18"/>
              </w:rPr>
              <w:t>deti (0 – 17),</w:t>
            </w:r>
          </w:p>
          <w:p w:rsidR="00970BC1" w:rsidRPr="00CD4982" w:rsidRDefault="00970BC1" w:rsidP="00970BC1">
            <w:pPr>
              <w:widowControl/>
              <w:numPr>
                <w:ilvl w:val="0"/>
                <w:numId w:val="3"/>
              </w:numPr>
              <w:adjustRightInd/>
              <w:jc w:val="both"/>
              <w:rPr>
                <w:i/>
                <w:sz w:val="18"/>
                <w:szCs w:val="18"/>
              </w:rPr>
            </w:pPr>
            <w:r w:rsidRPr="00CD4982">
              <w:rPr>
                <w:i/>
                <w:sz w:val="18"/>
                <w:szCs w:val="18"/>
              </w:rPr>
              <w:t>mladí ľudia (18 – 25 rokov),</w:t>
            </w:r>
          </w:p>
          <w:p w:rsidR="00970BC1" w:rsidRPr="00CD4982" w:rsidRDefault="00970BC1" w:rsidP="00970BC1">
            <w:pPr>
              <w:widowControl/>
              <w:numPr>
                <w:ilvl w:val="0"/>
                <w:numId w:val="3"/>
              </w:numPr>
              <w:adjustRightInd/>
              <w:jc w:val="both"/>
              <w:rPr>
                <w:i/>
                <w:sz w:val="18"/>
                <w:szCs w:val="18"/>
              </w:rPr>
            </w:pPr>
            <w:r w:rsidRPr="00CD4982">
              <w:rPr>
                <w:i/>
                <w:sz w:val="18"/>
                <w:szCs w:val="18"/>
              </w:rPr>
              <w:t>starší ľudia, napr. ľudia vo veku nad 65 rokov alebo dôchodcovia,</w:t>
            </w:r>
          </w:p>
          <w:p w:rsidR="00970BC1" w:rsidRPr="00CD4982" w:rsidRDefault="00970BC1" w:rsidP="00970BC1">
            <w:pPr>
              <w:widowControl/>
              <w:numPr>
                <w:ilvl w:val="0"/>
                <w:numId w:val="3"/>
              </w:numPr>
              <w:adjustRightInd/>
              <w:jc w:val="both"/>
              <w:rPr>
                <w:i/>
                <w:sz w:val="18"/>
                <w:szCs w:val="18"/>
              </w:rPr>
            </w:pPr>
            <w:r w:rsidRPr="00CD4982">
              <w:rPr>
                <w:i/>
                <w:sz w:val="18"/>
                <w:szCs w:val="18"/>
              </w:rPr>
              <w:t>ľudia so zdravotným postihnutím,</w:t>
            </w:r>
          </w:p>
          <w:p w:rsidR="00970BC1" w:rsidRPr="00CD4982" w:rsidRDefault="00970BC1" w:rsidP="00970BC1">
            <w:pPr>
              <w:widowControl/>
              <w:numPr>
                <w:ilvl w:val="0"/>
                <w:numId w:val="3"/>
              </w:numPr>
              <w:adjustRightInd/>
              <w:jc w:val="both"/>
              <w:rPr>
                <w:i/>
                <w:sz w:val="18"/>
                <w:szCs w:val="18"/>
              </w:rPr>
            </w:pPr>
            <w:r w:rsidRPr="00CD4982">
              <w:rPr>
                <w:i/>
                <w:sz w:val="18"/>
                <w:szCs w:val="18"/>
              </w:rPr>
              <w:t xml:space="preserve">marginalizované rómske komunity </w:t>
            </w:r>
          </w:p>
          <w:p w:rsidR="00970BC1" w:rsidRPr="00CD4982" w:rsidRDefault="00970BC1" w:rsidP="00970BC1">
            <w:pPr>
              <w:widowControl/>
              <w:numPr>
                <w:ilvl w:val="0"/>
                <w:numId w:val="3"/>
              </w:numPr>
              <w:adjustRightInd/>
              <w:jc w:val="both"/>
              <w:rPr>
                <w:i/>
                <w:sz w:val="18"/>
                <w:szCs w:val="18"/>
              </w:rPr>
            </w:pPr>
            <w:r w:rsidRPr="00CD4982">
              <w:rPr>
                <w:i/>
                <w:sz w:val="18"/>
                <w:szCs w:val="18"/>
              </w:rPr>
              <w:t>domácnosti s 3 a viac deťmi,</w:t>
            </w:r>
          </w:p>
          <w:p w:rsidR="00970BC1" w:rsidRPr="00CD4982" w:rsidRDefault="00970BC1" w:rsidP="00970BC1">
            <w:pPr>
              <w:widowControl/>
              <w:numPr>
                <w:ilvl w:val="0"/>
                <w:numId w:val="3"/>
              </w:numPr>
              <w:adjustRightInd/>
              <w:jc w:val="both"/>
              <w:rPr>
                <w:i/>
                <w:sz w:val="18"/>
                <w:szCs w:val="18"/>
              </w:rPr>
            </w:pPr>
            <w:r w:rsidRPr="00CD4982">
              <w:rPr>
                <w:i/>
                <w:sz w:val="18"/>
                <w:szCs w:val="18"/>
              </w:rPr>
              <w:t>jednorodičovské domácnosti s deťmi (neúplné rodiny, ktoré tvoria najmä osamelé matky s deťmi),</w:t>
            </w:r>
          </w:p>
          <w:p w:rsidR="00970BC1" w:rsidRPr="00CD4982" w:rsidRDefault="00970BC1" w:rsidP="00970BC1">
            <w:pPr>
              <w:widowControl/>
              <w:numPr>
                <w:ilvl w:val="0"/>
                <w:numId w:val="3"/>
              </w:numPr>
              <w:adjustRightInd/>
              <w:jc w:val="both"/>
              <w:rPr>
                <w:i/>
                <w:sz w:val="18"/>
                <w:szCs w:val="18"/>
              </w:rPr>
            </w:pPr>
            <w:r w:rsidRPr="00CD4982">
              <w:rPr>
                <w:i/>
                <w:sz w:val="18"/>
                <w:szCs w:val="18"/>
              </w:rPr>
              <w:t>príslušníci tretích krajín, azylanti, žiadatelia o azyl,</w:t>
            </w:r>
          </w:p>
          <w:p w:rsidR="00970BC1" w:rsidRPr="00CD4982" w:rsidRDefault="00970BC1" w:rsidP="00970BC1">
            <w:pPr>
              <w:widowControl/>
              <w:numPr>
                <w:ilvl w:val="0"/>
                <w:numId w:val="3"/>
              </w:numPr>
              <w:adjustRightInd/>
              <w:jc w:val="both"/>
              <w:rPr>
                <w:rFonts w:ascii="Calibri" w:hAnsi="Calibri"/>
                <w:i/>
                <w:sz w:val="18"/>
                <w:szCs w:val="18"/>
              </w:rPr>
            </w:pPr>
            <w:r w:rsidRPr="00CD4982">
              <w:rPr>
                <w:i/>
                <w:sz w:val="18"/>
                <w:szCs w:val="18"/>
              </w:rPr>
              <w:t>iné zraniteľné skupiny, ako sú napr. bezdomovci, ľudia opúšťajúci detské domovy alebo iné inštitucionálne zariadenia</w:t>
            </w:r>
          </w:p>
        </w:tc>
        <w:tc>
          <w:tcPr>
            <w:tcW w:w="3007" w:type="pct"/>
          </w:tcPr>
          <w:p w:rsidR="00970BC1" w:rsidRPr="0040544D" w:rsidRDefault="00970BC1" w:rsidP="00F42949">
            <w:pPr>
              <w:rPr>
                <w:sz w:val="20"/>
              </w:rPr>
            </w:pPr>
          </w:p>
          <w:p w:rsidR="00970BC1" w:rsidRPr="0040544D" w:rsidRDefault="00970BC1" w:rsidP="00F42949">
            <w:pPr>
              <w:rPr>
                <w:sz w:val="20"/>
              </w:rPr>
            </w:pPr>
          </w:p>
        </w:tc>
      </w:tr>
    </w:tbl>
    <w:p w:rsidR="00970BC1" w:rsidRDefault="00970BC1" w:rsidP="00970BC1"/>
    <w:p w:rsidR="00970BC1" w:rsidRDefault="00970BC1" w:rsidP="00970BC1">
      <w:pPr>
        <w:rPr>
          <w:b/>
        </w:rPr>
      </w:pPr>
    </w:p>
    <w:p w:rsidR="00EB27EC" w:rsidRDefault="00EB27EC" w:rsidP="00970BC1">
      <w:pPr>
        <w:rPr>
          <w:b/>
        </w:rPr>
        <w:sectPr w:rsidR="00EB27EC" w:rsidSect="00F42949">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CD4982" w:rsidTr="00F42949">
        <w:trPr>
          <w:jc w:val="center"/>
        </w:trPr>
        <w:tc>
          <w:tcPr>
            <w:tcW w:w="5000" w:type="pct"/>
            <w:shd w:val="clear" w:color="auto" w:fill="D9D9D9"/>
          </w:tcPr>
          <w:p w:rsidR="00970BC1" w:rsidRPr="00CD4982" w:rsidRDefault="00970BC1" w:rsidP="00F42949">
            <w:pPr>
              <w:rPr>
                <w:b/>
              </w:rPr>
            </w:pPr>
            <w:r w:rsidRPr="00CD4982">
              <w:rPr>
                <w:b/>
              </w:rPr>
              <w:lastRenderedPageBreak/>
              <w:t>4.3 Identifikujte a popíšte vplyv na rovnosť príležitostí.</w:t>
            </w:r>
          </w:p>
          <w:p w:rsidR="00970BC1" w:rsidRPr="00CD4982" w:rsidRDefault="00970BC1" w:rsidP="00F42949">
            <w:pPr>
              <w:ind w:left="340"/>
              <w:jc w:val="both"/>
              <w:rPr>
                <w:rFonts w:ascii="Calibri" w:hAnsi="Calibri"/>
              </w:rPr>
            </w:pPr>
            <w:r w:rsidRPr="00CD4982">
              <w:rPr>
                <w:b/>
              </w:rPr>
              <w:t>Identifikujte, popíšte a kvantifikujte vplyv na rodovú rovnosť.</w:t>
            </w:r>
          </w:p>
        </w:tc>
      </w:tr>
      <w:tr w:rsidR="00970BC1" w:rsidRPr="00CD4982" w:rsidTr="00F42949">
        <w:trPr>
          <w:jc w:val="center"/>
        </w:trPr>
        <w:tc>
          <w:tcPr>
            <w:tcW w:w="5000" w:type="pct"/>
            <w:shd w:val="clear" w:color="auto" w:fill="F2F2F2"/>
          </w:tcPr>
          <w:p w:rsidR="00970BC1" w:rsidRPr="00CD4982" w:rsidRDefault="00970BC1" w:rsidP="00F42949">
            <w:pPr>
              <w:jc w:val="both"/>
              <w:rPr>
                <w:i/>
              </w:rPr>
            </w:pPr>
            <w:r w:rsidRPr="00CD4982">
              <w:rPr>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970BC1" w:rsidRDefault="00970BC1" w:rsidP="00970BC1">
      <w:pPr>
        <w:rPr>
          <w:sz w:val="20"/>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40544D" w:rsidTr="00F42949">
        <w:trPr>
          <w:trHeight w:val="429"/>
          <w:jc w:val="center"/>
        </w:trPr>
        <w:tc>
          <w:tcPr>
            <w:tcW w:w="5000" w:type="pct"/>
            <w:tcBorders>
              <w:top w:val="nil"/>
              <w:bottom w:val="nil"/>
            </w:tcBorders>
          </w:tcPr>
          <w:p w:rsidR="00970BC1" w:rsidRPr="00C17489" w:rsidRDefault="00970BC1" w:rsidP="00F42949">
            <w:pPr>
              <w:rPr>
                <w:sz w:val="20"/>
              </w:rPr>
            </w:pPr>
            <w:r>
              <w:rPr>
                <w:sz w:val="20"/>
                <w:szCs w:val="20"/>
              </w:rPr>
              <w:t>Návrh nemá vplyv na rovnosť príležitostí.</w:t>
            </w:r>
          </w:p>
        </w:tc>
      </w:tr>
    </w:tbl>
    <w:p w:rsidR="00970BC1" w:rsidRDefault="00970BC1" w:rsidP="00970BC1">
      <w:pPr>
        <w:rPr>
          <w:i/>
          <w:sz w:val="20"/>
          <w:szCs w:val="20"/>
        </w:rPr>
        <w:sectPr w:rsidR="00970BC1" w:rsidSect="00F4294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CD4982" w:rsidTr="00F42949">
        <w:trPr>
          <w:trHeight w:val="345"/>
          <w:jc w:val="center"/>
        </w:trPr>
        <w:tc>
          <w:tcPr>
            <w:tcW w:w="5000" w:type="pct"/>
            <w:shd w:val="clear" w:color="auto" w:fill="F2F2F2"/>
            <w:vAlign w:val="center"/>
          </w:tcPr>
          <w:p w:rsidR="00970BC1" w:rsidRPr="00CD4982" w:rsidRDefault="00970BC1" w:rsidP="00F42949">
            <w:pPr>
              <w:rPr>
                <w:i/>
                <w:sz w:val="20"/>
                <w:szCs w:val="20"/>
              </w:rPr>
            </w:pPr>
            <w:r w:rsidRPr="00CD4982">
              <w:rPr>
                <w:i/>
                <w:sz w:val="20"/>
                <w:szCs w:val="20"/>
              </w:rPr>
              <w:t>Môže mať návrh odlišný vplyv na ženy a mužov? Podporuje návrh rovnosť medzi ženami a mužmi alebo naopak bude viesť k zväčšovaniu rodových nerovností? Popíšte vplyvy.</w:t>
            </w:r>
          </w:p>
        </w:tc>
      </w:tr>
    </w:tbl>
    <w:p w:rsidR="00970BC1" w:rsidRDefault="00970BC1" w:rsidP="00970BC1">
      <w:pPr>
        <w:jc w:val="both"/>
        <w:rPr>
          <w:i/>
          <w:sz w:val="18"/>
          <w:szCs w:val="18"/>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70BC1" w:rsidRPr="00CD4982" w:rsidTr="00F42949">
        <w:trPr>
          <w:trHeight w:val="1235"/>
          <w:jc w:val="center"/>
        </w:trPr>
        <w:tc>
          <w:tcPr>
            <w:tcW w:w="1993" w:type="pct"/>
          </w:tcPr>
          <w:p w:rsidR="00970BC1" w:rsidRPr="00CD4982" w:rsidRDefault="00970BC1" w:rsidP="00F42949">
            <w:pPr>
              <w:jc w:val="both"/>
              <w:rPr>
                <w:i/>
                <w:sz w:val="18"/>
                <w:szCs w:val="18"/>
              </w:rPr>
            </w:pPr>
            <w:r w:rsidRPr="00CD4982">
              <w:rPr>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970BC1" w:rsidRPr="00CD4982" w:rsidRDefault="00970BC1" w:rsidP="00970BC1">
            <w:pPr>
              <w:widowControl/>
              <w:numPr>
                <w:ilvl w:val="0"/>
                <w:numId w:val="3"/>
              </w:numPr>
              <w:adjustRightInd/>
              <w:jc w:val="both"/>
              <w:rPr>
                <w:i/>
                <w:sz w:val="18"/>
                <w:szCs w:val="18"/>
              </w:rPr>
            </w:pPr>
            <w:r w:rsidRPr="00CD4982">
              <w:rPr>
                <w:i/>
                <w:sz w:val="18"/>
                <w:szCs w:val="18"/>
              </w:rPr>
              <w:t xml:space="preserve">podpora vyrovnávania ekonomickej nezávislosti, </w:t>
            </w:r>
          </w:p>
          <w:p w:rsidR="00970BC1" w:rsidRPr="00CD4982" w:rsidRDefault="00970BC1" w:rsidP="00970BC1">
            <w:pPr>
              <w:widowControl/>
              <w:numPr>
                <w:ilvl w:val="0"/>
                <w:numId w:val="3"/>
              </w:numPr>
              <w:adjustRightInd/>
              <w:jc w:val="both"/>
              <w:rPr>
                <w:i/>
                <w:sz w:val="18"/>
                <w:szCs w:val="18"/>
              </w:rPr>
            </w:pPr>
            <w:r w:rsidRPr="00CD4982">
              <w:rPr>
                <w:i/>
                <w:sz w:val="18"/>
                <w:szCs w:val="18"/>
              </w:rPr>
              <w:t xml:space="preserve">zosúladenie pracovného, súkromného a rodinného života, </w:t>
            </w:r>
          </w:p>
          <w:p w:rsidR="00970BC1" w:rsidRPr="00CD4982" w:rsidRDefault="00970BC1" w:rsidP="00970BC1">
            <w:pPr>
              <w:widowControl/>
              <w:numPr>
                <w:ilvl w:val="0"/>
                <w:numId w:val="3"/>
              </w:numPr>
              <w:adjustRightInd/>
              <w:jc w:val="both"/>
              <w:rPr>
                <w:i/>
                <w:sz w:val="18"/>
                <w:szCs w:val="18"/>
              </w:rPr>
            </w:pPr>
            <w:r w:rsidRPr="00CD4982">
              <w:rPr>
                <w:i/>
                <w:sz w:val="18"/>
                <w:szCs w:val="18"/>
              </w:rPr>
              <w:t xml:space="preserve">podpora rovnej participácie na rozhodovaní, </w:t>
            </w:r>
          </w:p>
          <w:p w:rsidR="00970BC1" w:rsidRPr="00CD4982" w:rsidRDefault="00970BC1" w:rsidP="00970BC1">
            <w:pPr>
              <w:widowControl/>
              <w:numPr>
                <w:ilvl w:val="0"/>
                <w:numId w:val="3"/>
              </w:numPr>
              <w:adjustRightInd/>
              <w:jc w:val="both"/>
              <w:rPr>
                <w:i/>
                <w:sz w:val="18"/>
                <w:szCs w:val="18"/>
              </w:rPr>
            </w:pPr>
            <w:r w:rsidRPr="00CD4982">
              <w:rPr>
                <w:i/>
                <w:sz w:val="18"/>
                <w:szCs w:val="18"/>
              </w:rPr>
              <w:t xml:space="preserve">boj proti rodovo podmienenému násiliu a obchodovaniu s ľuďmi, </w:t>
            </w:r>
          </w:p>
          <w:p w:rsidR="00970BC1" w:rsidRPr="00CD4982" w:rsidRDefault="00970BC1" w:rsidP="00970BC1">
            <w:pPr>
              <w:widowControl/>
              <w:numPr>
                <w:ilvl w:val="0"/>
                <w:numId w:val="3"/>
              </w:numPr>
              <w:adjustRightInd/>
              <w:jc w:val="both"/>
              <w:rPr>
                <w:i/>
                <w:sz w:val="18"/>
                <w:szCs w:val="18"/>
              </w:rPr>
            </w:pPr>
            <w:r w:rsidRPr="00CD4982">
              <w:rPr>
                <w:i/>
                <w:sz w:val="18"/>
                <w:szCs w:val="18"/>
              </w:rPr>
              <w:t>eliminácia rodových stereotypov.</w:t>
            </w:r>
          </w:p>
        </w:tc>
        <w:tc>
          <w:tcPr>
            <w:tcW w:w="3007" w:type="pct"/>
          </w:tcPr>
          <w:p w:rsidR="00970BC1" w:rsidRDefault="00970BC1" w:rsidP="00F42949">
            <w:pPr>
              <w:rPr>
                <w:sz w:val="20"/>
              </w:rPr>
            </w:pPr>
          </w:p>
          <w:p w:rsidR="00970BC1" w:rsidRPr="0040544D" w:rsidRDefault="00970BC1" w:rsidP="00F42949">
            <w:pPr>
              <w:rPr>
                <w:sz w:val="20"/>
              </w:rPr>
            </w:pPr>
          </w:p>
          <w:p w:rsidR="00970BC1" w:rsidRDefault="00970BC1" w:rsidP="00F42949">
            <w:pPr>
              <w:rPr>
                <w:sz w:val="20"/>
              </w:rPr>
            </w:pPr>
          </w:p>
          <w:p w:rsidR="00970BC1" w:rsidRDefault="00970BC1" w:rsidP="00F42949">
            <w:pPr>
              <w:rPr>
                <w:sz w:val="20"/>
              </w:rPr>
            </w:pPr>
          </w:p>
          <w:p w:rsidR="00970BC1" w:rsidRDefault="00970BC1" w:rsidP="00F42949">
            <w:pPr>
              <w:rPr>
                <w:sz w:val="20"/>
              </w:rPr>
            </w:pPr>
          </w:p>
          <w:p w:rsidR="00970BC1" w:rsidRPr="00CA6BAF" w:rsidRDefault="00970BC1" w:rsidP="00F42949">
            <w:pPr>
              <w:rPr>
                <w:sz w:val="20"/>
              </w:rPr>
            </w:pPr>
          </w:p>
        </w:tc>
      </w:tr>
    </w:tbl>
    <w:p w:rsidR="00970BC1" w:rsidRDefault="00970BC1" w:rsidP="00970BC1">
      <w:pPr>
        <w:rPr>
          <w:b/>
        </w:rPr>
        <w:sectPr w:rsidR="00970BC1" w:rsidSect="00F4294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970BC1" w:rsidRPr="00CD4982" w:rsidTr="00F42949">
        <w:trPr>
          <w:jc w:val="center"/>
        </w:trPr>
        <w:tc>
          <w:tcPr>
            <w:tcW w:w="5000" w:type="pct"/>
            <w:shd w:val="clear" w:color="auto" w:fill="D9D9D9"/>
          </w:tcPr>
          <w:p w:rsidR="00970BC1" w:rsidRPr="00994C53" w:rsidRDefault="00970BC1" w:rsidP="00F42949">
            <w:pPr>
              <w:rPr>
                <w:b/>
              </w:rPr>
            </w:pPr>
            <w:r w:rsidRPr="00CD4982">
              <w:rPr>
                <w:b/>
              </w:rPr>
              <w:t xml:space="preserve">4.4 </w:t>
            </w:r>
            <w:r w:rsidRPr="00994C53">
              <w:rPr>
                <w:b/>
              </w:rPr>
              <w:t>Identifikujte, popíšte a kvantifikujte vplyvy na zamestnanosť a na trh práce.</w:t>
            </w:r>
          </w:p>
          <w:p w:rsidR="00970BC1" w:rsidRPr="00994C53" w:rsidRDefault="00970BC1" w:rsidP="00F42949">
            <w:pPr>
              <w:jc w:val="both"/>
              <w:rPr>
                <w:i/>
              </w:rPr>
            </w:pPr>
            <w:r w:rsidRPr="00994C53">
              <w:rPr>
                <w:i/>
              </w:rPr>
              <w:t xml:space="preserve">V prípade kladnej odpovede pripojte </w:t>
            </w:r>
            <w:r w:rsidRPr="00994C53">
              <w:rPr>
                <w:b/>
                <w:i/>
              </w:rPr>
              <w:t>odôvodnenie</w:t>
            </w:r>
            <w:r w:rsidRPr="00994C53">
              <w:rPr>
                <w:i/>
              </w:rPr>
              <w:t xml:space="preserve"> v súlade s Metodickým postupom pre analýzu sociálnych vplyvov.</w:t>
            </w:r>
          </w:p>
        </w:tc>
      </w:tr>
    </w:tbl>
    <w:p w:rsidR="00970BC1" w:rsidRDefault="00970BC1" w:rsidP="00970BC1">
      <w:pPr>
        <w:rPr>
          <w:i/>
          <w:sz w:val="20"/>
        </w:rPr>
        <w:sectPr w:rsidR="00970BC1" w:rsidSect="00F4294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113"/>
        <w:gridCol w:w="6205"/>
      </w:tblGrid>
      <w:tr w:rsidR="00970BC1" w:rsidRPr="00994C53" w:rsidTr="00F42949">
        <w:trPr>
          <w:trHeight w:val="287"/>
          <w:jc w:val="center"/>
        </w:trPr>
        <w:tc>
          <w:tcPr>
            <w:tcW w:w="5000" w:type="pct"/>
            <w:gridSpan w:val="2"/>
            <w:tcBorders>
              <w:top w:val="nil"/>
            </w:tcBorders>
            <w:shd w:val="clear" w:color="auto" w:fill="F2F2F2"/>
          </w:tcPr>
          <w:p w:rsidR="00970BC1" w:rsidRPr="00994C53" w:rsidRDefault="00970BC1" w:rsidP="00F42949">
            <w:pPr>
              <w:rPr>
                <w:i/>
                <w:sz w:val="20"/>
                <w:szCs w:val="20"/>
              </w:rPr>
            </w:pPr>
            <w:r w:rsidRPr="00994C53">
              <w:rPr>
                <w:i/>
                <w:sz w:val="20"/>
                <w:szCs w:val="20"/>
              </w:rPr>
              <w:lastRenderedPageBreak/>
              <w:t>Uľahčuje návrh vznik nových pracovných miest? Ak áno, ako? Ak je to možné, doplňte kvantifikáciu.</w:t>
            </w:r>
          </w:p>
        </w:tc>
      </w:tr>
      <w:tr w:rsidR="00970BC1" w:rsidRPr="00994C53" w:rsidTr="00F42949">
        <w:trPr>
          <w:trHeight w:val="567"/>
          <w:jc w:val="center"/>
        </w:trPr>
        <w:tc>
          <w:tcPr>
            <w:tcW w:w="1993" w:type="pct"/>
            <w:tcBorders>
              <w:top w:val="nil"/>
            </w:tcBorders>
            <w:shd w:val="clear" w:color="auto" w:fill="FFFFFF"/>
          </w:tcPr>
          <w:p w:rsidR="00970BC1" w:rsidRPr="00994C53" w:rsidRDefault="00970BC1" w:rsidP="00F42949">
            <w:pPr>
              <w:rPr>
                <w:i/>
                <w:sz w:val="18"/>
                <w:szCs w:val="18"/>
              </w:rPr>
            </w:pPr>
            <w:r w:rsidRPr="00994C53">
              <w:rPr>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970BC1" w:rsidRDefault="00970BC1" w:rsidP="00F42949">
            <w:pPr>
              <w:jc w:val="both"/>
              <w:rPr>
                <w:sz w:val="20"/>
                <w:szCs w:val="18"/>
              </w:rPr>
            </w:pPr>
            <w:r>
              <w:rPr>
                <w:sz w:val="20"/>
                <w:szCs w:val="18"/>
              </w:rPr>
              <w:t xml:space="preserve">Návrhom sa predpokladá zvýšenie pracovných príležitostí pre malých a stredných podnikateľov a veľké podniky, remeselníkov najmä v oblasti stavebníctva, a to aj v regiónoch s vysokou mierou nezamestnanosti. </w:t>
            </w:r>
          </w:p>
          <w:p w:rsidR="00970BC1" w:rsidRDefault="00970BC1" w:rsidP="00F42949">
            <w:pPr>
              <w:jc w:val="both"/>
              <w:rPr>
                <w:sz w:val="20"/>
                <w:szCs w:val="18"/>
              </w:rPr>
            </w:pPr>
            <w:r>
              <w:rPr>
                <w:sz w:val="20"/>
                <w:szCs w:val="18"/>
              </w:rPr>
              <w:t xml:space="preserve">Návrh zákona </w:t>
            </w:r>
            <w:r w:rsidRPr="00C17489">
              <w:rPr>
                <w:sz w:val="20"/>
                <w:szCs w:val="18"/>
              </w:rPr>
              <w:t>zavád</w:t>
            </w:r>
            <w:r>
              <w:rPr>
                <w:sz w:val="20"/>
                <w:szCs w:val="18"/>
              </w:rPr>
              <w:t>za nový</w:t>
            </w:r>
            <w:r w:rsidRPr="00C17489">
              <w:rPr>
                <w:sz w:val="20"/>
                <w:szCs w:val="18"/>
              </w:rPr>
              <w:t xml:space="preserve"> účel</w:t>
            </w:r>
            <w:r>
              <w:rPr>
                <w:sz w:val="20"/>
                <w:szCs w:val="18"/>
              </w:rPr>
              <w:t>, resp.</w:t>
            </w:r>
            <w:r w:rsidRPr="00C17489">
              <w:rPr>
                <w:sz w:val="20"/>
                <w:szCs w:val="18"/>
              </w:rPr>
              <w:t xml:space="preserve"> </w:t>
            </w:r>
            <w:r>
              <w:rPr>
                <w:sz w:val="20"/>
                <w:szCs w:val="18"/>
              </w:rPr>
              <w:t>rozširuje okruh žiadateľov pre účel zariadení sociálnych služieb. V súčasnosti nie je</w:t>
            </w:r>
            <w:r w:rsidRPr="00C17489">
              <w:rPr>
                <w:sz w:val="20"/>
                <w:szCs w:val="18"/>
              </w:rPr>
              <w:t xml:space="preserve"> možné predpokladať, koľko žiadat</w:t>
            </w:r>
            <w:r>
              <w:rPr>
                <w:sz w:val="20"/>
                <w:szCs w:val="18"/>
              </w:rPr>
              <w:t xml:space="preserve">eľov využije tento druh podpory a preto nie je možné kvantifikovať vznik nových pracovných miest. </w:t>
            </w:r>
          </w:p>
          <w:p w:rsidR="00970BC1" w:rsidRPr="00A30F1C" w:rsidRDefault="00970BC1" w:rsidP="00F42949">
            <w:pPr>
              <w:jc w:val="both"/>
              <w:rPr>
                <w:sz w:val="20"/>
                <w:szCs w:val="18"/>
              </w:rPr>
            </w:pPr>
          </w:p>
        </w:tc>
      </w:tr>
      <w:tr w:rsidR="00970BC1" w:rsidRPr="00994C53" w:rsidTr="00F42949">
        <w:trPr>
          <w:trHeight w:val="270"/>
          <w:jc w:val="center"/>
        </w:trPr>
        <w:tc>
          <w:tcPr>
            <w:tcW w:w="5000" w:type="pct"/>
            <w:gridSpan w:val="2"/>
            <w:shd w:val="clear" w:color="auto" w:fill="F2F2F2"/>
          </w:tcPr>
          <w:p w:rsidR="00970BC1" w:rsidRPr="00994C53" w:rsidRDefault="00970BC1" w:rsidP="00F42949">
            <w:pPr>
              <w:rPr>
                <w:i/>
                <w:sz w:val="20"/>
                <w:szCs w:val="20"/>
              </w:rPr>
            </w:pPr>
            <w:r w:rsidRPr="00994C53">
              <w:rPr>
                <w:i/>
                <w:sz w:val="20"/>
                <w:szCs w:val="20"/>
              </w:rPr>
              <w:t>Vedie návrh k zániku pracovných miest?</w:t>
            </w:r>
            <w:r w:rsidRPr="00994C53">
              <w:rPr>
                <w:sz w:val="20"/>
                <w:szCs w:val="20"/>
              </w:rPr>
              <w:t xml:space="preserve"> </w:t>
            </w:r>
            <w:r w:rsidRPr="00994C53">
              <w:rPr>
                <w:i/>
                <w:sz w:val="20"/>
                <w:szCs w:val="20"/>
              </w:rPr>
              <w:t>Ak áno, ako a akých? Ak je to možné, doplňte kvantifikáciu.</w:t>
            </w:r>
          </w:p>
        </w:tc>
      </w:tr>
      <w:tr w:rsidR="00970BC1" w:rsidRPr="00994C53" w:rsidTr="00F42949">
        <w:trPr>
          <w:trHeight w:val="454"/>
          <w:jc w:val="center"/>
        </w:trPr>
        <w:tc>
          <w:tcPr>
            <w:tcW w:w="1993" w:type="pct"/>
            <w:shd w:val="clear" w:color="auto" w:fill="FFFFFF"/>
          </w:tcPr>
          <w:p w:rsidR="00970BC1" w:rsidRPr="00994C53" w:rsidRDefault="00970BC1" w:rsidP="00F42949">
            <w:pPr>
              <w:rPr>
                <w:i/>
                <w:sz w:val="18"/>
                <w:szCs w:val="18"/>
              </w:rPr>
            </w:pPr>
            <w:r w:rsidRPr="00994C53">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970BC1" w:rsidRPr="00A30F1C" w:rsidRDefault="00970BC1" w:rsidP="00F42949">
            <w:pPr>
              <w:rPr>
                <w:sz w:val="20"/>
                <w:szCs w:val="18"/>
              </w:rPr>
            </w:pPr>
          </w:p>
        </w:tc>
      </w:tr>
      <w:tr w:rsidR="00970BC1" w:rsidRPr="00994C53" w:rsidTr="00F42949">
        <w:trPr>
          <w:trHeight w:val="248"/>
          <w:jc w:val="center"/>
        </w:trPr>
        <w:tc>
          <w:tcPr>
            <w:tcW w:w="5000" w:type="pct"/>
            <w:gridSpan w:val="2"/>
            <w:shd w:val="clear" w:color="auto" w:fill="F2F2F2"/>
          </w:tcPr>
          <w:p w:rsidR="00970BC1" w:rsidRPr="00994C53" w:rsidRDefault="00970BC1" w:rsidP="00F42949">
            <w:pPr>
              <w:rPr>
                <w:sz w:val="20"/>
                <w:szCs w:val="20"/>
              </w:rPr>
            </w:pPr>
            <w:r w:rsidRPr="00994C53">
              <w:rPr>
                <w:i/>
                <w:sz w:val="20"/>
                <w:szCs w:val="20"/>
              </w:rPr>
              <w:t>Ovplyvňuje návrh dopyt po práci?</w:t>
            </w:r>
            <w:r w:rsidRPr="00994C53">
              <w:rPr>
                <w:sz w:val="20"/>
                <w:szCs w:val="20"/>
              </w:rPr>
              <w:t xml:space="preserve"> </w:t>
            </w:r>
            <w:r w:rsidRPr="00994C53">
              <w:rPr>
                <w:i/>
                <w:sz w:val="20"/>
                <w:szCs w:val="20"/>
              </w:rPr>
              <w:t>Ak áno, ako?</w:t>
            </w:r>
          </w:p>
        </w:tc>
      </w:tr>
      <w:tr w:rsidR="00970BC1" w:rsidRPr="00994C53" w:rsidTr="00F42949">
        <w:trPr>
          <w:trHeight w:val="209"/>
          <w:jc w:val="center"/>
        </w:trPr>
        <w:tc>
          <w:tcPr>
            <w:tcW w:w="1993" w:type="pct"/>
            <w:shd w:val="clear" w:color="auto" w:fill="FFFFFF"/>
          </w:tcPr>
          <w:p w:rsidR="00970BC1" w:rsidRPr="00994C53" w:rsidRDefault="00970BC1" w:rsidP="00F42949">
            <w:pPr>
              <w:rPr>
                <w:i/>
                <w:sz w:val="18"/>
                <w:szCs w:val="18"/>
              </w:rPr>
            </w:pPr>
            <w:r w:rsidRPr="00994C53">
              <w:rPr>
                <w:i/>
                <w:sz w:val="18"/>
                <w:szCs w:val="18"/>
              </w:rPr>
              <w:t>Dopyt po práci závisí na jednej strane na produkcii tovarov a služieb v ekonomike a na druhej strane na cene práce.</w:t>
            </w:r>
          </w:p>
        </w:tc>
        <w:tc>
          <w:tcPr>
            <w:tcW w:w="3007" w:type="pct"/>
            <w:shd w:val="clear" w:color="auto" w:fill="FFFFFF"/>
          </w:tcPr>
          <w:p w:rsidR="00970BC1" w:rsidRPr="00A30F1C" w:rsidRDefault="00970BC1" w:rsidP="00F42949">
            <w:pPr>
              <w:rPr>
                <w:sz w:val="20"/>
                <w:szCs w:val="18"/>
              </w:rPr>
            </w:pPr>
          </w:p>
        </w:tc>
      </w:tr>
      <w:tr w:rsidR="00970BC1" w:rsidRPr="00994C53" w:rsidTr="00F42949">
        <w:trPr>
          <w:trHeight w:val="208"/>
          <w:jc w:val="center"/>
        </w:trPr>
        <w:tc>
          <w:tcPr>
            <w:tcW w:w="5000" w:type="pct"/>
            <w:gridSpan w:val="2"/>
            <w:shd w:val="clear" w:color="auto" w:fill="F2F2F2"/>
          </w:tcPr>
          <w:p w:rsidR="00970BC1" w:rsidRPr="00994C53" w:rsidRDefault="00970BC1" w:rsidP="00F42949">
            <w:pPr>
              <w:rPr>
                <w:sz w:val="20"/>
                <w:szCs w:val="20"/>
              </w:rPr>
            </w:pPr>
            <w:r w:rsidRPr="00994C53">
              <w:rPr>
                <w:i/>
                <w:sz w:val="20"/>
                <w:szCs w:val="20"/>
              </w:rPr>
              <w:t>Má návrh dosah na fungovanie trhu práce?</w:t>
            </w:r>
            <w:r w:rsidRPr="00994C53">
              <w:rPr>
                <w:sz w:val="20"/>
                <w:szCs w:val="20"/>
              </w:rPr>
              <w:t xml:space="preserve"> </w:t>
            </w:r>
            <w:r w:rsidRPr="00994C53">
              <w:rPr>
                <w:i/>
                <w:sz w:val="20"/>
                <w:szCs w:val="20"/>
              </w:rPr>
              <w:t>Ak áno, aký?</w:t>
            </w:r>
          </w:p>
        </w:tc>
      </w:tr>
      <w:tr w:rsidR="00970BC1" w:rsidRPr="00994C53" w:rsidTr="00F42949">
        <w:trPr>
          <w:trHeight w:val="794"/>
          <w:jc w:val="center"/>
        </w:trPr>
        <w:tc>
          <w:tcPr>
            <w:tcW w:w="1993" w:type="pct"/>
            <w:shd w:val="clear" w:color="auto" w:fill="FFFFFF"/>
          </w:tcPr>
          <w:p w:rsidR="00970BC1" w:rsidRPr="00994C53" w:rsidRDefault="00970BC1" w:rsidP="00F42949">
            <w:pPr>
              <w:rPr>
                <w:i/>
                <w:sz w:val="18"/>
                <w:szCs w:val="18"/>
              </w:rPr>
            </w:pPr>
            <w:r w:rsidRPr="00994C53">
              <w:rPr>
                <w:i/>
                <w:sz w:val="18"/>
                <w:szCs w:val="18"/>
              </w:rPr>
              <w:t>Týka sa makroekonomických dosahov ako je napr. participácia na trhu práce, dlhodobá nezamestnanosť, regionálne rozdiely v mierach zamestnanosti.</w:t>
            </w:r>
            <w:r w:rsidRPr="00994C53">
              <w:rPr>
                <w:sz w:val="18"/>
                <w:szCs w:val="18"/>
              </w:rPr>
              <w:t xml:space="preserve"> </w:t>
            </w:r>
            <w:r w:rsidRPr="00994C53">
              <w:rPr>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970BC1" w:rsidRPr="00A30F1C" w:rsidRDefault="00970BC1" w:rsidP="00F42949">
            <w:pPr>
              <w:rPr>
                <w:sz w:val="20"/>
                <w:szCs w:val="18"/>
              </w:rPr>
            </w:pPr>
          </w:p>
        </w:tc>
      </w:tr>
      <w:tr w:rsidR="00970BC1" w:rsidRPr="00994C53" w:rsidTr="00F42949">
        <w:trPr>
          <w:trHeight w:val="324"/>
          <w:jc w:val="center"/>
        </w:trPr>
        <w:tc>
          <w:tcPr>
            <w:tcW w:w="5000" w:type="pct"/>
            <w:gridSpan w:val="2"/>
            <w:shd w:val="clear" w:color="auto" w:fill="F2F2F2"/>
          </w:tcPr>
          <w:p w:rsidR="00970BC1" w:rsidRPr="00994C53" w:rsidRDefault="00970BC1" w:rsidP="00F42949">
            <w:pPr>
              <w:rPr>
                <w:sz w:val="20"/>
                <w:szCs w:val="20"/>
              </w:rPr>
            </w:pPr>
            <w:r w:rsidRPr="00994C53">
              <w:rPr>
                <w:i/>
                <w:sz w:val="20"/>
                <w:szCs w:val="20"/>
              </w:rPr>
              <w:t>Má návrh špecifické negatívne dôsledky pre isté skupiny profesií, skupín zamestnancov či živnostníkov?</w:t>
            </w:r>
            <w:r w:rsidRPr="00994C53">
              <w:rPr>
                <w:sz w:val="20"/>
                <w:szCs w:val="20"/>
              </w:rPr>
              <w:t xml:space="preserve"> </w:t>
            </w:r>
            <w:r w:rsidRPr="00994C53">
              <w:rPr>
                <w:i/>
                <w:sz w:val="20"/>
                <w:szCs w:val="20"/>
              </w:rPr>
              <w:t>Ak áno, aké a pre ktoré skupiny?</w:t>
            </w:r>
          </w:p>
        </w:tc>
      </w:tr>
      <w:tr w:rsidR="00970BC1" w:rsidRPr="00994C53" w:rsidTr="00F42949">
        <w:trPr>
          <w:trHeight w:val="216"/>
          <w:jc w:val="center"/>
        </w:trPr>
        <w:tc>
          <w:tcPr>
            <w:tcW w:w="1993" w:type="pct"/>
            <w:shd w:val="clear" w:color="auto" w:fill="FFFFFF"/>
          </w:tcPr>
          <w:p w:rsidR="00970BC1" w:rsidRPr="00994C53" w:rsidRDefault="00970BC1" w:rsidP="00F42949">
            <w:pPr>
              <w:rPr>
                <w:i/>
                <w:sz w:val="18"/>
                <w:szCs w:val="18"/>
              </w:rPr>
            </w:pPr>
            <w:r w:rsidRPr="00994C53">
              <w:rPr>
                <w:i/>
                <w:sz w:val="18"/>
                <w:szCs w:val="18"/>
              </w:rPr>
              <w:t>Návrh môže ohrozovať napr. pracovníkov istých profesií favorizovaním špecifických aktivít či technológií.</w:t>
            </w:r>
          </w:p>
        </w:tc>
        <w:tc>
          <w:tcPr>
            <w:tcW w:w="3007" w:type="pct"/>
            <w:shd w:val="clear" w:color="auto" w:fill="FFFFFF"/>
          </w:tcPr>
          <w:p w:rsidR="00970BC1" w:rsidRPr="00A30F1C" w:rsidRDefault="00970BC1" w:rsidP="00F42949">
            <w:pPr>
              <w:rPr>
                <w:sz w:val="20"/>
                <w:szCs w:val="18"/>
              </w:rPr>
            </w:pPr>
          </w:p>
        </w:tc>
      </w:tr>
      <w:tr w:rsidR="00970BC1" w:rsidRPr="00994C53" w:rsidTr="00F42949">
        <w:trPr>
          <w:trHeight w:val="219"/>
          <w:jc w:val="center"/>
        </w:trPr>
        <w:tc>
          <w:tcPr>
            <w:tcW w:w="5000" w:type="pct"/>
            <w:gridSpan w:val="2"/>
            <w:shd w:val="clear" w:color="auto" w:fill="F2F2F2"/>
          </w:tcPr>
          <w:p w:rsidR="00970BC1" w:rsidRPr="00994C53" w:rsidRDefault="00970BC1" w:rsidP="00F42949">
            <w:pPr>
              <w:rPr>
                <w:sz w:val="20"/>
                <w:szCs w:val="20"/>
              </w:rPr>
            </w:pPr>
            <w:r w:rsidRPr="00994C53">
              <w:rPr>
                <w:i/>
                <w:sz w:val="20"/>
                <w:szCs w:val="20"/>
              </w:rPr>
              <w:t>Ovplyvňuje návrh špecifické vekové skupiny zamestnancov? Ak áno, aké? Akým spôsobom?</w:t>
            </w:r>
          </w:p>
        </w:tc>
      </w:tr>
      <w:tr w:rsidR="00970BC1" w:rsidRPr="00994C53" w:rsidTr="00F42949">
        <w:trPr>
          <w:trHeight w:val="497"/>
          <w:jc w:val="center"/>
        </w:trPr>
        <w:tc>
          <w:tcPr>
            <w:tcW w:w="1993" w:type="pct"/>
            <w:shd w:val="clear" w:color="auto" w:fill="FFFFFF"/>
          </w:tcPr>
          <w:p w:rsidR="00970BC1" w:rsidRPr="00994C53" w:rsidRDefault="00970BC1" w:rsidP="00F42949">
            <w:pPr>
              <w:rPr>
                <w:i/>
                <w:sz w:val="18"/>
                <w:szCs w:val="18"/>
              </w:rPr>
            </w:pPr>
            <w:r w:rsidRPr="00994C53">
              <w:rPr>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970BC1" w:rsidRPr="00A30F1C" w:rsidRDefault="00970BC1" w:rsidP="00F42949">
            <w:pPr>
              <w:rPr>
                <w:sz w:val="20"/>
                <w:szCs w:val="18"/>
              </w:rPr>
            </w:pPr>
          </w:p>
        </w:tc>
      </w:tr>
    </w:tbl>
    <w:p w:rsidR="00970BC1" w:rsidRDefault="00970BC1" w:rsidP="00970BC1">
      <w:pPr>
        <w:jc w:val="center"/>
        <w:outlineLvl w:val="0"/>
      </w:pPr>
    </w:p>
    <w:p w:rsidR="009B2D06" w:rsidRDefault="009B2D06"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Pr="00970BC1" w:rsidRDefault="00970BC1" w:rsidP="00970BC1">
      <w:pPr>
        <w:autoSpaceDE w:val="0"/>
        <w:autoSpaceDN w:val="0"/>
        <w:ind w:right="143"/>
        <w:jc w:val="center"/>
        <w:rPr>
          <w:b/>
          <w:caps/>
          <w:spacing w:val="30"/>
        </w:rPr>
      </w:pPr>
      <w:r w:rsidRPr="00970BC1">
        <w:rPr>
          <w:b/>
          <w:caps/>
          <w:spacing w:val="30"/>
        </w:rPr>
        <w:lastRenderedPageBreak/>
        <w:t>Doložka zlučiteľnosti</w:t>
      </w:r>
    </w:p>
    <w:p w:rsidR="00970BC1" w:rsidRPr="00970BC1" w:rsidRDefault="00970BC1" w:rsidP="00970BC1">
      <w:pPr>
        <w:autoSpaceDE w:val="0"/>
        <w:autoSpaceDN w:val="0"/>
        <w:ind w:right="143"/>
        <w:jc w:val="center"/>
        <w:rPr>
          <w:b/>
        </w:rPr>
      </w:pPr>
      <w:r w:rsidRPr="00970BC1">
        <w:rPr>
          <w:b/>
        </w:rPr>
        <w:t xml:space="preserve"> návrhu zákona s právom Európskej únie </w:t>
      </w:r>
    </w:p>
    <w:p w:rsidR="00970BC1" w:rsidRPr="00970BC1" w:rsidRDefault="00970BC1" w:rsidP="00970BC1">
      <w:pPr>
        <w:autoSpaceDE w:val="0"/>
        <w:autoSpaceDN w:val="0"/>
        <w:ind w:right="143"/>
      </w:pPr>
    </w:p>
    <w:p w:rsidR="00970BC1" w:rsidRPr="00970BC1" w:rsidRDefault="00970BC1" w:rsidP="00970BC1">
      <w:pPr>
        <w:autoSpaceDE w:val="0"/>
        <w:autoSpaceDN w:val="0"/>
        <w:ind w:right="143"/>
      </w:pPr>
      <w:r w:rsidRPr="00970BC1">
        <w:t xml:space="preserve">    </w:t>
      </w:r>
    </w:p>
    <w:p w:rsidR="00970BC1" w:rsidRPr="00970BC1" w:rsidRDefault="00970BC1" w:rsidP="00970BC1">
      <w:pPr>
        <w:numPr>
          <w:ilvl w:val="0"/>
          <w:numId w:val="4"/>
        </w:numPr>
        <w:autoSpaceDE w:val="0"/>
        <w:autoSpaceDN w:val="0"/>
        <w:ind w:left="360" w:right="143"/>
        <w:contextualSpacing/>
        <w:rPr>
          <w:b/>
        </w:rPr>
      </w:pPr>
      <w:r w:rsidRPr="00970BC1">
        <w:rPr>
          <w:b/>
        </w:rPr>
        <w:t>Navrhovateľ zákona:</w:t>
      </w:r>
      <w:r w:rsidRPr="00970BC1">
        <w:t xml:space="preserve"> </w:t>
      </w:r>
    </w:p>
    <w:p w:rsidR="00970BC1" w:rsidRPr="00970BC1" w:rsidRDefault="00970BC1" w:rsidP="00970BC1">
      <w:pPr>
        <w:tabs>
          <w:tab w:val="left" w:pos="284"/>
          <w:tab w:val="left" w:pos="426"/>
        </w:tabs>
        <w:autoSpaceDE w:val="0"/>
        <w:autoSpaceDN w:val="0"/>
        <w:spacing w:before="120"/>
        <w:ind w:right="142"/>
        <w:rPr>
          <w:b/>
        </w:rPr>
      </w:pPr>
      <w:r w:rsidRPr="00970BC1">
        <w:tab/>
        <w:t>Ministerstvo dopravy a výstavby Slovenskej republiky</w:t>
      </w:r>
      <w:r w:rsidRPr="00970BC1">
        <w:rPr>
          <w:b/>
        </w:rPr>
        <w:t xml:space="preserve"> </w:t>
      </w:r>
    </w:p>
    <w:p w:rsidR="00970BC1" w:rsidRPr="00970BC1" w:rsidRDefault="00970BC1" w:rsidP="00970BC1">
      <w:pPr>
        <w:tabs>
          <w:tab w:val="left" w:pos="360"/>
        </w:tabs>
        <w:autoSpaceDE w:val="0"/>
        <w:autoSpaceDN w:val="0"/>
        <w:ind w:left="360" w:right="143"/>
      </w:pPr>
      <w:r w:rsidRPr="00970BC1">
        <w:t xml:space="preserve"> </w:t>
      </w:r>
    </w:p>
    <w:p w:rsidR="00970BC1" w:rsidRPr="00970BC1" w:rsidRDefault="00970BC1" w:rsidP="00970BC1">
      <w:pPr>
        <w:autoSpaceDE w:val="0"/>
        <w:autoSpaceDN w:val="0"/>
        <w:ind w:left="360" w:right="143" w:hanging="360"/>
      </w:pPr>
      <w:r w:rsidRPr="00970BC1">
        <w:rPr>
          <w:b/>
        </w:rPr>
        <w:t>2.  Názov návrhu zákona:</w:t>
      </w:r>
      <w:r w:rsidRPr="00970BC1">
        <w:t xml:space="preserve"> </w:t>
      </w:r>
    </w:p>
    <w:p w:rsidR="00970BC1" w:rsidRPr="00970BC1" w:rsidRDefault="00970BC1" w:rsidP="00970BC1">
      <w:pPr>
        <w:autoSpaceDE w:val="0"/>
        <w:autoSpaceDN w:val="0"/>
        <w:spacing w:before="120"/>
        <w:ind w:left="357" w:right="142"/>
        <w:jc w:val="both"/>
      </w:pPr>
      <w:r w:rsidRPr="00970BC1">
        <w:t xml:space="preserve">Zákon z  ....  2019, ktorým sa mení a dopĺňa zákon č. 150/2013 Z. z. o Štátnom fonde rozvoja bývania v znení neskorších predpisov </w:t>
      </w:r>
      <w:r w:rsidRPr="00970BC1">
        <w:rPr>
          <w:bCs/>
          <w:lang w:val="ru-RU"/>
        </w:rPr>
        <w:t>a </w:t>
      </w:r>
      <w:r w:rsidRPr="00970BC1">
        <w:rPr>
          <w:bCs/>
        </w:rPr>
        <w:t xml:space="preserve">ktorým sa </w:t>
      </w:r>
      <w:r w:rsidRPr="00970BC1">
        <w:rPr>
          <w:bCs/>
          <w:lang w:val="ru-RU"/>
        </w:rPr>
        <w:t>menia a dopĺňajú niektoré zákony</w:t>
      </w:r>
    </w:p>
    <w:p w:rsidR="00970BC1" w:rsidRPr="00970BC1" w:rsidRDefault="00970BC1" w:rsidP="00970BC1">
      <w:pPr>
        <w:autoSpaceDE w:val="0"/>
        <w:autoSpaceDN w:val="0"/>
        <w:ind w:right="143"/>
      </w:pPr>
    </w:p>
    <w:p w:rsidR="00970BC1" w:rsidRPr="00970BC1" w:rsidRDefault="00970BC1" w:rsidP="00970BC1">
      <w:pPr>
        <w:autoSpaceDE w:val="0"/>
        <w:autoSpaceDN w:val="0"/>
        <w:ind w:left="360" w:right="143" w:hanging="360"/>
        <w:rPr>
          <w:b/>
        </w:rPr>
      </w:pPr>
      <w:r w:rsidRPr="00970BC1">
        <w:rPr>
          <w:b/>
        </w:rPr>
        <w:t>3. Predmet návrhu zákona je upravený v práve Európskej únie:</w:t>
      </w:r>
    </w:p>
    <w:p w:rsidR="00970BC1" w:rsidRPr="00970BC1" w:rsidRDefault="00970BC1" w:rsidP="00970BC1">
      <w:pPr>
        <w:autoSpaceDE w:val="0"/>
        <w:autoSpaceDN w:val="0"/>
        <w:ind w:right="143" w:firstLine="360"/>
      </w:pPr>
    </w:p>
    <w:p w:rsidR="00970BC1" w:rsidRPr="00970BC1" w:rsidRDefault="00970BC1" w:rsidP="00970BC1">
      <w:pPr>
        <w:numPr>
          <w:ilvl w:val="0"/>
          <w:numId w:val="5"/>
        </w:numPr>
        <w:autoSpaceDE w:val="0"/>
        <w:autoSpaceDN w:val="0"/>
        <w:ind w:right="143"/>
        <w:contextualSpacing/>
      </w:pPr>
      <w:r w:rsidRPr="00970BC1">
        <w:t>v primárnom práve,</w:t>
      </w:r>
    </w:p>
    <w:p w:rsidR="00970BC1" w:rsidRPr="00970BC1" w:rsidRDefault="00970BC1" w:rsidP="00970BC1">
      <w:pPr>
        <w:numPr>
          <w:ilvl w:val="0"/>
          <w:numId w:val="9"/>
        </w:numPr>
        <w:autoSpaceDE w:val="0"/>
        <w:autoSpaceDN w:val="0"/>
        <w:ind w:left="1134" w:right="143" w:hanging="283"/>
        <w:jc w:val="both"/>
      </w:pPr>
      <w:r w:rsidRPr="00970BC1">
        <w:t>čl. 18, 107 až 109 a 174 až 178 Zmluvy o fungovaní Európskej únie (Ú. v. EÚ C 326, 26.10.2012),</w:t>
      </w:r>
    </w:p>
    <w:p w:rsidR="00970BC1" w:rsidRPr="00970BC1" w:rsidRDefault="00970BC1" w:rsidP="00970BC1">
      <w:pPr>
        <w:numPr>
          <w:ilvl w:val="0"/>
          <w:numId w:val="9"/>
        </w:numPr>
        <w:autoSpaceDE w:val="0"/>
        <w:autoSpaceDN w:val="0"/>
        <w:ind w:left="1134" w:right="143" w:hanging="283"/>
        <w:jc w:val="both"/>
      </w:pPr>
      <w:r w:rsidRPr="00970BC1">
        <w:t>čl. 2, 6 a 9 Zmluvy o Európskej únii (Ú. v. EÚ C 326, 26.10.2012),</w:t>
      </w:r>
    </w:p>
    <w:p w:rsidR="00970BC1" w:rsidRPr="00970BC1" w:rsidRDefault="00970BC1" w:rsidP="00970BC1">
      <w:pPr>
        <w:numPr>
          <w:ilvl w:val="0"/>
          <w:numId w:val="9"/>
        </w:numPr>
        <w:autoSpaceDE w:val="0"/>
        <w:autoSpaceDN w:val="0"/>
        <w:ind w:left="1134" w:right="143" w:hanging="283"/>
        <w:jc w:val="both"/>
      </w:pPr>
      <w:r w:rsidRPr="00970BC1">
        <w:t>čl. 20 a 21 Charty základných práv Európskej únie (Ú. v. EÚ C 326, 26.10.2012)</w:t>
      </w:r>
    </w:p>
    <w:p w:rsidR="00970BC1" w:rsidRPr="00970BC1" w:rsidRDefault="00970BC1" w:rsidP="00970BC1">
      <w:pPr>
        <w:numPr>
          <w:ilvl w:val="0"/>
          <w:numId w:val="5"/>
        </w:numPr>
        <w:autoSpaceDE w:val="0"/>
        <w:autoSpaceDN w:val="0"/>
        <w:spacing w:before="120"/>
        <w:ind w:left="714" w:right="142" w:hanging="357"/>
        <w:contextualSpacing/>
      </w:pPr>
      <w:r w:rsidRPr="00970BC1">
        <w:t>v sekundárnom práve,</w:t>
      </w:r>
    </w:p>
    <w:p w:rsidR="00970BC1" w:rsidRPr="00970BC1" w:rsidRDefault="00970BC1" w:rsidP="00970BC1">
      <w:pPr>
        <w:numPr>
          <w:ilvl w:val="0"/>
          <w:numId w:val="6"/>
        </w:numPr>
        <w:autoSpaceDE w:val="0"/>
        <w:autoSpaceDN w:val="0"/>
        <w:ind w:right="143"/>
        <w:contextualSpacing/>
      </w:pPr>
      <w:r w:rsidRPr="00970BC1">
        <w:t>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v platnom znení (Gestori ÚV SR, MDVRR SR, MŠVVŠ SR, MZ SR, MV SR, MPSVR SR, MH SR, MŽP SR, MF SR),</w:t>
      </w:r>
    </w:p>
    <w:p w:rsidR="00970BC1" w:rsidRPr="00970BC1" w:rsidRDefault="00970BC1" w:rsidP="00970BC1">
      <w:pPr>
        <w:numPr>
          <w:ilvl w:val="0"/>
          <w:numId w:val="6"/>
        </w:numPr>
        <w:autoSpaceDE w:val="0"/>
        <w:autoSpaceDN w:val="0"/>
        <w:ind w:right="143"/>
        <w:contextualSpacing/>
      </w:pPr>
      <w:r w:rsidRPr="00970BC1">
        <w:rPr>
          <w:lang w:val="ru-RU"/>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w:t>
      </w:r>
      <w:r w:rsidRPr="00970BC1">
        <w:t> </w:t>
      </w:r>
      <w:r w:rsidRPr="00970BC1">
        <w:rPr>
          <w:lang w:val="ru-RU"/>
        </w:rPr>
        <w:t>1083/2006</w:t>
      </w:r>
      <w:r w:rsidRPr="00970BC1">
        <w:t xml:space="preserve"> (Ú. v. EÚ L 347, 20.12.2013) v platnom znení (Gestori ÚV SR, MDVRR SR, MŠVVŠ SR, MZ SR, MV SR, MPSVR SR, MPRV SR, MH SR, MŽP SR, MF SR),</w:t>
      </w:r>
    </w:p>
    <w:p w:rsidR="00970BC1" w:rsidRPr="00970BC1" w:rsidRDefault="00970BC1" w:rsidP="00970BC1">
      <w:pPr>
        <w:numPr>
          <w:ilvl w:val="0"/>
          <w:numId w:val="6"/>
        </w:numPr>
        <w:autoSpaceDE w:val="0"/>
        <w:autoSpaceDN w:val="0"/>
        <w:ind w:right="143"/>
        <w:contextualSpacing/>
      </w:pPr>
      <w:r w:rsidRPr="00970BC1">
        <w:t>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(Ú. v. EÚ L 371, 27.12.2006) v platnom znení (Gestori MDVRR SR, MH SR, MŠVVŠ SR, MPRV SR, ÚV SR, MF SR)</w:t>
      </w:r>
    </w:p>
    <w:p w:rsidR="00970BC1" w:rsidRPr="00970BC1" w:rsidRDefault="00970BC1" w:rsidP="00970BC1">
      <w:pPr>
        <w:numPr>
          <w:ilvl w:val="0"/>
          <w:numId w:val="5"/>
        </w:numPr>
        <w:autoSpaceDE w:val="0"/>
        <w:autoSpaceDN w:val="0"/>
        <w:ind w:right="143"/>
        <w:contextualSpacing/>
      </w:pPr>
      <w:r w:rsidRPr="00970BC1">
        <w:t>v judikatúre Súdneho dvora Európskej únie.</w:t>
      </w:r>
    </w:p>
    <w:p w:rsidR="00970BC1" w:rsidRPr="00970BC1" w:rsidRDefault="00970BC1" w:rsidP="00970BC1">
      <w:pPr>
        <w:autoSpaceDE w:val="0"/>
        <w:autoSpaceDN w:val="0"/>
        <w:ind w:left="720" w:right="143"/>
        <w:contextualSpacing/>
      </w:pPr>
      <w:r w:rsidRPr="00970BC1">
        <w:t>Problematika návrhu zákona nie je v judikatúre Súdneho dvora Európskej únie obsiahnutá.</w:t>
      </w:r>
    </w:p>
    <w:p w:rsidR="00970BC1" w:rsidRPr="00970BC1" w:rsidRDefault="00970BC1" w:rsidP="00970BC1">
      <w:pPr>
        <w:autoSpaceDE w:val="0"/>
        <w:autoSpaceDN w:val="0"/>
        <w:ind w:left="709" w:right="143" w:hanging="349"/>
      </w:pPr>
    </w:p>
    <w:p w:rsidR="00970BC1" w:rsidRPr="00970BC1" w:rsidRDefault="00970BC1" w:rsidP="00970BC1">
      <w:pPr>
        <w:autoSpaceDE w:val="0"/>
        <w:autoSpaceDN w:val="0"/>
        <w:jc w:val="both"/>
        <w:rPr>
          <w:b/>
          <w:lang w:val="ru-RU"/>
        </w:rPr>
      </w:pPr>
      <w:r w:rsidRPr="00970BC1">
        <w:rPr>
          <w:b/>
          <w:lang w:val="ru-RU"/>
        </w:rPr>
        <w:t>4. Záväzky Slovenskej republiky vo vzťahu k Európskej únii:</w:t>
      </w:r>
    </w:p>
    <w:p w:rsidR="00970BC1" w:rsidRPr="00970BC1" w:rsidRDefault="00970BC1" w:rsidP="00970BC1">
      <w:pPr>
        <w:widowControl/>
        <w:numPr>
          <w:ilvl w:val="0"/>
          <w:numId w:val="7"/>
        </w:numPr>
        <w:autoSpaceDE w:val="0"/>
        <w:autoSpaceDN w:val="0"/>
        <w:spacing w:before="120"/>
        <w:ind w:left="714" w:hanging="357"/>
        <w:contextualSpacing/>
        <w:jc w:val="both"/>
        <w:rPr>
          <w:lang w:eastAsia="cs-CZ"/>
        </w:rPr>
      </w:pPr>
      <w:r w:rsidRPr="00970BC1">
        <w:rPr>
          <w:lang w:eastAsia="cs-CZ"/>
        </w:rPr>
        <w:t>uviesť lehotu na prebratie príslušného právneho aktu Európskej únie, príp. aj osobitnú lehotu účinnosti jeho ustanovení,</w:t>
      </w:r>
    </w:p>
    <w:p w:rsidR="00970BC1" w:rsidRPr="00970BC1" w:rsidRDefault="00970BC1" w:rsidP="00970BC1">
      <w:pPr>
        <w:autoSpaceDE w:val="0"/>
        <w:autoSpaceDN w:val="0"/>
        <w:spacing w:before="120"/>
        <w:ind w:left="1440" w:hanging="731"/>
        <w:contextualSpacing/>
        <w:jc w:val="both"/>
      </w:pPr>
      <w:r w:rsidRPr="00970BC1">
        <w:t>Nie je určená</w:t>
      </w:r>
    </w:p>
    <w:p w:rsidR="00970BC1" w:rsidRPr="00970BC1" w:rsidRDefault="00970BC1" w:rsidP="00970BC1">
      <w:pPr>
        <w:widowControl/>
        <w:numPr>
          <w:ilvl w:val="0"/>
          <w:numId w:val="7"/>
        </w:numPr>
        <w:autoSpaceDE w:val="0"/>
        <w:autoSpaceDN w:val="0"/>
        <w:spacing w:before="120"/>
        <w:ind w:left="714" w:hanging="357"/>
        <w:contextualSpacing/>
        <w:jc w:val="both"/>
        <w:rPr>
          <w:lang w:eastAsia="cs-CZ"/>
        </w:rPr>
      </w:pPr>
      <w:r w:rsidRPr="00970BC1">
        <w:rPr>
          <w:lang w:eastAsia="cs-CZ"/>
        </w:rPr>
        <w:lastRenderedPageBreak/>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970BC1" w:rsidRPr="00970BC1" w:rsidRDefault="00970BC1" w:rsidP="00970BC1">
      <w:pPr>
        <w:widowControl/>
        <w:autoSpaceDE w:val="0"/>
        <w:autoSpaceDN w:val="0"/>
        <w:spacing w:before="120"/>
        <w:ind w:left="720"/>
        <w:jc w:val="both"/>
        <w:rPr>
          <w:lang w:eastAsia="cs-CZ"/>
        </w:rPr>
      </w:pPr>
      <w:r w:rsidRPr="00970BC1">
        <w:rPr>
          <w:lang w:eastAsia="cs-CZ"/>
        </w:rPr>
        <w:t>Nie je začaté žiadne konanie</w:t>
      </w:r>
    </w:p>
    <w:p w:rsidR="00970BC1" w:rsidRPr="00970BC1" w:rsidRDefault="00970BC1" w:rsidP="00970BC1">
      <w:pPr>
        <w:widowControl/>
        <w:numPr>
          <w:ilvl w:val="0"/>
          <w:numId w:val="7"/>
        </w:numPr>
        <w:autoSpaceDE w:val="0"/>
        <w:autoSpaceDN w:val="0"/>
        <w:spacing w:before="120"/>
        <w:ind w:left="714" w:hanging="357"/>
        <w:jc w:val="both"/>
        <w:rPr>
          <w:lang w:eastAsia="cs-CZ"/>
        </w:rPr>
      </w:pPr>
      <w:r w:rsidRPr="00970BC1">
        <w:rPr>
          <w:lang w:eastAsia="cs-CZ"/>
        </w:rPr>
        <w:t>uviesť informáciu o právnych predpisoch, v ktorých sú uvádzané právne akty Európskej únie už prebrané, spolu s uvedením rozsahu ich prebrania, príp. potreby prijatia ďalších úprav.</w:t>
      </w:r>
    </w:p>
    <w:p w:rsidR="00970BC1" w:rsidRPr="00970BC1" w:rsidRDefault="00970BC1" w:rsidP="00970BC1">
      <w:pPr>
        <w:widowControl/>
        <w:autoSpaceDE w:val="0"/>
        <w:autoSpaceDN w:val="0"/>
        <w:spacing w:before="120"/>
        <w:ind w:left="1078" w:hanging="369"/>
        <w:jc w:val="both"/>
        <w:rPr>
          <w:lang w:eastAsia="cs-CZ"/>
        </w:rPr>
      </w:pPr>
      <w:r w:rsidRPr="00970BC1">
        <w:rPr>
          <w:lang w:eastAsia="cs-CZ"/>
        </w:rPr>
        <w:t>Bezpredmetné</w:t>
      </w:r>
    </w:p>
    <w:p w:rsidR="00970BC1" w:rsidRPr="00970BC1" w:rsidRDefault="00970BC1" w:rsidP="00970BC1">
      <w:pPr>
        <w:widowControl/>
        <w:autoSpaceDE w:val="0"/>
        <w:autoSpaceDN w:val="0"/>
        <w:ind w:left="1080"/>
        <w:contextualSpacing/>
        <w:jc w:val="both"/>
        <w:rPr>
          <w:lang w:eastAsia="cs-CZ"/>
        </w:rPr>
      </w:pPr>
    </w:p>
    <w:p w:rsidR="00970BC1" w:rsidRPr="00970BC1" w:rsidRDefault="00970BC1" w:rsidP="00970BC1">
      <w:pPr>
        <w:autoSpaceDE w:val="0"/>
        <w:autoSpaceDN w:val="0"/>
        <w:ind w:left="284" w:hanging="284"/>
        <w:jc w:val="both"/>
        <w:rPr>
          <w:b/>
        </w:rPr>
      </w:pPr>
      <w:r w:rsidRPr="00970BC1">
        <w:rPr>
          <w:b/>
          <w:lang w:val="ru-RU"/>
        </w:rPr>
        <w:t xml:space="preserve">5. </w:t>
      </w:r>
      <w:r w:rsidRPr="00970BC1">
        <w:rPr>
          <w:b/>
        </w:rPr>
        <w:t>Návrh zákona je zlučiteľný s právom Európskej únie:</w:t>
      </w:r>
    </w:p>
    <w:p w:rsidR="00970BC1" w:rsidRPr="00970BC1" w:rsidRDefault="00970BC1" w:rsidP="00970BC1">
      <w:pPr>
        <w:widowControl/>
        <w:numPr>
          <w:ilvl w:val="0"/>
          <w:numId w:val="8"/>
        </w:numPr>
        <w:autoSpaceDE w:val="0"/>
        <w:autoSpaceDN w:val="0"/>
        <w:contextualSpacing/>
        <w:jc w:val="both"/>
        <w:rPr>
          <w:lang w:val="cs-CZ" w:eastAsia="cs-CZ"/>
        </w:rPr>
      </w:pPr>
      <w:r w:rsidRPr="00970BC1">
        <w:rPr>
          <w:lang w:val="cs-CZ" w:eastAsia="cs-CZ"/>
        </w:rPr>
        <w:t>úplne</w:t>
      </w:r>
    </w:p>
    <w:p w:rsidR="00970BC1" w:rsidRPr="00970BC1" w:rsidRDefault="00970BC1" w:rsidP="00970BC1">
      <w:pPr>
        <w:autoSpaceDE w:val="0"/>
        <w:autoSpaceDN w:val="0"/>
        <w:ind w:right="143"/>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970BC1" w:rsidRDefault="00970BC1" w:rsidP="00FA3C02">
      <w:pPr>
        <w:rPr>
          <w:b/>
        </w:rPr>
      </w:pPr>
    </w:p>
    <w:p w:rsidR="00F42949" w:rsidRDefault="00F42949" w:rsidP="00FA3C02">
      <w:pPr>
        <w:rPr>
          <w:b/>
        </w:rPr>
      </w:pPr>
    </w:p>
    <w:p w:rsidR="00F42949" w:rsidRDefault="00F42949" w:rsidP="00FA3C02">
      <w:pPr>
        <w:rPr>
          <w:b/>
        </w:rPr>
      </w:pPr>
    </w:p>
    <w:p w:rsidR="00F42949" w:rsidRDefault="00F42949" w:rsidP="00FA3C02">
      <w:pPr>
        <w:rPr>
          <w:b/>
        </w:rPr>
      </w:pPr>
    </w:p>
    <w:p w:rsidR="00970BC1" w:rsidRDefault="00970BC1" w:rsidP="00FA3C02">
      <w:pPr>
        <w:rPr>
          <w:b/>
        </w:rPr>
      </w:pPr>
    </w:p>
    <w:p w:rsidR="00970BC1" w:rsidRDefault="00970BC1" w:rsidP="00970BC1">
      <w:pPr>
        <w:widowControl/>
        <w:jc w:val="both"/>
        <w:rPr>
          <w:b/>
        </w:rPr>
      </w:pPr>
    </w:p>
    <w:p w:rsidR="00970BC1" w:rsidRPr="00970BC1" w:rsidRDefault="00970BC1" w:rsidP="00970BC1">
      <w:pPr>
        <w:widowControl/>
        <w:jc w:val="both"/>
        <w:rPr>
          <w:b/>
        </w:rPr>
      </w:pPr>
      <w:r w:rsidRPr="00970BC1">
        <w:rPr>
          <w:b/>
        </w:rPr>
        <w:lastRenderedPageBreak/>
        <w:t>Osobitná časť</w:t>
      </w:r>
    </w:p>
    <w:p w:rsidR="00970BC1" w:rsidRPr="00970BC1" w:rsidRDefault="00970BC1" w:rsidP="00970BC1">
      <w:pPr>
        <w:keepNext/>
        <w:widowControl/>
        <w:spacing w:before="240"/>
        <w:jc w:val="both"/>
        <w:outlineLvl w:val="0"/>
        <w:rPr>
          <w:b/>
          <w:bCs/>
          <w:kern w:val="32"/>
        </w:rPr>
      </w:pPr>
      <w:r w:rsidRPr="00970BC1">
        <w:rPr>
          <w:b/>
          <w:bCs/>
          <w:kern w:val="32"/>
        </w:rPr>
        <w:t>Čl. I </w:t>
      </w:r>
    </w:p>
    <w:p w:rsidR="00970BC1" w:rsidRPr="00970BC1" w:rsidRDefault="00970BC1" w:rsidP="00970BC1">
      <w:pPr>
        <w:keepNext/>
        <w:widowControl/>
        <w:spacing w:before="120"/>
        <w:jc w:val="both"/>
        <w:outlineLvl w:val="0"/>
        <w:rPr>
          <w:b/>
          <w:bCs/>
          <w:kern w:val="32"/>
        </w:rPr>
      </w:pPr>
      <w:r w:rsidRPr="00970BC1">
        <w:rPr>
          <w:b/>
          <w:bCs/>
          <w:kern w:val="32"/>
        </w:rPr>
        <w:t>K bodu 1</w:t>
      </w:r>
    </w:p>
    <w:p w:rsidR="00970BC1" w:rsidRPr="00970BC1" w:rsidRDefault="00970BC1" w:rsidP="00970BC1">
      <w:pPr>
        <w:spacing w:before="120"/>
        <w:ind w:firstLine="709"/>
        <w:jc w:val="both"/>
      </w:pPr>
      <w:r w:rsidRPr="00970BC1">
        <w:t>Navrhuje sa upraviť maximálny podiel výdavkov súvisiacich s činnosťou fondu, ktorý sa stanovuje z vlastných zdrojov. Do výpočtu sa nezahŕňajú okrem dotácií zo štátneho rozpočtu a darov ani finančné prostriedky Európskej únie. V ostatných 2 rokoch však Štátny fond rozvoja bývania (ďalej len „ŠFRB“) uzatvoril 2 zmluvy na realizáciu finančného nástroja z európskych štrukturálnych a investičných fondov, na základe ktorých boli zdroje fondu zvýšené o viac ako 200 mil. eur určených na obnovu bytového fondu. Správa týchto zdrojov si vyžaduje zvýšené nároky na jednotlivé činnosti ŠFRB.</w:t>
      </w:r>
    </w:p>
    <w:p w:rsidR="00970BC1" w:rsidRPr="00970BC1" w:rsidRDefault="00970BC1" w:rsidP="00970BC1">
      <w:pPr>
        <w:spacing w:before="120"/>
        <w:ind w:firstLine="709"/>
        <w:jc w:val="both"/>
        <w:rPr>
          <w:sz w:val="22"/>
          <w:szCs w:val="22"/>
        </w:rPr>
      </w:pPr>
      <w:r w:rsidRPr="00970BC1">
        <w:t xml:space="preserve">Ďalej v súvislosti s prenesením administratívnej záťaže spojenej s využívaním podpory z prostriedkov fondu zo žiadateľa na fond bude zvýšená požiadavka na elektronické služby poskytované inými systémami verejnej správy. </w:t>
      </w:r>
    </w:p>
    <w:p w:rsidR="00970BC1" w:rsidRPr="00970BC1" w:rsidRDefault="00970BC1" w:rsidP="00970BC1">
      <w:pPr>
        <w:widowControl/>
        <w:spacing w:before="120"/>
        <w:jc w:val="both"/>
        <w:rPr>
          <w:b/>
        </w:rPr>
      </w:pPr>
      <w:r w:rsidRPr="00970BC1">
        <w:rPr>
          <w:b/>
        </w:rPr>
        <w:t>K bodu 2</w:t>
      </w:r>
    </w:p>
    <w:p w:rsidR="00970BC1" w:rsidRPr="00970BC1" w:rsidRDefault="00970BC1" w:rsidP="00970BC1">
      <w:pPr>
        <w:widowControl/>
        <w:spacing w:before="120"/>
        <w:ind w:firstLine="709"/>
        <w:jc w:val="both"/>
      </w:pPr>
      <w:r w:rsidRPr="00970BC1">
        <w:tab/>
        <w:t xml:space="preserve">Ide o legislatívno-technickú úpravu súvisiacu s doplnením nového účelu podpory, ktorým je obstaranie ubytovacieho domu. Ak bude žiadateľ obstarávať ubytovací dom, môže súčasne požiadať ŠFRB o poskytnutie podpory na obstaranie technickej vybavenosti podmieňujúcej výstavbu a užívanie tohto ubytovacieho domu. Technickou vybavenosťou sa rozumie – verejný vodovod, verejná kanalizácia vrátane čistiarne odpadových vôd, miestna komunikácia alebo odstavné plochy. </w:t>
      </w:r>
    </w:p>
    <w:p w:rsidR="00970BC1" w:rsidRPr="00970BC1" w:rsidRDefault="00970BC1" w:rsidP="00970BC1">
      <w:pPr>
        <w:widowControl/>
        <w:spacing w:before="120"/>
        <w:ind w:firstLine="709"/>
        <w:jc w:val="both"/>
      </w:pPr>
      <w:r w:rsidRPr="00970BC1">
        <w:t>V snahe motivovať žiadateľov k obstarávaniu tohto typu bývania sa zároveň navrhuje, aby obstaranie pozemku podmieňujúceho výstavbu alebo užívanie ubytovacieho domu bolo taktiež podporované zo strany štátu poskytovaním výhodného úveru zo ŠFRB.</w:t>
      </w:r>
    </w:p>
    <w:p w:rsidR="00970BC1" w:rsidRPr="00970BC1" w:rsidRDefault="00970BC1" w:rsidP="00970BC1">
      <w:pPr>
        <w:spacing w:before="120"/>
        <w:rPr>
          <w:b/>
        </w:rPr>
      </w:pPr>
      <w:r w:rsidRPr="00970BC1">
        <w:rPr>
          <w:b/>
        </w:rPr>
        <w:t>K bodu 3</w:t>
      </w:r>
    </w:p>
    <w:p w:rsidR="00970BC1" w:rsidRPr="00970BC1" w:rsidRDefault="00970BC1" w:rsidP="00970BC1">
      <w:pPr>
        <w:spacing w:before="120"/>
        <w:ind w:firstLine="567"/>
        <w:jc w:val="both"/>
        <w:rPr>
          <w:bCs/>
        </w:rPr>
      </w:pPr>
      <w:r w:rsidRPr="00970BC1">
        <w:rPr>
          <w:bCs/>
        </w:rPr>
        <w:t>V záujme podporiť mobilitu pracovnej sily a uľahčiť zamestnávateľom zamestnávajúcim väčší počet zamestnancov získavať novú pracovnú silu aj z iných regiónov Slovenska, alebo zahraničia, sa navrhuje doplnenie nového účelu podpory, ktorým je obstaranie ubytovacieho domu. Tento ubytovací dom je možné obstarať výstavbou vrátane nadstavby a prístavby, prípadne prestavby bytovej a nebytovej budovy alebo kúpou ubytovacieho domu.</w:t>
      </w:r>
    </w:p>
    <w:p w:rsidR="00970BC1" w:rsidRPr="00970BC1" w:rsidRDefault="00970BC1" w:rsidP="00970BC1">
      <w:pPr>
        <w:widowControl/>
        <w:spacing w:before="120"/>
        <w:jc w:val="both"/>
      </w:pPr>
      <w:r w:rsidRPr="00970BC1">
        <w:rPr>
          <w:b/>
        </w:rPr>
        <w:t>K bodu 4</w:t>
      </w:r>
    </w:p>
    <w:p w:rsidR="00970BC1" w:rsidRPr="00970BC1" w:rsidRDefault="00970BC1" w:rsidP="00970BC1">
      <w:pPr>
        <w:spacing w:before="120"/>
        <w:ind w:firstLine="567"/>
        <w:jc w:val="both"/>
      </w:pPr>
      <w:r w:rsidRPr="00970BC1">
        <w:t xml:space="preserve">Jednou z foriem obstarania bytu, nájomného bytu alebo ubytovacieho domu je kúpa. Kúpou bytu, nájomného bytu alebo ubytovacieho domu sa rozumie kúpa novostavby bytu, nájomného bytu alebo ubytovacieho domu. To znamená, že žiadateľ kupuje byt, nájomný byt alebo ubytovací dom od stavebníka uvedeného v kolaudačnom rozhodnutí a od nadobudnutia právoplatnosti kolaudačného rozhodnutia neuplynulo viac ako 3 roky. </w:t>
      </w:r>
    </w:p>
    <w:p w:rsidR="00970BC1" w:rsidRPr="00970BC1" w:rsidRDefault="00970BC1" w:rsidP="00970BC1">
      <w:pPr>
        <w:spacing w:before="120"/>
        <w:ind w:firstLine="567"/>
        <w:jc w:val="both"/>
      </w:pPr>
      <w:r w:rsidRPr="00970BC1">
        <w:t>Zároveň sa v tomto ustanovení definuje, čo sa rozumie kúpou bytu v rodinnom dome. Tento podúčel obstarania bytu bol doplnený poslaneckou novelou zákona č. 65/2019 Z. z. V tomto prípade ide o starší byt v rodinnom dome, ktorého kolaudačné rozhodnutie nadobudlo právoplatnosť minimálne 3 roky pred podaním žiadosti.</w:t>
      </w:r>
    </w:p>
    <w:p w:rsidR="00970BC1" w:rsidRPr="00970BC1" w:rsidRDefault="00970BC1" w:rsidP="00970BC1">
      <w:pPr>
        <w:widowControl/>
        <w:spacing w:before="120"/>
        <w:jc w:val="both"/>
      </w:pPr>
      <w:r w:rsidRPr="00970BC1">
        <w:rPr>
          <w:b/>
        </w:rPr>
        <w:t>K bodu 5</w:t>
      </w:r>
    </w:p>
    <w:p w:rsidR="00970BC1" w:rsidRPr="00970BC1" w:rsidRDefault="00970BC1" w:rsidP="00970BC1">
      <w:pPr>
        <w:widowControl/>
        <w:spacing w:before="120"/>
        <w:ind w:firstLine="709"/>
        <w:jc w:val="both"/>
      </w:pPr>
      <w:r w:rsidRPr="00970BC1">
        <w:t>Vzhľadom na skutočnosť, že pojem ubytovací dom nie je zatiaľ definovaný v právnych predpisoch Slovenskej republiky týmto ustanovením sa navrhuje definícia tohto pojmu ako aj definícia spoločných priestorov ubytovacieho domu.</w:t>
      </w:r>
    </w:p>
    <w:p w:rsidR="00970BC1" w:rsidRPr="00970BC1" w:rsidRDefault="00970BC1" w:rsidP="00970BC1">
      <w:pPr>
        <w:widowControl/>
        <w:spacing w:before="120"/>
        <w:ind w:firstLine="709"/>
        <w:jc w:val="both"/>
      </w:pPr>
      <w:r w:rsidRPr="00970BC1">
        <w:lastRenderedPageBreak/>
        <w:t xml:space="preserve">Cieľom podpory obstarávania ubytovacích domov je najmä podpora mobility pracovnej sily. Ubytovacím domom nie sú jednoduché ubytovacie zariadenia podľa vyhlášky Ministerstva zdravotníctva SR č. 259/2008 Z. z. o podrobnostiach o požiadavkách na vnútorné prostredie budov a o minimálnych požiadavkách na byty nižšieho štandardu a na ubytovacie zariadenia. </w:t>
      </w:r>
    </w:p>
    <w:p w:rsidR="00970BC1" w:rsidRPr="00970BC1" w:rsidRDefault="00970BC1" w:rsidP="00970BC1">
      <w:pPr>
        <w:widowControl/>
        <w:spacing w:before="120"/>
        <w:ind w:firstLine="709"/>
        <w:jc w:val="both"/>
      </w:pPr>
      <w:r w:rsidRPr="00970BC1">
        <w:t>Ubytovacím domom sa na účely podpory zo ŠFRB rozumie ostatná budova na bývanie, v ktorej je poskytované celoročné ubytovanie súvisiace najmä z výkonom práce a pozostáva z ubytovacích buniek. Ubytovacia bunka má najviac 2 obytné miestnosti vrátane zariadenia na osobnú hygienu. Ubytovaciu bunku možno vybaviť aj kuchynským kútom. Pod ubytovacou miestnosťou sa rozumie obytná miestnosť, ktorá svojím stavebnotechnickým riešením a vybavením spĺňa podmienky na trvalé bývanie. Preto musí spĺňať nasledovné kritériá: musí mať podlahovú plochu najmenej 16 m</w:t>
      </w:r>
      <w:r w:rsidRPr="00970BC1">
        <w:rPr>
          <w:vertAlign w:val="superscript"/>
        </w:rPr>
        <w:t>2</w:t>
      </w:r>
      <w:r w:rsidRPr="00970BC1">
        <w:t>, má priame osvetlenie, má priame alebo dostatočne účinné nepriame vetranie a vykurovanie a má dostatočnú tepelnú a akustickú ochranu stavebnými konštrukciami. Svetlá výška obytných miestností musí byť najmenej 2 400 mm.</w:t>
      </w:r>
    </w:p>
    <w:p w:rsidR="00970BC1" w:rsidRPr="00970BC1" w:rsidRDefault="00970BC1" w:rsidP="00970BC1">
      <w:pPr>
        <w:widowControl/>
        <w:spacing w:before="120"/>
        <w:ind w:firstLine="709"/>
        <w:jc w:val="both"/>
      </w:pPr>
      <w:r w:rsidRPr="00970BC1">
        <w:t xml:space="preserve">Súčasťou ubytovacieho domu môže byť aj spoločný priestor, ktorým sa rozumie najmä spoločenská miestnosť, kuchyňa alebo kuchynský kút, ak nie je súčasťou ubytovacej bunky a miestnosť pre zamestnancov ubytovacieho domu. </w:t>
      </w:r>
    </w:p>
    <w:p w:rsidR="00970BC1" w:rsidRPr="00970BC1" w:rsidRDefault="00970BC1" w:rsidP="00970BC1">
      <w:pPr>
        <w:widowControl/>
        <w:spacing w:before="120"/>
        <w:jc w:val="both"/>
      </w:pPr>
      <w:r w:rsidRPr="00970BC1">
        <w:rPr>
          <w:b/>
        </w:rPr>
        <w:t>K bodu 6</w:t>
      </w:r>
    </w:p>
    <w:p w:rsidR="00970BC1" w:rsidRPr="00970BC1" w:rsidRDefault="00970BC1" w:rsidP="00970BC1">
      <w:pPr>
        <w:widowControl/>
        <w:spacing w:before="120"/>
        <w:ind w:firstLine="709"/>
        <w:jc w:val="both"/>
        <w:rPr>
          <w:rFonts w:cs="Calibri"/>
        </w:rPr>
      </w:pPr>
      <w:r w:rsidRPr="00970BC1">
        <w:rPr>
          <w:rFonts w:cs="Calibri"/>
        </w:rPr>
        <w:t xml:space="preserve">Jedným z účelov pre poskytovanie štátnej podpory prostredníctvom ŠFRB je výstavba zariadenia sociálnych služieb, ktoré poskytuje sociálnu službu celoročnou pobytovou formou alebo prestavba nebytového priestoru na zariadenie sociálnych služieb a obnova zariadenia sociálnych služieb vrátane jeho zateplenia. </w:t>
      </w:r>
    </w:p>
    <w:p w:rsidR="00970BC1" w:rsidRPr="00970BC1" w:rsidRDefault="00970BC1" w:rsidP="00970BC1">
      <w:pPr>
        <w:widowControl/>
        <w:spacing w:before="120"/>
        <w:ind w:firstLine="709"/>
        <w:jc w:val="both"/>
      </w:pPr>
      <w:r w:rsidRPr="00970BC1">
        <w:rPr>
          <w:iCs/>
        </w:rPr>
        <w:t>V doteraz platnom znení zákona žiadateľom o poskytnutie podpory na tento účel môže byť obec alebo samosprávny kraj.</w:t>
      </w:r>
      <w:r w:rsidRPr="00970BC1">
        <w:t xml:space="preserve"> </w:t>
      </w:r>
    </w:p>
    <w:p w:rsidR="00970BC1" w:rsidRPr="00970BC1" w:rsidRDefault="00970BC1" w:rsidP="00970BC1">
      <w:pPr>
        <w:widowControl/>
        <w:spacing w:before="120"/>
        <w:ind w:firstLine="709"/>
        <w:jc w:val="both"/>
      </w:pPr>
      <w:r w:rsidRPr="00970BC1">
        <w:t xml:space="preserve">Vzhľadom na nedostatok </w:t>
      </w:r>
      <w:r w:rsidRPr="00970BC1">
        <w:rPr>
          <w:rFonts w:cs="Calibri"/>
        </w:rPr>
        <w:t>zariadení sociálnych služieb a</w:t>
      </w:r>
      <w:r w:rsidRPr="00970BC1">
        <w:t xml:space="preserve"> záujem súkromného sektora vstúpiť do obstarávania tohto segmentu, navrhuje sa rozšírenie okruhu žiadateľov o inú právnickú osobu so sídlom na území Slovenskej republiky, ktorá vznikla aspoň 5 rokov pred podaním žiadosti. </w:t>
      </w:r>
    </w:p>
    <w:p w:rsidR="00970BC1" w:rsidRPr="00970BC1" w:rsidRDefault="00970BC1" w:rsidP="00970BC1">
      <w:pPr>
        <w:widowControl/>
        <w:spacing w:before="120"/>
        <w:jc w:val="both"/>
        <w:rPr>
          <w:b/>
        </w:rPr>
      </w:pPr>
      <w:r w:rsidRPr="00970BC1">
        <w:rPr>
          <w:b/>
        </w:rPr>
        <w:t>K bodu 7</w:t>
      </w:r>
    </w:p>
    <w:p w:rsidR="00970BC1" w:rsidRPr="00970BC1" w:rsidRDefault="00970BC1" w:rsidP="00970BC1">
      <w:pPr>
        <w:widowControl/>
        <w:spacing w:before="120"/>
        <w:ind w:firstLine="720"/>
        <w:jc w:val="both"/>
      </w:pPr>
      <w:r w:rsidRPr="00970BC1">
        <w:t xml:space="preserve">V nadväznosti na doplnenie nového účelu podpory, ktorými je obstaranie ubytovacieho domu, je potrebné zákonom určiť žiadateľa, ktorý môže požiadať o poskytnutie podpory na tieto účely. </w:t>
      </w:r>
    </w:p>
    <w:p w:rsidR="00970BC1" w:rsidRPr="00970BC1" w:rsidRDefault="00970BC1" w:rsidP="00970BC1">
      <w:pPr>
        <w:widowControl/>
        <w:spacing w:before="120"/>
        <w:ind w:firstLine="720"/>
        <w:jc w:val="both"/>
      </w:pPr>
      <w:r w:rsidRPr="00970BC1">
        <w:t xml:space="preserve">Navrhuje sa, aby žiadateľom o poskytnutie podpory na tento účel bola obec, samosprávny kraj a iná právnická osoba. </w:t>
      </w:r>
    </w:p>
    <w:p w:rsidR="00970BC1" w:rsidRPr="00970BC1" w:rsidRDefault="00970BC1" w:rsidP="00970BC1">
      <w:pPr>
        <w:widowControl/>
        <w:spacing w:before="120"/>
        <w:jc w:val="both"/>
        <w:rPr>
          <w:b/>
        </w:rPr>
      </w:pPr>
      <w:r w:rsidRPr="00970BC1">
        <w:rPr>
          <w:b/>
        </w:rPr>
        <w:t>K bodu 8</w:t>
      </w:r>
    </w:p>
    <w:p w:rsidR="00970BC1" w:rsidRPr="00970BC1" w:rsidRDefault="00970BC1" w:rsidP="00970BC1">
      <w:pPr>
        <w:widowControl/>
        <w:spacing w:before="120"/>
        <w:ind w:firstLine="720"/>
        <w:jc w:val="both"/>
        <w:rPr>
          <w:b/>
        </w:rPr>
      </w:pPr>
      <w:r w:rsidRPr="00970BC1">
        <w:t>Ide o legislatívno-technickú úpravu súvisiacu s nasledujúcim novelizačným bodom.</w:t>
      </w:r>
    </w:p>
    <w:p w:rsidR="00970BC1" w:rsidRPr="00970BC1" w:rsidRDefault="00970BC1" w:rsidP="00970BC1">
      <w:pPr>
        <w:widowControl/>
        <w:spacing w:before="120"/>
        <w:jc w:val="both"/>
        <w:rPr>
          <w:b/>
        </w:rPr>
      </w:pPr>
      <w:r w:rsidRPr="00970BC1">
        <w:rPr>
          <w:b/>
        </w:rPr>
        <w:t>K bodu 9</w:t>
      </w:r>
    </w:p>
    <w:p w:rsidR="00970BC1" w:rsidRPr="00970BC1" w:rsidRDefault="00970BC1" w:rsidP="00970BC1">
      <w:pPr>
        <w:widowControl/>
        <w:spacing w:before="120"/>
        <w:ind w:firstLine="720"/>
        <w:jc w:val="both"/>
        <w:rPr>
          <w:b/>
        </w:rPr>
      </w:pPr>
      <w:r w:rsidRPr="00970BC1">
        <w:t>Predmetným ustanovením sa navrhuje zmena v určovaní limitu úveru na obstaranie nájomného bytu žiadateľom - inou právnickou osobou. Maximálny limit úveru už nie je určený na byt (90 000 eur/byt), ale na 1 m</w:t>
      </w:r>
      <w:r w:rsidRPr="00970BC1">
        <w:rPr>
          <w:vertAlign w:val="superscript"/>
        </w:rPr>
        <w:t>2</w:t>
      </w:r>
      <w:r w:rsidRPr="00970BC1">
        <w:t xml:space="preserve"> podlahovej plochy bytu (1 200 eur/1 m</w:t>
      </w:r>
      <w:r w:rsidRPr="00970BC1">
        <w:rPr>
          <w:vertAlign w:val="superscript"/>
        </w:rPr>
        <w:t>2</w:t>
      </w:r>
      <w:r w:rsidRPr="00970BC1">
        <w:t xml:space="preserve"> podlahovej plochy bytu).</w:t>
      </w:r>
    </w:p>
    <w:p w:rsidR="00970BC1" w:rsidRPr="00970BC1" w:rsidRDefault="00970BC1" w:rsidP="00970BC1">
      <w:pPr>
        <w:widowControl/>
        <w:spacing w:before="120"/>
        <w:jc w:val="both"/>
        <w:rPr>
          <w:b/>
        </w:rPr>
      </w:pPr>
      <w:r w:rsidRPr="00970BC1">
        <w:rPr>
          <w:b/>
        </w:rPr>
        <w:t>K bodu 10</w:t>
      </w:r>
    </w:p>
    <w:p w:rsidR="00970BC1" w:rsidRPr="00970BC1" w:rsidRDefault="00970BC1" w:rsidP="00970BC1">
      <w:pPr>
        <w:widowControl/>
        <w:spacing w:before="120"/>
        <w:ind w:firstLine="720"/>
        <w:jc w:val="both"/>
      </w:pPr>
      <w:r w:rsidRPr="00970BC1">
        <w:t>Podpora zo ŠFRB sa poskytuje vo forme úveru, pričom zákon vo všeobecnosti umožňuje poskytnúť túto podporu až do 100 % obstarávacej ceny s lehotou splatnosti do 40 rokov a zároveň ustanovuje maximálny limit výšky úveru na byt, 1m</w:t>
      </w:r>
      <w:r w:rsidRPr="00970BC1">
        <w:rPr>
          <w:vertAlign w:val="superscript"/>
        </w:rPr>
        <w:t>2</w:t>
      </w:r>
      <w:r w:rsidRPr="00970BC1">
        <w:t xml:space="preserve"> podlahovej plochy bytu alebo obytnej miestnosti, resp. 1m</w:t>
      </w:r>
      <w:r w:rsidRPr="00970BC1">
        <w:rPr>
          <w:vertAlign w:val="superscript"/>
        </w:rPr>
        <w:t>2</w:t>
      </w:r>
      <w:r w:rsidRPr="00970BC1">
        <w:t xml:space="preserve"> zatepľovanej plochy. </w:t>
      </w:r>
    </w:p>
    <w:p w:rsidR="00970BC1" w:rsidRPr="00970BC1" w:rsidRDefault="00970BC1" w:rsidP="00970BC1">
      <w:pPr>
        <w:widowControl/>
        <w:spacing w:before="120"/>
        <w:ind w:firstLine="720"/>
        <w:jc w:val="both"/>
      </w:pPr>
      <w:r w:rsidRPr="00970BC1">
        <w:lastRenderedPageBreak/>
        <w:t>Pre účel obstaranie ubytovacieho domu sa navrhuje poskytnúť úver maximálne 1 000 eur na 1m</w:t>
      </w:r>
      <w:r w:rsidRPr="00970BC1">
        <w:rPr>
          <w:vertAlign w:val="superscript"/>
        </w:rPr>
        <w:t>2</w:t>
      </w:r>
      <w:r w:rsidRPr="00970BC1">
        <w:t xml:space="preserve"> podlahovej plochy ubytovacej bunky v ubytovacom dome.</w:t>
      </w:r>
    </w:p>
    <w:p w:rsidR="00970BC1" w:rsidRPr="00970BC1" w:rsidRDefault="00970BC1" w:rsidP="00970BC1">
      <w:pPr>
        <w:spacing w:before="120"/>
        <w:ind w:firstLine="567"/>
        <w:jc w:val="both"/>
      </w:pPr>
      <w:r w:rsidRPr="00970BC1">
        <w:t xml:space="preserve">Konkrétne úverové podmienky (podiel úveru z obstarávacej ceny, výšku úveru, výšku ročnej úrokovej sadzby, lehotu splatnosti) budú upravené vo všeobecne záväznom právnom predpise. Zmeny tak budú pružnejšie reagovať na požiadavky vyplývajúce z koncepčných dokumentov, ako aj na ekonomický a hospodársky vývoj. </w:t>
      </w:r>
    </w:p>
    <w:p w:rsidR="00970BC1" w:rsidRPr="00970BC1" w:rsidRDefault="00970BC1" w:rsidP="00970BC1">
      <w:pPr>
        <w:widowControl/>
        <w:spacing w:before="120"/>
        <w:jc w:val="both"/>
        <w:rPr>
          <w:b/>
        </w:rPr>
      </w:pPr>
      <w:r w:rsidRPr="00970BC1">
        <w:rPr>
          <w:b/>
        </w:rPr>
        <w:t>K bodu 11</w:t>
      </w:r>
    </w:p>
    <w:p w:rsidR="00970BC1" w:rsidRPr="00970BC1" w:rsidRDefault="00970BC1" w:rsidP="00970BC1">
      <w:pPr>
        <w:widowControl/>
        <w:spacing w:before="120"/>
        <w:ind w:firstLine="720"/>
        <w:jc w:val="both"/>
      </w:pPr>
      <w:r w:rsidRPr="00970BC1">
        <w:t xml:space="preserve">V rámci tohto ustanovenia je vymedzenie obstarávacej ceny osobitne pre výstavbu bytu, nájomného bytu, zariadenia sociálnych služieb, technickej vybavenosti a ubytovacieho domu a kúpu bytu, nájomného bytu, technickej vybavenosti a ubytovacieho domu. Obstarávacou cenou je spravidla cena za zhotovenie stavby, ktorej súčasťou môže byť aj cena za vyhotovenie projektovej dokumentácie. Pri obstaraní bytu, nájomného bytu, technickej vybavenosti alebo ubytovacieho domu kúpou je obstarávacou cenou kúpna cena uvedená v kúpnej zmluve. Do obstarávacej ceny sa započíta aj cena spoluvlastníckeho podielu na spoločných častiach (okrem účelu výstavby) a spoločných zariadeniach bytového domu, cena príslušenstva a spoločných priestorov zariadenia sociálnych služieb a ubytovacieho domu. Do obstarávacej ceny pri obstarávaní bytu, nájomného bytu, technickej vybavenosti a ubytovacieho domu nie je možné započítať cenu pozemku a nebytového priestoru. </w:t>
      </w:r>
    </w:p>
    <w:p w:rsidR="00970BC1" w:rsidRPr="00970BC1" w:rsidRDefault="00970BC1" w:rsidP="00970BC1">
      <w:pPr>
        <w:widowControl/>
        <w:spacing w:before="120"/>
        <w:jc w:val="both"/>
      </w:pPr>
      <w:r w:rsidRPr="00970BC1">
        <w:rPr>
          <w:b/>
        </w:rPr>
        <w:t>K bodom 12 a 13</w:t>
      </w:r>
    </w:p>
    <w:p w:rsidR="00970BC1" w:rsidRPr="00970BC1" w:rsidRDefault="00970BC1" w:rsidP="00970BC1">
      <w:pPr>
        <w:widowControl/>
        <w:spacing w:before="120"/>
        <w:ind w:firstLine="709"/>
        <w:jc w:val="both"/>
      </w:pPr>
      <w:r w:rsidRPr="00970BC1">
        <w:t xml:space="preserve">Ide o legislatívno-technickú úpravu, ktorou sa jednoznačne určí, čo sa rozumie obstarávacou cenou kúpy pozemku. V doteraz platnom znení je cena pozemku definovaná ako cena dohodnutá v kúpnej zmluve alebo zmluve o budúcej kúpnej zmluve. Vzhľadom na skutočnosť, že žiadateľ obstaráva už existujúci pozemok, je nelogické obstarávať pozemok na základe zmluvy o budúcej kúpnej zmluve. Z uvedeného dôvodu sa navrhuje definovať obstarávaciu cenu kúpy pozemku ako cenu dohodnutú v kúpnej zmluve. Pričom môže ísť aj o zmluvu s odloženým plnením, ak obstaranie pozemku súvisí s budúcou kúpou nájomných bytov.  </w:t>
      </w:r>
    </w:p>
    <w:p w:rsidR="00970BC1" w:rsidRPr="00970BC1" w:rsidRDefault="00970BC1" w:rsidP="00970BC1">
      <w:pPr>
        <w:widowControl/>
        <w:spacing w:before="120"/>
        <w:jc w:val="both"/>
        <w:rPr>
          <w:b/>
        </w:rPr>
      </w:pPr>
      <w:r w:rsidRPr="00970BC1">
        <w:rPr>
          <w:b/>
        </w:rPr>
        <w:t>K bodu 14</w:t>
      </w:r>
    </w:p>
    <w:p w:rsidR="00970BC1" w:rsidRPr="00970BC1" w:rsidRDefault="00970BC1" w:rsidP="00970BC1">
      <w:pPr>
        <w:widowControl/>
        <w:spacing w:before="120"/>
        <w:jc w:val="both"/>
      </w:pPr>
      <w:r w:rsidRPr="00970BC1">
        <w:tab/>
        <w:t>Ide o legislatívno-technickú úpravu súvisiacu s bodom 13.</w:t>
      </w:r>
    </w:p>
    <w:p w:rsidR="00970BC1" w:rsidRPr="00970BC1" w:rsidRDefault="00970BC1" w:rsidP="00970BC1">
      <w:pPr>
        <w:widowControl/>
        <w:spacing w:before="120"/>
        <w:rPr>
          <w:b/>
        </w:rPr>
      </w:pPr>
      <w:r w:rsidRPr="00970BC1">
        <w:rPr>
          <w:b/>
        </w:rPr>
        <w:t>K bodu 15</w:t>
      </w:r>
    </w:p>
    <w:p w:rsidR="00970BC1" w:rsidRPr="00970BC1" w:rsidRDefault="00970BC1" w:rsidP="00970BC1">
      <w:pPr>
        <w:spacing w:before="120"/>
        <w:ind w:firstLine="567"/>
        <w:jc w:val="both"/>
      </w:pPr>
      <w:r w:rsidRPr="00970BC1">
        <w:tab/>
        <w:t>Podľa platného znenia zákona termín dokončenia stavby pri účeloch výstavba bytu, výstavba nájomného bytu, stavebná úprava nájomného bytu v bytovom dome, obnova bytovej budovy, výstavba a obnova zariadenia sociálnych služieb, výstavba technickej vybavenosti môže byť najneskôr 24 mesiacov odo dňa otvorenia účtu zriadeného ŠFRB pre žiadateľa. Vzhľadom na doplnenie nového účelu podpory je takisto potrebné určiť termín dokončenia stavby, nakoľko ide o výstavbu ubytovacieho domu. Navrhuje sa, aby termín dokončenia stavby pri tomto účele bol rovnaký ako pri všetkých účeloch.</w:t>
      </w:r>
    </w:p>
    <w:p w:rsidR="00970BC1" w:rsidRPr="00970BC1" w:rsidRDefault="00970BC1" w:rsidP="00970BC1">
      <w:pPr>
        <w:widowControl/>
        <w:spacing w:before="120"/>
        <w:jc w:val="both"/>
        <w:rPr>
          <w:b/>
        </w:rPr>
      </w:pPr>
      <w:r w:rsidRPr="00970BC1">
        <w:rPr>
          <w:b/>
        </w:rPr>
        <w:t>K bodu 16</w:t>
      </w:r>
    </w:p>
    <w:p w:rsidR="00970BC1" w:rsidRPr="00970BC1" w:rsidRDefault="00970BC1" w:rsidP="00970BC1">
      <w:pPr>
        <w:widowControl/>
        <w:spacing w:before="120"/>
        <w:ind w:firstLine="720"/>
        <w:jc w:val="both"/>
      </w:pPr>
      <w:r w:rsidRPr="00970BC1">
        <w:t>Podmienky vyplývajúce zo zákona č. 443/2010 Z. z. o dotáciách na rozvoj bývania a o sociálnom bývaní v znení neskorších predpisov sú ustanovené pre žiadateľa, ktorým je obec, samosprávny kraj a nezisková organizácia poskytujúca všeobecne prospešné služby na zabezpečovanie bývania správy, údržby a obnovy bytového fondu, ktorí môžu byť zároveň žiadateľmi o poskytnutie dotácie na rozvoj bývania. Ide najmä o podmienky, ktorými sú limit priemernej podlahovej plochy, limit obstarávacích nákladov na 1 m</w:t>
      </w:r>
      <w:r w:rsidRPr="00970BC1">
        <w:rPr>
          <w:vertAlign w:val="superscript"/>
        </w:rPr>
        <w:t xml:space="preserve">2 </w:t>
      </w:r>
      <w:r w:rsidRPr="00970BC1">
        <w:t xml:space="preserve">podlahovej plochy bytu, </w:t>
      </w:r>
      <w:r w:rsidRPr="00970BC1">
        <w:lastRenderedPageBreak/>
        <w:t>podmienky prenájmu podporených nájomných bytov, oprávnené domácnosti pre poskytnutie nájomného bytu atď.</w:t>
      </w:r>
    </w:p>
    <w:p w:rsidR="00970BC1" w:rsidRPr="00970BC1" w:rsidRDefault="00970BC1" w:rsidP="00970BC1">
      <w:pPr>
        <w:widowControl/>
        <w:spacing w:before="120"/>
        <w:jc w:val="both"/>
        <w:rPr>
          <w:b/>
        </w:rPr>
      </w:pPr>
      <w:r w:rsidRPr="00970BC1">
        <w:rPr>
          <w:b/>
        </w:rPr>
        <w:t>K bodu 17</w:t>
      </w:r>
    </w:p>
    <w:p w:rsidR="00970BC1" w:rsidRPr="00970BC1" w:rsidRDefault="00970BC1" w:rsidP="00970BC1">
      <w:pPr>
        <w:widowControl/>
        <w:spacing w:before="120"/>
        <w:jc w:val="both"/>
      </w:pPr>
      <w:r w:rsidRPr="00970BC1">
        <w:rPr>
          <w:b/>
        </w:rPr>
        <w:tab/>
      </w:r>
      <w:r w:rsidRPr="00970BC1">
        <w:t xml:space="preserve">Platná právna úprava určuje podmienku zachovania nájomného charakteru podporených bytov minimálne 20 rokov alebo počas doby splatnosti úveru zo Štátneho fondu rozvoja bývania. Možnosť odpredaja týchto bytov zvyšuje podiel vlastníckeho bývania a znižuje tak dostupnosť nájomného bývania. </w:t>
      </w:r>
    </w:p>
    <w:p w:rsidR="00970BC1" w:rsidRPr="00970BC1" w:rsidRDefault="00970BC1" w:rsidP="00970BC1">
      <w:pPr>
        <w:widowControl/>
        <w:spacing w:before="120"/>
        <w:ind w:firstLine="720"/>
        <w:jc w:val="both"/>
        <w:rPr>
          <w:b/>
        </w:rPr>
      </w:pPr>
      <w:r w:rsidRPr="00970BC1">
        <w:t xml:space="preserve">Navrhuje sa preto zavedenie podmienky zachovania nájomného charakteru bytov počas celej životnosti nájomných bytov, pri ktorých bolo obstaranie podporené z verejných zdrojov. </w:t>
      </w:r>
    </w:p>
    <w:p w:rsidR="00970BC1" w:rsidRPr="00970BC1" w:rsidRDefault="00970BC1" w:rsidP="00970BC1">
      <w:pPr>
        <w:widowControl/>
        <w:spacing w:before="120"/>
        <w:jc w:val="both"/>
        <w:rPr>
          <w:b/>
        </w:rPr>
      </w:pPr>
      <w:r w:rsidRPr="00970BC1">
        <w:rPr>
          <w:b/>
        </w:rPr>
        <w:t>K bodu 18</w:t>
      </w:r>
    </w:p>
    <w:p w:rsidR="00970BC1" w:rsidRPr="00970BC1" w:rsidRDefault="00970BC1" w:rsidP="00970BC1">
      <w:pPr>
        <w:widowControl/>
        <w:adjustRightInd/>
        <w:spacing w:before="120"/>
        <w:ind w:firstLine="720"/>
        <w:jc w:val="both"/>
      </w:pPr>
      <w:r w:rsidRPr="00970BC1">
        <w:rPr>
          <w:bCs/>
        </w:rPr>
        <w:t xml:space="preserve">Ide o legislatívno-technickú úpravu súvisiacu s úpravou uvedenou v novelizačných bodoch </w:t>
      </w:r>
      <w:r w:rsidRPr="00970BC1">
        <w:rPr>
          <w:bCs/>
          <w:strike/>
        </w:rPr>
        <w:t>18 a </w:t>
      </w:r>
      <w:r w:rsidRPr="00970BC1">
        <w:rPr>
          <w:bCs/>
        </w:rPr>
        <w:t>19 a 20.</w:t>
      </w:r>
    </w:p>
    <w:p w:rsidR="00970BC1" w:rsidRPr="00970BC1" w:rsidRDefault="00970BC1" w:rsidP="00970BC1">
      <w:pPr>
        <w:widowControl/>
        <w:adjustRightInd/>
        <w:spacing w:before="120"/>
        <w:jc w:val="both"/>
        <w:rPr>
          <w:b/>
        </w:rPr>
      </w:pPr>
      <w:r w:rsidRPr="00970BC1">
        <w:rPr>
          <w:b/>
        </w:rPr>
        <w:t>K bodu 19</w:t>
      </w:r>
    </w:p>
    <w:p w:rsidR="00970BC1" w:rsidRPr="00970BC1" w:rsidRDefault="00970BC1" w:rsidP="00970BC1">
      <w:pPr>
        <w:widowControl/>
        <w:adjustRightInd/>
        <w:spacing w:before="120"/>
        <w:jc w:val="both"/>
      </w:pPr>
      <w:r w:rsidRPr="00970BC1">
        <w:tab/>
        <w:t>Navrhovaná zmena sleduje zámer zvýšiť motiváciu súkromného sektora k investovaniu do oblasti nájomného bývania. Zavedenie motivácie vychádza zo zámeru rozvinúť sektor súkromných nájomných bytov a zvýšiť podiel nájomných bytov.</w:t>
      </w:r>
    </w:p>
    <w:p w:rsidR="00970BC1" w:rsidRPr="00970BC1" w:rsidRDefault="00970BC1" w:rsidP="00970BC1">
      <w:pPr>
        <w:widowControl/>
        <w:adjustRightInd/>
        <w:spacing w:before="120"/>
        <w:ind w:firstLine="720"/>
        <w:jc w:val="both"/>
      </w:pPr>
      <w:r w:rsidRPr="00970BC1">
        <w:t>Ide o ustanovenie podmienok pre žiadateľa - inú právnickú osobu, ktorá má záujem o obstaranie nájomných bytov. Vzhľadom na to, že tento žiadateľ nemôže byť žiadateľom o nenávratnú dotáciu, navrhuje sa ustanoviť výhodnejšie podmienky týkajúce sa priemernej podlahovej plochy nájomných bytov (až 70 m</w:t>
      </w:r>
      <w:r w:rsidRPr="00970BC1">
        <w:rPr>
          <w:vertAlign w:val="superscript"/>
        </w:rPr>
        <w:t>2</w:t>
      </w:r>
      <w:r w:rsidRPr="00970BC1">
        <w:t>). Výška obstarávacieho nákladu na 1 m</w:t>
      </w:r>
      <w:r w:rsidRPr="00970BC1">
        <w:rPr>
          <w:vertAlign w:val="superscript"/>
        </w:rPr>
        <w:t xml:space="preserve">2 </w:t>
      </w:r>
      <w:r w:rsidRPr="00970BC1">
        <w:t xml:space="preserve">podlahovej plochy bytu v prípade obstarávania nájomných bytov inou právnickou osobou nebude limitovaná. Žiadateľ - iná právnická osoba musí pri prenájme dodržať podmienku zachovania nájomného charakteru bytu a zriadenia záložného práva na nájomné byty v prospech ŠFRB. </w:t>
      </w:r>
    </w:p>
    <w:p w:rsidR="00970BC1" w:rsidRPr="00970BC1" w:rsidRDefault="00970BC1" w:rsidP="00970BC1">
      <w:pPr>
        <w:widowControl/>
        <w:adjustRightInd/>
        <w:spacing w:before="120"/>
        <w:ind w:firstLine="720"/>
        <w:jc w:val="both"/>
      </w:pPr>
      <w:r w:rsidRPr="00970BC1">
        <w:t>Tento žiadateľ môže nájomný byt prenajať fyzickej osobe žijúcej v domácnosti s mesačným príjmom domácnosti do päťnásobku životného minima a ročné nájomné môže určiť vo výške do 10 % obstarávacej ceny bytu. Navrhuje sa, aby mala právnická osoba možnosť časť bytov (max. 20 % z celkového počtu obstarávaných nájomných bytov) prenajať aj fyzickej osobe bez sledovania príjmu domácnosti. Žiadateľom môže byť aj podnikateľ, ktorý obstaráva byty pre ubytovanie vlastných zamestnancov (tzv. podnikové byty) a potrebuje poskytnúť bývanie, napr. zamestnancom výskumu a vývoja.</w:t>
      </w:r>
    </w:p>
    <w:p w:rsidR="00970BC1" w:rsidRPr="00970BC1" w:rsidRDefault="00970BC1" w:rsidP="00970BC1">
      <w:pPr>
        <w:widowControl/>
        <w:spacing w:before="120"/>
        <w:jc w:val="both"/>
      </w:pPr>
      <w:r w:rsidRPr="00970BC1">
        <w:rPr>
          <w:b/>
        </w:rPr>
        <w:t>K bodu 20</w:t>
      </w:r>
    </w:p>
    <w:p w:rsidR="00970BC1" w:rsidRPr="00970BC1" w:rsidRDefault="00970BC1" w:rsidP="00970BC1">
      <w:pPr>
        <w:widowControl/>
        <w:spacing w:before="120"/>
        <w:ind w:firstLine="720"/>
        <w:jc w:val="both"/>
      </w:pPr>
      <w:r w:rsidRPr="00970BC1">
        <w:t xml:space="preserve">Tento novelizačný bod nadväzuje na bod 19, ktorým sa ustanovuje podmienka, že žiadateľ posudzuje príjem domácnosti, ktorý nemôže presiahnuť päťnásobok životného minima pri uzavretí nájomnej zmluvy k nájomnému bytu. Zákon však neustanovuje maximálnu dobu nájmu a súčasne v prípade predlžovania doby nájmu nie je prenajímateľ povinný posudzovať príjem domácnosti. </w:t>
      </w:r>
    </w:p>
    <w:p w:rsidR="00970BC1" w:rsidRPr="00970BC1" w:rsidRDefault="00970BC1" w:rsidP="00970BC1">
      <w:pPr>
        <w:widowControl/>
        <w:spacing w:before="120"/>
        <w:jc w:val="both"/>
        <w:rPr>
          <w:b/>
        </w:rPr>
      </w:pPr>
      <w:r w:rsidRPr="00970BC1">
        <w:rPr>
          <w:b/>
        </w:rPr>
        <w:t>K bodu 21</w:t>
      </w:r>
    </w:p>
    <w:p w:rsidR="00970BC1" w:rsidRPr="00970BC1" w:rsidRDefault="00970BC1" w:rsidP="00970BC1">
      <w:pPr>
        <w:widowControl/>
        <w:spacing w:before="120"/>
        <w:ind w:firstLine="720"/>
        <w:jc w:val="both"/>
      </w:pPr>
      <w:r w:rsidRPr="00970BC1">
        <w:t>Podporu na obstaranie nájomného bytu možno poskytnúť žiadateľovi – inej právnickej osobe iba vtedy, ak sa stavba nachádza v meste alebo v priľahlých s mestom priamo susediacich obciach alebo v obci, na území ktorej sa realizuje výstavba priemyselného parku alebo už existuje priemyselný park alebo na území obce je prevádzka žiadateľa podľa § 7 ods. 1 písm. g) minimálne s 500 zamestnancami. Záujmom je, aby takýto typ stavieb vznikal predovšetkým v tých sídlach, kde je priamo väčšia možnosť zamestnania a neboli ďalšie požiadavky na budovanie dopravnej infraštruktúry.</w:t>
      </w:r>
    </w:p>
    <w:p w:rsidR="00970BC1" w:rsidRPr="00970BC1" w:rsidRDefault="00970BC1" w:rsidP="00970BC1">
      <w:pPr>
        <w:widowControl/>
        <w:spacing w:before="120"/>
        <w:jc w:val="both"/>
      </w:pPr>
      <w:r w:rsidRPr="00970BC1">
        <w:rPr>
          <w:b/>
        </w:rPr>
        <w:lastRenderedPageBreak/>
        <w:t>K bodu 22</w:t>
      </w:r>
    </w:p>
    <w:p w:rsidR="00970BC1" w:rsidRPr="00970BC1" w:rsidRDefault="00970BC1" w:rsidP="00970BC1">
      <w:pPr>
        <w:widowControl/>
        <w:spacing w:before="120"/>
        <w:ind w:firstLine="709"/>
        <w:jc w:val="both"/>
      </w:pPr>
      <w:r w:rsidRPr="00970BC1">
        <w:t xml:space="preserve">Ide legislatívno-technickú úpravu nadväzujúcu na vloženie odsekov 13 a 14. </w:t>
      </w:r>
    </w:p>
    <w:p w:rsidR="00970BC1" w:rsidRPr="00970BC1" w:rsidRDefault="00970BC1" w:rsidP="00970BC1">
      <w:pPr>
        <w:widowControl/>
        <w:spacing w:before="120"/>
        <w:jc w:val="both"/>
        <w:rPr>
          <w:b/>
        </w:rPr>
      </w:pPr>
      <w:r w:rsidRPr="00970BC1">
        <w:rPr>
          <w:b/>
        </w:rPr>
        <w:t>K bodu 23</w:t>
      </w:r>
    </w:p>
    <w:p w:rsidR="00970BC1" w:rsidRPr="00970BC1" w:rsidRDefault="00970BC1" w:rsidP="00970BC1">
      <w:pPr>
        <w:widowControl/>
        <w:spacing w:before="120"/>
        <w:ind w:firstLine="720"/>
        <w:jc w:val="both"/>
      </w:pPr>
      <w:r w:rsidRPr="00970BC1">
        <w:t>Ide o legislatívno-technickú úpravu a zjednotenie používaných pojmov v zákone.</w:t>
      </w:r>
    </w:p>
    <w:p w:rsidR="00970BC1" w:rsidRPr="00970BC1" w:rsidRDefault="00970BC1" w:rsidP="00970BC1">
      <w:pPr>
        <w:widowControl/>
        <w:spacing w:before="120"/>
        <w:jc w:val="both"/>
        <w:rPr>
          <w:b/>
        </w:rPr>
      </w:pPr>
      <w:r w:rsidRPr="00970BC1">
        <w:rPr>
          <w:b/>
        </w:rPr>
        <w:t>K bodu 24</w:t>
      </w:r>
    </w:p>
    <w:p w:rsidR="00970BC1" w:rsidRPr="00970BC1" w:rsidRDefault="00970BC1" w:rsidP="00970BC1">
      <w:pPr>
        <w:widowControl/>
        <w:spacing w:before="120"/>
        <w:jc w:val="both"/>
        <w:rPr>
          <w:b/>
        </w:rPr>
      </w:pPr>
      <w:r w:rsidRPr="00970BC1">
        <w:tab/>
        <w:t xml:space="preserve">Zvýšenie kvality bývania si v niektorých prípadoch vyžaduje vybudovanie nových spoločných častí alebo zariadení, napr. ak bytový dom nemá balkóny alebo lodžie. Pri obnove a modernizácii bytového fondu je preto navrhované zavedenie poskytnutia podpory zo ŠFRB aj na vybudovanie nových spoločných častí bytového domu a nových spoločných zariadení bytového domu. Pri budovaní nových lodžií alebo balkónov ide o zmenu dokončenej stavby prístavbou, ktorou sa stavba pôdorysne rozširuje a dobudovávané nové časti sú prevádzkovo spojené s doterajšou stavbou. Podmienkou však je, že vzhľadom na to, že ide o zásadnú zmenu vzhľadu bytovej budovy ako aj zásah do stavebných konštrukcií bytového domu, musia s tým súhlasiť všetci vlastníci bytov a nebytových priestorov v bytovom dome. </w:t>
      </w:r>
    </w:p>
    <w:p w:rsidR="00970BC1" w:rsidRPr="00970BC1" w:rsidRDefault="00970BC1" w:rsidP="00970BC1">
      <w:pPr>
        <w:widowControl/>
        <w:spacing w:before="120"/>
        <w:jc w:val="both"/>
      </w:pPr>
      <w:r w:rsidRPr="00970BC1">
        <w:rPr>
          <w:b/>
        </w:rPr>
        <w:t>K bodom 25 až 27</w:t>
      </w:r>
    </w:p>
    <w:p w:rsidR="00970BC1" w:rsidRPr="00970BC1" w:rsidRDefault="00970BC1" w:rsidP="00970BC1">
      <w:pPr>
        <w:widowControl/>
        <w:spacing w:before="120"/>
        <w:jc w:val="both"/>
      </w:pPr>
      <w:r w:rsidRPr="00970BC1">
        <w:tab/>
        <w:t>Ide o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p w:rsidR="00970BC1" w:rsidRPr="00970BC1" w:rsidRDefault="00970BC1" w:rsidP="00970BC1">
      <w:pPr>
        <w:widowControl/>
        <w:spacing w:before="120"/>
        <w:jc w:val="both"/>
        <w:rPr>
          <w:b/>
        </w:rPr>
      </w:pPr>
      <w:r w:rsidRPr="00970BC1">
        <w:rPr>
          <w:b/>
        </w:rPr>
        <w:t xml:space="preserve">K bodu 28 </w:t>
      </w:r>
    </w:p>
    <w:p w:rsidR="00970BC1" w:rsidRPr="00970BC1" w:rsidRDefault="00970BC1" w:rsidP="00970BC1">
      <w:pPr>
        <w:widowControl/>
        <w:spacing w:before="120"/>
        <w:ind w:firstLine="720"/>
        <w:jc w:val="both"/>
      </w:pPr>
      <w:r w:rsidRPr="00970BC1">
        <w:t xml:space="preserve">Ustanovenie spresňuje, že podporu na obnovu zariadenia sociálnych služieb možno poskytnúť na realizáciu stavebných prác na obnove v rozsahu definovanom zákonom súčasne alebo postupne. </w:t>
      </w:r>
    </w:p>
    <w:p w:rsidR="00970BC1" w:rsidRPr="00970BC1" w:rsidRDefault="00970BC1" w:rsidP="00970BC1">
      <w:pPr>
        <w:widowControl/>
        <w:spacing w:before="120"/>
        <w:jc w:val="both"/>
      </w:pPr>
      <w:r w:rsidRPr="00970BC1">
        <w:rPr>
          <w:b/>
        </w:rPr>
        <w:t>K bodom 29 a 30</w:t>
      </w:r>
    </w:p>
    <w:p w:rsidR="00970BC1" w:rsidRPr="00970BC1" w:rsidRDefault="00970BC1" w:rsidP="00970BC1">
      <w:pPr>
        <w:widowControl/>
        <w:spacing w:before="120"/>
        <w:jc w:val="both"/>
      </w:pPr>
      <w:r w:rsidRPr="00970BC1">
        <w:tab/>
        <w:t xml:space="preserve">Ide o legislatívno-technickú zmenu súvisiacu s doplnením nového účelu podpory. </w:t>
      </w:r>
    </w:p>
    <w:p w:rsidR="00970BC1" w:rsidRPr="00970BC1" w:rsidRDefault="00970BC1" w:rsidP="00970BC1">
      <w:pPr>
        <w:widowControl/>
        <w:spacing w:before="120"/>
        <w:jc w:val="both"/>
        <w:rPr>
          <w:b/>
        </w:rPr>
      </w:pPr>
      <w:r w:rsidRPr="00970BC1">
        <w:rPr>
          <w:b/>
        </w:rPr>
        <w:t>K bodu 31</w:t>
      </w:r>
    </w:p>
    <w:p w:rsidR="00970BC1" w:rsidRPr="00970BC1" w:rsidRDefault="00970BC1" w:rsidP="00970BC1">
      <w:pPr>
        <w:widowControl/>
        <w:spacing w:before="120"/>
        <w:ind w:firstLine="720"/>
        <w:jc w:val="both"/>
      </w:pPr>
      <w:r w:rsidRPr="00970BC1">
        <w:t xml:space="preserve">K obstarávanému ubytovaciemu domu môže byť žiadateľovi poskytnutá podpora zo ŠFRB na odstavnú plochu nie však na garážové stojisko. </w:t>
      </w:r>
    </w:p>
    <w:p w:rsidR="00970BC1" w:rsidRPr="00970BC1" w:rsidRDefault="00970BC1" w:rsidP="00970BC1">
      <w:pPr>
        <w:widowControl/>
        <w:spacing w:before="120"/>
        <w:jc w:val="both"/>
      </w:pPr>
      <w:r w:rsidRPr="00970BC1">
        <w:rPr>
          <w:b/>
        </w:rPr>
        <w:t>K bodu 32</w:t>
      </w:r>
    </w:p>
    <w:p w:rsidR="00970BC1" w:rsidRPr="00970BC1" w:rsidRDefault="00970BC1" w:rsidP="00970BC1">
      <w:pPr>
        <w:widowControl/>
        <w:spacing w:before="120"/>
        <w:jc w:val="both"/>
      </w:pPr>
      <w:r w:rsidRPr="00970BC1">
        <w:tab/>
        <w:t>V prípade, že pre obstaranie ubytovacieho zariadenia je potrebné obstarať aj prislúchajúcu technickú vybavenosti, žiadateľ podáva spolu so žiadosťou o poskytnutie podpory na obstaranie ubytovacieho domu aj žiadosť o poskytnutie podpory na obstaranie technickej vybavenosti k ubytovaciemu domu.</w:t>
      </w:r>
    </w:p>
    <w:p w:rsidR="00970BC1" w:rsidRPr="00970BC1" w:rsidRDefault="00970BC1" w:rsidP="00970BC1">
      <w:pPr>
        <w:widowControl/>
        <w:spacing w:before="120"/>
        <w:jc w:val="both"/>
      </w:pPr>
      <w:r w:rsidRPr="00970BC1">
        <w:rPr>
          <w:b/>
        </w:rPr>
        <w:t>K bodom 33 až 35</w:t>
      </w:r>
    </w:p>
    <w:p w:rsidR="00970BC1" w:rsidRPr="00970BC1" w:rsidRDefault="00970BC1" w:rsidP="00970BC1">
      <w:pPr>
        <w:widowControl/>
        <w:spacing w:before="120"/>
        <w:ind w:firstLine="720"/>
        <w:jc w:val="both"/>
      </w:pPr>
      <w:r w:rsidRPr="00970BC1">
        <w:t>Ide o legislatívno-technickú úpravu súvisiacu s doplnením nového účelu podpory.</w:t>
      </w:r>
    </w:p>
    <w:p w:rsidR="00970BC1" w:rsidRDefault="00970BC1" w:rsidP="00970BC1">
      <w:pPr>
        <w:widowControl/>
        <w:spacing w:before="120"/>
        <w:jc w:val="both"/>
        <w:rPr>
          <w:b/>
        </w:rPr>
      </w:pPr>
    </w:p>
    <w:p w:rsidR="00970BC1" w:rsidRDefault="00970BC1" w:rsidP="00970BC1">
      <w:pPr>
        <w:widowControl/>
        <w:spacing w:before="120"/>
        <w:jc w:val="both"/>
        <w:rPr>
          <w:b/>
        </w:rPr>
      </w:pPr>
    </w:p>
    <w:p w:rsidR="00970BC1" w:rsidRPr="00970BC1" w:rsidRDefault="00970BC1" w:rsidP="00970BC1">
      <w:pPr>
        <w:widowControl/>
        <w:spacing w:before="120"/>
        <w:jc w:val="both"/>
      </w:pPr>
      <w:r w:rsidRPr="00970BC1">
        <w:rPr>
          <w:b/>
        </w:rPr>
        <w:lastRenderedPageBreak/>
        <w:t>K bodu 36</w:t>
      </w:r>
    </w:p>
    <w:p w:rsidR="00970BC1" w:rsidRPr="00970BC1" w:rsidRDefault="00970BC1" w:rsidP="00970BC1">
      <w:pPr>
        <w:widowControl/>
        <w:spacing w:before="120"/>
        <w:jc w:val="both"/>
      </w:pPr>
      <w:r w:rsidRPr="00970BC1">
        <w:tab/>
        <w:t>V prípade, že pre obstaranie nájomného bytu alebo ubytovacieho domu je potrebné obstarať aj prislúchajúci pozemok, žiadateľ podáva spolu so žiadosťou o poskytnutie podpory na obstaranie nájomného bytu alebo ubytovacieho domu aj žiadosť o poskytnutie podpory na kúpu pozemku.</w:t>
      </w:r>
    </w:p>
    <w:p w:rsidR="00970BC1" w:rsidRPr="00970BC1" w:rsidRDefault="00970BC1" w:rsidP="00970BC1">
      <w:pPr>
        <w:widowControl/>
        <w:spacing w:before="120"/>
        <w:jc w:val="both"/>
        <w:rPr>
          <w:b/>
        </w:rPr>
      </w:pPr>
      <w:r w:rsidRPr="00970BC1">
        <w:rPr>
          <w:b/>
        </w:rPr>
        <w:t>K bodu 37</w:t>
      </w:r>
    </w:p>
    <w:p w:rsidR="00970BC1" w:rsidRPr="00970BC1" w:rsidRDefault="00970BC1" w:rsidP="00970BC1">
      <w:pPr>
        <w:widowControl/>
        <w:spacing w:before="120"/>
        <w:ind w:firstLine="720"/>
        <w:jc w:val="both"/>
      </w:pPr>
      <w:r w:rsidRPr="00970BC1">
        <w:t xml:space="preserve">Ustanovenie upravuje podmienky pre poskytnutie podpory na nový účel podpory - obstaranie ubytovacieho domu. </w:t>
      </w:r>
    </w:p>
    <w:p w:rsidR="00970BC1" w:rsidRPr="00970BC1" w:rsidRDefault="00970BC1" w:rsidP="00970BC1">
      <w:pPr>
        <w:widowControl/>
        <w:spacing w:before="120"/>
        <w:ind w:firstLine="720"/>
        <w:jc w:val="both"/>
      </w:pPr>
      <w:r w:rsidRPr="00970BC1">
        <w:t>Podporu na obstaranie ubytovacieho domu možno poskytnúť žiadateľovi iba vtedy, ak sa v ubytovacom dome obstaráva minimálne 10 ubytovacích buniek.</w:t>
      </w:r>
    </w:p>
    <w:p w:rsidR="00970BC1" w:rsidRPr="00970BC1" w:rsidRDefault="00970BC1" w:rsidP="00970BC1">
      <w:pPr>
        <w:widowControl/>
        <w:spacing w:before="120"/>
        <w:ind w:firstLine="720"/>
        <w:jc w:val="both"/>
      </w:pPr>
      <w:r w:rsidRPr="00970BC1">
        <w:t xml:space="preserve">Pri obstarávaní musí ubytovací dom spĺňať minimálne požiadavky na energetickú hospodárnosť budov určenú zákonom č. 555/2005 Z. z. o energetickej hospodárnosti budov a o zmene a doplnení niektorých zákonov v znení neskorších predpisov. </w:t>
      </w:r>
    </w:p>
    <w:p w:rsidR="00970BC1" w:rsidRPr="00970BC1" w:rsidRDefault="00970BC1" w:rsidP="00970BC1">
      <w:pPr>
        <w:widowControl/>
        <w:spacing w:before="120"/>
        <w:ind w:firstLine="720"/>
        <w:jc w:val="both"/>
      </w:pPr>
      <w:r w:rsidRPr="00970BC1">
        <w:t>Na obstaranie ubytovacieho domu možno poskytnúť podporu zo ŠFRB, ak sa žiadateľ zaviaže, že ubytovanie v ubytovacom dome bude poskytovať po dobu splatnosti úveru, najmenej však 20 rokov a na ubytovací dom zriadi záložné právo v prospech ŠFRB.</w:t>
      </w:r>
    </w:p>
    <w:p w:rsidR="00970BC1" w:rsidRPr="00970BC1" w:rsidRDefault="00970BC1" w:rsidP="00970BC1">
      <w:pPr>
        <w:widowControl/>
        <w:spacing w:before="120"/>
        <w:ind w:firstLine="720"/>
        <w:jc w:val="both"/>
      </w:pPr>
      <w:r w:rsidRPr="00970BC1">
        <w:t>Podporu na obstaranie ubytovacieho domu možno poskytnúť iba vtedy, ak sa stavba nachádza v meste alebo v priľahlých s mestom priamo susediacich obciach alebo v obci, na území ktorej sa realizuje výstavba priemyselného parku alebo už existuje priemyselný park alebo na území obce je prevádzka žiadateľa podľa § 7 ods. 1 písm. g) minimálne s 500 zamestnancami. Záujmom je, aby takýto typ stavieb vznikal predovšetkým v tých miestach, kde je priamo väčšia možnosť zamestnania a aby neboli ďalšie požiadavky na budovanie dopravnej infraštruktúry.</w:t>
      </w:r>
    </w:p>
    <w:p w:rsidR="00970BC1" w:rsidRPr="00970BC1" w:rsidRDefault="00970BC1" w:rsidP="00970BC1">
      <w:pPr>
        <w:widowControl/>
        <w:spacing w:before="120"/>
        <w:ind w:firstLine="720"/>
        <w:jc w:val="both"/>
      </w:pPr>
      <w:r w:rsidRPr="00970BC1">
        <w:t>Podporu na obstaranie toho istého ubytovacieho domu je možné poskytnúť iba jedenkrát.</w:t>
      </w:r>
    </w:p>
    <w:p w:rsidR="00970BC1" w:rsidRPr="00970BC1" w:rsidRDefault="00970BC1" w:rsidP="00970BC1">
      <w:pPr>
        <w:widowControl/>
        <w:spacing w:before="120"/>
        <w:ind w:firstLine="720"/>
        <w:jc w:val="both"/>
      </w:pPr>
      <w:r w:rsidRPr="00970BC1">
        <w:t xml:space="preserve">Ak sa ubytovací dom obstaráva prestavbou bytovej budovy, podpora zo ŠFRB sa na jeho obstaranie neposkytne, ak na obstaranie pôvodnej bytovej budovy už bola poskytnutá dotácia z verejných prostriedkov. Ide napr. o dotáciu na rozvoj bývania podľa zákona č. 443/2010 Z. z. o dotáciách na rozvoj bývania a o sociálnom bývaní v znení neskorších predpisov. </w:t>
      </w:r>
    </w:p>
    <w:p w:rsidR="00970BC1" w:rsidRPr="00970BC1" w:rsidRDefault="00970BC1" w:rsidP="00970BC1">
      <w:pPr>
        <w:widowControl/>
        <w:spacing w:before="120"/>
        <w:jc w:val="both"/>
      </w:pPr>
      <w:r w:rsidRPr="00970BC1">
        <w:rPr>
          <w:b/>
        </w:rPr>
        <w:t>K bodu 38</w:t>
      </w:r>
    </w:p>
    <w:p w:rsidR="00970BC1" w:rsidRPr="00970BC1" w:rsidRDefault="00970BC1" w:rsidP="00970BC1">
      <w:pPr>
        <w:widowControl/>
        <w:spacing w:before="120"/>
        <w:jc w:val="both"/>
      </w:pPr>
      <w:r w:rsidRPr="00970BC1">
        <w:tab/>
        <w:t xml:space="preserve">Navrhuje sa, aby žiadateľ predkladal ŠFRB žiadosť o poskytnutie podpory na obstaranie ubytovacieho domu prostredníctvom okresného úradu v sídle kraja príslušného podľa miesta stavby. </w:t>
      </w:r>
    </w:p>
    <w:p w:rsidR="00970BC1" w:rsidRPr="00970BC1" w:rsidRDefault="00970BC1" w:rsidP="00970BC1">
      <w:pPr>
        <w:widowControl/>
        <w:spacing w:before="120"/>
        <w:jc w:val="both"/>
        <w:rPr>
          <w:b/>
        </w:rPr>
      </w:pPr>
      <w:r w:rsidRPr="00970BC1">
        <w:rPr>
          <w:b/>
        </w:rPr>
        <w:t>K bodu 39</w:t>
      </w:r>
    </w:p>
    <w:p w:rsidR="00970BC1" w:rsidRPr="00970BC1" w:rsidRDefault="00970BC1" w:rsidP="00970BC1">
      <w:pPr>
        <w:widowControl/>
        <w:spacing w:before="120"/>
        <w:jc w:val="both"/>
      </w:pPr>
      <w:r w:rsidRPr="00970BC1">
        <w:tab/>
        <w:t>Navrhuje sa predĺžiť termín predkladania žiadosti o poskytnutie podpory na obstaranie nájomných bytov inou právnickou osobou, k nim prislúchajúcej technickej vybavenosti a pozemku z 30. júna na 30. septembra.</w:t>
      </w:r>
    </w:p>
    <w:p w:rsidR="00970BC1" w:rsidRPr="00970BC1" w:rsidRDefault="00970BC1" w:rsidP="00970BC1">
      <w:pPr>
        <w:widowControl/>
        <w:spacing w:before="120"/>
        <w:jc w:val="both"/>
        <w:rPr>
          <w:b/>
        </w:rPr>
      </w:pPr>
      <w:r w:rsidRPr="00970BC1">
        <w:rPr>
          <w:b/>
        </w:rPr>
        <w:t>K bodu 40</w:t>
      </w:r>
    </w:p>
    <w:p w:rsidR="00970BC1" w:rsidRPr="00970BC1" w:rsidRDefault="00970BC1" w:rsidP="00970BC1">
      <w:pPr>
        <w:widowControl/>
        <w:spacing w:before="120"/>
        <w:ind w:firstLine="720"/>
        <w:jc w:val="both"/>
      </w:pPr>
      <w:r w:rsidRPr="00970BC1">
        <w:t xml:space="preserve">Termín podania žiadosti o poskytnutie podpory na výstavbu zariadenia sociálnych služieb, obnovu zariadenia sociálnych služieb a obstaranie ubytovacieho domu sa navrhuje od 1. apríla do 30. septembra príslušného kalendárneho roka. </w:t>
      </w:r>
    </w:p>
    <w:p w:rsidR="00970BC1" w:rsidRPr="00970BC1" w:rsidRDefault="00970BC1" w:rsidP="00970BC1">
      <w:pPr>
        <w:widowControl/>
        <w:spacing w:before="120"/>
        <w:jc w:val="both"/>
      </w:pPr>
      <w:r w:rsidRPr="00970BC1">
        <w:rPr>
          <w:b/>
        </w:rPr>
        <w:t>K bodu 41</w:t>
      </w:r>
    </w:p>
    <w:p w:rsidR="00970BC1" w:rsidRPr="00970BC1" w:rsidRDefault="00970BC1" w:rsidP="00970BC1">
      <w:pPr>
        <w:widowControl/>
        <w:spacing w:before="120"/>
        <w:jc w:val="both"/>
      </w:pPr>
      <w:r w:rsidRPr="00970BC1">
        <w:tab/>
        <w:t xml:space="preserve">Podľa platného zákona obec v sídle okresu do 10 pracovných dní odo dňa doručenia žiadosti posúdila úplnosť náležitostí tejto žiadosti a následne úplnú a overenú žiadosť zaslala ŠFRB a súčasne vyplnila a odoslala formulár elektronickej žiadosti uverejnenej na webovom sídle ŠFRB. ŠFRB tak nemal informácie o žiadostiach v čase od ich doručenia až do ich posúdenia obcou a zároveň nemal </w:t>
      </w:r>
      <w:r w:rsidRPr="00970BC1">
        <w:lastRenderedPageBreak/>
        <w:t>žiadne informácie o neúplných a vrátených žiadostiach obcou, pričom v prípade podania podnetu zo strany žiadateľa je ŠFRB odvolacím orgánom.</w:t>
      </w:r>
    </w:p>
    <w:p w:rsidR="00970BC1" w:rsidRPr="00970BC1" w:rsidRDefault="00970BC1" w:rsidP="00970BC1">
      <w:pPr>
        <w:widowControl/>
        <w:spacing w:before="120"/>
        <w:jc w:val="both"/>
      </w:pPr>
      <w:r w:rsidRPr="00970BC1">
        <w:tab/>
        <w:t>Z uvedeného dôvodu sa navrhuje legislatívna úprava, na základe ktorej bude obec v sídle okresu povinná zaevidovať žiadosť vyplnením formulára elektronickej žiadosti uverejnenej na webovom sídle ŠFRB bezprostredne po doručení žiadosti a do 10 pracovných dní odo dňa doručenia žiadosti overí úplnosť jej náležitostí v poradí podľa doručenia. Posúdenie a overenie žiadosti vyznačí zamestnanec obce v sídle okresu, ktorý overenie vykonal svojím podpisom a odtlačkom úradnej pečiatky.</w:t>
      </w:r>
    </w:p>
    <w:p w:rsidR="00970BC1" w:rsidRPr="00970BC1" w:rsidRDefault="00970BC1" w:rsidP="00970BC1">
      <w:pPr>
        <w:widowControl/>
        <w:spacing w:before="120"/>
        <w:jc w:val="both"/>
        <w:rPr>
          <w:b/>
        </w:rPr>
      </w:pPr>
      <w:r w:rsidRPr="00970BC1">
        <w:rPr>
          <w:b/>
        </w:rPr>
        <w:t>K bodu 42</w:t>
      </w:r>
    </w:p>
    <w:p w:rsidR="00970BC1" w:rsidRPr="00970BC1" w:rsidRDefault="00970BC1" w:rsidP="00970BC1">
      <w:pPr>
        <w:spacing w:before="120"/>
        <w:ind w:firstLine="567"/>
        <w:jc w:val="both"/>
      </w:pPr>
      <w:r w:rsidRPr="00970BC1">
        <w:t>Ide o legislatívno-technickú úpravu nadväzujúcu na bod 41.</w:t>
      </w:r>
    </w:p>
    <w:p w:rsidR="00970BC1" w:rsidRPr="00970BC1" w:rsidRDefault="00970BC1" w:rsidP="00970BC1">
      <w:pPr>
        <w:widowControl/>
        <w:spacing w:before="120"/>
        <w:jc w:val="both"/>
        <w:rPr>
          <w:b/>
        </w:rPr>
      </w:pPr>
      <w:r w:rsidRPr="00970BC1">
        <w:rPr>
          <w:b/>
        </w:rPr>
        <w:t>K bodu 43</w:t>
      </w:r>
    </w:p>
    <w:p w:rsidR="00970BC1" w:rsidRPr="00970BC1" w:rsidRDefault="00970BC1" w:rsidP="00970BC1">
      <w:pPr>
        <w:widowControl/>
        <w:spacing w:before="120"/>
        <w:ind w:firstLine="720"/>
        <w:jc w:val="both"/>
      </w:pPr>
      <w:r w:rsidRPr="00970BC1">
        <w:t>Podľa platného zákona okresný úrad v sídle kraja do 30 pracovných dní odo dňa doručenia žiadosti alebo najneskôr do 31. marca príslušného roka, ak žiadateľ predkladal na okresný úrad v sídle kraja súčasne aj žiadosť o poskytnutie dotácie na rozvoj bývania posúdil úplnosť náležitostí tejto doručenej žiadosti a následne úplnú a overenú žiadosť zaslal ŠFRB a súčasne vyplnil a odoslal formulár elektronickej žiadosti uverejnenej na webovom sídle ŠFRB. ŠFRB tak nemal informácie o žiadostiach v čase od ich doručenia až do ich posúdenia okresným úradom v sídle kraja a zároveň nemal žiadne informácie o neúplných a vrátených žiadostiach okresným úradom v sídle kraja, pričom v prípade podania podnetu zo strany žiadateľa je ŠFRB odvolacím orgánom.</w:t>
      </w:r>
    </w:p>
    <w:p w:rsidR="00970BC1" w:rsidRPr="00970BC1" w:rsidRDefault="00970BC1" w:rsidP="00970BC1">
      <w:pPr>
        <w:widowControl/>
        <w:spacing w:before="120"/>
        <w:jc w:val="both"/>
      </w:pPr>
      <w:r w:rsidRPr="00970BC1">
        <w:tab/>
        <w:t xml:space="preserve">Z uvedeného dôvodu sa navrhuje legislatívna úprava, na základe ktorej bude okresný úrad v sídle kraja povinný zaevidovať žiadosť vyplnením formulára elektronickej žiadosti uverejnenej na webovom sídle ŠFRB bezprostredne po doručení žiadosti a do 30 pracovných dní, resp. do 31. marca príslušného roka, ak žiadateľ predkladal na okresný úrad v sídle kraja súčasne aj žiadosť o poskytnutie dotácie na rozvoj bývania. </w:t>
      </w:r>
    </w:p>
    <w:p w:rsidR="00970BC1" w:rsidRPr="00970BC1" w:rsidRDefault="00970BC1" w:rsidP="00970BC1">
      <w:pPr>
        <w:widowControl/>
        <w:spacing w:before="120"/>
        <w:jc w:val="both"/>
      </w:pPr>
      <w:r w:rsidRPr="00970BC1">
        <w:rPr>
          <w:b/>
        </w:rPr>
        <w:t>K bodu 44</w:t>
      </w:r>
    </w:p>
    <w:p w:rsidR="00970BC1" w:rsidRPr="00970BC1" w:rsidRDefault="00970BC1" w:rsidP="00970BC1">
      <w:pPr>
        <w:widowControl/>
        <w:spacing w:before="120"/>
        <w:jc w:val="both"/>
      </w:pPr>
      <w:r w:rsidRPr="00970BC1">
        <w:tab/>
        <w:t xml:space="preserve">Ide o legislatívno-technickú úpravu súvisiacu s doplnením nového účelu podpory. Navrhovanou zmenou sa zabezpečí, aby zmluva o poskytnutí podpory z prostriedkov ŠFRB na obstaranie ubytovacieho domu okrem iného obsahovala aj záväzok žiadateľa, že v ubytovacom dome bude poskytované ubytovanie počas lehoty splatnosti poskytnutého úveru, minimálne však 20 rokov.  </w:t>
      </w:r>
    </w:p>
    <w:p w:rsidR="00970BC1" w:rsidRPr="00970BC1" w:rsidRDefault="00970BC1" w:rsidP="00970BC1">
      <w:pPr>
        <w:widowControl/>
        <w:spacing w:before="120"/>
        <w:jc w:val="both"/>
        <w:rPr>
          <w:b/>
        </w:rPr>
      </w:pPr>
      <w:r w:rsidRPr="00970BC1">
        <w:rPr>
          <w:b/>
        </w:rPr>
        <w:t>K bodu 45</w:t>
      </w:r>
    </w:p>
    <w:p w:rsidR="00970BC1" w:rsidRPr="00970BC1" w:rsidRDefault="00970BC1" w:rsidP="00970BC1">
      <w:pPr>
        <w:widowControl/>
        <w:spacing w:before="120"/>
        <w:jc w:val="both"/>
      </w:pPr>
      <w:r w:rsidRPr="00970BC1">
        <w:tab/>
        <w:t>Legislatívna úprava súvisí s doplnením nového účelu podpory a navrhuje sa ňou, aby kontrolu dodržiavania zmluvných podmienok a podkladov k čerpaniu podpory poskytnutej zo ŠFRB pred ich zaslaním ŠFRB vykonával okresný úrad v sídle kraja príslušný podľa miesta stavby.</w:t>
      </w:r>
    </w:p>
    <w:p w:rsidR="00970BC1" w:rsidRPr="00970BC1" w:rsidRDefault="00970BC1" w:rsidP="00970BC1">
      <w:pPr>
        <w:widowControl/>
        <w:spacing w:before="120"/>
        <w:jc w:val="both"/>
        <w:rPr>
          <w:b/>
        </w:rPr>
      </w:pPr>
      <w:r w:rsidRPr="00970BC1">
        <w:rPr>
          <w:b/>
        </w:rPr>
        <w:t>K bodu 46</w:t>
      </w:r>
    </w:p>
    <w:p w:rsidR="00970BC1" w:rsidRPr="00970BC1" w:rsidRDefault="00970BC1" w:rsidP="00970BC1">
      <w:pPr>
        <w:widowControl/>
        <w:spacing w:before="120"/>
        <w:ind w:firstLine="720"/>
        <w:jc w:val="both"/>
      </w:pPr>
      <w:r w:rsidRPr="00970BC1">
        <w:t>Ide o legislatívno-technickú úpravu súvisiacu s bodom 47.</w:t>
      </w:r>
    </w:p>
    <w:p w:rsidR="00970BC1" w:rsidRPr="00970BC1" w:rsidRDefault="00970BC1" w:rsidP="00970BC1">
      <w:pPr>
        <w:widowControl/>
        <w:spacing w:before="120"/>
        <w:jc w:val="both"/>
      </w:pPr>
      <w:r w:rsidRPr="00970BC1">
        <w:rPr>
          <w:b/>
        </w:rPr>
        <w:t>K bodu 47</w:t>
      </w:r>
    </w:p>
    <w:p w:rsidR="00970BC1" w:rsidRPr="00970BC1" w:rsidRDefault="00970BC1" w:rsidP="00970BC1">
      <w:pPr>
        <w:widowControl/>
        <w:spacing w:before="120"/>
        <w:ind w:firstLine="720"/>
        <w:jc w:val="both"/>
      </w:pPr>
      <w:r w:rsidRPr="00970BC1">
        <w:t>Legislatívnou úpravou sa navrhuje doplnenie povinnosti pre žiadateľa, že v prípade porušenia podmienok poskytnutia podpory na obstaranie technickej vybavenosti, na kúpu pozemku, na obstaranie ubytovacieho domu</w:t>
      </w:r>
      <w:r w:rsidRPr="00970BC1" w:rsidDel="000E20CD">
        <w:t xml:space="preserve"> </w:t>
      </w:r>
      <w:r w:rsidRPr="00970BC1">
        <w:t>je žiadateľ povinný vrátiť finančné prostriedky.</w:t>
      </w:r>
    </w:p>
    <w:p w:rsidR="00F42949" w:rsidRDefault="00F42949" w:rsidP="00970BC1">
      <w:pPr>
        <w:widowControl/>
        <w:spacing w:before="120"/>
        <w:jc w:val="both"/>
        <w:rPr>
          <w:b/>
        </w:rPr>
      </w:pPr>
    </w:p>
    <w:p w:rsidR="00F42949" w:rsidRDefault="00F42949" w:rsidP="00970BC1">
      <w:pPr>
        <w:widowControl/>
        <w:spacing w:before="120"/>
        <w:jc w:val="both"/>
        <w:rPr>
          <w:b/>
        </w:rPr>
      </w:pPr>
    </w:p>
    <w:p w:rsidR="00970BC1" w:rsidRPr="00970BC1" w:rsidRDefault="00970BC1" w:rsidP="00970BC1">
      <w:pPr>
        <w:widowControl/>
        <w:spacing w:before="120"/>
        <w:jc w:val="both"/>
      </w:pPr>
      <w:r w:rsidRPr="00970BC1">
        <w:rPr>
          <w:b/>
        </w:rPr>
        <w:lastRenderedPageBreak/>
        <w:t>K bodu 48</w:t>
      </w:r>
    </w:p>
    <w:p w:rsidR="00970BC1" w:rsidRPr="00970BC1" w:rsidRDefault="00970BC1" w:rsidP="00970BC1">
      <w:pPr>
        <w:widowControl/>
        <w:spacing w:before="120"/>
        <w:jc w:val="both"/>
      </w:pPr>
      <w:r w:rsidRPr="00970BC1">
        <w:tab/>
        <w:t xml:space="preserve">Žiadateľ je povinný zachovať nájomný charakter pri podpore nájomných bytov počas ich životnosti. V § 18 ods. 4 je v súčasnosti účinnom znení zákona ustanovená sankcia za nedodržanie podmienky zachovania nájomného charakteru bytov (vrátenie nesplatenej časti úveru a penále pri omeškaní s úhradou nesplatenej časti úveru). Vzhľadom na skutočnosť, že ŠFRB má záložné právo na podporené nájomné byty vo vzťahu k úveru aj nájomnému charakteru bytov, je potrebné pre uvoľnenie záložného práva požiadať ŠFRB. To znamená, že by k porušeniu podmienky na zachovanie nájomného charakteru po realizácii záložného práva už nemalo dôjsť a tým je táto sankcia v praxi nevykonateľná a nadbytočná. Ak by žiadateľ nezriadil záložné právo na podporené nájomné byty uplatní sa sankcia podľa § 18 ods. 1 za porušenie finančnej disciplíny podľa zákona č. § 31 zákona č. 523/2004 Z. z. o rozpočtových pravidlách verejnej správy a o zmene a doplnení niektorých zákonov v znení neskorších predpisov. </w:t>
      </w:r>
    </w:p>
    <w:p w:rsidR="00970BC1" w:rsidRPr="00970BC1" w:rsidRDefault="00970BC1" w:rsidP="00970BC1">
      <w:pPr>
        <w:widowControl/>
        <w:spacing w:before="120"/>
        <w:jc w:val="both"/>
      </w:pPr>
      <w:r w:rsidRPr="00970BC1">
        <w:tab/>
        <w:t>Z uvedeného dôvodu sa navrhuje ustanovenie § 18 ods. 4 zo zákona vypustiť.</w:t>
      </w:r>
    </w:p>
    <w:p w:rsidR="00970BC1" w:rsidRPr="00970BC1" w:rsidRDefault="00970BC1" w:rsidP="00970BC1">
      <w:pPr>
        <w:widowControl/>
        <w:spacing w:before="120"/>
        <w:jc w:val="both"/>
        <w:rPr>
          <w:b/>
        </w:rPr>
      </w:pPr>
      <w:r w:rsidRPr="00970BC1">
        <w:rPr>
          <w:b/>
        </w:rPr>
        <w:t>K bodu 49</w:t>
      </w:r>
    </w:p>
    <w:p w:rsidR="00970BC1" w:rsidRPr="00970BC1" w:rsidRDefault="00970BC1" w:rsidP="00970BC1">
      <w:pPr>
        <w:widowControl/>
        <w:spacing w:before="120"/>
        <w:jc w:val="both"/>
      </w:pPr>
      <w:r w:rsidRPr="00970BC1">
        <w:rPr>
          <w:b/>
        </w:rPr>
        <w:tab/>
      </w:r>
      <w:r w:rsidRPr="00970BC1">
        <w:t>Ustanovenie upravuje podmienky pre možnosť predčasného splatenia úveru poskytnutého ŠFRB. V prípade úveru poskytnutého na obstaranie nájomných bytov a na obstaranie ubytovacieho domu sa však žiadateľ zaväzuje zachovať nájomný charakter bytov, resp. poskytovať ubytovanie v ubytovacom dome minimálne po dobu 20 rokov. V tomto prípade môže ŠFRB umožniť splatenie úveru po 30 rokov od nadobudnutia právoplatnosti kolaudačného rozhodnutia nájomného bytu alebo  až po uplynutí minimálnej doby poskytovania ubytovania v ubytovacom dome.</w:t>
      </w:r>
    </w:p>
    <w:p w:rsidR="00970BC1" w:rsidRPr="00970BC1" w:rsidRDefault="00970BC1" w:rsidP="00970BC1">
      <w:pPr>
        <w:widowControl/>
        <w:spacing w:before="120"/>
        <w:jc w:val="both"/>
      </w:pPr>
      <w:r w:rsidRPr="00970BC1">
        <w:rPr>
          <w:b/>
        </w:rPr>
        <w:t>K bodu 50</w:t>
      </w:r>
    </w:p>
    <w:p w:rsidR="00970BC1" w:rsidRPr="00970BC1" w:rsidRDefault="00970BC1" w:rsidP="00970BC1">
      <w:pPr>
        <w:widowControl/>
        <w:spacing w:before="120"/>
        <w:ind w:firstLine="720"/>
        <w:jc w:val="both"/>
      </w:pPr>
      <w:r w:rsidRPr="00970BC1">
        <w:t>Ide o legislatívno-technickú zmenu, ktorá vyplýva z bodov 8 a 22.9 prílohy č. 1 k Legislatívnym pravidlám vlády SR, ako aj potreby spresnenia a zosúladenia legislatívnej techniky v zákone s novou zaužívanou praxou a požiadavkami Legislatívnej rady vlády SR.</w:t>
      </w:r>
    </w:p>
    <w:p w:rsidR="00970BC1" w:rsidRPr="00970BC1" w:rsidRDefault="00970BC1" w:rsidP="00970BC1">
      <w:pPr>
        <w:widowControl/>
        <w:spacing w:before="120"/>
        <w:jc w:val="both"/>
        <w:rPr>
          <w:b/>
        </w:rPr>
      </w:pPr>
      <w:r w:rsidRPr="00970BC1">
        <w:rPr>
          <w:b/>
        </w:rPr>
        <w:t>K bodu 51</w:t>
      </w:r>
    </w:p>
    <w:p w:rsidR="00970BC1" w:rsidRPr="00970BC1" w:rsidRDefault="00970BC1" w:rsidP="00970BC1">
      <w:pPr>
        <w:widowControl/>
        <w:spacing w:before="120"/>
        <w:ind w:firstLine="720"/>
        <w:jc w:val="both"/>
      </w:pPr>
      <w:r w:rsidRPr="00970BC1">
        <w:t xml:space="preserve">Z dôvodu transparentnosti a informovanosti verejnosti o vynakladaní verejných finančných zdrojov určených na podporu rozvoja bývania navrhuje sa doplnenie povinnosti pre ŠFRB, aby na svojom webovom sídle uverejňoval informácie o schválenom rozpočte ŠFRB na poskytovanie podpory podľa účelu pre daný rozpočtový rok a návrh rozpočtu a nasledujúce 2 roky a informácie pre žiadateľa nevyhnutné pre podanie žiadosti. </w:t>
      </w:r>
    </w:p>
    <w:p w:rsidR="00970BC1" w:rsidRPr="00970BC1" w:rsidRDefault="00970BC1" w:rsidP="00970BC1">
      <w:pPr>
        <w:widowControl/>
        <w:spacing w:before="120"/>
        <w:ind w:firstLine="720"/>
        <w:jc w:val="both"/>
      </w:pPr>
      <w:r w:rsidRPr="00970BC1">
        <w:t>Súčasne bude ŠFRB na svojom webovom sídle uverejňovať informácie o počte predložených žiadostí o poskytnutie podpory podľa účelov vrátane informácií o objeme požadovanej podpory a počte bytov, lôžok, ubytovacích buniek, na ktoré sa požaduje podpora. Obdobný rozsah údajov sa bude zverejňovať aj v prípade  uzatvorených zmlúv o poskytnutí podpory a žiadostí, ktoré nesplnili podmienky ustanovené zákonom o Štátnom fonde rozvoja bývania.</w:t>
      </w:r>
    </w:p>
    <w:p w:rsidR="00970BC1" w:rsidRPr="00970BC1" w:rsidRDefault="00970BC1" w:rsidP="00970BC1">
      <w:pPr>
        <w:spacing w:before="120"/>
        <w:jc w:val="both"/>
        <w:rPr>
          <w:b/>
        </w:rPr>
      </w:pPr>
      <w:r w:rsidRPr="00970BC1">
        <w:rPr>
          <w:b/>
        </w:rPr>
        <w:t>K bodu 52</w:t>
      </w:r>
    </w:p>
    <w:p w:rsidR="00970BC1" w:rsidRDefault="00970BC1" w:rsidP="00970BC1">
      <w:pPr>
        <w:spacing w:before="120"/>
        <w:jc w:val="both"/>
      </w:pPr>
      <w:r w:rsidRPr="00970BC1">
        <w:rPr>
          <w:b/>
        </w:rPr>
        <w:tab/>
      </w:r>
      <w:r w:rsidRPr="00970BC1">
        <w:t>Ustanovenie upravuje, že</w:t>
      </w:r>
      <w:r w:rsidRPr="00970BC1">
        <w:rPr>
          <w:b/>
        </w:rPr>
        <w:t xml:space="preserve"> </w:t>
      </w:r>
      <w:r w:rsidRPr="00970BC1">
        <w:t>zmenu navrhnutú v bodoch 20 a 49 je možné uplatniť aj na zmluvy uzatvorené pred 1.1.2020.</w:t>
      </w:r>
    </w:p>
    <w:p w:rsidR="00970BC1" w:rsidRDefault="00970BC1" w:rsidP="00970BC1">
      <w:pPr>
        <w:widowControl/>
        <w:adjustRightInd/>
        <w:ind w:firstLine="709"/>
        <w:contextualSpacing/>
        <w:jc w:val="both"/>
        <w:rPr>
          <w:b/>
        </w:rPr>
      </w:pPr>
    </w:p>
    <w:p w:rsidR="00F42949" w:rsidRDefault="00F42949" w:rsidP="00970BC1">
      <w:pPr>
        <w:widowControl/>
        <w:adjustRightInd/>
        <w:ind w:firstLine="709"/>
        <w:contextualSpacing/>
        <w:jc w:val="both"/>
        <w:rPr>
          <w:b/>
        </w:rPr>
      </w:pPr>
    </w:p>
    <w:p w:rsidR="00F42949" w:rsidRDefault="00F42949" w:rsidP="00970BC1">
      <w:pPr>
        <w:widowControl/>
        <w:adjustRightInd/>
        <w:ind w:firstLine="709"/>
        <w:contextualSpacing/>
        <w:jc w:val="both"/>
        <w:rPr>
          <w:b/>
        </w:rPr>
      </w:pPr>
    </w:p>
    <w:p w:rsidR="00F42949" w:rsidRDefault="00F42949" w:rsidP="00970BC1">
      <w:pPr>
        <w:widowControl/>
        <w:adjustRightInd/>
        <w:ind w:firstLine="709"/>
        <w:contextualSpacing/>
        <w:jc w:val="both"/>
        <w:rPr>
          <w:b/>
        </w:rPr>
      </w:pPr>
    </w:p>
    <w:p w:rsidR="00F42949" w:rsidRDefault="00F42949" w:rsidP="00970BC1">
      <w:pPr>
        <w:widowControl/>
        <w:adjustRightInd/>
        <w:ind w:firstLine="709"/>
        <w:contextualSpacing/>
        <w:jc w:val="both"/>
        <w:rPr>
          <w:b/>
        </w:rPr>
      </w:pPr>
    </w:p>
    <w:p w:rsidR="00F42949" w:rsidRPr="00970BC1" w:rsidRDefault="00F42949" w:rsidP="00970BC1">
      <w:pPr>
        <w:widowControl/>
        <w:adjustRightInd/>
        <w:ind w:firstLine="709"/>
        <w:contextualSpacing/>
        <w:jc w:val="both"/>
        <w:rPr>
          <w:b/>
        </w:rPr>
      </w:pPr>
    </w:p>
    <w:p w:rsidR="00970BC1" w:rsidRPr="00970BC1" w:rsidRDefault="00970BC1" w:rsidP="00970BC1">
      <w:pPr>
        <w:widowControl/>
        <w:spacing w:before="120"/>
        <w:jc w:val="both"/>
        <w:rPr>
          <w:b/>
        </w:rPr>
      </w:pPr>
      <w:r w:rsidRPr="00970BC1">
        <w:rPr>
          <w:b/>
        </w:rPr>
        <w:lastRenderedPageBreak/>
        <w:t>Čl. II</w:t>
      </w:r>
    </w:p>
    <w:p w:rsidR="00970BC1" w:rsidRPr="00970BC1" w:rsidRDefault="00970BC1" w:rsidP="00970BC1">
      <w:pPr>
        <w:widowControl/>
        <w:adjustRightInd/>
        <w:spacing w:before="240"/>
        <w:jc w:val="both"/>
        <w:rPr>
          <w:b/>
        </w:rPr>
      </w:pPr>
      <w:r w:rsidRPr="00970BC1">
        <w:rPr>
          <w:b/>
        </w:rPr>
        <w:t>K bodom 1 až 3</w:t>
      </w:r>
    </w:p>
    <w:p w:rsidR="00970BC1" w:rsidRPr="00970BC1" w:rsidRDefault="00970BC1" w:rsidP="00970BC1">
      <w:pPr>
        <w:widowControl/>
        <w:adjustRightInd/>
        <w:spacing w:before="240"/>
        <w:ind w:firstLine="720"/>
        <w:jc w:val="both"/>
      </w:pPr>
      <w:r w:rsidRPr="00970BC1">
        <w:t>Navrhovaná novela zákona NR SR  č. 182/1993 Z. z. o vlastníctve bytov a nebytových priestorov v znení neskorších predpisov (ďalej len „zákon o vlastníctve bytov“) vychádza z návrhu na poskytovanie podpory vzniku nových spoločných častí alebo nových spoločných zariadení domu zo Štátneho fondu rozvoja bývania. Pretože problematika spoločných častí domu a spoločných zariadení domu je predmetom úpravy zákona o vlastníctve bytov, je potrebné v tomto smere zmeniť aj niektoré ustanovenia tohto zákona.</w:t>
      </w:r>
    </w:p>
    <w:p w:rsidR="00970BC1" w:rsidRPr="00970BC1" w:rsidRDefault="00970BC1" w:rsidP="00970BC1">
      <w:pPr>
        <w:widowControl/>
        <w:adjustRightInd/>
        <w:spacing w:before="120"/>
        <w:ind w:firstLine="720"/>
        <w:jc w:val="both"/>
      </w:pPr>
      <w:r w:rsidRPr="00970BC1">
        <w:t>Vznik nových spoločných častí bytového domu alebo nových spoločných zariadení bytového domu v súčasnosti upravuje § 19 ods. 8 zákona o vlastníctve bytov, podľa ktorého môže nová spoločná časť domu alebo nové spoločné zariadenie domu vzniknúť len na základe zmluvy o vstavbe alebo zmluvy o nadstavbe. Podľa § 139b ods. 5 písm. c) zákona č. 50/1976 Zb. o územnom plánovaní a stavebnom poriadku (stavebný zákon) v znení neskorších predpisov je vstavba stavebná úprava existujúcej (dokončenej) stavby, pri ktorej sa zachováva vonkajšie pôdorysné aj výškové ohraničenie stavby. Nadstavbou sa podľa § 139b ods. 5 písm. a) stavebného zákona rozumejú stavebné úpravy, ktorými sa stavba zvyšuje. Podľa § 14b ods. 2 písm. e) zákona o vlastníctve bytov je na prijatie rozhodnutia o zmluve o vstavbe alebo nadstavbe novej spoločnej časti domu a nového spoločného zariadenia domu, ktorými vznikajú nové spoločné časti domu a nové spoločné zariadenia domu, potrebný súhlas dvojtretinovej väčšiny hlasov všetkých vlastníkov bytov a nebytových priestorov v dome.</w:t>
      </w:r>
    </w:p>
    <w:p w:rsidR="00970BC1" w:rsidRPr="00970BC1" w:rsidRDefault="00970BC1" w:rsidP="00970BC1">
      <w:pPr>
        <w:widowControl/>
        <w:adjustRightInd/>
        <w:spacing w:before="120"/>
        <w:ind w:firstLine="720"/>
        <w:jc w:val="both"/>
      </w:pPr>
      <w:r w:rsidRPr="00970BC1">
        <w:t xml:space="preserve">V súlade s čl. I. návrhu zákona by sa prostriedky Štátneho fondu rozvoja bývania mohli použiť aj na výstavbu novej spoločnej časti domu alebo nového spoločného zariadenia domu aj formou prístavby podľa </w:t>
      </w:r>
      <w:r w:rsidRPr="00970BC1">
        <w:rPr>
          <w:snapToGrid w:val="0"/>
        </w:rPr>
        <w:t xml:space="preserve">§ 139b ods. 5 písm. b) stavebného zákona. V tomto prípade ide o zmenu dokončenej stavby, ktorou sa stavby pôdorysne rozširujú a ktoré sú navzájom prevádzkovo spojené s doterajšou stavbou. Prístavbou sa rozumie taká stavebná činnosť, ktorej výsledkom je </w:t>
      </w:r>
      <w:r w:rsidRPr="00970BC1">
        <w:rPr>
          <w:bCs/>
        </w:rPr>
        <w:t xml:space="preserve">pôdorysné rozšírenie existujúcej stavby, pričom prístavba je jej súčasťou a zároveň bude prevádzkovo spojená so stavbou. K takýmto stavebným činnostiam patrí aj výstavba/prístavba balkónov, lodžií a terás. </w:t>
      </w:r>
      <w:r w:rsidRPr="00970BC1">
        <w:t>Z uvedeného dôvodu sa navrhuje, aby sa zmluva o výstavbe podľa § 21 a 22 zákona o vlastníctve bytov uzatvárala aj v prípade, že jej predmetom je výlučne výstavba novej spoločnej časti domu, nového spoločného zariadenia domu alebo nového príslušenstva (t. j. ak súčasne s realizáciou stavebných prác na spoločnej časti domu, spoločnom zariadení domu alebo príslušenstve nedochádza k výstavbe/vzniku nového  bytu alebo nového nebytového priestoru). Účastníkmi zmluvy o výstavbe budú všetci vlastníci bytov a nebytových priestorov v dome ako budúci spoluvlastníci tejto novej spoločnej časti domu, nového spoločného zariadenia domu, resp. nového príslušenstva. Nová spoločná časť domu, nové spoločné zariadenie domu alebo nové príslušenstvo by sa zapisovalo do katastra nehnuteľností len v prípade, že výstavbou by došlo k zmene skutočností, ktoré sa zapisujú do katastra. Pri podpisovaní tejto zmluvy o výstavbe sa bude postupovať podľa § 14a ods. 7 zákona o vlastníctve bytov.</w:t>
      </w:r>
      <w:r w:rsidRPr="00970BC1">
        <w:tab/>
      </w:r>
    </w:p>
    <w:p w:rsidR="00970BC1" w:rsidRPr="00970BC1" w:rsidRDefault="00970BC1" w:rsidP="00970BC1">
      <w:pPr>
        <w:widowControl/>
        <w:spacing w:before="120"/>
        <w:jc w:val="both"/>
      </w:pPr>
    </w:p>
    <w:p w:rsidR="00970BC1" w:rsidRPr="00970BC1" w:rsidRDefault="00970BC1" w:rsidP="00970BC1">
      <w:pPr>
        <w:widowControl/>
        <w:spacing w:before="120"/>
        <w:jc w:val="both"/>
        <w:rPr>
          <w:b/>
        </w:rPr>
      </w:pPr>
      <w:r w:rsidRPr="00970BC1">
        <w:rPr>
          <w:b/>
        </w:rPr>
        <w:t>Čl. III</w:t>
      </w:r>
    </w:p>
    <w:p w:rsidR="00970BC1" w:rsidRPr="00970BC1" w:rsidRDefault="00970BC1" w:rsidP="00970BC1">
      <w:pPr>
        <w:widowControl/>
        <w:spacing w:before="120"/>
        <w:jc w:val="both"/>
        <w:rPr>
          <w:b/>
        </w:rPr>
      </w:pPr>
      <w:r w:rsidRPr="00970BC1">
        <w:rPr>
          <w:b/>
        </w:rPr>
        <w:t>K bodu 1</w:t>
      </w:r>
    </w:p>
    <w:p w:rsidR="00970BC1" w:rsidRPr="00970BC1" w:rsidRDefault="00970BC1" w:rsidP="00970BC1">
      <w:pPr>
        <w:widowControl/>
        <w:spacing w:before="240"/>
        <w:ind w:firstLine="720"/>
        <w:jc w:val="both"/>
      </w:pPr>
      <w:r w:rsidRPr="00970BC1">
        <w:t xml:space="preserve">Právna úprava platná v súčasnosti ustanovuje podmienku zachovania nájomného charakteru podporených bytov minimálne 20 rokov. Možnosť odpredaja týchto bytov zvyšuje podiel vlastníckeho bývania a znižuje tak dostupnosť nájomného bývania. </w:t>
      </w:r>
    </w:p>
    <w:p w:rsidR="00970BC1" w:rsidRPr="00970BC1" w:rsidRDefault="00970BC1" w:rsidP="00970BC1">
      <w:pPr>
        <w:widowControl/>
        <w:spacing w:before="120"/>
        <w:ind w:firstLine="720"/>
        <w:jc w:val="both"/>
      </w:pPr>
      <w:r w:rsidRPr="00970BC1">
        <w:lastRenderedPageBreak/>
        <w:t>Navrhuje sa preto zavedenie podmienky zachovania nájomného charakteru bytov bez časového obmedzenia, t. j. počas celej životnosti nájomných bytov, pri ktorých bolo obstaranie podporené z verejných zdrojov.</w:t>
      </w:r>
    </w:p>
    <w:p w:rsidR="00970BC1" w:rsidRPr="00970BC1" w:rsidRDefault="00970BC1" w:rsidP="00970BC1">
      <w:pPr>
        <w:widowControl/>
        <w:spacing w:before="120"/>
        <w:ind w:firstLine="720"/>
        <w:jc w:val="both"/>
      </w:pPr>
    </w:p>
    <w:p w:rsidR="00970BC1" w:rsidRPr="00970BC1" w:rsidRDefault="00970BC1" w:rsidP="00970BC1">
      <w:pPr>
        <w:widowControl/>
        <w:spacing w:before="120"/>
        <w:jc w:val="both"/>
        <w:rPr>
          <w:b/>
        </w:rPr>
      </w:pPr>
      <w:r w:rsidRPr="00970BC1">
        <w:rPr>
          <w:b/>
        </w:rPr>
        <w:t>Čl. IV</w:t>
      </w:r>
    </w:p>
    <w:p w:rsidR="00970BC1" w:rsidRPr="00970BC1" w:rsidRDefault="00970BC1" w:rsidP="00970BC1">
      <w:pPr>
        <w:widowControl/>
        <w:spacing w:before="120"/>
        <w:ind w:firstLine="720"/>
        <w:jc w:val="both"/>
      </w:pPr>
      <w:r w:rsidRPr="00970BC1">
        <w:t>Navrhuje sa, aby novela zákona nadobudla účinnosť 1. januára 2020. </w:t>
      </w:r>
    </w:p>
    <w:p w:rsidR="00970BC1" w:rsidRPr="00970BC1" w:rsidRDefault="00970BC1" w:rsidP="00970BC1">
      <w:pPr>
        <w:widowControl/>
        <w:spacing w:before="120"/>
        <w:ind w:firstLine="720"/>
        <w:jc w:val="both"/>
      </w:pPr>
    </w:p>
    <w:p w:rsidR="00970BC1" w:rsidRDefault="00970BC1" w:rsidP="00FA3C02">
      <w:pPr>
        <w:rPr>
          <w:b/>
        </w:rPr>
      </w:pPr>
    </w:p>
    <w:p w:rsidR="00931AFF" w:rsidRDefault="00931AFF" w:rsidP="00931AFF">
      <w:pPr>
        <w:pStyle w:val="Zkladntext3"/>
        <w:spacing w:after="0"/>
        <w:rPr>
          <w:b/>
          <w:bCs/>
          <w:sz w:val="24"/>
          <w:szCs w:val="24"/>
        </w:rPr>
      </w:pPr>
    </w:p>
    <w:p w:rsidR="00931AFF" w:rsidRPr="000C4A40" w:rsidRDefault="00931AFF" w:rsidP="00931AFF">
      <w:pPr>
        <w:pStyle w:val="Zkladntext3"/>
        <w:spacing w:after="0"/>
        <w:rPr>
          <w:bCs/>
          <w:sz w:val="24"/>
          <w:szCs w:val="24"/>
        </w:rPr>
      </w:pPr>
      <w:r w:rsidRPr="000C4A40">
        <w:rPr>
          <w:bCs/>
          <w:sz w:val="24"/>
          <w:szCs w:val="24"/>
        </w:rPr>
        <w:t xml:space="preserve">Bratislava </w:t>
      </w:r>
      <w:r>
        <w:rPr>
          <w:bCs/>
          <w:sz w:val="24"/>
          <w:szCs w:val="24"/>
        </w:rPr>
        <w:t>17</w:t>
      </w:r>
      <w:r w:rsidRPr="000C4A40">
        <w:rPr>
          <w:bCs/>
          <w:sz w:val="24"/>
          <w:szCs w:val="24"/>
        </w:rPr>
        <w:t xml:space="preserve">. </w:t>
      </w:r>
      <w:r>
        <w:rPr>
          <w:bCs/>
          <w:sz w:val="24"/>
          <w:szCs w:val="24"/>
        </w:rPr>
        <w:t>apríla</w:t>
      </w:r>
      <w:r w:rsidRPr="000C4A40">
        <w:rPr>
          <w:bCs/>
          <w:sz w:val="24"/>
          <w:szCs w:val="24"/>
        </w:rPr>
        <w:t xml:space="preserve"> 201</w:t>
      </w:r>
      <w:r>
        <w:rPr>
          <w:bCs/>
          <w:sz w:val="24"/>
          <w:szCs w:val="24"/>
        </w:rPr>
        <w:t>9</w:t>
      </w:r>
    </w:p>
    <w:p w:rsidR="00931AFF" w:rsidRDefault="00931AFF" w:rsidP="00931AFF">
      <w:pPr>
        <w:pStyle w:val="Zkladntext3"/>
        <w:spacing w:after="0"/>
        <w:rPr>
          <w:b/>
          <w:bCs/>
          <w:sz w:val="24"/>
          <w:szCs w:val="24"/>
        </w:rPr>
      </w:pPr>
    </w:p>
    <w:p w:rsidR="00931AFF" w:rsidRDefault="00931AFF" w:rsidP="00931AFF">
      <w:pPr>
        <w:pStyle w:val="Zkladntext3"/>
        <w:spacing w:after="0"/>
        <w:rPr>
          <w:b/>
          <w:bCs/>
          <w:sz w:val="24"/>
          <w:szCs w:val="24"/>
        </w:rPr>
      </w:pPr>
    </w:p>
    <w:p w:rsidR="00931AFF" w:rsidRDefault="00931AFF" w:rsidP="00931AFF">
      <w:pPr>
        <w:pStyle w:val="Zkladntext3"/>
        <w:spacing w:after="0"/>
        <w:rPr>
          <w:b/>
          <w:bCs/>
          <w:sz w:val="24"/>
          <w:szCs w:val="24"/>
        </w:rPr>
      </w:pPr>
    </w:p>
    <w:p w:rsidR="00931AFF" w:rsidRDefault="00931AFF" w:rsidP="00931AFF">
      <w:pPr>
        <w:pStyle w:val="Zkladntext3"/>
        <w:spacing w:after="0"/>
        <w:rPr>
          <w:b/>
          <w:bCs/>
          <w:sz w:val="24"/>
          <w:szCs w:val="24"/>
        </w:rPr>
      </w:pPr>
    </w:p>
    <w:p w:rsidR="00931AFF" w:rsidRDefault="00931AFF" w:rsidP="00931AFF">
      <w:pPr>
        <w:pStyle w:val="Zkladntext3"/>
        <w:spacing w:after="0"/>
        <w:rPr>
          <w:b/>
          <w:bCs/>
          <w:sz w:val="24"/>
          <w:szCs w:val="24"/>
        </w:rPr>
      </w:pPr>
    </w:p>
    <w:p w:rsidR="00931AFF" w:rsidRDefault="00931AFF" w:rsidP="00931AFF">
      <w:pPr>
        <w:pStyle w:val="Zkladntext3"/>
        <w:spacing w:after="0"/>
        <w:rPr>
          <w:b/>
          <w:bCs/>
          <w:sz w:val="24"/>
          <w:szCs w:val="24"/>
        </w:rPr>
      </w:pPr>
    </w:p>
    <w:p w:rsidR="00931AFF" w:rsidRPr="000C4A40" w:rsidRDefault="00931AFF" w:rsidP="00931AFF">
      <w:pPr>
        <w:spacing w:after="240"/>
        <w:jc w:val="center"/>
        <w:rPr>
          <w:b/>
        </w:rPr>
      </w:pPr>
      <w:r w:rsidRPr="000C4A40">
        <w:rPr>
          <w:b/>
        </w:rPr>
        <w:t>Peter Pellegrini v. r.</w:t>
      </w:r>
    </w:p>
    <w:p w:rsidR="00931AFF" w:rsidRPr="000C4A40" w:rsidRDefault="00931AFF" w:rsidP="00931AFF">
      <w:pPr>
        <w:spacing w:after="60"/>
        <w:jc w:val="center"/>
      </w:pPr>
      <w:r>
        <w:rPr>
          <w:szCs w:val="20"/>
        </w:rPr>
        <w:t>predseda vlády Slovenskej republiky</w:t>
      </w:r>
    </w:p>
    <w:p w:rsidR="00931AFF" w:rsidRDefault="00931AFF" w:rsidP="00931AFF">
      <w:pPr>
        <w:pStyle w:val="Zkladntext3"/>
        <w:spacing w:after="0" w:line="276" w:lineRule="auto"/>
        <w:rPr>
          <w:b/>
          <w:bCs/>
          <w:sz w:val="24"/>
          <w:szCs w:val="24"/>
        </w:rPr>
      </w:pPr>
    </w:p>
    <w:p w:rsidR="00931AFF" w:rsidRDefault="00931AFF" w:rsidP="00931AFF">
      <w:pPr>
        <w:pStyle w:val="Zkladntext3"/>
        <w:spacing w:after="0" w:line="276" w:lineRule="auto"/>
        <w:rPr>
          <w:b/>
          <w:bCs/>
          <w:sz w:val="24"/>
          <w:szCs w:val="24"/>
        </w:rPr>
      </w:pPr>
    </w:p>
    <w:p w:rsidR="00931AFF" w:rsidRDefault="00931AFF" w:rsidP="00931AFF">
      <w:pPr>
        <w:pStyle w:val="Zkladntext3"/>
        <w:spacing w:after="0" w:line="276" w:lineRule="auto"/>
        <w:rPr>
          <w:b/>
          <w:bCs/>
          <w:sz w:val="24"/>
          <w:szCs w:val="24"/>
        </w:rPr>
      </w:pPr>
    </w:p>
    <w:p w:rsidR="00931AFF" w:rsidRDefault="00931AFF" w:rsidP="00931AFF">
      <w:pPr>
        <w:pStyle w:val="Zkladntext3"/>
        <w:spacing w:after="0" w:line="276" w:lineRule="auto"/>
        <w:rPr>
          <w:b/>
          <w:bCs/>
          <w:sz w:val="24"/>
          <w:szCs w:val="24"/>
        </w:rPr>
      </w:pPr>
    </w:p>
    <w:p w:rsidR="00931AFF" w:rsidRDefault="00931AFF" w:rsidP="00931AFF">
      <w:pPr>
        <w:pStyle w:val="Zkladntext3"/>
        <w:spacing w:after="0" w:line="276" w:lineRule="auto"/>
        <w:rPr>
          <w:b/>
          <w:bCs/>
          <w:sz w:val="24"/>
          <w:szCs w:val="24"/>
        </w:rPr>
      </w:pPr>
    </w:p>
    <w:p w:rsidR="00931AFF" w:rsidRPr="000C4A40" w:rsidRDefault="00931AFF" w:rsidP="00931AFF">
      <w:pPr>
        <w:spacing w:after="240"/>
        <w:jc w:val="center"/>
        <w:rPr>
          <w:b/>
        </w:rPr>
      </w:pPr>
      <w:r w:rsidRPr="000C4A40">
        <w:rPr>
          <w:b/>
        </w:rPr>
        <w:t>Árpád Érsek v. r.</w:t>
      </w:r>
    </w:p>
    <w:p w:rsidR="00931AFF" w:rsidRDefault="00931AFF" w:rsidP="00931AFF">
      <w:pPr>
        <w:jc w:val="center"/>
        <w:rPr>
          <w:szCs w:val="20"/>
        </w:rPr>
      </w:pPr>
      <w:r>
        <w:rPr>
          <w:szCs w:val="20"/>
        </w:rPr>
        <w:t>m</w:t>
      </w:r>
      <w:r w:rsidRPr="000C4A40">
        <w:rPr>
          <w:szCs w:val="20"/>
        </w:rPr>
        <w:t>inister</w:t>
      </w:r>
      <w:r>
        <w:rPr>
          <w:szCs w:val="20"/>
        </w:rPr>
        <w:t xml:space="preserve"> dopravy a výstavby</w:t>
      </w:r>
    </w:p>
    <w:p w:rsidR="00931AFF" w:rsidRPr="000C4A40" w:rsidRDefault="00931AFF" w:rsidP="00931AFF">
      <w:pPr>
        <w:jc w:val="center"/>
      </w:pPr>
      <w:r>
        <w:rPr>
          <w:szCs w:val="20"/>
        </w:rPr>
        <w:t>Slovenskej republiky</w:t>
      </w:r>
    </w:p>
    <w:p w:rsidR="00970BC1" w:rsidRDefault="00970BC1" w:rsidP="00FA3C02">
      <w:pPr>
        <w:rPr>
          <w:b/>
        </w:rPr>
      </w:pPr>
    </w:p>
    <w:sectPr w:rsidR="00970BC1" w:rsidSect="000623C2">
      <w:pgSz w:w="12240" w:h="15840"/>
      <w:pgMar w:top="1134" w:right="10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03" w:rsidRDefault="00904D03" w:rsidP="004B44F8">
      <w:r>
        <w:separator/>
      </w:r>
    </w:p>
  </w:endnote>
  <w:endnote w:type="continuationSeparator" w:id="0">
    <w:p w:rsidR="00904D03" w:rsidRDefault="00904D03" w:rsidP="004B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Default="004B44F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B44F8" w:rsidRDefault="004B44F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Pr="00BF6F09" w:rsidRDefault="004B44F8">
    <w:pPr>
      <w:pStyle w:val="Pta"/>
      <w:jc w:val="center"/>
      <w:rPr>
        <w:sz w:val="24"/>
        <w:szCs w:val="24"/>
      </w:rPr>
    </w:pPr>
    <w:r w:rsidRPr="00BF6F09">
      <w:rPr>
        <w:sz w:val="24"/>
        <w:szCs w:val="24"/>
      </w:rPr>
      <w:fldChar w:fldCharType="begin"/>
    </w:r>
    <w:r w:rsidRPr="00BF6F09">
      <w:rPr>
        <w:sz w:val="24"/>
        <w:szCs w:val="24"/>
      </w:rPr>
      <w:instrText>PAGE   \* MERGEFORMAT</w:instrText>
    </w:r>
    <w:r w:rsidRPr="00BF6F09">
      <w:rPr>
        <w:sz w:val="24"/>
        <w:szCs w:val="24"/>
      </w:rPr>
      <w:fldChar w:fldCharType="separate"/>
    </w:r>
    <w:r w:rsidR="00AC5F4C">
      <w:rPr>
        <w:noProof/>
        <w:sz w:val="24"/>
        <w:szCs w:val="24"/>
      </w:rPr>
      <w:t>3</w:t>
    </w:r>
    <w:r w:rsidRPr="00BF6F09">
      <w:rPr>
        <w:sz w:val="24"/>
        <w:szCs w:val="24"/>
      </w:rPr>
      <w:fldChar w:fldCharType="end"/>
    </w:r>
  </w:p>
  <w:p w:rsidR="004B44F8" w:rsidRDefault="004B44F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49" w:rsidRPr="001D6749" w:rsidRDefault="00F42949">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AC5F4C">
      <w:rPr>
        <w:rFonts w:ascii="Times New Roman" w:hAnsi="Times New Roman"/>
        <w:noProof/>
      </w:rPr>
      <w:t>14</w:t>
    </w:r>
    <w:r w:rsidRPr="001D6749">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Pr="001D6749" w:rsidRDefault="004B44F8">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AC5F4C">
      <w:rPr>
        <w:rFonts w:ascii="Times New Roman" w:hAnsi="Times New Roman"/>
        <w:noProof/>
      </w:rPr>
      <w:t>20</w:t>
    </w:r>
    <w:r w:rsidRPr="001D674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03" w:rsidRDefault="00904D03" w:rsidP="004B44F8">
      <w:r>
        <w:separator/>
      </w:r>
    </w:p>
  </w:footnote>
  <w:footnote w:type="continuationSeparator" w:id="0">
    <w:p w:rsidR="00904D03" w:rsidRDefault="00904D03" w:rsidP="004B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Default="004B44F8" w:rsidP="00667A63">
    <w:pPr>
      <w:pStyle w:val="Hlavika"/>
      <w:jc w:val="right"/>
    </w:pPr>
    <w:r>
      <w:t>Príloha č. 2</w:t>
    </w:r>
  </w:p>
  <w:p w:rsidR="004B44F8" w:rsidRPr="00EB59C8" w:rsidRDefault="004B44F8" w:rsidP="00667A63">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Pr="000A15AE" w:rsidRDefault="004B44F8" w:rsidP="00667A63">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49" w:rsidRPr="00CD4982" w:rsidRDefault="00F42949" w:rsidP="00F42949">
    <w:pPr>
      <w:tabs>
        <w:tab w:val="center" w:pos="4536"/>
        <w:tab w:val="right" w:pos="9072"/>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F8" w:rsidRPr="00CD4982" w:rsidRDefault="004B44F8" w:rsidP="00F42949">
    <w:pP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8C"/>
    <w:multiLevelType w:val="hybridMultilevel"/>
    <w:tmpl w:val="5DDAF120"/>
    <w:lvl w:ilvl="0" w:tplc="7E342E6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DB6E36"/>
    <w:multiLevelType w:val="hybridMultilevel"/>
    <w:tmpl w:val="471C6C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B5B77A4"/>
    <w:multiLevelType w:val="hybridMultilevel"/>
    <w:tmpl w:val="24D2E45C"/>
    <w:lvl w:ilvl="0" w:tplc="4E70B73C">
      <w:start w:val="1"/>
      <w:numFmt w:val="bullet"/>
      <w:lvlText w:val="-"/>
      <w:lvlJc w:val="left"/>
      <w:pPr>
        <w:tabs>
          <w:tab w:val="num" w:pos="1068"/>
        </w:tabs>
        <w:ind w:left="1068" w:hanging="360"/>
      </w:pPr>
      <w:rPr>
        <w:rFonts w:ascii="Times New Roman" w:eastAsia="Times New Roman" w:hAnsi="Times New Roman" w:hint="default"/>
      </w:rPr>
    </w:lvl>
    <w:lvl w:ilvl="1" w:tplc="041B0003" w:tentative="1">
      <w:start w:val="1"/>
      <w:numFmt w:val="bullet"/>
      <w:lvlText w:val="o"/>
      <w:lvlJc w:val="left"/>
      <w:pPr>
        <w:tabs>
          <w:tab w:val="num" w:pos="1428"/>
        </w:tabs>
        <w:ind w:left="1428" w:hanging="360"/>
      </w:pPr>
      <w:rPr>
        <w:rFonts w:ascii="Courier New" w:hAnsi="Courier New" w:hint="default"/>
      </w:rPr>
    </w:lvl>
    <w:lvl w:ilvl="2" w:tplc="041B0005" w:tentative="1">
      <w:start w:val="1"/>
      <w:numFmt w:val="bullet"/>
      <w:lvlText w:val=""/>
      <w:lvlJc w:val="left"/>
      <w:pPr>
        <w:tabs>
          <w:tab w:val="num" w:pos="2148"/>
        </w:tabs>
        <w:ind w:left="2148" w:hanging="360"/>
      </w:pPr>
      <w:rPr>
        <w:rFonts w:ascii="Wingdings" w:hAnsi="Wingdings" w:hint="default"/>
      </w:rPr>
    </w:lvl>
    <w:lvl w:ilvl="3" w:tplc="041B0001" w:tentative="1">
      <w:start w:val="1"/>
      <w:numFmt w:val="bullet"/>
      <w:lvlText w:val=""/>
      <w:lvlJc w:val="left"/>
      <w:pPr>
        <w:tabs>
          <w:tab w:val="num" w:pos="2868"/>
        </w:tabs>
        <w:ind w:left="2868" w:hanging="360"/>
      </w:pPr>
      <w:rPr>
        <w:rFonts w:ascii="Symbol" w:hAnsi="Symbol" w:hint="default"/>
      </w:rPr>
    </w:lvl>
    <w:lvl w:ilvl="4" w:tplc="041B0003" w:tentative="1">
      <w:start w:val="1"/>
      <w:numFmt w:val="bullet"/>
      <w:lvlText w:val="o"/>
      <w:lvlJc w:val="left"/>
      <w:pPr>
        <w:tabs>
          <w:tab w:val="num" w:pos="3588"/>
        </w:tabs>
        <w:ind w:left="3588" w:hanging="360"/>
      </w:pPr>
      <w:rPr>
        <w:rFonts w:ascii="Courier New" w:hAnsi="Courier New" w:hint="default"/>
      </w:rPr>
    </w:lvl>
    <w:lvl w:ilvl="5" w:tplc="041B0005" w:tentative="1">
      <w:start w:val="1"/>
      <w:numFmt w:val="bullet"/>
      <w:lvlText w:val=""/>
      <w:lvlJc w:val="left"/>
      <w:pPr>
        <w:tabs>
          <w:tab w:val="num" w:pos="4308"/>
        </w:tabs>
        <w:ind w:left="4308" w:hanging="360"/>
      </w:pPr>
      <w:rPr>
        <w:rFonts w:ascii="Wingdings" w:hAnsi="Wingdings" w:hint="default"/>
      </w:rPr>
    </w:lvl>
    <w:lvl w:ilvl="6" w:tplc="041B0001" w:tentative="1">
      <w:start w:val="1"/>
      <w:numFmt w:val="bullet"/>
      <w:lvlText w:val=""/>
      <w:lvlJc w:val="left"/>
      <w:pPr>
        <w:tabs>
          <w:tab w:val="num" w:pos="5028"/>
        </w:tabs>
        <w:ind w:left="5028" w:hanging="360"/>
      </w:pPr>
      <w:rPr>
        <w:rFonts w:ascii="Symbol" w:hAnsi="Symbol" w:hint="default"/>
      </w:rPr>
    </w:lvl>
    <w:lvl w:ilvl="7" w:tplc="041B0003" w:tentative="1">
      <w:start w:val="1"/>
      <w:numFmt w:val="bullet"/>
      <w:lvlText w:val="o"/>
      <w:lvlJc w:val="left"/>
      <w:pPr>
        <w:tabs>
          <w:tab w:val="num" w:pos="5748"/>
        </w:tabs>
        <w:ind w:left="5748" w:hanging="360"/>
      </w:pPr>
      <w:rPr>
        <w:rFonts w:ascii="Courier New" w:hAnsi="Courier New" w:hint="default"/>
      </w:rPr>
    </w:lvl>
    <w:lvl w:ilvl="8" w:tplc="041B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3266420B"/>
    <w:multiLevelType w:val="hybridMultilevel"/>
    <w:tmpl w:val="E820AF5A"/>
    <w:lvl w:ilvl="0" w:tplc="FDD442B8">
      <w:start w:val="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37F7A17"/>
    <w:multiLevelType w:val="hybridMultilevel"/>
    <w:tmpl w:val="AAF058D0"/>
    <w:lvl w:ilvl="0" w:tplc="4246F1FA">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7" w15:restartNumberingAfterBreak="0">
    <w:nsid w:val="74164FC9"/>
    <w:multiLevelType w:val="hybridMultilevel"/>
    <w:tmpl w:val="206AFE3A"/>
    <w:lvl w:ilvl="0" w:tplc="041B0017">
      <w:start w:val="1"/>
      <w:numFmt w:val="lowerLetter"/>
      <w:lvlText w:val="%1)"/>
      <w:lvlJc w:val="left"/>
      <w:pPr>
        <w:ind w:left="720" w:hanging="360"/>
      </w:pPr>
      <w:rPr>
        <w:rFonts w:cs="Times New Roman" w:hint="default"/>
      </w:rPr>
    </w:lvl>
    <w:lvl w:ilvl="1" w:tplc="4E70B73C">
      <w:start w:val="1"/>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8"/>
  </w:num>
  <w:num w:numId="2">
    <w:abstractNumId w:val="5"/>
  </w:num>
  <w:num w:numId="3">
    <w:abstractNumId w:val="2"/>
  </w:num>
  <w:num w:numId="4">
    <w:abstractNumId w:val="0"/>
  </w:num>
  <w:num w:numId="5">
    <w:abstractNumId w:val="1"/>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20"/>
  <w:hyphenationZone w:val="425"/>
  <w:characterSpacingControl w:val="doNotCompress"/>
  <w:doNotValidateAgainstSchema/>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D58"/>
    <w:rsid w:val="00007131"/>
    <w:rsid w:val="00024CCB"/>
    <w:rsid w:val="00042C66"/>
    <w:rsid w:val="000623C2"/>
    <w:rsid w:val="0007609C"/>
    <w:rsid w:val="00077028"/>
    <w:rsid w:val="00096D58"/>
    <w:rsid w:val="000A15AE"/>
    <w:rsid w:val="000B25B5"/>
    <w:rsid w:val="000C4A40"/>
    <w:rsid w:val="000D2622"/>
    <w:rsid w:val="000D7783"/>
    <w:rsid w:val="000E20CD"/>
    <w:rsid w:val="000E6A9A"/>
    <w:rsid w:val="00126478"/>
    <w:rsid w:val="00154881"/>
    <w:rsid w:val="001C405C"/>
    <w:rsid w:val="001D6749"/>
    <w:rsid w:val="0021418C"/>
    <w:rsid w:val="00247C57"/>
    <w:rsid w:val="002F20D1"/>
    <w:rsid w:val="00307A25"/>
    <w:rsid w:val="00385AB0"/>
    <w:rsid w:val="003A5F8E"/>
    <w:rsid w:val="003D60A9"/>
    <w:rsid w:val="00404D70"/>
    <w:rsid w:val="0040544D"/>
    <w:rsid w:val="00410668"/>
    <w:rsid w:val="004214B9"/>
    <w:rsid w:val="00434780"/>
    <w:rsid w:val="004B44F8"/>
    <w:rsid w:val="004E6EB9"/>
    <w:rsid w:val="0054074B"/>
    <w:rsid w:val="00584C47"/>
    <w:rsid w:val="005A4DD0"/>
    <w:rsid w:val="005B53D0"/>
    <w:rsid w:val="006075D6"/>
    <w:rsid w:val="00667A63"/>
    <w:rsid w:val="006D0368"/>
    <w:rsid w:val="00757BD6"/>
    <w:rsid w:val="007B1C5C"/>
    <w:rsid w:val="007D1964"/>
    <w:rsid w:val="00800F24"/>
    <w:rsid w:val="0085404E"/>
    <w:rsid w:val="008556A1"/>
    <w:rsid w:val="00866B98"/>
    <w:rsid w:val="00877665"/>
    <w:rsid w:val="008A1252"/>
    <w:rsid w:val="008B25A6"/>
    <w:rsid w:val="008E3CF1"/>
    <w:rsid w:val="00904D03"/>
    <w:rsid w:val="00931AFF"/>
    <w:rsid w:val="00953BF3"/>
    <w:rsid w:val="00970BC1"/>
    <w:rsid w:val="00973063"/>
    <w:rsid w:val="00980CB2"/>
    <w:rsid w:val="00987946"/>
    <w:rsid w:val="00994C53"/>
    <w:rsid w:val="009B2D06"/>
    <w:rsid w:val="009D7019"/>
    <w:rsid w:val="00A2740F"/>
    <w:rsid w:val="00A30F1C"/>
    <w:rsid w:val="00A312C6"/>
    <w:rsid w:val="00A314E3"/>
    <w:rsid w:val="00A64D2D"/>
    <w:rsid w:val="00A71971"/>
    <w:rsid w:val="00AA5F18"/>
    <w:rsid w:val="00AC3887"/>
    <w:rsid w:val="00AC5F4C"/>
    <w:rsid w:val="00AE2BEA"/>
    <w:rsid w:val="00AF4C73"/>
    <w:rsid w:val="00B07091"/>
    <w:rsid w:val="00B144EE"/>
    <w:rsid w:val="00B350F9"/>
    <w:rsid w:val="00B40535"/>
    <w:rsid w:val="00BB0E52"/>
    <w:rsid w:val="00BF6F09"/>
    <w:rsid w:val="00C0489E"/>
    <w:rsid w:val="00C07C87"/>
    <w:rsid w:val="00C11AAE"/>
    <w:rsid w:val="00C17489"/>
    <w:rsid w:val="00C428F5"/>
    <w:rsid w:val="00C8056F"/>
    <w:rsid w:val="00CA6BAF"/>
    <w:rsid w:val="00CB0BC2"/>
    <w:rsid w:val="00CD3108"/>
    <w:rsid w:val="00CD4982"/>
    <w:rsid w:val="00D010DF"/>
    <w:rsid w:val="00D50535"/>
    <w:rsid w:val="00D606DF"/>
    <w:rsid w:val="00DA4453"/>
    <w:rsid w:val="00DE15A7"/>
    <w:rsid w:val="00DE373C"/>
    <w:rsid w:val="00DF311D"/>
    <w:rsid w:val="00DF5383"/>
    <w:rsid w:val="00E25A90"/>
    <w:rsid w:val="00E52395"/>
    <w:rsid w:val="00E538C0"/>
    <w:rsid w:val="00E81163"/>
    <w:rsid w:val="00E919A6"/>
    <w:rsid w:val="00E939E2"/>
    <w:rsid w:val="00EB27EC"/>
    <w:rsid w:val="00EB59C8"/>
    <w:rsid w:val="00EF3E4C"/>
    <w:rsid w:val="00F04CCD"/>
    <w:rsid w:val="00F23612"/>
    <w:rsid w:val="00F2597D"/>
    <w:rsid w:val="00F36B7A"/>
    <w:rsid w:val="00F42949"/>
    <w:rsid w:val="00FA3C02"/>
    <w:rsid w:val="00FB3C21"/>
    <w:rsid w:val="00FD6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3A8D4C-E980-418E-8379-C9158EE1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character" w:customStyle="1" w:styleId="ZkladntextChar7">
    <w:name w:val="Základný text Char7"/>
    <w:basedOn w:val="Predvolenpsmoodseku"/>
    <w:uiPriority w:val="99"/>
    <w:semiHidden/>
    <w:rPr>
      <w:rFonts w:ascii="Times New Roman" w:hAnsi="Times New Roman" w:cs="Times New Roman"/>
      <w:sz w:val="24"/>
      <w:szCs w:val="24"/>
    </w:rPr>
  </w:style>
  <w:style w:type="paragraph" w:styleId="Zkladntext">
    <w:name w:val="Body Text"/>
    <w:basedOn w:val="Normlny"/>
    <w:link w:val="ZkladntextChar"/>
    <w:uiPriority w:val="99"/>
    <w:rsid w:val="00A312C6"/>
    <w:pPr>
      <w:widowControl/>
      <w:adjustRightInd/>
      <w:spacing w:before="240" w:line="360" w:lineRule="auto"/>
      <w:jc w:val="both"/>
    </w:pPr>
  </w:style>
  <w:style w:type="character" w:customStyle="1" w:styleId="ZkladntextChar">
    <w:name w:val="Základný text Char"/>
    <w:basedOn w:val="Predvolenpsmoodseku"/>
    <w:link w:val="Zkladntext"/>
    <w:uiPriority w:val="99"/>
    <w:semiHidden/>
    <w:locked/>
    <w:rPr>
      <w:rFonts w:ascii="Times New Roman" w:hAnsi="Times New Roman" w:cs="Times New Roman"/>
      <w:sz w:val="24"/>
      <w:szCs w:val="24"/>
    </w:rPr>
  </w:style>
  <w:style w:type="character" w:customStyle="1" w:styleId="ZkladntextChar6">
    <w:name w:val="Základný text Char6"/>
    <w:basedOn w:val="Predvolenpsmoodseku"/>
    <w:uiPriority w:val="99"/>
    <w:semiHidden/>
    <w:rPr>
      <w:rFonts w:ascii="Times New Roman" w:hAnsi="Times New Roman" w:cs="Times New Roman"/>
      <w:sz w:val="24"/>
      <w:szCs w:val="24"/>
    </w:rPr>
  </w:style>
  <w:style w:type="character" w:customStyle="1" w:styleId="ZkladntextChar5">
    <w:name w:val="Základný text Char5"/>
    <w:basedOn w:val="Predvolenpsmoodseku"/>
    <w:uiPriority w:val="99"/>
    <w:semiHidden/>
    <w:rPr>
      <w:rFonts w:ascii="Times New Roman" w:hAnsi="Times New Roman" w:cs="Times New Roman"/>
      <w:sz w:val="24"/>
      <w:szCs w:val="24"/>
    </w:rPr>
  </w:style>
  <w:style w:type="character" w:customStyle="1" w:styleId="ZkladntextChar4">
    <w:name w:val="Základný text Char4"/>
    <w:basedOn w:val="Predvolenpsmoodseku"/>
    <w:uiPriority w:val="99"/>
    <w:semiHidden/>
    <w:rPr>
      <w:rFonts w:ascii="Times New Roman" w:hAnsi="Times New Roman" w:cs="Times New Roman"/>
      <w:sz w:val="24"/>
      <w:szCs w:val="24"/>
    </w:rPr>
  </w:style>
  <w:style w:type="character" w:customStyle="1" w:styleId="ZkladntextChar3">
    <w:name w:val="Základný text Char3"/>
    <w:basedOn w:val="Predvolenpsmoodseku"/>
    <w:uiPriority w:val="99"/>
    <w:semiHidden/>
    <w:rPr>
      <w:rFonts w:ascii="Times New Roman" w:hAnsi="Times New Roman" w:cs="Times New Roman"/>
      <w:sz w:val="24"/>
      <w:szCs w:val="24"/>
    </w:rPr>
  </w:style>
  <w:style w:type="character" w:customStyle="1" w:styleId="ZkladntextChar2">
    <w:name w:val="Základný text Char2"/>
    <w:basedOn w:val="Predvolenpsmoodseku"/>
    <w:uiPriority w:val="99"/>
    <w:semiHidden/>
    <w:rPr>
      <w:rFonts w:ascii="Times New Roman" w:hAnsi="Times New Roman" w:cs="Times New Roman"/>
      <w:sz w:val="24"/>
      <w:szCs w:val="24"/>
    </w:rPr>
  </w:style>
  <w:style w:type="table" w:styleId="Mriekatabuky">
    <w:name w:val="Table Grid"/>
    <w:basedOn w:val="Normlnatabuka"/>
    <w:uiPriority w:val="59"/>
    <w:locked/>
    <w:rsid w:val="00FA3C02"/>
    <w:pPr>
      <w:spacing w:after="0" w:line="240" w:lineRule="auto"/>
    </w:pPr>
    <w:rPr>
      <w:rFonts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locked/>
    <w:rsid w:val="00FA3C02"/>
    <w:pPr>
      <w:widowControl/>
      <w:adjustRightInd/>
      <w:spacing w:after="200" w:line="276" w:lineRule="auto"/>
      <w:ind w:left="720"/>
      <w:contextualSpacing/>
    </w:pPr>
    <w:rPr>
      <w:rFonts w:ascii="Calibri" w:hAnsi="Calibri"/>
      <w:sz w:val="22"/>
      <w:szCs w:val="22"/>
      <w:lang w:eastAsia="en-US"/>
    </w:rPr>
  </w:style>
  <w:style w:type="paragraph" w:styleId="Pta">
    <w:name w:val="footer"/>
    <w:basedOn w:val="Normlny"/>
    <w:link w:val="PtaChar"/>
    <w:uiPriority w:val="99"/>
    <w:unhideWhenUsed/>
    <w:rsid w:val="00970BC1"/>
    <w:pPr>
      <w:widowControl/>
      <w:tabs>
        <w:tab w:val="center" w:pos="4536"/>
        <w:tab w:val="right" w:pos="9072"/>
      </w:tabs>
      <w:adjustRightInd/>
    </w:pPr>
    <w:rPr>
      <w:rFonts w:ascii="Calibri" w:hAnsi="Calibri"/>
      <w:sz w:val="22"/>
      <w:szCs w:val="22"/>
      <w:lang w:eastAsia="en-US"/>
    </w:rPr>
  </w:style>
  <w:style w:type="character" w:customStyle="1" w:styleId="PtaChar">
    <w:name w:val="Päta Char"/>
    <w:basedOn w:val="Predvolenpsmoodseku"/>
    <w:link w:val="Pta"/>
    <w:uiPriority w:val="99"/>
    <w:locked/>
    <w:rsid w:val="00970BC1"/>
    <w:rPr>
      <w:rFonts w:eastAsia="Times New Roman" w:cs="Times New Roman"/>
      <w:lang w:val="x-none" w:eastAsia="en-US"/>
    </w:rPr>
  </w:style>
  <w:style w:type="paragraph" w:styleId="Zkladntext3">
    <w:name w:val="Body Text 3"/>
    <w:basedOn w:val="Normlny"/>
    <w:link w:val="Zkladntext3Char"/>
    <w:uiPriority w:val="99"/>
    <w:semiHidden/>
    <w:unhideWhenUsed/>
    <w:rsid w:val="00931AFF"/>
    <w:pPr>
      <w:spacing w:after="120"/>
    </w:pPr>
    <w:rPr>
      <w:sz w:val="16"/>
      <w:szCs w:val="16"/>
    </w:rPr>
  </w:style>
  <w:style w:type="character" w:customStyle="1" w:styleId="Zkladntext3Char">
    <w:name w:val="Základný text 3 Char"/>
    <w:basedOn w:val="Predvolenpsmoodseku"/>
    <w:link w:val="Zkladntext3"/>
    <w:uiPriority w:val="99"/>
    <w:semiHidden/>
    <w:locked/>
    <w:rsid w:val="00931AFF"/>
    <w:rPr>
      <w:rFonts w:ascii="Times New Roman" w:hAnsi="Times New Roman" w:cs="Times New Roman"/>
      <w:sz w:val="16"/>
      <w:szCs w:val="16"/>
    </w:rPr>
  </w:style>
  <w:style w:type="paragraph" w:styleId="Hlavika">
    <w:name w:val="header"/>
    <w:basedOn w:val="Normlny"/>
    <w:link w:val="HlavikaChar"/>
    <w:uiPriority w:val="99"/>
    <w:unhideWhenUsed/>
    <w:rsid w:val="004B44F8"/>
    <w:pPr>
      <w:tabs>
        <w:tab w:val="center" w:pos="4536"/>
        <w:tab w:val="right" w:pos="9072"/>
      </w:tabs>
    </w:pPr>
  </w:style>
  <w:style w:type="character" w:customStyle="1" w:styleId="HlavikaChar">
    <w:name w:val="Hlavička Char"/>
    <w:basedOn w:val="Predvolenpsmoodseku"/>
    <w:link w:val="Hlavika"/>
    <w:uiPriority w:val="99"/>
    <w:locked/>
    <w:rsid w:val="004B44F8"/>
    <w:rPr>
      <w:rFonts w:ascii="Times New Roman" w:hAnsi="Times New Roman" w:cs="Times New Roman"/>
      <w:sz w:val="24"/>
      <w:szCs w:val="24"/>
    </w:rPr>
  </w:style>
  <w:style w:type="character" w:styleId="slostrany">
    <w:name w:val="page number"/>
    <w:basedOn w:val="Predvolenpsmoodseku"/>
    <w:uiPriority w:val="99"/>
    <w:rsid w:val="004B44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0170">
      <w:marLeft w:val="0"/>
      <w:marRight w:val="0"/>
      <w:marTop w:val="0"/>
      <w:marBottom w:val="0"/>
      <w:divBdr>
        <w:top w:val="none" w:sz="0" w:space="0" w:color="auto"/>
        <w:left w:val="none" w:sz="0" w:space="0" w:color="auto"/>
        <w:bottom w:val="none" w:sz="0" w:space="0" w:color="auto"/>
        <w:right w:val="none" w:sz="0" w:space="0" w:color="auto"/>
      </w:divBdr>
    </w:div>
    <w:div w:id="337540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BF36-C570-4551-B06B-89873012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9372</Words>
  <Characters>53427</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Gašparíková, Jarmila</cp:lastModifiedBy>
  <cp:revision>2</cp:revision>
  <cp:lastPrinted>2019-04-17T11:59:00Z</cp:lastPrinted>
  <dcterms:created xsi:type="dcterms:W3CDTF">2019-04-24T13:58:00Z</dcterms:created>
  <dcterms:modified xsi:type="dcterms:W3CDTF">2019-04-24T13:58:00Z</dcterms:modified>
</cp:coreProperties>
</file>