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BC" w:rsidRPr="00EA5FBC" w:rsidRDefault="00EA5FBC" w:rsidP="00B052BD">
      <w:pPr>
        <w:widowControl/>
        <w:suppressAutoHyphens w:val="0"/>
        <w:spacing w:after="200" w:line="276" w:lineRule="auto"/>
        <w:jc w:val="center"/>
        <w:rPr>
          <w:rFonts w:eastAsia="Times New Roman" w:cs="Times New Roman"/>
          <w:b/>
          <w:caps/>
          <w:kern w:val="0"/>
          <w:lang w:eastAsia="en-US" w:bidi="ar-SA"/>
        </w:rPr>
      </w:pPr>
      <w:r w:rsidRPr="00EA5FBC">
        <w:rPr>
          <w:rFonts w:eastAsia="Times New Roman" w:cs="Times New Roman"/>
          <w:b/>
          <w:caps/>
          <w:kern w:val="0"/>
          <w:lang w:eastAsia="en-US" w:bidi="ar-SA"/>
        </w:rPr>
        <w:t>Dôvodová správa</w:t>
      </w:r>
    </w:p>
    <w:p w:rsidR="00EA5FBC" w:rsidRPr="004C02B9" w:rsidRDefault="00EA5FBC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:rsidR="00EA5FBC" w:rsidRPr="008842CC" w:rsidRDefault="00EA5FBC" w:rsidP="008842CC">
      <w:pPr>
        <w:pStyle w:val="Odsekzoznamu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8842CC">
        <w:rPr>
          <w:rFonts w:eastAsia="Times New Roman" w:cs="Times New Roman"/>
          <w:b/>
          <w:kern w:val="0"/>
          <w:u w:val="single"/>
          <w:lang w:eastAsia="en-US" w:bidi="ar-SA"/>
        </w:rPr>
        <w:t>Všeobecná časť</w:t>
      </w:r>
    </w:p>
    <w:p w:rsidR="008842CC" w:rsidRPr="008842CC" w:rsidRDefault="008842CC" w:rsidP="004C02B9">
      <w:pPr>
        <w:pStyle w:val="Odsekzoznamu"/>
        <w:widowControl/>
        <w:suppressAutoHyphens w:val="0"/>
        <w:spacing w:after="120" w:line="276" w:lineRule="auto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</w:p>
    <w:p w:rsidR="00EA5FBC" w:rsidRPr="00EA5FBC" w:rsidRDefault="00EA5FBC" w:rsidP="008842CC">
      <w:pPr>
        <w:tabs>
          <w:tab w:val="left" w:leader="dot" w:pos="8902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EA5FBC">
        <w:rPr>
          <w:rFonts w:eastAsia="Times New Roman" w:cs="Times New Roman"/>
          <w:kern w:val="0"/>
          <w:lang w:eastAsia="en-US" w:bidi="ar-SA"/>
        </w:rPr>
        <w:t xml:space="preserve">Návrh zákona,  </w:t>
      </w:r>
      <w:r w:rsidRPr="002B0338">
        <w:rPr>
          <w:rFonts w:eastAsia="Times New Roman" w:cs="Times New Roman"/>
          <w:color w:val="000000"/>
          <w:kern w:val="0"/>
          <w:lang w:eastAsia="sk-SK" w:bidi="ar-SA"/>
        </w:rPr>
        <w:t xml:space="preserve">ktorým sa mení a dopĺňa zákon č. 160/2015 Z. z. Civilný sporový poriadok </w:t>
      </w:r>
      <w:r>
        <w:rPr>
          <w:rFonts w:eastAsia="Times New Roman" w:cs="Times New Roman"/>
          <w:color w:val="000000"/>
          <w:kern w:val="0"/>
          <w:lang w:eastAsia="sk-SK" w:bidi="ar-SA"/>
        </w:rPr>
        <w:t xml:space="preserve">v znení neskorších predpisov a ktorým sa mení a dopĺňa zákon </w:t>
      </w:r>
      <w:r w:rsidR="004C02B9">
        <w:rPr>
          <w:rFonts w:eastAsia="Times New Roman" w:cs="Times New Roman"/>
          <w:color w:val="000000"/>
          <w:kern w:val="0"/>
          <w:lang w:eastAsia="sk-SK" w:bidi="ar-SA"/>
        </w:rPr>
        <w:t>Slovenskej národnej rady</w:t>
      </w:r>
      <w:r w:rsidR="004C02B9">
        <w:rPr>
          <w:rFonts w:eastAsia="Times New Roman" w:cs="Times New Roman"/>
          <w:color w:val="000000"/>
          <w:kern w:val="0"/>
          <w:lang w:eastAsia="sk-SK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sk-SK" w:bidi="ar-SA"/>
        </w:rPr>
        <w:t>č.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71/1992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Zb.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o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súdnych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poplatkoch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poplatku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výpis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z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registra</w:t>
      </w:r>
      <w:r w:rsidRPr="00AF747C">
        <w:rPr>
          <w:rStyle w:val="awspan1"/>
          <w:spacing w:val="35"/>
        </w:rPr>
        <w:t xml:space="preserve"> </w:t>
      </w:r>
      <w:r w:rsidRPr="00AF747C">
        <w:rPr>
          <w:rStyle w:val="awspan1"/>
        </w:rPr>
        <w:t>trestov</w:t>
      </w:r>
      <w:r w:rsidRPr="00AF747C">
        <w:rPr>
          <w:rStyle w:val="awspan1"/>
          <w:spacing w:val="35"/>
        </w:rPr>
        <w:t xml:space="preserve"> </w:t>
      </w:r>
      <w:r>
        <w:rPr>
          <w:rStyle w:val="awspan1"/>
        </w:rPr>
        <w:t xml:space="preserve">v znení neskorších predpisov </w:t>
      </w:r>
      <w:r w:rsidRPr="00EA5FBC">
        <w:rPr>
          <w:rFonts w:eastAsia="Times New Roman" w:cs="Times New Roman"/>
          <w:kern w:val="0"/>
          <w:lang w:eastAsia="en-US" w:bidi="ar-SA"/>
        </w:rPr>
        <w:t xml:space="preserve">(ďalej len „návrh zákona“)  na rokovanie Národnej rady Slovenskej republiky predkladajú poslanci Národnej rady Slovenskej republiky </w:t>
      </w:r>
      <w:r w:rsidR="009328CF">
        <w:t>Zuzana Šebová, Boris Kollár, Milan Krajniak, Petra Krištúfková, Peter Pčolinský, Adriana Pčolinská, Peter Štarchoň, Ľudovít Goga.</w:t>
      </w:r>
    </w:p>
    <w:p w:rsidR="00051262" w:rsidRPr="004C02B9" w:rsidRDefault="00051262" w:rsidP="00051262">
      <w:pPr>
        <w:pStyle w:val="Standard"/>
        <w:widowControl/>
        <w:jc w:val="both"/>
        <w:rPr>
          <w:rFonts w:cs="Times New Roman"/>
          <w:color w:val="000000"/>
          <w:sz w:val="16"/>
          <w:szCs w:val="16"/>
        </w:rPr>
      </w:pPr>
    </w:p>
    <w:p w:rsidR="00051262" w:rsidRPr="00051262" w:rsidRDefault="00051262" w:rsidP="00051262">
      <w:pPr>
        <w:pStyle w:val="Standard"/>
        <w:widowControl/>
        <w:spacing w:line="276" w:lineRule="auto"/>
        <w:ind w:firstLine="708"/>
        <w:jc w:val="both"/>
      </w:pPr>
      <w:r w:rsidRPr="00051262">
        <w:rPr>
          <w:rFonts w:cs="Times New Roman"/>
          <w:color w:val="000000"/>
        </w:rPr>
        <w:t xml:space="preserve">Zdravotná starostlivosť je v prevažnej časti uhrádzaná zo zdrojov zdravotného poistenia poistencom zdravotnej poisťovne. Niet pochýb o tom, že v procese poskytovania zdravotnej starostlivosti je  pacient spotrebiteľom tejto služby a zdravotnícke zariadenie dodávateľom tejto služby, pričom ide o službu platenú (či už z verejných zdrojov, alebo u privátnych poskytovateľov priamou úhradou). Na rozdiel od spotrebiteľa, zamestnanca a pod., ktorým </w:t>
      </w:r>
      <w:r w:rsidRPr="00051262">
        <w:rPr>
          <w:rFonts w:cs="Times New Roman"/>
          <w:color w:val="000000"/>
          <w:shd w:val="clear" w:color="auto" w:fill="FFFFFF"/>
        </w:rPr>
        <w:t xml:space="preserve">zákon č. </w:t>
      </w:r>
      <w:r w:rsidRPr="00051262">
        <w:rPr>
          <w:rFonts w:eastAsia="Times New Roman" w:cs="Times New Roman"/>
          <w:color w:val="000000"/>
          <w:kern w:val="0"/>
          <w:lang w:eastAsia="sk-SK" w:bidi="ar-SA"/>
        </w:rPr>
        <w:t xml:space="preserve"> 160/2015 Z. z. Civilný sporový poriadok v znení neskorších predpisov</w:t>
      </w:r>
      <w:r w:rsidRPr="00051262">
        <w:rPr>
          <w:rFonts w:cs="Times New Roman"/>
          <w:color w:val="000000"/>
        </w:rPr>
        <w:t xml:space="preserve"> postavenie slabšej strany sporu priznáva, spotrebitelia zdravotnej starostlivosti  nemajú postavenie slabšej strany sporu, teda ne</w:t>
      </w:r>
      <w:r>
        <w:rPr>
          <w:rFonts w:cs="Times New Roman"/>
          <w:color w:val="000000"/>
        </w:rPr>
        <w:t xml:space="preserve">požívajú zvýšený stupeň ochrany </w:t>
      </w:r>
      <w:r w:rsidRPr="00D855DE">
        <w:rPr>
          <w:rFonts w:eastAsia="Times New Roman" w:cs="Times New Roman"/>
          <w:color w:val="000000"/>
          <w:kern w:val="0"/>
          <w:lang w:eastAsia="sk-SK" w:bidi="ar-SA"/>
        </w:rPr>
        <w:t xml:space="preserve">ak  </w:t>
      </w:r>
      <w:r w:rsidRPr="00D855DE">
        <w:rPr>
          <w:rFonts w:cs="Times New Roman"/>
          <w:color w:val="000000"/>
          <w:shd w:val="clear" w:color="auto" w:fill="FFFFFF"/>
        </w:rPr>
        <w:t>vo veci poškodenia zdravia, resp. úmrtia nekonali</w:t>
      </w:r>
      <w:r>
        <w:rPr>
          <w:rFonts w:cs="Times New Roman"/>
          <w:color w:val="000000"/>
          <w:shd w:val="clear" w:color="auto" w:fill="FFFFFF"/>
        </w:rPr>
        <w:t xml:space="preserve"> orgány činné v trestnom konaní.</w:t>
      </w:r>
      <w:r>
        <w:rPr>
          <w:rFonts w:cs="Times New Roman"/>
          <w:color w:val="000000"/>
        </w:rPr>
        <w:t xml:space="preserve"> Taktiež n</w:t>
      </w:r>
      <w:r w:rsidRPr="00051262">
        <w:rPr>
          <w:rFonts w:cs="Times New Roman"/>
          <w:color w:val="000000"/>
        </w:rPr>
        <w:t>ie sú chránení ex offo povinnosťou súdu vykonať dôkazy aj bez návrhov strán sporu a diskriminovaní sú aj v možnosti predkladať dôkazy až do vyh</w:t>
      </w:r>
      <w:r>
        <w:rPr>
          <w:rFonts w:cs="Times New Roman"/>
          <w:color w:val="000000"/>
        </w:rPr>
        <w:t>lásenia dokazovania za skončené.</w:t>
      </w:r>
    </w:p>
    <w:p w:rsidR="00D73EAB" w:rsidRPr="004C02B9" w:rsidRDefault="00D73EAB" w:rsidP="00D73EAB">
      <w:pPr>
        <w:pStyle w:val="Standard"/>
        <w:ind w:hanging="360"/>
        <w:rPr>
          <w:rFonts w:cs="Bookman Old Style"/>
          <w:sz w:val="16"/>
          <w:szCs w:val="16"/>
        </w:rPr>
      </w:pPr>
    </w:p>
    <w:p w:rsidR="00D855DE" w:rsidRDefault="00D855DE" w:rsidP="00B052BD">
      <w:pPr>
        <w:widowControl/>
        <w:spacing w:line="276" w:lineRule="auto"/>
        <w:ind w:firstLine="708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Ž</w:t>
      </w:r>
      <w:r w:rsidRPr="00D855DE">
        <w:rPr>
          <w:rFonts w:cs="Times New Roman"/>
          <w:color w:val="000000"/>
          <w:shd w:val="clear" w:color="auto" w:fill="FFFFFF"/>
        </w:rPr>
        <w:t>alobcovia vo veci poškodenia zdravia, resp. úmrtia</w:t>
      </w:r>
      <w:r w:rsidR="00EF7BA1" w:rsidRPr="00EF7BA1">
        <w:rPr>
          <w:rFonts w:cs="Times New Roman"/>
          <w:color w:val="000000"/>
          <w:shd w:val="clear" w:color="auto" w:fill="FFFFFF"/>
        </w:rPr>
        <w:t xml:space="preserve"> </w:t>
      </w:r>
      <w:r w:rsidR="00EF7BA1">
        <w:rPr>
          <w:rFonts w:cs="Times New Roman"/>
          <w:color w:val="000000"/>
          <w:shd w:val="clear" w:color="auto" w:fill="FFFFFF"/>
        </w:rPr>
        <w:t>taktiež nie sú</w:t>
      </w:r>
      <w:r w:rsidR="00EA5FBC" w:rsidRPr="00D855DE">
        <w:rPr>
          <w:rFonts w:cs="Times New Roman"/>
          <w:color w:val="000000"/>
          <w:shd w:val="clear" w:color="auto" w:fill="FFFFFF"/>
        </w:rPr>
        <w:t xml:space="preserve"> oslobode</w:t>
      </w:r>
      <w:r w:rsidRPr="00D855DE">
        <w:rPr>
          <w:rFonts w:cs="Times New Roman"/>
          <w:color w:val="000000"/>
          <w:shd w:val="clear" w:color="auto" w:fill="FFFFFF"/>
        </w:rPr>
        <w:t xml:space="preserve">ní od platenia súdneho poplatku, na rozdiel od zamestnanca, spotrebiteľa,  </w:t>
      </w:r>
      <w:r w:rsidR="00EA5FBC" w:rsidRPr="00D855DE">
        <w:rPr>
          <w:rFonts w:cs="Times New Roman"/>
          <w:color w:val="000000"/>
          <w:shd w:val="clear" w:color="auto" w:fill="FFFFFF"/>
        </w:rPr>
        <w:t xml:space="preserve"> teda ani od povinnosti zložiť</w:t>
      </w:r>
      <w:r>
        <w:rPr>
          <w:rFonts w:cs="Times New Roman"/>
          <w:color w:val="000000"/>
          <w:shd w:val="clear" w:color="auto" w:fill="FFFFFF"/>
        </w:rPr>
        <w:t xml:space="preserve"> preddavok na trovy dôkazov. Považujeme to za diskriminačné, pretože bez</w:t>
      </w:r>
      <w:r w:rsidRPr="00D855DE">
        <w:rPr>
          <w:rFonts w:cs="Times New Roman"/>
          <w:color w:val="000000"/>
          <w:shd w:val="clear" w:color="auto" w:fill="FFFFFF"/>
        </w:rPr>
        <w:t xml:space="preserve"> akýchkoľvek pochybností je</w:t>
      </w:r>
      <w:r w:rsidR="00EA5FBC" w:rsidRPr="00D855DE">
        <w:rPr>
          <w:rFonts w:cs="Times New Roman"/>
          <w:color w:val="000000"/>
          <w:shd w:val="clear" w:color="auto" w:fill="FFFFFF"/>
        </w:rPr>
        <w:t xml:space="preserve"> pacient spotrebiteľom služby (poskytovanie zdravotnej starostlivosti), aj keď nie prostredníctvom štandardného systému "formulárová zmluva - spotrebiteľský úver alebo dodanie služby či tovaru spotrebného charakteru</w:t>
      </w:r>
      <w:r w:rsidRPr="00D855DE">
        <w:rPr>
          <w:rFonts w:cs="Times New Roman"/>
          <w:color w:val="000000"/>
          <w:shd w:val="clear" w:color="auto" w:fill="FFFFFF"/>
        </w:rPr>
        <w:t>.</w:t>
      </w:r>
      <w:r w:rsidR="00EA5FBC" w:rsidRPr="00D855DE">
        <w:rPr>
          <w:rFonts w:cs="Times New Roman"/>
          <w:color w:val="000000"/>
          <w:shd w:val="clear" w:color="auto" w:fill="FFFFFF"/>
        </w:rPr>
        <w:t xml:space="preserve">"  </w:t>
      </w:r>
    </w:p>
    <w:p w:rsidR="00D855DE" w:rsidRPr="004C02B9" w:rsidRDefault="00D855DE" w:rsidP="00B052BD">
      <w:pPr>
        <w:widowControl/>
        <w:spacing w:line="276" w:lineRule="auto"/>
        <w:ind w:firstLine="708"/>
        <w:jc w:val="both"/>
        <w:rPr>
          <w:rFonts w:cs="Times New Roman"/>
          <w:color w:val="000000"/>
          <w:sz w:val="16"/>
          <w:szCs w:val="16"/>
          <w:shd w:val="clear" w:color="auto" w:fill="FFFFFF"/>
        </w:rPr>
      </w:pPr>
    </w:p>
    <w:p w:rsidR="00EA5FBC" w:rsidRPr="00D855DE" w:rsidRDefault="00EA5FBC" w:rsidP="00B052BD">
      <w:pPr>
        <w:widowControl/>
        <w:spacing w:line="276" w:lineRule="auto"/>
        <w:ind w:firstLine="708"/>
        <w:jc w:val="both"/>
        <w:rPr>
          <w:rFonts w:cs="Times New Roman"/>
          <w:color w:val="000000"/>
          <w:shd w:val="clear" w:color="auto" w:fill="FFFFFF"/>
        </w:rPr>
      </w:pPr>
      <w:r w:rsidRPr="00D855DE">
        <w:rPr>
          <w:rFonts w:cs="Times New Roman"/>
          <w:color w:val="000000"/>
          <w:shd w:val="clear" w:color="auto" w:fill="FFFFFF"/>
        </w:rPr>
        <w:t>Pacient, resp. pozostalí po pacientovi nie sú v súdnom konaní o náhrade škody a nemajetkovej ujmy oslobodení od súdneho poplatku, slabšou stranou sporu a chránení minimálne na úrovni spotrebiteľa. </w:t>
      </w:r>
      <w:r w:rsidR="00D855DE" w:rsidRPr="00D855DE">
        <w:rPr>
          <w:rFonts w:cs="Times New Roman"/>
          <w:color w:val="000000"/>
          <w:shd w:val="clear" w:color="auto" w:fill="FFFFFF"/>
        </w:rPr>
        <w:t xml:space="preserve"> </w:t>
      </w:r>
      <w:r w:rsidRPr="00D855DE">
        <w:rPr>
          <w:rFonts w:cs="Times New Roman"/>
          <w:color w:val="000000"/>
          <w:shd w:val="clear" w:color="auto" w:fill="FFFFFF"/>
        </w:rPr>
        <w:t>Oslobodenie od súdneho poplatku</w:t>
      </w:r>
      <w:r w:rsidR="00D855DE" w:rsidRPr="00D855DE">
        <w:rPr>
          <w:rFonts w:cs="Times New Roman"/>
          <w:color w:val="000000"/>
          <w:shd w:val="clear" w:color="auto" w:fill="FFFFFF"/>
        </w:rPr>
        <w:t xml:space="preserve"> sa v súčasnej dobe</w:t>
      </w:r>
      <w:r w:rsidRPr="00D855DE">
        <w:rPr>
          <w:rFonts w:cs="Times New Roman"/>
          <w:color w:val="000000"/>
          <w:shd w:val="clear" w:color="auto" w:fill="FFFFFF"/>
        </w:rPr>
        <w:t xml:space="preserve"> vzťahuje len na obete (pozostalých po obetiach) trestného činu. Ak nebolo podané trestné oznámenie a nárok sa rieši len v občianskoprávnej rovine, najčastejšie s oporou o výsledky dohľadového konania,  vzniká nerovné postavenie pozostalých  z hľadiska povinnosti platiť súdny poplatok. </w:t>
      </w:r>
    </w:p>
    <w:p w:rsidR="00EA5FBC" w:rsidRDefault="00EA5FBC" w:rsidP="00B052BD">
      <w:pPr>
        <w:spacing w:line="276" w:lineRule="auto"/>
        <w:ind w:firstLine="708"/>
        <w:jc w:val="both"/>
        <w:rPr>
          <w:rFonts w:cs="Times New Roman"/>
          <w:color w:val="000000"/>
          <w:shd w:val="clear" w:color="auto" w:fill="FFFFFF"/>
        </w:rPr>
      </w:pPr>
    </w:p>
    <w:p w:rsidR="00D73EAB" w:rsidRPr="0099718C" w:rsidRDefault="00EA5FBC" w:rsidP="00D73EAB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99718C">
        <w:rPr>
          <w:rFonts w:eastAsia="Times New Roman" w:cs="Times New Roman"/>
          <w:b/>
          <w:kern w:val="0"/>
          <w:lang w:eastAsia="en-US" w:bidi="ar-SA"/>
        </w:rPr>
        <w:t>Cieľom návrhu zákona</w:t>
      </w:r>
      <w:r w:rsidR="00EF7BA1" w:rsidRPr="0099718C">
        <w:rPr>
          <w:rFonts w:eastAsia="Times New Roman" w:cs="Times New Roman"/>
          <w:b/>
          <w:kern w:val="0"/>
          <w:lang w:eastAsia="en-US" w:bidi="ar-SA"/>
        </w:rPr>
        <w:t xml:space="preserve"> je  </w:t>
      </w:r>
    </w:p>
    <w:p w:rsidR="00D73EAB" w:rsidRPr="004C02B9" w:rsidRDefault="00D73EAB" w:rsidP="00D73EAB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b/>
          <w:kern w:val="0"/>
          <w:sz w:val="16"/>
          <w:szCs w:val="16"/>
          <w:lang w:eastAsia="en-US" w:bidi="ar-SA"/>
        </w:rPr>
      </w:pPr>
      <w:bookmarkStart w:id="0" w:name="_GoBack"/>
    </w:p>
    <w:bookmarkEnd w:id="0"/>
    <w:p w:rsidR="00D73EAB" w:rsidRPr="0099718C" w:rsidRDefault="00D73EAB" w:rsidP="00D73EAB">
      <w:pPr>
        <w:pStyle w:val="Odsekzoznamu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99718C">
        <w:rPr>
          <w:rFonts w:cs="Times New Roman"/>
          <w:b/>
          <w:color w:val="000000"/>
        </w:rPr>
        <w:t xml:space="preserve">odstrániť existujúcu výraznú nerovnováhu medzi stupňom ochrany spotrebiteľa a stupňom ochrany osoby poškodenej v súvislosti s poskytovaním </w:t>
      </w:r>
      <w:r w:rsidRPr="0099718C">
        <w:rPr>
          <w:rFonts w:cs="Times New Roman"/>
          <w:b/>
          <w:color w:val="000000"/>
        </w:rPr>
        <w:lastRenderedPageBreak/>
        <w:t>zdravotnej starostlivosti  ako špecifickej služby, resp</w:t>
      </w:r>
      <w:r w:rsidR="00020F61">
        <w:rPr>
          <w:rFonts w:cs="Times New Roman"/>
          <w:b/>
          <w:color w:val="000000"/>
        </w:rPr>
        <w:t>. pozostalých po týchto osobách,</w:t>
      </w:r>
    </w:p>
    <w:p w:rsidR="00EF7BA1" w:rsidRPr="0099718C" w:rsidRDefault="00EF7BA1" w:rsidP="00B052BD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99718C">
        <w:rPr>
          <w:rFonts w:eastAsia="Times New Roman" w:cs="Times New Roman"/>
          <w:b/>
          <w:kern w:val="0"/>
          <w:lang w:eastAsia="en-US" w:bidi="ar-SA"/>
        </w:rPr>
        <w:t xml:space="preserve">zaviesť príslušnosť súdov v sporoch o náhradu škody a nemajetkovej ujmy v súvislosti s poskytovaním zdravotnej starostlivosti, </w:t>
      </w:r>
    </w:p>
    <w:p w:rsidR="00EF7BA1" w:rsidRPr="0099718C" w:rsidRDefault="00EF7BA1" w:rsidP="00B052BD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99718C">
        <w:rPr>
          <w:rFonts w:eastAsia="Times New Roman" w:cs="Times New Roman"/>
          <w:b/>
          <w:kern w:val="0"/>
          <w:lang w:eastAsia="en-US" w:bidi="ar-SA"/>
        </w:rPr>
        <w:t>zaviesť príslušnosť súdov v sporoch o náhradu škody a nemajetkovej ujmy pri výkone verejnej moci,</w:t>
      </w:r>
    </w:p>
    <w:p w:rsidR="00EF7BA1" w:rsidRPr="0099718C" w:rsidRDefault="00EF7BA1" w:rsidP="00B052BD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99718C">
        <w:rPr>
          <w:rFonts w:eastAsia="Times New Roman" w:cs="Times New Roman"/>
          <w:b/>
          <w:kern w:val="0"/>
          <w:lang w:eastAsia="en-US" w:bidi="ar-SA"/>
        </w:rPr>
        <w:t xml:space="preserve">upraviť konanie vo veci žaloby o náhrade škody a nemajetkovej ujmy v súvislosti s poskytovaním zdravotnej starostlivosti tak, </w:t>
      </w:r>
      <w:r w:rsidR="00553FAE">
        <w:rPr>
          <w:rFonts w:eastAsia="Times New Roman" w:cs="Times New Roman"/>
          <w:b/>
          <w:kern w:val="0"/>
          <w:lang w:eastAsia="en-US" w:bidi="ar-SA"/>
        </w:rPr>
        <w:t xml:space="preserve"> a</w:t>
      </w:r>
      <w:r w:rsidRPr="0099718C">
        <w:rPr>
          <w:rFonts w:eastAsia="Times New Roman" w:cs="Times New Roman"/>
          <w:b/>
          <w:kern w:val="0"/>
          <w:lang w:eastAsia="en-US" w:bidi="ar-SA"/>
        </w:rPr>
        <w:t xml:space="preserve">by mal pacient, resp. pozostalí </w:t>
      </w:r>
      <w:r w:rsidR="00EA5FBC" w:rsidRPr="0099718C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Pr="0099718C">
        <w:rPr>
          <w:rFonts w:cs="Times New Roman"/>
          <w:b/>
          <w:color w:val="000000"/>
          <w:szCs w:val="24"/>
          <w:shd w:val="clear" w:color="auto" w:fill="FFFFFF"/>
        </w:rPr>
        <w:t>postavenie slabšej strany sporu,</w:t>
      </w:r>
    </w:p>
    <w:p w:rsidR="00EF7BA1" w:rsidRPr="0099718C" w:rsidRDefault="00EF7BA1" w:rsidP="00B052BD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99718C">
        <w:rPr>
          <w:rFonts w:eastAsia="Times New Roman" w:cs="Times New Roman"/>
          <w:b/>
          <w:kern w:val="0"/>
          <w:lang w:eastAsia="en-US" w:bidi="ar-SA"/>
        </w:rPr>
        <w:t>upraviť konanie vo veci žaloby o náhrade škody a </w:t>
      </w:r>
      <w:r w:rsidR="00F13565" w:rsidRPr="0099718C">
        <w:rPr>
          <w:rFonts w:eastAsia="Times New Roman" w:cs="Times New Roman"/>
          <w:b/>
          <w:kern w:val="0"/>
          <w:lang w:eastAsia="en-US" w:bidi="ar-SA"/>
        </w:rPr>
        <w:t>ne</w:t>
      </w:r>
      <w:r w:rsidRPr="0099718C">
        <w:rPr>
          <w:rFonts w:eastAsia="Times New Roman" w:cs="Times New Roman"/>
          <w:b/>
          <w:kern w:val="0"/>
          <w:lang w:eastAsia="en-US" w:bidi="ar-SA"/>
        </w:rPr>
        <w:t>majetkovej ujmy pri výkone verejnej moci,</w:t>
      </w:r>
    </w:p>
    <w:p w:rsidR="00EF7BA1" w:rsidRPr="0099718C" w:rsidRDefault="00020F61" w:rsidP="00B052BD">
      <w:pPr>
        <w:pStyle w:val="Odsekzoznamu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oslobodiť</w:t>
      </w:r>
      <w:r w:rsidR="00EF7BA1" w:rsidRPr="0099718C">
        <w:rPr>
          <w:rFonts w:eastAsia="Times New Roman" w:cs="Times New Roman"/>
          <w:b/>
          <w:kern w:val="0"/>
          <w:lang w:eastAsia="en-US" w:bidi="ar-SA"/>
        </w:rPr>
        <w:t xml:space="preserve"> </w:t>
      </w:r>
      <w:r>
        <w:rPr>
          <w:rFonts w:eastAsia="Times New Roman" w:cs="Times New Roman"/>
          <w:b/>
          <w:kern w:val="0"/>
          <w:lang w:eastAsia="en-US" w:bidi="ar-SA"/>
        </w:rPr>
        <w:t xml:space="preserve">pacienta, resp. pozostalých </w:t>
      </w:r>
      <w:r w:rsidR="00EF7BA1" w:rsidRPr="0099718C">
        <w:rPr>
          <w:rFonts w:eastAsia="Times New Roman" w:cs="Times New Roman"/>
          <w:b/>
          <w:kern w:val="0"/>
          <w:lang w:eastAsia="en-US" w:bidi="ar-SA"/>
        </w:rPr>
        <w:t xml:space="preserve">od platenia  poplatkov v súdnych konaniach  </w:t>
      </w:r>
      <w:r w:rsidR="00F13565" w:rsidRPr="0099718C">
        <w:rPr>
          <w:rFonts w:cs="Times New Roman"/>
          <w:b/>
          <w:color w:val="000000"/>
          <w:shd w:val="clear" w:color="auto" w:fill="FFFFFF"/>
        </w:rPr>
        <w:t>o náhrade škody a nemajetkovej ujmy pri výkone verejnej moci a v konaní o náhrade škody alebo nemajetkovej ujmy, ktoré mu boli spôsobené nesprávnym poskytnutím zdravotnej starostlivosti alebo vznikli v súvislosti s nesprávnym poskytnutím zdravotnej starostlivosti.</w:t>
      </w:r>
    </w:p>
    <w:p w:rsidR="00F13565" w:rsidRPr="00F13565" w:rsidRDefault="00F13565" w:rsidP="00B052BD">
      <w:pPr>
        <w:pStyle w:val="Odsekzoznamu"/>
        <w:widowControl/>
        <w:suppressAutoHyphens w:val="0"/>
        <w:spacing w:line="276" w:lineRule="auto"/>
        <w:ind w:left="1068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051262" w:rsidRPr="00051262" w:rsidRDefault="00051262" w:rsidP="0099718C">
      <w:pPr>
        <w:widowControl/>
        <w:autoSpaceDN w:val="0"/>
        <w:spacing w:line="276" w:lineRule="auto"/>
        <w:ind w:firstLine="708"/>
        <w:jc w:val="both"/>
        <w:textAlignment w:val="baseline"/>
        <w:rPr>
          <w:kern w:val="3"/>
        </w:rPr>
      </w:pPr>
      <w:r w:rsidRPr="00051262">
        <w:rPr>
          <w:rFonts w:cs="Times New Roman"/>
          <w:color w:val="000000"/>
          <w:kern w:val="3"/>
        </w:rPr>
        <w:t>Spory o náhradu škody a nemajetkovej ujmy spôsobenej pri poskytovaní zdravotnej starostlivosti sú osobitne citlivou a na odbornosť náročnou agendou. Už z hľadiska tohto kritéria je odôvodnené presunúť ju, z hľadiska príslušnosti, na okresné súdy v sídlach troch krajských súdov tak, ako sa to navrhuje</w:t>
      </w:r>
      <w:r w:rsidR="00020F61">
        <w:rPr>
          <w:rFonts w:cs="Times New Roman"/>
          <w:color w:val="000000"/>
          <w:kern w:val="3"/>
        </w:rPr>
        <w:t xml:space="preserve"> v návrhu zákona</w:t>
      </w:r>
      <w:r w:rsidRPr="00051262">
        <w:rPr>
          <w:rFonts w:cs="Times New Roman"/>
          <w:color w:val="000000"/>
          <w:kern w:val="3"/>
        </w:rPr>
        <w:t>.</w:t>
      </w:r>
      <w:r>
        <w:rPr>
          <w:rFonts w:cs="Times New Roman"/>
          <w:color w:val="000000"/>
          <w:kern w:val="3"/>
        </w:rPr>
        <w:t xml:space="preserve"> </w:t>
      </w:r>
      <w:r w:rsidRPr="00051262">
        <w:rPr>
          <w:rFonts w:cs="Times New Roman"/>
          <w:color w:val="000000"/>
          <w:kern w:val="3"/>
        </w:rPr>
        <w:t>K odbornej náročnosti pristupuje aj hľadisko objektívnosti rozhodovania – a to tak objektívnej, ako aj subjektívnej z hľadiska žalobcu.</w:t>
      </w:r>
    </w:p>
    <w:p w:rsidR="0099718C" w:rsidRDefault="0099718C" w:rsidP="0099718C">
      <w:pPr>
        <w:widowControl/>
        <w:autoSpaceDN w:val="0"/>
        <w:spacing w:line="276" w:lineRule="auto"/>
        <w:jc w:val="both"/>
        <w:textAlignment w:val="baseline"/>
        <w:rPr>
          <w:rFonts w:cs="Bookman Old Style"/>
          <w:color w:val="000000"/>
          <w:kern w:val="3"/>
          <w:sz w:val="22"/>
          <w:szCs w:val="22"/>
        </w:rPr>
      </w:pPr>
    </w:p>
    <w:p w:rsidR="00DB6F0C" w:rsidRDefault="0099718C" w:rsidP="0099718C">
      <w:pPr>
        <w:widowControl/>
        <w:autoSpaceDN w:val="0"/>
        <w:spacing w:line="276" w:lineRule="auto"/>
        <w:ind w:firstLine="708"/>
        <w:jc w:val="both"/>
        <w:textAlignment w:val="baseline"/>
        <w:rPr>
          <w:rFonts w:cs="Bookman Old Style"/>
          <w:color w:val="000000"/>
          <w:kern w:val="3"/>
        </w:rPr>
      </w:pPr>
      <w:r w:rsidRPr="0099718C">
        <w:rPr>
          <w:rFonts w:cs="Bookman Old Style"/>
          <w:color w:val="000000"/>
          <w:kern w:val="3"/>
        </w:rPr>
        <w:t>Navrhovaná úprava - z</w:t>
      </w:r>
      <w:r w:rsidRPr="0099718C">
        <w:rPr>
          <w:rFonts w:cs="Times New Roman"/>
          <w:color w:val="000000"/>
          <w:kern w:val="3"/>
        </w:rPr>
        <w:t xml:space="preserve">mena miestnej príslušnosti v zmysle jej prenesenia na 3 okresné súdy v sídle </w:t>
      </w:r>
      <w:r>
        <w:rPr>
          <w:rFonts w:cs="Times New Roman"/>
          <w:color w:val="000000"/>
          <w:kern w:val="3"/>
        </w:rPr>
        <w:t>k</w:t>
      </w:r>
      <w:r w:rsidRPr="0099718C">
        <w:rPr>
          <w:rFonts w:cs="Times New Roman"/>
          <w:color w:val="000000"/>
          <w:kern w:val="3"/>
        </w:rPr>
        <w:t>rajských súdov okrem potrebnej objektívnosti a zvýšenia jej záruk aj z hľadiska „seen to be done“</w:t>
      </w:r>
      <w:r w:rsidR="00553FAE">
        <w:rPr>
          <w:rFonts w:cs="Times New Roman"/>
          <w:color w:val="000000"/>
          <w:kern w:val="3"/>
        </w:rPr>
        <w:t>,</w:t>
      </w:r>
      <w:r w:rsidRPr="0099718C">
        <w:rPr>
          <w:rFonts w:cs="Times New Roman"/>
          <w:color w:val="000000"/>
          <w:kern w:val="3"/>
        </w:rPr>
        <w:t xml:space="preserve"> tiež  sústredí rozhodovanie o vysoko špecifickej problematike tzv. „medicínskych sporov“ na malý počet okresných súdov, </w:t>
      </w:r>
      <w:r w:rsidRPr="0099718C">
        <w:rPr>
          <w:rFonts w:cs="Bookman Old Style"/>
          <w:color w:val="000000"/>
          <w:kern w:val="3"/>
        </w:rPr>
        <w:t xml:space="preserve"> čím sa</w:t>
      </w:r>
      <w:r>
        <w:rPr>
          <w:rFonts w:cs="Bookman Old Style"/>
          <w:color w:val="000000"/>
          <w:kern w:val="3"/>
        </w:rPr>
        <w:t xml:space="preserve"> stane ich špecifickou agendou. </w:t>
      </w:r>
    </w:p>
    <w:p w:rsidR="00DB6F0C" w:rsidRDefault="00DB6F0C" w:rsidP="0099718C">
      <w:pPr>
        <w:widowControl/>
        <w:autoSpaceDN w:val="0"/>
        <w:spacing w:line="276" w:lineRule="auto"/>
        <w:ind w:firstLine="708"/>
        <w:jc w:val="both"/>
        <w:textAlignment w:val="baseline"/>
        <w:rPr>
          <w:rFonts w:cs="Bookman Old Style"/>
          <w:color w:val="000000"/>
          <w:kern w:val="3"/>
        </w:rPr>
      </w:pPr>
    </w:p>
    <w:p w:rsidR="0099718C" w:rsidRPr="0099718C" w:rsidRDefault="00DB6F0C" w:rsidP="0099718C">
      <w:pPr>
        <w:widowControl/>
        <w:autoSpaceDN w:val="0"/>
        <w:spacing w:line="276" w:lineRule="auto"/>
        <w:ind w:firstLine="708"/>
        <w:jc w:val="both"/>
        <w:textAlignment w:val="baseline"/>
        <w:rPr>
          <w:rFonts w:cs="Bookman Old Style"/>
          <w:color w:val="000000"/>
          <w:kern w:val="3"/>
        </w:rPr>
      </w:pPr>
      <w:r>
        <w:rPr>
          <w:rFonts w:cs="Bookman Old Style"/>
          <w:color w:val="000000"/>
          <w:kern w:val="3"/>
        </w:rPr>
        <w:t>Z</w:t>
      </w:r>
      <w:r w:rsidR="0099718C">
        <w:rPr>
          <w:rFonts w:cs="Bookman Old Style"/>
          <w:color w:val="000000"/>
          <w:kern w:val="3"/>
        </w:rPr>
        <w:t>mena miestnej príslušnosti súdov by mala</w:t>
      </w:r>
      <w:r w:rsidR="00020F61">
        <w:rPr>
          <w:rFonts w:cs="Bookman Old Style"/>
          <w:color w:val="000000"/>
          <w:kern w:val="3"/>
        </w:rPr>
        <w:t xml:space="preserve"> prispieť</w:t>
      </w:r>
      <w:r w:rsidR="0099718C">
        <w:rPr>
          <w:rFonts w:cs="Bookman Old Style"/>
          <w:color w:val="000000"/>
          <w:kern w:val="3"/>
        </w:rPr>
        <w:t xml:space="preserve"> k</w:t>
      </w:r>
      <w:r>
        <w:rPr>
          <w:rFonts w:cs="Bookman Old Style"/>
          <w:color w:val="000000"/>
          <w:kern w:val="3"/>
        </w:rPr>
        <w:t>u</w:t>
      </w:r>
      <w:r w:rsidR="0099718C">
        <w:rPr>
          <w:rFonts w:cs="Bookman Old Style"/>
          <w:color w:val="000000"/>
          <w:kern w:val="3"/>
        </w:rPr>
        <w:t xml:space="preserve"> </w:t>
      </w:r>
      <w:r w:rsidR="0099718C" w:rsidRPr="0099718C">
        <w:rPr>
          <w:rFonts w:cs="Bookman Old Style"/>
          <w:color w:val="000000"/>
          <w:kern w:val="3"/>
        </w:rPr>
        <w:t xml:space="preserve"> skvalitneniu rozhodovania v dôsledku sústredenia špecializovanej agendy na malom počte súdov, de lege ferenda aj s možnou špecializáciou sudcov  na túto oblasť práva a rozhodovania.</w:t>
      </w:r>
      <w:r w:rsidR="0099718C">
        <w:rPr>
          <w:rFonts w:cs="Bookman Old Style"/>
          <w:color w:val="000000"/>
          <w:kern w:val="3"/>
        </w:rPr>
        <w:t xml:space="preserve"> </w:t>
      </w:r>
      <w:r w:rsidR="0099718C" w:rsidRPr="0099718C">
        <w:rPr>
          <w:rFonts w:cs="Bookman Old Style"/>
          <w:color w:val="000000"/>
          <w:kern w:val="3"/>
        </w:rPr>
        <w:t xml:space="preserve">Obdobnú špecializáciu súdov </w:t>
      </w:r>
      <w:r w:rsidR="0099718C" w:rsidRPr="00051262">
        <w:rPr>
          <w:rFonts w:cs="Times New Roman"/>
          <w:color w:val="000000"/>
          <w:shd w:val="clear" w:color="auto" w:fill="FFFFFF"/>
        </w:rPr>
        <w:t xml:space="preserve">zákon č. </w:t>
      </w:r>
      <w:r w:rsidR="0099718C" w:rsidRPr="00051262">
        <w:rPr>
          <w:rFonts w:eastAsia="Times New Roman" w:cs="Times New Roman"/>
          <w:color w:val="000000"/>
          <w:kern w:val="0"/>
          <w:lang w:eastAsia="sk-SK" w:bidi="ar-SA"/>
        </w:rPr>
        <w:t xml:space="preserve"> 160/2015 Z. z. Civilný sporový poriadok v znení neskorších predpisov</w:t>
      </w:r>
      <w:r w:rsidR="0099718C" w:rsidRPr="00051262">
        <w:rPr>
          <w:rFonts w:cs="Times New Roman"/>
          <w:color w:val="000000"/>
        </w:rPr>
        <w:t xml:space="preserve"> </w:t>
      </w:r>
      <w:r w:rsidR="0099718C" w:rsidRPr="0099718C">
        <w:rPr>
          <w:rFonts w:cs="Bookman Old Style"/>
          <w:color w:val="000000"/>
          <w:kern w:val="3"/>
        </w:rPr>
        <w:t>pozná</w:t>
      </w:r>
      <w:r w:rsidR="00020F61">
        <w:rPr>
          <w:rFonts w:cs="Bookman Old Style"/>
          <w:color w:val="000000"/>
          <w:kern w:val="3"/>
        </w:rPr>
        <w:t xml:space="preserve">, </w:t>
      </w:r>
      <w:r w:rsidR="0099718C" w:rsidRPr="0099718C">
        <w:rPr>
          <w:rFonts w:cs="Bookman Old Style"/>
          <w:color w:val="000000"/>
          <w:kern w:val="3"/>
        </w:rPr>
        <w:t xml:space="preserve"> napr. v  </w:t>
      </w:r>
      <w:r w:rsidR="0099718C" w:rsidRPr="0099718C">
        <w:rPr>
          <w:rFonts w:cs="Times New Roman"/>
          <w:color w:val="000000"/>
          <w:kern w:val="3"/>
        </w:rPr>
        <w:t>zmenkových sporoch (§ 22), pracovnoprávnych sporoch (§ 23), sporoch z rozhodcovského konania (§ 28) a pod.</w:t>
      </w:r>
      <w:r w:rsidR="0099718C">
        <w:rPr>
          <w:rFonts w:cs="Times New Roman"/>
          <w:color w:val="000000"/>
          <w:kern w:val="3"/>
        </w:rPr>
        <w:t xml:space="preserve"> </w:t>
      </w:r>
      <w:r w:rsidR="0099718C" w:rsidRPr="0099718C">
        <w:rPr>
          <w:rFonts w:cs="Bookman Old Style"/>
          <w:color w:val="000000"/>
          <w:kern w:val="3"/>
        </w:rPr>
        <w:t xml:space="preserve">Zároveň je potrebné prihliadať na to, že žalobca môže byť súčasne obeťou trestného činu  </w:t>
      </w:r>
      <w:r w:rsidR="0099718C">
        <w:rPr>
          <w:rFonts w:cs="Bookman Old Style"/>
          <w:color w:val="000000"/>
          <w:kern w:val="3"/>
        </w:rPr>
        <w:t xml:space="preserve">podľa zákona č. </w:t>
      </w:r>
      <w:r w:rsidR="0099718C" w:rsidRPr="0099718C">
        <w:rPr>
          <w:rFonts w:cs="Bookman Old Style"/>
          <w:color w:val="000000"/>
          <w:kern w:val="3"/>
        </w:rPr>
        <w:t xml:space="preserve"> 274/2017 Z.</w:t>
      </w:r>
      <w:r w:rsidR="0099718C">
        <w:rPr>
          <w:rFonts w:cs="Bookman Old Style"/>
          <w:color w:val="000000"/>
          <w:kern w:val="3"/>
        </w:rPr>
        <w:t xml:space="preserve"> </w:t>
      </w:r>
      <w:r w:rsidR="0099718C" w:rsidRPr="0099718C">
        <w:rPr>
          <w:rFonts w:cs="Bookman Old Style"/>
          <w:color w:val="000000"/>
          <w:kern w:val="3"/>
        </w:rPr>
        <w:t>z.</w:t>
      </w:r>
      <w:r w:rsidR="0099718C" w:rsidRPr="0099718C">
        <w:rPr>
          <w:rFonts w:ascii="Helvetica" w:hAnsi="Helvetica"/>
          <w:color w:val="494949"/>
          <w:sz w:val="21"/>
          <w:szCs w:val="21"/>
        </w:rPr>
        <w:t xml:space="preserve"> </w:t>
      </w:r>
      <w:r w:rsidR="0099718C" w:rsidRPr="0099718C">
        <w:rPr>
          <w:rFonts w:cs="Times New Roman"/>
        </w:rPr>
        <w:t>o obetiach trestných činov a o zmene a doplnení niektorých zákonov</w:t>
      </w:r>
      <w:r w:rsidR="0099718C" w:rsidRPr="0099718C">
        <w:rPr>
          <w:rFonts w:cs="Times New Roman"/>
          <w:kern w:val="3"/>
        </w:rPr>
        <w:t xml:space="preserve">  </w:t>
      </w:r>
      <w:r w:rsidR="0099718C" w:rsidRPr="0099718C">
        <w:rPr>
          <w:rFonts w:cs="Bookman Old Style"/>
          <w:color w:val="000000"/>
          <w:kern w:val="3"/>
        </w:rPr>
        <w:t>so svojimi špecifickými potrebami a zákonnými oprávneniami ochrany obete. V tejto súvislosti je nesporne jednoduchšie vytvoriť potrebné podmienky ochrany obetí pred sekundárnou viktimizáciou na troch súdoch, s perspektívou koncentrovaného využitia (najmä priestorových a technických) podmienok, než vytvárať ich  na všetkých súdoch prejednávajúcich civilnú agendu.</w:t>
      </w:r>
    </w:p>
    <w:p w:rsidR="00051262" w:rsidRPr="00051262" w:rsidRDefault="00051262" w:rsidP="0099718C">
      <w:pPr>
        <w:pStyle w:val="Standard"/>
        <w:spacing w:line="276" w:lineRule="auto"/>
        <w:ind w:firstLine="708"/>
        <w:jc w:val="both"/>
        <w:rPr>
          <w:rFonts w:cs="Bookman Old Style"/>
        </w:rPr>
      </w:pPr>
    </w:p>
    <w:p w:rsidR="00D73EAB" w:rsidRPr="00D73EAB" w:rsidRDefault="00D73EAB" w:rsidP="00D73EAB">
      <w:pPr>
        <w:pStyle w:val="Standard"/>
        <w:spacing w:line="276" w:lineRule="auto"/>
        <w:ind w:firstLine="708"/>
        <w:jc w:val="both"/>
      </w:pPr>
      <w:r w:rsidRPr="00D73EAB">
        <w:rPr>
          <w:rFonts w:cs="Bookman Old Style"/>
        </w:rPr>
        <w:t xml:space="preserve">Prejednanie nároku na náhradu škody z nesprávneho úradného postupu tým istým súdom, ktorý škodu spôsobil, nemôže byť materiálnym naplnením práva účastníka konania „domáhať sa svojho práva na nezávislom a nestrannom súde“ v zmysle dikcie čl. 46 ods. 1 </w:t>
      </w:r>
      <w:r w:rsidRPr="00D73EAB">
        <w:rPr>
          <w:rFonts w:cs="Bookman Old Style"/>
        </w:rPr>
        <w:lastRenderedPageBreak/>
        <w:t>Ústavy S</w:t>
      </w:r>
      <w:r>
        <w:rPr>
          <w:rFonts w:cs="Bookman Old Style"/>
        </w:rPr>
        <w:t>lovenskej republiky</w:t>
      </w:r>
      <w:r w:rsidRPr="00D73EAB">
        <w:rPr>
          <w:rFonts w:cs="Bookman Old Style"/>
        </w:rPr>
        <w:t>, a to ani vtedy, keď takýto nárok prejednáva iný sudca toho istého súdu. Takýto postup nie je  ani v súlade s čl. 6 ods. 1 Dohovoru o ochrane ľu</w:t>
      </w:r>
      <w:r w:rsidR="00553FAE">
        <w:rPr>
          <w:rFonts w:cs="Bookman Old Style"/>
        </w:rPr>
        <w:t>dských práv a základných slobôd</w:t>
      </w:r>
      <w:r w:rsidRPr="00D73EAB">
        <w:rPr>
          <w:rFonts w:cs="Bookman Old Style"/>
        </w:rPr>
        <w:t xml:space="preserve"> a nespĺňa ani kritérium účinného prostriedku nápravy.</w:t>
      </w:r>
    </w:p>
    <w:p w:rsidR="00D73EAB" w:rsidRPr="00D73EAB" w:rsidRDefault="00D73EAB" w:rsidP="00D73EAB">
      <w:pPr>
        <w:pStyle w:val="Standard"/>
        <w:spacing w:line="276" w:lineRule="auto"/>
        <w:ind w:hanging="360"/>
        <w:rPr>
          <w:rFonts w:cs="Bookman Old Style"/>
          <w:sz w:val="22"/>
          <w:szCs w:val="22"/>
        </w:rPr>
      </w:pPr>
      <w:bookmarkStart w:id="1" w:name="font-text1"/>
      <w:bookmarkEnd w:id="1"/>
    </w:p>
    <w:p w:rsidR="00D73EAB" w:rsidRPr="00D73EAB" w:rsidRDefault="00D73EAB" w:rsidP="00D73EAB">
      <w:pPr>
        <w:pStyle w:val="Standard"/>
        <w:spacing w:line="276" w:lineRule="auto"/>
        <w:ind w:hanging="360"/>
        <w:jc w:val="both"/>
      </w:pPr>
      <w:r w:rsidRPr="00D73EAB">
        <w:rPr>
          <w:rFonts w:cs="Bookman Old Style"/>
          <w:sz w:val="22"/>
          <w:szCs w:val="22"/>
        </w:rPr>
        <w:t xml:space="preserve">           </w:t>
      </w:r>
      <w:r>
        <w:rPr>
          <w:rFonts w:cs="Bookman Old Style"/>
          <w:sz w:val="22"/>
          <w:szCs w:val="22"/>
        </w:rPr>
        <w:tab/>
      </w:r>
      <w:r w:rsidRPr="00D73EAB">
        <w:rPr>
          <w:rFonts w:cs="Bookman Old Style"/>
        </w:rPr>
        <w:t>V tejto  súvislosti  poukazujeme  na doktrínu Európskeho súdu pre ľuds</w:t>
      </w:r>
      <w:r>
        <w:rPr>
          <w:rFonts w:cs="Bookman Old Style"/>
        </w:rPr>
        <w:t>ké práva – „</w:t>
      </w:r>
      <w:r w:rsidRPr="00D73EAB">
        <w:rPr>
          <w:rStyle w:val="Zvraznenie"/>
          <w:rFonts w:cs="Bookman Old Style"/>
          <w:b/>
          <w:bCs/>
        </w:rPr>
        <w:t>Justice must</w:t>
      </w:r>
      <w:r w:rsidRPr="00D73EAB">
        <w:rPr>
          <w:rFonts w:cs="Bookman Old Style"/>
          <w:b/>
          <w:bCs/>
        </w:rPr>
        <w:t xml:space="preserve"> not only be done, but </w:t>
      </w:r>
      <w:r w:rsidRPr="00D73EAB">
        <w:rPr>
          <w:rStyle w:val="Zvraznenie"/>
          <w:rFonts w:cs="Bookman Old Style"/>
          <w:b/>
          <w:bCs/>
        </w:rPr>
        <w:t>must be seen to be done</w:t>
      </w:r>
      <w:r w:rsidRPr="00D73EAB">
        <w:rPr>
          <w:rStyle w:val="Zvraznenie"/>
          <w:rFonts w:cs="Bookman Old Style"/>
          <w:bCs/>
          <w:i w:val="0"/>
        </w:rPr>
        <w:t>,</w:t>
      </w:r>
      <w:r w:rsidRPr="00D73EAB">
        <w:rPr>
          <w:rFonts w:cs="Bookman Old Style"/>
        </w:rPr>
        <w:t>” teda spravodlivosť nielenže musí byť poskytovaná, ale musí sa tiež javiť, že je poskytovaná. Ak ten istý súd, ktorého postup sa v žalobe o náhradu škody nesprávnym úradným postupom namieta, rozhoduje o tejto náhrade, nemôže sa (z pohľadu žalobcu, občana, poškodeného) spravodlivosť javiť, že je reálne poskytovaná.</w:t>
      </w:r>
    </w:p>
    <w:p w:rsidR="00D73EAB" w:rsidRPr="00D73EAB" w:rsidRDefault="00D73EAB" w:rsidP="00D73EAB">
      <w:pPr>
        <w:pStyle w:val="Standard"/>
        <w:spacing w:line="276" w:lineRule="auto"/>
        <w:ind w:hanging="360"/>
        <w:jc w:val="both"/>
        <w:rPr>
          <w:rFonts w:cs="Bookman Old Style"/>
        </w:rPr>
      </w:pPr>
      <w:r w:rsidRPr="00D73EAB">
        <w:rPr>
          <w:rFonts w:cs="Bookman Old Style"/>
        </w:rPr>
        <w:t xml:space="preserve">       </w:t>
      </w:r>
    </w:p>
    <w:p w:rsidR="00D73EAB" w:rsidRPr="00D73EAB" w:rsidRDefault="00D73EAB" w:rsidP="00D73EAB">
      <w:pPr>
        <w:pStyle w:val="Standard"/>
        <w:spacing w:line="276" w:lineRule="auto"/>
        <w:ind w:hanging="360"/>
        <w:jc w:val="both"/>
      </w:pPr>
      <w:r w:rsidRPr="00D73EAB">
        <w:rPr>
          <w:rFonts w:cs="Bookman Old Style"/>
        </w:rPr>
        <w:t xml:space="preserve">           </w:t>
      </w:r>
      <w:r>
        <w:rPr>
          <w:rFonts w:cs="Bookman Old Style"/>
        </w:rPr>
        <w:tab/>
      </w:r>
      <w:r w:rsidRPr="00D73EAB">
        <w:rPr>
          <w:rFonts w:cs="Bookman Old Style"/>
        </w:rPr>
        <w:t>Namietaný postup určenia miestnej príslušnosti nemá  v slovenskom právnom a správnom systéme obdobu v štruktúre sťažnostnej a zodpovednostnej agendy v ostatných oblastiach života, keď v žiadnej inej oblasti  nemôže o zodpovednosti za nesprávnosť a nezákonnosť  rozhodovať ten istý (miestne a vecne príslušný) orgán, ktorý sa sám nesprávneho konania dopustil alebo nezákonné rozhodnutie vydal.</w:t>
      </w:r>
    </w:p>
    <w:p w:rsidR="00D73EAB" w:rsidRPr="00D73EAB" w:rsidRDefault="00D73EAB" w:rsidP="00D73EAB">
      <w:pPr>
        <w:pStyle w:val="Standard"/>
        <w:spacing w:line="276" w:lineRule="auto"/>
        <w:ind w:hanging="360"/>
        <w:jc w:val="both"/>
        <w:rPr>
          <w:rFonts w:cs="Bookman Old Style"/>
        </w:rPr>
      </w:pPr>
    </w:p>
    <w:p w:rsidR="00D73EAB" w:rsidRPr="00D73EAB" w:rsidRDefault="00D73EAB" w:rsidP="00D73EAB">
      <w:pPr>
        <w:pStyle w:val="Standard"/>
        <w:spacing w:line="276" w:lineRule="auto"/>
        <w:ind w:hanging="360"/>
        <w:jc w:val="both"/>
      </w:pPr>
      <w:r w:rsidRPr="00D73EAB">
        <w:rPr>
          <w:rFonts w:cs="Bookman Old Style"/>
        </w:rPr>
        <w:t xml:space="preserve">          </w:t>
      </w:r>
      <w:r>
        <w:rPr>
          <w:rFonts w:cs="Bookman Old Style"/>
        </w:rPr>
        <w:tab/>
      </w:r>
      <w:r w:rsidRPr="00D73EAB">
        <w:rPr>
          <w:rFonts w:cs="Bookman Old Style"/>
        </w:rPr>
        <w:t>Z</w:t>
      </w:r>
      <w:r>
        <w:rPr>
          <w:rFonts w:cs="Bookman Old Style"/>
        </w:rPr>
        <w:t> </w:t>
      </w:r>
      <w:r w:rsidRPr="00D73EAB">
        <w:rPr>
          <w:rFonts w:cs="Bookman Old Style"/>
        </w:rPr>
        <w:t>vyššie</w:t>
      </w:r>
      <w:r>
        <w:rPr>
          <w:rFonts w:cs="Bookman Old Style"/>
        </w:rPr>
        <w:t xml:space="preserve"> </w:t>
      </w:r>
      <w:r w:rsidRPr="00D73EAB">
        <w:rPr>
          <w:rFonts w:cs="Bookman Old Style"/>
        </w:rPr>
        <w:t>uvedených  príčin existuje dôvodná pochybnosť o tom, či určenie miestnej príslušnosti súdu v sporoch vedených podľa zákona č. 514/2003 Z</w:t>
      </w:r>
      <w:r>
        <w:rPr>
          <w:rFonts w:cs="Bookman Old Style"/>
        </w:rPr>
        <w:t xml:space="preserve"> </w:t>
      </w:r>
      <w:r w:rsidRPr="00D73EAB">
        <w:rPr>
          <w:rFonts w:cs="Bookman Old Style"/>
        </w:rPr>
        <w:t>.z.</w:t>
      </w:r>
      <w:r>
        <w:rPr>
          <w:rFonts w:cs="Bookman Old Style"/>
        </w:rPr>
        <w:t xml:space="preserve"> </w:t>
      </w:r>
      <w:r w:rsidRPr="00D73EAB">
        <w:rPr>
          <w:rFonts w:ascii="Helvetica" w:hAnsi="Helvetica"/>
          <w:color w:val="494949"/>
          <w:sz w:val="21"/>
          <w:szCs w:val="21"/>
        </w:rPr>
        <w:t xml:space="preserve"> </w:t>
      </w:r>
      <w:r w:rsidRPr="00D73EAB">
        <w:rPr>
          <w:rFonts w:cs="Times New Roman"/>
        </w:rPr>
        <w:t>o zodpovednosti za škodu spôsobenú pri výkone verejnej moci a o zmene niektorých zákonov v znení neskorších predpisov</w:t>
      </w:r>
      <w:r w:rsidRPr="00D73EAB">
        <w:rPr>
          <w:rFonts w:cs="Bookman Old Style"/>
        </w:rPr>
        <w:t xml:space="preserve">  tak, ako je v súčasnej dobe procesne nastavený,  je súladný s právom strany sporu na spravodlivé prejednanie veci pred n</w:t>
      </w:r>
      <w:r w:rsidR="00553FAE">
        <w:rPr>
          <w:rFonts w:cs="Bookman Old Style"/>
        </w:rPr>
        <w:t>ezávislým a nestranným súdom SR</w:t>
      </w:r>
      <w:r w:rsidRPr="00D73EAB">
        <w:rPr>
          <w:rFonts w:cs="Bookman Old Style"/>
        </w:rPr>
        <w:t xml:space="preserve"> alebo či je neprípustným excesom z dôvodu rozporu s právom na prejednanie veci nestranným súdom a právom na účinný prostriedok nápravy.</w:t>
      </w:r>
    </w:p>
    <w:p w:rsidR="00D73EAB" w:rsidRDefault="00D73EAB" w:rsidP="00D73EAB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noProof/>
          <w:color w:val="000000" w:themeColor="text1"/>
          <w:kern w:val="0"/>
          <w:lang w:eastAsia="en-US" w:bidi="ar-SA"/>
        </w:rPr>
      </w:pPr>
    </w:p>
    <w:p w:rsidR="00EA5FBC" w:rsidRPr="00EA5FBC" w:rsidRDefault="00EA5FBC" w:rsidP="00B052BD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noProof/>
          <w:color w:val="000000" w:themeColor="text1"/>
          <w:kern w:val="0"/>
          <w:lang w:eastAsia="en-US" w:bidi="ar-SA"/>
        </w:rPr>
      </w:pPr>
      <w:r w:rsidRPr="00EA5FBC">
        <w:rPr>
          <w:rFonts w:eastAsia="Times New Roman" w:cs="Times New Roman"/>
          <w:noProof/>
          <w:color w:val="000000" w:themeColor="text1"/>
          <w:kern w:val="0"/>
          <w:lang w:eastAsia="en-US" w:bidi="ar-S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EA5FBC" w:rsidRPr="00EA5FBC" w:rsidRDefault="00EA5FBC" w:rsidP="00B052BD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EA5FBC" w:rsidRPr="00EA5FBC" w:rsidRDefault="00EA5FBC" w:rsidP="00B052BD">
      <w:pPr>
        <w:widowControl/>
        <w:suppressAutoHyphens w:val="0"/>
        <w:spacing w:line="276" w:lineRule="auto"/>
        <w:jc w:val="both"/>
        <w:rPr>
          <w:rFonts w:eastAsia="Times New Roman" w:cs="Times New Roman"/>
          <w:bCs/>
          <w:kern w:val="0"/>
          <w:lang w:eastAsia="sk-SK" w:bidi="ar-SA"/>
        </w:rPr>
      </w:pPr>
      <w:r w:rsidRPr="00EA5FBC">
        <w:rPr>
          <w:rFonts w:eastAsia="Times New Roman" w:cs="Times New Roman"/>
          <w:bCs/>
          <w:kern w:val="0"/>
          <w:lang w:eastAsia="sk-SK" w:bidi="ar-SA"/>
        </w:rPr>
        <w:tab/>
        <w:t xml:space="preserve">Prijatie návrhu zákona nemá zvýšené nároky na štátny rozpočet, rozpočty samosprávnych krajov a rozpočty obcí.  </w:t>
      </w:r>
      <w:r w:rsidRPr="00EA5FBC">
        <w:rPr>
          <w:rFonts w:eastAsiaTheme="minorEastAsia" w:cs="Times New Roman"/>
          <w:bCs/>
          <w:kern w:val="0"/>
          <w:lang w:eastAsia="sk-SK" w:bidi="ar-SA"/>
        </w:rPr>
        <w:t xml:space="preserve">Vplyv na rozpočet verejnej správy a na podnikateľské prostredie </w:t>
      </w:r>
      <w:r w:rsidRPr="00EA5FBC">
        <w:rPr>
          <w:rFonts w:eastAsiaTheme="minorEastAsia" w:cs="Times New Roman"/>
          <w:bCs/>
          <w:color w:val="000000"/>
          <w:kern w:val="0"/>
          <w:lang w:eastAsia="sk-SK" w:bidi="ar-SA"/>
        </w:rPr>
        <w:t>je uvedený v doložke vybraných vplyvov</w:t>
      </w:r>
      <w:r w:rsidRPr="00EA5FBC">
        <w:rPr>
          <w:rFonts w:eastAsiaTheme="minorEastAsia" w:cs="Times New Roman"/>
          <w:bCs/>
          <w:kern w:val="0"/>
          <w:lang w:eastAsia="sk-SK" w:bidi="ar-SA"/>
        </w:rPr>
        <w:t>. Návrh zákona  má pozitívne sociálne vplyvy, ktoré sú uvedené v doložke vplyvov, nemá vplyvy na životné prostredie a ani vplyvy na informatizáciu spoločnosti.</w:t>
      </w:r>
    </w:p>
    <w:p w:rsidR="00EA5FBC" w:rsidRDefault="00EA5FBC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EA5FBC" w:rsidRPr="00EA5FBC" w:rsidRDefault="00EA5FBC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EA5FBC">
        <w:rPr>
          <w:rFonts w:eastAsia="Times New Roman" w:cs="Times New Roman"/>
          <w:b/>
          <w:kern w:val="0"/>
          <w:u w:val="single"/>
          <w:lang w:eastAsia="en-US" w:bidi="ar-SA"/>
        </w:rPr>
        <w:lastRenderedPageBreak/>
        <w:t>B.  Osobitná časť</w:t>
      </w:r>
    </w:p>
    <w:p w:rsidR="00F13565" w:rsidRDefault="00F13565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A5FBC" w:rsidRPr="00EA5FBC" w:rsidRDefault="00EA5FBC" w:rsidP="00B052BD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EA5FBC">
        <w:rPr>
          <w:rFonts w:eastAsia="Times New Roman" w:cs="Times New Roman"/>
          <w:b/>
          <w:kern w:val="0"/>
          <w:lang w:eastAsia="en-US" w:bidi="ar-SA"/>
        </w:rPr>
        <w:t>Čl. I</w:t>
      </w:r>
    </w:p>
    <w:p w:rsidR="00EA5FBC" w:rsidRDefault="00F13565" w:rsidP="00B052BD">
      <w:pPr>
        <w:widowControl/>
        <w:spacing w:line="276" w:lineRule="auto"/>
        <w:jc w:val="both"/>
        <w:rPr>
          <w:rFonts w:cs="Times New Roman"/>
          <w:color w:val="000000"/>
          <w:u w:val="single"/>
          <w:shd w:val="clear" w:color="auto" w:fill="FFFFFF"/>
        </w:rPr>
      </w:pPr>
      <w:r w:rsidRPr="00F13565">
        <w:rPr>
          <w:rFonts w:cs="Times New Roman"/>
          <w:color w:val="000000"/>
          <w:u w:val="single"/>
          <w:shd w:val="clear" w:color="auto" w:fill="FFFFFF"/>
        </w:rPr>
        <w:t>K bodu 1</w:t>
      </w:r>
    </w:p>
    <w:p w:rsidR="00F13565" w:rsidRDefault="00B052BD" w:rsidP="00B052BD">
      <w:pPr>
        <w:widowControl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ab/>
      </w:r>
    </w:p>
    <w:p w:rsidR="00EA5FBC" w:rsidRDefault="00B052BD" w:rsidP="00B052BD">
      <w:pPr>
        <w:widowControl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cs="Times New Roman"/>
          <w:color w:val="000000"/>
          <w:shd w:val="clear" w:color="auto" w:fill="FFFFFF"/>
        </w:rPr>
        <w:t>Navrhuje sa stanoviť osobitná miestna príslušnosť súdov pri konaniach vo veci</w:t>
      </w:r>
      <w:r>
        <w:rPr>
          <w:rFonts w:cs="Times New Roman"/>
        </w:rPr>
        <w:t> náhrad</w:t>
      </w:r>
      <w:r w:rsidRPr="00AF747C">
        <w:rPr>
          <w:rFonts w:cs="Times New Roman"/>
        </w:rPr>
        <w:t xml:space="preserve"> škody a nemajetkovej ujmy v súvislosti s poskytovaním zdravotnej starostlivosti </w:t>
      </w:r>
      <w:r>
        <w:rPr>
          <w:rFonts w:cs="Times New Roman"/>
        </w:rPr>
        <w:t>a vo veci náhrad za náhradu</w:t>
      </w:r>
      <w:r w:rsidRPr="00A34942">
        <w:rPr>
          <w:rFonts w:eastAsia="Times New Roman" w:cs="Times New Roman"/>
          <w:kern w:val="0"/>
          <w:lang w:eastAsia="sk-SK" w:bidi="ar-SA"/>
        </w:rPr>
        <w:t xml:space="preserve"> škod</w:t>
      </w:r>
      <w:r>
        <w:rPr>
          <w:rFonts w:eastAsia="Times New Roman" w:cs="Times New Roman"/>
          <w:kern w:val="0"/>
          <w:lang w:eastAsia="sk-SK" w:bidi="ar-SA"/>
        </w:rPr>
        <w:t>y</w:t>
      </w:r>
      <w:r w:rsidRPr="00A34942">
        <w:rPr>
          <w:rFonts w:eastAsia="Times New Roman" w:cs="Times New Roman"/>
          <w:kern w:val="0"/>
          <w:lang w:eastAsia="sk-SK" w:bidi="ar-SA"/>
        </w:rPr>
        <w:t xml:space="preserve"> spôsobenú pri </w:t>
      </w:r>
      <w:r>
        <w:rPr>
          <w:rFonts w:eastAsia="Times New Roman" w:cs="Times New Roman"/>
          <w:kern w:val="0"/>
          <w:lang w:eastAsia="sk-SK" w:bidi="ar-SA"/>
        </w:rPr>
        <w:t>výkone verejnej moci.</w:t>
      </w:r>
    </w:p>
    <w:p w:rsidR="00B052BD" w:rsidRDefault="00B052BD" w:rsidP="00B052BD">
      <w:pPr>
        <w:widowControl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B052BD" w:rsidRDefault="00B052BD" w:rsidP="00B052BD">
      <w:pPr>
        <w:widowControl/>
        <w:spacing w:line="276" w:lineRule="auto"/>
        <w:jc w:val="both"/>
        <w:rPr>
          <w:rFonts w:eastAsia="Times New Roman" w:cs="Times New Roman"/>
          <w:kern w:val="0"/>
          <w:u w:val="single"/>
          <w:lang w:eastAsia="sk-SK" w:bidi="ar-SA"/>
        </w:rPr>
      </w:pPr>
      <w:r w:rsidRPr="00B052BD">
        <w:rPr>
          <w:rFonts w:eastAsia="Times New Roman" w:cs="Times New Roman"/>
          <w:kern w:val="0"/>
          <w:u w:val="single"/>
          <w:lang w:eastAsia="sk-SK" w:bidi="ar-SA"/>
        </w:rPr>
        <w:t>K bodu 2</w:t>
      </w:r>
    </w:p>
    <w:p w:rsidR="00B052BD" w:rsidRPr="003320C5" w:rsidRDefault="00B052BD" w:rsidP="00B052BD">
      <w:pPr>
        <w:widowControl/>
        <w:spacing w:line="276" w:lineRule="auto"/>
        <w:jc w:val="both"/>
        <w:rPr>
          <w:rFonts w:eastAsia="Times New Roman" w:cs="Times New Roman"/>
          <w:kern w:val="0"/>
          <w:u w:val="single"/>
          <w:lang w:eastAsia="sk-SK" w:bidi="ar-SA"/>
        </w:rPr>
      </w:pPr>
    </w:p>
    <w:p w:rsidR="00B052BD" w:rsidRPr="003320C5" w:rsidRDefault="00B052BD" w:rsidP="00B052BD">
      <w:pPr>
        <w:widowControl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3320C5">
        <w:rPr>
          <w:rFonts w:eastAsia="Times New Roman" w:cs="Times New Roman"/>
          <w:kern w:val="0"/>
          <w:lang w:eastAsia="sk-SK" w:bidi="ar-SA"/>
        </w:rPr>
        <w:t xml:space="preserve">Stanovuje sa príslušnosť </w:t>
      </w:r>
      <w:r w:rsidRPr="003320C5">
        <w:rPr>
          <w:rFonts w:eastAsia="Times New Roman" w:cs="Times New Roman"/>
          <w:kern w:val="0"/>
          <w:lang w:eastAsia="en-US" w:bidi="ar-SA"/>
        </w:rPr>
        <w:t xml:space="preserve">súdov v sporoch o náhradu </w:t>
      </w:r>
      <w:r w:rsidRPr="003320C5">
        <w:rPr>
          <w:rFonts w:cs="Times New Roman"/>
        </w:rPr>
        <w:t>škody a nemajetkovej ujmy v súvislosti s poskytovaním zdravotnej starostlivosti a vo veci náhrad za náhradu</w:t>
      </w:r>
      <w:r w:rsidRPr="003320C5">
        <w:rPr>
          <w:rFonts w:eastAsia="Times New Roman" w:cs="Times New Roman"/>
          <w:kern w:val="0"/>
          <w:lang w:eastAsia="sk-SK" w:bidi="ar-SA"/>
        </w:rPr>
        <w:t xml:space="preserve"> škody spôsobenú pri výkone verejnej moci.</w:t>
      </w:r>
    </w:p>
    <w:p w:rsidR="00B052BD" w:rsidRPr="003320C5" w:rsidRDefault="00B052BD" w:rsidP="00B052BD">
      <w:pPr>
        <w:widowControl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B052BD" w:rsidRPr="003320C5" w:rsidRDefault="00B052BD" w:rsidP="00B052BD">
      <w:pPr>
        <w:widowControl/>
        <w:spacing w:line="276" w:lineRule="auto"/>
        <w:jc w:val="both"/>
        <w:rPr>
          <w:rFonts w:eastAsia="Times New Roman" w:cs="Times New Roman"/>
          <w:kern w:val="0"/>
          <w:u w:val="single"/>
          <w:lang w:eastAsia="sk-SK" w:bidi="ar-SA"/>
        </w:rPr>
      </w:pPr>
      <w:r w:rsidRPr="003320C5">
        <w:rPr>
          <w:rFonts w:eastAsia="Times New Roman" w:cs="Times New Roman"/>
          <w:kern w:val="0"/>
          <w:u w:val="single"/>
          <w:lang w:eastAsia="sk-SK" w:bidi="ar-SA"/>
        </w:rPr>
        <w:t>K bodu 3</w:t>
      </w:r>
    </w:p>
    <w:p w:rsidR="00B052BD" w:rsidRPr="003320C5" w:rsidRDefault="00B052BD" w:rsidP="00B052BD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B052BD" w:rsidRPr="003320C5" w:rsidRDefault="00B052BD" w:rsidP="00B052BD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bCs/>
          <w:kern w:val="0"/>
          <w:lang w:eastAsia="en-US" w:bidi="ar-SA"/>
        </w:rPr>
      </w:pPr>
      <w:r w:rsidRPr="003320C5">
        <w:rPr>
          <w:rFonts w:eastAsia="Times New Roman" w:cs="Times New Roman"/>
          <w:kern w:val="0"/>
          <w:lang w:eastAsia="en-US" w:bidi="ar-SA"/>
        </w:rPr>
        <w:t>Upravuje sa konanie vo veci žaloby o náhrade škody a nemajetkovej ujmy v súvislosti s poskytovaním zdravotnej starostlivosti a konanie vo veci žaloby o náhrade škody a nemajetkovej ujmy pri výkone verejnej moci.</w:t>
      </w:r>
    </w:p>
    <w:p w:rsidR="00EA5FBC" w:rsidRPr="003320C5" w:rsidRDefault="00EA5FBC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B052BD" w:rsidRPr="003320C5" w:rsidRDefault="00B052BD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  <w:r w:rsidRPr="003320C5">
        <w:rPr>
          <w:rFonts w:cs="Times New Roman"/>
          <w:b/>
          <w:color w:val="000000"/>
          <w:shd w:val="clear" w:color="auto" w:fill="FFFFFF"/>
        </w:rPr>
        <w:t>Čl. II</w:t>
      </w:r>
    </w:p>
    <w:p w:rsidR="00B052BD" w:rsidRPr="003320C5" w:rsidRDefault="00B052BD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B052BD" w:rsidRPr="003320C5" w:rsidRDefault="00B052BD" w:rsidP="00B052BD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bCs/>
          <w:kern w:val="0"/>
          <w:lang w:eastAsia="en-US" w:bidi="ar-SA"/>
        </w:rPr>
      </w:pPr>
      <w:r w:rsidRPr="003320C5">
        <w:rPr>
          <w:rFonts w:eastAsia="Times New Roman" w:cs="Times New Roman"/>
          <w:kern w:val="0"/>
          <w:lang w:eastAsia="en-US" w:bidi="ar-SA"/>
        </w:rPr>
        <w:t xml:space="preserve">Navrhuje sa upraviť zákon č. 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71/1992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Zb.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o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súdnych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poplatkoch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a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poplatku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za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výpis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z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registra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trestov</w:t>
      </w:r>
      <w:r w:rsidRPr="003320C5">
        <w:rPr>
          <w:rStyle w:val="awspan1"/>
          <w:spacing w:val="35"/>
        </w:rPr>
        <w:t xml:space="preserve"> </w:t>
      </w:r>
      <w:r w:rsidRPr="003320C5">
        <w:rPr>
          <w:rStyle w:val="awspan1"/>
        </w:rPr>
        <w:t>v znení neskorších predpisov tak, aby boli do</w:t>
      </w:r>
      <w:r w:rsidRPr="003320C5">
        <w:rPr>
          <w:rFonts w:eastAsia="Times New Roman" w:cs="Times New Roman"/>
          <w:kern w:val="0"/>
          <w:lang w:eastAsia="en-US" w:bidi="ar-SA"/>
        </w:rPr>
        <w:t xml:space="preserve"> oslobodenia od platenia  poplatkov zaradené aj súdne konania  </w:t>
      </w:r>
      <w:r w:rsidRPr="003320C5">
        <w:rPr>
          <w:rFonts w:cs="Times New Roman"/>
          <w:color w:val="000000"/>
          <w:shd w:val="clear" w:color="auto" w:fill="FFFFFF"/>
        </w:rPr>
        <w:t>o náhrade škody a nemajetkovej ujmy pri výkone verejnej moci a súdne konania o náhrade škody alebo nemajetkovej ujmy, ktoré mu boli spôsobené nesprávnym poskytnutím zdravotnej starostlivosti alebo vznikli v súvislosti s nesprávnym poskytnutím zdravotnej starostlivosti.</w:t>
      </w:r>
    </w:p>
    <w:p w:rsidR="00B052BD" w:rsidRPr="003320C5" w:rsidRDefault="00B052BD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3320C5" w:rsidRPr="003320C5" w:rsidRDefault="003320C5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B052BD" w:rsidRPr="003320C5" w:rsidRDefault="00B052BD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  <w:r w:rsidRPr="003320C5">
        <w:rPr>
          <w:rFonts w:cs="Times New Roman"/>
          <w:b/>
          <w:color w:val="000000"/>
          <w:shd w:val="clear" w:color="auto" w:fill="FFFFFF"/>
        </w:rPr>
        <w:t>Čl. III</w:t>
      </w:r>
    </w:p>
    <w:p w:rsidR="00B052BD" w:rsidRPr="003320C5" w:rsidRDefault="00B052BD" w:rsidP="00B052BD">
      <w:pPr>
        <w:widowControl/>
        <w:spacing w:line="276" w:lineRule="auto"/>
        <w:jc w:val="both"/>
        <w:rPr>
          <w:rFonts w:cs="Times New Roman"/>
          <w:b/>
          <w:color w:val="000000"/>
          <w:shd w:val="clear" w:color="auto" w:fill="FFFFFF"/>
        </w:rPr>
      </w:pPr>
    </w:p>
    <w:p w:rsidR="00B052BD" w:rsidRPr="00B052BD" w:rsidRDefault="00B052BD" w:rsidP="00B052BD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B052BD">
        <w:rPr>
          <w:rFonts w:eastAsia="Times New Roman" w:cs="Times New Roman"/>
          <w:kern w:val="0"/>
          <w:lang w:eastAsia="en-US" w:bidi="ar-SA"/>
        </w:rPr>
        <w:t>Ustanovuje sa účinnosť zákona dňom 1. augusta 2019.</w:t>
      </w:r>
    </w:p>
    <w:p w:rsidR="00B052BD" w:rsidRDefault="00B052BD" w:rsidP="00EA5FBC">
      <w:pPr>
        <w:widowControl/>
        <w:jc w:val="both"/>
        <w:rPr>
          <w:rFonts w:cs="Times New Roman"/>
          <w:b/>
          <w:color w:val="000000"/>
          <w:sz w:val="22"/>
          <w:szCs w:val="22"/>
          <w:shd w:val="clear" w:color="auto" w:fill="FFFFFF"/>
        </w:rPr>
      </w:pPr>
    </w:p>
    <w:sectPr w:rsidR="00B0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Bookman Old Sty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AD78B7"/>
    <w:multiLevelType w:val="hybridMultilevel"/>
    <w:tmpl w:val="EAD0EB2A"/>
    <w:lvl w:ilvl="0" w:tplc="4ADA11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843F09"/>
    <w:multiLevelType w:val="hybridMultilevel"/>
    <w:tmpl w:val="55B42E84"/>
    <w:lvl w:ilvl="0" w:tplc="C8D642E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EA4E86"/>
    <w:multiLevelType w:val="hybridMultilevel"/>
    <w:tmpl w:val="C2441C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5F"/>
    <w:rsid w:val="00020F61"/>
    <w:rsid w:val="00051262"/>
    <w:rsid w:val="003320C5"/>
    <w:rsid w:val="004C02B9"/>
    <w:rsid w:val="00553FAE"/>
    <w:rsid w:val="008842CC"/>
    <w:rsid w:val="009018BC"/>
    <w:rsid w:val="009328CF"/>
    <w:rsid w:val="0099718C"/>
    <w:rsid w:val="00AA0C6D"/>
    <w:rsid w:val="00B052BD"/>
    <w:rsid w:val="00BB2968"/>
    <w:rsid w:val="00BB3F02"/>
    <w:rsid w:val="00D73EAB"/>
    <w:rsid w:val="00D855DE"/>
    <w:rsid w:val="00D91B5F"/>
    <w:rsid w:val="00DB6F0C"/>
    <w:rsid w:val="00EA5FBC"/>
    <w:rsid w:val="00EF7BA1"/>
    <w:rsid w:val="00F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18E4"/>
  <w15:chartTrackingRefBased/>
  <w15:docId w15:val="{BDF375C4-78C6-40C3-A81D-8B9DE194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1B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EA5FBC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F7BA1"/>
    <w:pPr>
      <w:ind w:left="720"/>
      <w:contextualSpacing/>
    </w:pPr>
    <w:rPr>
      <w:szCs w:val="21"/>
    </w:rPr>
  </w:style>
  <w:style w:type="paragraph" w:customStyle="1" w:styleId="Standard">
    <w:name w:val="Standard"/>
    <w:rsid w:val="00D73E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Zvraznenie">
    <w:name w:val="Emphasis"/>
    <w:rsid w:val="00D73EA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F6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F6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Švihoríková, Vladimíra, Mgr.</cp:lastModifiedBy>
  <cp:revision>11</cp:revision>
  <cp:lastPrinted>2019-04-24T08:41:00Z</cp:lastPrinted>
  <dcterms:created xsi:type="dcterms:W3CDTF">2019-04-16T09:18:00Z</dcterms:created>
  <dcterms:modified xsi:type="dcterms:W3CDTF">2019-04-25T11:47:00Z</dcterms:modified>
</cp:coreProperties>
</file>