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61" w:rsidRDefault="002D0061" w:rsidP="002D0061">
      <w:pPr>
        <w:pStyle w:val="Normlnywebov"/>
        <w:spacing w:before="120" w:beforeAutospacing="0" w:after="0" w:afterAutospacing="0" w:line="276" w:lineRule="auto"/>
        <w:jc w:val="center"/>
        <w:rPr>
          <w:b/>
          <w:bCs/>
          <w:caps/>
          <w:spacing w:val="30"/>
        </w:rPr>
      </w:pPr>
      <w:r>
        <w:rPr>
          <w:b/>
          <w:bCs/>
          <w:caps/>
          <w:spacing w:val="30"/>
        </w:rPr>
        <w:t>Dôvodová správa</w:t>
      </w:r>
    </w:p>
    <w:p w:rsidR="002D0061" w:rsidRDefault="002D0061" w:rsidP="002D0061">
      <w:pPr>
        <w:pStyle w:val="Normlnywebov"/>
        <w:spacing w:before="120" w:beforeAutospacing="0" w:after="0" w:afterAutospacing="0" w:line="276" w:lineRule="auto"/>
        <w:jc w:val="center"/>
      </w:pPr>
    </w:p>
    <w:p w:rsidR="002D0061" w:rsidRDefault="002D0061" w:rsidP="002D0061">
      <w:pPr>
        <w:widowControl/>
        <w:numPr>
          <w:ilvl w:val="0"/>
          <w:numId w:val="1"/>
        </w:numPr>
        <w:tabs>
          <w:tab w:val="num" w:pos="0"/>
        </w:tabs>
        <w:suppressAutoHyphens w:val="0"/>
        <w:spacing w:before="120" w:line="276" w:lineRule="auto"/>
        <w:ind w:left="0" w:firstLine="0"/>
        <w:jc w:val="both"/>
        <w:rPr>
          <w:rFonts w:cs="Times New Roman"/>
          <w:b/>
          <w:bCs/>
        </w:rPr>
      </w:pPr>
      <w:r>
        <w:rPr>
          <w:rFonts w:cs="Times New Roman"/>
          <w:b/>
          <w:bCs/>
        </w:rPr>
        <w:t>Všeobecná časť</w:t>
      </w:r>
    </w:p>
    <w:p w:rsidR="002D0061" w:rsidRDefault="002D0061" w:rsidP="002D0061">
      <w:pPr>
        <w:spacing w:before="120" w:line="276" w:lineRule="auto"/>
        <w:ind w:firstLine="708"/>
        <w:jc w:val="both"/>
        <w:rPr>
          <w:rFonts w:cs="Times New Roman"/>
        </w:rPr>
      </w:pPr>
      <w:r>
        <w:rPr>
          <w:rFonts w:cs="Times New Roman"/>
        </w:rPr>
        <w:t>Návrh zákona</w:t>
      </w:r>
      <w:r>
        <w:rPr>
          <w:rFonts w:cs="Times New Roman"/>
          <w:kern w:val="0"/>
          <w:lang w:eastAsia="sk-SK" w:bidi="ar-SA"/>
        </w:rPr>
        <w:t xml:space="preserve">, ktorým sa mení a dopĺňa zákon </w:t>
      </w:r>
      <w:r w:rsidRPr="00EC6EFB">
        <w:rPr>
          <w:rFonts w:cs="Times New Roman"/>
        </w:rPr>
        <w:t xml:space="preserve">č. </w:t>
      </w:r>
      <w:hyperlink r:id="rId6" w:tooltip="Odkaz na predpis alebo ustanovenie" w:history="1">
        <w:r w:rsidRPr="00EC6EFB">
          <w:rPr>
            <w:rFonts w:cs="Times New Roman"/>
            <w:bCs/>
          </w:rPr>
          <w:t>250/2012</w:t>
        </w:r>
      </w:hyperlink>
      <w:r w:rsidRPr="00EC6EFB">
        <w:rPr>
          <w:rFonts w:cs="Times New Roman"/>
        </w:rPr>
        <w:t xml:space="preserve"> Z. z. o regulácii v sieťových odvetviach</w:t>
      </w:r>
      <w:r>
        <w:rPr>
          <w:bCs/>
          <w:szCs w:val="22"/>
        </w:rPr>
        <w:t xml:space="preserve"> v znení neskorších predpisov</w:t>
      </w:r>
      <w:r>
        <w:rPr>
          <w:rFonts w:cs="Times New Roman"/>
          <w:kern w:val="0"/>
          <w:lang w:eastAsia="sk-SK" w:bidi="ar-SA"/>
        </w:rPr>
        <w:t xml:space="preserve"> </w:t>
      </w:r>
      <w:r w:rsidR="00D13853">
        <w:rPr>
          <w:rFonts w:cs="Times New Roman"/>
          <w:kern w:val="0"/>
          <w:lang w:eastAsia="sk-SK" w:bidi="ar-SA"/>
        </w:rPr>
        <w:t xml:space="preserve">(ďalej len „zákon o regulácii v sieťových odvetviach“) </w:t>
      </w:r>
      <w:r>
        <w:rPr>
          <w:rFonts w:cs="Times New Roman"/>
        </w:rPr>
        <w:t xml:space="preserve">predkladá poslanec Národnej rady Slovenskej republiky Maroš </w:t>
      </w:r>
      <w:proofErr w:type="spellStart"/>
      <w:r>
        <w:rPr>
          <w:rFonts w:cs="Times New Roman"/>
        </w:rPr>
        <w:t>Kondrót</w:t>
      </w:r>
      <w:proofErr w:type="spellEnd"/>
      <w:r>
        <w:rPr>
          <w:rFonts w:cs="Times New Roman"/>
        </w:rPr>
        <w:t>.</w:t>
      </w:r>
    </w:p>
    <w:p w:rsidR="002D0061" w:rsidRDefault="00E46A43" w:rsidP="00E46A43">
      <w:pPr>
        <w:spacing w:before="120" w:line="276" w:lineRule="auto"/>
        <w:jc w:val="both"/>
        <w:rPr>
          <w:rFonts w:cs="Times New Roman"/>
          <w:kern w:val="0"/>
          <w:lang w:eastAsia="sk-SK" w:bidi="ar-SA"/>
        </w:rPr>
      </w:pPr>
      <w:r>
        <w:rPr>
          <w:rFonts w:cs="Times New Roman"/>
          <w:kern w:val="0"/>
          <w:lang w:eastAsia="sk-SK" w:bidi="ar-SA"/>
        </w:rPr>
        <w:tab/>
        <w:t xml:space="preserve">Predložený návrh zákona predstavuje technickú novelu zákona o regulácii, ktorá reaguje na podnety z praktickej aplikácie zákona a prináša zmeny, ktoré prispievajú k jeho lepšej aplikácii. </w:t>
      </w:r>
    </w:p>
    <w:p w:rsidR="00E46A43" w:rsidRDefault="00E46A43" w:rsidP="00E46A43">
      <w:pPr>
        <w:spacing w:before="120" w:line="276" w:lineRule="auto"/>
        <w:jc w:val="both"/>
        <w:rPr>
          <w:rFonts w:cs="Times New Roman"/>
          <w:kern w:val="0"/>
          <w:lang w:eastAsia="sk-SK" w:bidi="ar-SA"/>
        </w:rPr>
      </w:pPr>
      <w:r>
        <w:rPr>
          <w:rFonts w:cs="Times New Roman"/>
          <w:kern w:val="0"/>
          <w:lang w:eastAsia="sk-SK" w:bidi="ar-SA"/>
        </w:rPr>
        <w:tab/>
        <w:t>Ide o </w:t>
      </w:r>
      <w:proofErr w:type="spellStart"/>
      <w:r>
        <w:rPr>
          <w:rFonts w:cs="Times New Roman"/>
          <w:kern w:val="0"/>
          <w:lang w:eastAsia="sk-SK" w:bidi="ar-SA"/>
        </w:rPr>
        <w:t>upresnenie</w:t>
      </w:r>
      <w:proofErr w:type="spellEnd"/>
      <w:r>
        <w:rPr>
          <w:rFonts w:cs="Times New Roman"/>
          <w:kern w:val="0"/>
          <w:lang w:eastAsia="sk-SK" w:bidi="ar-SA"/>
        </w:rPr>
        <w:t xml:space="preserve"> vymedzenia tarify za prevádzkovanie systému, ďalej </w:t>
      </w:r>
      <w:r>
        <w:rPr>
          <w:rFonts w:cs="Times New Roman"/>
        </w:rPr>
        <w:t>sprísnenie</w:t>
      </w:r>
      <w:r w:rsidRPr="002F462D">
        <w:rPr>
          <w:rFonts w:cs="Times New Roman"/>
        </w:rPr>
        <w:t xml:space="preserve"> </w:t>
      </w:r>
      <w:r>
        <w:rPr>
          <w:rFonts w:cs="Times New Roman"/>
        </w:rPr>
        <w:t>podmienok</w:t>
      </w:r>
      <w:r w:rsidRPr="002F462D">
        <w:rPr>
          <w:rFonts w:cs="Times New Roman"/>
        </w:rPr>
        <w:t xml:space="preserve"> pridelenia individuálnej sadzby tarify za</w:t>
      </w:r>
      <w:r>
        <w:rPr>
          <w:rFonts w:cs="Times New Roman"/>
        </w:rPr>
        <w:t xml:space="preserve"> prevádzkovanie systému pre koncových odberateľov elektriny priamo pripojených do prenosovej sústavy z dôvodu neprimeraného nárastu nákladov na podporu systému</w:t>
      </w:r>
      <w:r>
        <w:rPr>
          <w:rFonts w:cs="Times New Roman"/>
          <w:kern w:val="0"/>
          <w:lang w:eastAsia="sk-SK" w:bidi="ar-SA"/>
        </w:rPr>
        <w:t xml:space="preserve"> a úpravu cenovej regulácie v prípade rekonštrukcie alebo modernizácie zariadenia na výrobu elektriny vo viacerých etapách.</w:t>
      </w:r>
    </w:p>
    <w:p w:rsidR="002D0061" w:rsidRDefault="002D0061" w:rsidP="002D0061">
      <w:pPr>
        <w:spacing w:before="120" w:line="276" w:lineRule="auto"/>
        <w:ind w:firstLine="708"/>
        <w:jc w:val="both"/>
        <w:rPr>
          <w:rFonts w:cs="Times New Roman"/>
        </w:rPr>
      </w:pPr>
      <w:r>
        <w:rPr>
          <w:rFonts w:cs="Times New Roman"/>
          <w:kern w:val="0"/>
          <w:lang w:eastAsia="sk-SK" w:bidi="ar-SA"/>
        </w:rPr>
        <w:t xml:space="preserve">Predkladaný návrh zákona </w:t>
      </w:r>
      <w:r>
        <w:rPr>
          <w:rFonts w:cs="Times New Roman"/>
        </w:rPr>
        <w:t>nemá žiadne negatívne sociálne vplyvy, vplyvy na podnikateľské prostredie, na životné prostredie, ani na informatizáciu spoločnosti a taktiež nezakladá vplyv na rozpočet verejnej správy.</w:t>
      </w:r>
    </w:p>
    <w:p w:rsidR="002D0061" w:rsidRDefault="002D0061" w:rsidP="002D0061">
      <w:pPr>
        <w:widowControl/>
        <w:shd w:val="clear" w:color="auto" w:fill="FFFFFF"/>
        <w:suppressAutoHyphens w:val="0"/>
        <w:spacing w:before="120" w:line="276" w:lineRule="auto"/>
        <w:ind w:firstLine="708"/>
        <w:jc w:val="both"/>
        <w:textAlignment w:val="baseline"/>
        <w:rPr>
          <w:rFonts w:cs="Times New Roman"/>
        </w:rPr>
      </w:pPr>
      <w:r>
        <w:rPr>
          <w:rFonts w:cs="Times New Roman"/>
        </w:rPr>
        <w:t>Návrh zákona je v súlade s Ústavou Slovenskej republiky, ústavnými zákonmi, zákonmi a ostatnými všeobecne záväznými právnymi predpismi Slovenskej republiky, s nálezmi Ústavného súdu Slovenskej republiky, s právom Európskej únie a s medzinárodnými zmluvami, ktorými je Slovenská republika viazaná.</w:t>
      </w:r>
    </w:p>
    <w:p w:rsidR="002D0061" w:rsidRDefault="002D0061" w:rsidP="002D0061">
      <w:pPr>
        <w:widowControl/>
        <w:shd w:val="clear" w:color="auto" w:fill="FFFFFF"/>
        <w:suppressAutoHyphens w:val="0"/>
        <w:spacing w:before="120" w:line="276" w:lineRule="auto"/>
        <w:ind w:firstLine="708"/>
        <w:jc w:val="both"/>
        <w:textAlignment w:val="baseline"/>
        <w:rPr>
          <w:rFonts w:cs="Times New Roman"/>
          <w:kern w:val="0"/>
          <w:lang w:eastAsia="sk-SK" w:bidi="ar-SA"/>
        </w:rPr>
      </w:pPr>
      <w:r>
        <w:rPr>
          <w:rFonts w:cs="Times New Roman"/>
        </w:rPr>
        <w:t>Účinnosť zákona sa navrhuje na 1. augusta 2019.</w:t>
      </w:r>
    </w:p>
    <w:p w:rsidR="002D0061" w:rsidRDefault="002D0061" w:rsidP="002D0061">
      <w:pPr>
        <w:widowControl/>
        <w:suppressAutoHyphens w:val="0"/>
        <w:spacing w:before="120" w:line="276" w:lineRule="auto"/>
        <w:rPr>
          <w:rFonts w:cs="Times New Roman"/>
          <w:kern w:val="0"/>
          <w:sz w:val="22"/>
          <w:szCs w:val="22"/>
          <w:lang w:eastAsia="sk-SK" w:bidi="ar-SA"/>
        </w:rPr>
      </w:pPr>
      <w:r>
        <w:rPr>
          <w:rFonts w:cs="Times New Roman"/>
          <w:kern w:val="0"/>
          <w:sz w:val="22"/>
          <w:szCs w:val="22"/>
          <w:lang w:eastAsia="sk-SK" w:bidi="ar-SA"/>
        </w:rPr>
        <w:br w:type="page"/>
      </w:r>
    </w:p>
    <w:p w:rsidR="002D0061" w:rsidRDefault="002D0061" w:rsidP="002D0061">
      <w:pPr>
        <w:spacing w:before="120" w:line="276" w:lineRule="auto"/>
        <w:rPr>
          <w:rFonts w:cs="Times New Roman"/>
          <w:b/>
        </w:rPr>
      </w:pPr>
      <w:r>
        <w:rPr>
          <w:rFonts w:cs="Times New Roman"/>
          <w:b/>
        </w:rPr>
        <w:lastRenderedPageBreak/>
        <w:t xml:space="preserve">B. </w:t>
      </w:r>
      <w:r>
        <w:rPr>
          <w:rFonts w:cs="Times New Roman"/>
          <w:b/>
        </w:rPr>
        <w:tab/>
        <w:t>Osobitná časť</w:t>
      </w:r>
    </w:p>
    <w:p w:rsidR="002D0061" w:rsidRDefault="002D0061" w:rsidP="002D0061">
      <w:pPr>
        <w:spacing w:before="120" w:line="276" w:lineRule="auto"/>
        <w:rPr>
          <w:rFonts w:cs="Times New Roman"/>
          <w:b/>
          <w:u w:val="single"/>
        </w:rPr>
      </w:pPr>
    </w:p>
    <w:p w:rsidR="002D0061" w:rsidRDefault="002D0061" w:rsidP="002D0061">
      <w:pPr>
        <w:pStyle w:val="Normlnywebov"/>
        <w:spacing w:before="120" w:beforeAutospacing="0" w:after="0" w:afterAutospacing="0" w:line="276" w:lineRule="auto"/>
        <w:jc w:val="both"/>
        <w:rPr>
          <w:b/>
          <w:bCs/>
        </w:rPr>
      </w:pPr>
      <w:r>
        <w:rPr>
          <w:b/>
          <w:bCs/>
        </w:rPr>
        <w:t>K Čl. I</w:t>
      </w:r>
    </w:p>
    <w:p w:rsidR="002D0061" w:rsidRDefault="002D0061" w:rsidP="002D0061">
      <w:pPr>
        <w:pStyle w:val="Normlnywebov"/>
        <w:spacing w:before="120" w:beforeAutospacing="0" w:after="0" w:afterAutospacing="0" w:line="276" w:lineRule="auto"/>
        <w:jc w:val="both"/>
        <w:rPr>
          <w:bCs/>
          <w:u w:val="single"/>
        </w:rPr>
      </w:pPr>
    </w:p>
    <w:p w:rsidR="002D0061" w:rsidRDefault="002D0061" w:rsidP="002D0061">
      <w:pPr>
        <w:pStyle w:val="Normlnywebov"/>
        <w:spacing w:before="120" w:beforeAutospacing="0" w:after="0" w:afterAutospacing="0" w:line="276" w:lineRule="auto"/>
        <w:jc w:val="both"/>
        <w:rPr>
          <w:bCs/>
          <w:u w:val="single"/>
        </w:rPr>
      </w:pPr>
      <w:r>
        <w:rPr>
          <w:bCs/>
          <w:u w:val="single"/>
        </w:rPr>
        <w:t>K bodu 1</w:t>
      </w:r>
    </w:p>
    <w:p w:rsidR="002D0061" w:rsidRDefault="002D0061" w:rsidP="002D0061">
      <w:pPr>
        <w:pStyle w:val="Normlnywebov"/>
        <w:spacing w:before="120" w:beforeAutospacing="0" w:after="0" w:afterAutospacing="0" w:line="276" w:lineRule="auto"/>
        <w:jc w:val="both"/>
        <w:rPr>
          <w:bCs/>
          <w:u w:val="single"/>
        </w:rPr>
      </w:pPr>
    </w:p>
    <w:p w:rsidR="00E46A43" w:rsidRDefault="00E46A43" w:rsidP="00E46A43">
      <w:pPr>
        <w:ind w:firstLine="708"/>
        <w:rPr>
          <w:rFonts w:cs="Times New Roman"/>
        </w:rPr>
      </w:pPr>
      <w:r w:rsidRPr="002F462D">
        <w:rPr>
          <w:rFonts w:cs="Times New Roman"/>
        </w:rPr>
        <w:t>Navrhované znenie precizuje súčasný text zákona o regulácii a vyplýva z aplikačnej praxe.</w:t>
      </w:r>
    </w:p>
    <w:p w:rsidR="00E46A43" w:rsidRPr="00E46A43" w:rsidRDefault="00E46A43" w:rsidP="00E46A43">
      <w:pPr>
        <w:rPr>
          <w:rFonts w:cs="Times New Roman"/>
        </w:rPr>
      </w:pPr>
    </w:p>
    <w:p w:rsidR="002D0061" w:rsidRDefault="002D0061" w:rsidP="002D0061">
      <w:pPr>
        <w:pStyle w:val="Normlnywebov"/>
        <w:spacing w:before="120" w:beforeAutospacing="0" w:after="0" w:afterAutospacing="0" w:line="276" w:lineRule="auto"/>
        <w:jc w:val="both"/>
        <w:rPr>
          <w:bCs/>
          <w:u w:val="single"/>
        </w:rPr>
      </w:pPr>
      <w:r>
        <w:rPr>
          <w:bCs/>
          <w:u w:val="single"/>
        </w:rPr>
        <w:t>K bodu 2</w:t>
      </w:r>
    </w:p>
    <w:p w:rsidR="002D0061" w:rsidRDefault="002D0061" w:rsidP="002D0061">
      <w:pPr>
        <w:pStyle w:val="Normlnywebov"/>
        <w:spacing w:before="120" w:beforeAutospacing="0" w:after="0" w:afterAutospacing="0" w:line="276" w:lineRule="auto"/>
        <w:jc w:val="both"/>
        <w:rPr>
          <w:bCs/>
          <w:u w:val="single"/>
        </w:rPr>
      </w:pPr>
    </w:p>
    <w:p w:rsidR="00E46A43" w:rsidRDefault="00E46A43" w:rsidP="00E46A43">
      <w:pPr>
        <w:ind w:firstLine="708"/>
        <w:jc w:val="both"/>
        <w:rPr>
          <w:rFonts w:cs="Times New Roman"/>
        </w:rPr>
      </w:pPr>
      <w:r w:rsidRPr="002F462D">
        <w:rPr>
          <w:rFonts w:cs="Times New Roman"/>
        </w:rPr>
        <w:t>Navrhované znenie sprísňuje doterajšie podmienky pridelenia individuálnej sadzby tarify za</w:t>
      </w:r>
      <w:r>
        <w:rPr>
          <w:rFonts w:cs="Times New Roman"/>
        </w:rPr>
        <w:t xml:space="preserve"> prevádzkovanie systému a to pre koncových odberateľov elektriny priamo pripojených do prenosovej sústavy z dôvodu neprimeraného nárastu nákladov na podporu systému. Bližšie sa špecifikuje kompetencia úradu určiť individuálnu sadzbu tarify za prevádzkovanie systému pre koncových odberateľov elektriny, ktorí spĺňajú ustanovené podmienky, pričom v praxi ide o niektoré podniky priemyselnej výroby. Ide o podniky zabezpečujúce primárnu výrobu, ktoré sú podstatné pre riadne fungovanie ekonomiky v Slovenskej republike s vysokou elektroenergetickou náročnosťou. Doterajšia podpora vo forme obmedzenia výšky platieb tarify za prevádzkovanie systému by mala chrániť veľkých odberateľov elektriny pred nadmernými nákladmi spôsobenými platbou plnej sadzby tarify za prevádzkovanie systému, ktoré by inak v dôsledku ich vysokej úrovne odberu elektriny vytvorili neprimeranú finančnú záťaž, spôsobilú ovplyvniť ich konkurencieschopnosť na európskom a globálnom trhu.</w:t>
      </w:r>
    </w:p>
    <w:p w:rsidR="00E46A43" w:rsidRDefault="00E46A43" w:rsidP="002D0061">
      <w:pPr>
        <w:pStyle w:val="Normlnywebov"/>
        <w:spacing w:before="120" w:beforeAutospacing="0" w:after="0" w:afterAutospacing="0" w:line="276" w:lineRule="auto"/>
        <w:jc w:val="both"/>
        <w:rPr>
          <w:bCs/>
          <w:u w:val="single"/>
        </w:rPr>
      </w:pPr>
    </w:p>
    <w:p w:rsidR="002D0061" w:rsidRDefault="002D0061" w:rsidP="002D0061">
      <w:pPr>
        <w:pStyle w:val="Normlnywebov"/>
        <w:spacing w:before="120" w:beforeAutospacing="0" w:after="0" w:afterAutospacing="0" w:line="276" w:lineRule="auto"/>
        <w:jc w:val="both"/>
        <w:rPr>
          <w:bCs/>
          <w:u w:val="single"/>
        </w:rPr>
      </w:pPr>
      <w:r>
        <w:rPr>
          <w:bCs/>
          <w:u w:val="single"/>
        </w:rPr>
        <w:t>K bodu 3</w:t>
      </w:r>
    </w:p>
    <w:p w:rsidR="00A50ED8" w:rsidRDefault="00A50ED8" w:rsidP="00A50ED8">
      <w:pPr>
        <w:jc w:val="both"/>
      </w:pPr>
      <w:bookmarkStart w:id="0" w:name="_Hlk4573078"/>
    </w:p>
    <w:p w:rsidR="008C589B" w:rsidRDefault="00A50ED8" w:rsidP="008C589B">
      <w:pPr>
        <w:ind w:firstLine="708"/>
        <w:jc w:val="both"/>
      </w:pPr>
      <w:r>
        <w:t>V zmysle súčasného znenia § 14 ods. 14 zákona o regulácii v sieťových odvetviach sú regulované subjekty oprávnené požiadať o zmenu cenového rozhodnutia pri zmene ceny elektriny na stanovenie doplatku alebo príplatku, ale aj pri zmene technológie výroby elektriny, ak k nim došlo v priebehu obdobia poberania podpory doplatkom. To je odôvodnené, ak rekonštrukcie zariadení prebiehajú vo viacerých etapách, najmä v prípade zložitých priemyselných prevádzok, kde je výroba elektriny len doplnkovou činnosťou, ale účinne prispieva k plneniu cieľov štátu v oblasti ochrany ovzdušia a energetickej efektívnosti. Jedným z účelov vládnej novely zákona č. 309/2009</w:t>
      </w:r>
      <w:r w:rsidR="008C589B">
        <w:t xml:space="preserve"> Z. z.</w:t>
      </w:r>
      <w:r>
        <w:t xml:space="preserve"> </w:t>
      </w:r>
      <w:r w:rsidR="00D13853">
        <w:t xml:space="preserve">z roku 2018 </w:t>
      </w:r>
      <w:r>
        <w:t xml:space="preserve">bolo podriadiť výstavbu a rekonštrukciu zariadení na výrobu elektriny z obnoviteľných zdrojov energie a kombinovanej výroby novým legislatívnym pravidlám, ktoré zabezpečia, že prevádzková podpora sa bude po novom poskytovať len zariadeniam, ktoré uspejú v aukciách a splnia sprísnené podmienky. </w:t>
      </w:r>
    </w:p>
    <w:p w:rsidR="00A50ED8" w:rsidRDefault="00A50ED8" w:rsidP="008C589B">
      <w:pPr>
        <w:ind w:firstLine="708"/>
        <w:jc w:val="both"/>
      </w:pPr>
      <w:r>
        <w:t xml:space="preserve">Z dôvodu </w:t>
      </w:r>
      <w:proofErr w:type="spellStart"/>
      <w:r>
        <w:t>predídenia</w:t>
      </w:r>
      <w:proofErr w:type="spellEnd"/>
      <w:r>
        <w:t xml:space="preserve"> prípadným interpretačným problémom vznikajúcim pri implementácii nových pravidiel podpory obnoviteľných zdrojov a kombinovanej výroby sa preto navrhuje obmedziť lehota, počas ktorej možno uskutočniť zmenu podmienok podpory pri starších rekonštrukciách prebiehajúcich vo viacerých etapách a dokončených v priebehu obdobia poberania podpory, a to na tri roky odo dňa oznámenia cenového rozhodnutia. Po uplynutí tejto lehoty budú môcť byť vydané už len nové cenové rozhodnutia regulovaným </w:t>
      </w:r>
      <w:r>
        <w:lastRenderedPageBreak/>
        <w:t>subjektom, ktoré splnia sprísnené podmienky podpory (najmä uspejú v aukciách).</w:t>
      </w:r>
      <w:bookmarkEnd w:id="0"/>
    </w:p>
    <w:p w:rsidR="002D0061" w:rsidRDefault="002D0061" w:rsidP="002D0061">
      <w:pPr>
        <w:spacing w:before="120" w:line="276" w:lineRule="auto"/>
        <w:jc w:val="both"/>
        <w:rPr>
          <w:rFonts w:cs="Times New Roman"/>
          <w:bCs/>
          <w:u w:val="single"/>
        </w:rPr>
      </w:pPr>
    </w:p>
    <w:p w:rsidR="002D0061" w:rsidRDefault="002D0061" w:rsidP="002D0061">
      <w:pPr>
        <w:spacing w:before="120" w:line="276" w:lineRule="auto"/>
        <w:jc w:val="both"/>
        <w:rPr>
          <w:rFonts w:cs="Times New Roman"/>
          <w:b/>
          <w:u w:val="single"/>
        </w:rPr>
      </w:pPr>
      <w:r>
        <w:rPr>
          <w:rFonts w:cs="Times New Roman"/>
          <w:bCs/>
          <w:u w:val="single"/>
        </w:rPr>
        <w:t xml:space="preserve">K bodu 4 </w:t>
      </w:r>
    </w:p>
    <w:p w:rsidR="002D0061" w:rsidRDefault="002D0061" w:rsidP="002D0061">
      <w:pPr>
        <w:spacing w:before="120" w:line="276" w:lineRule="auto"/>
        <w:rPr>
          <w:rFonts w:cs="Times New Roman"/>
          <w:b/>
        </w:rPr>
      </w:pPr>
    </w:p>
    <w:p w:rsidR="001B25F6" w:rsidRDefault="001B25F6" w:rsidP="001B25F6">
      <w:pPr>
        <w:ind w:firstLine="708"/>
        <w:jc w:val="both"/>
      </w:pPr>
      <w:r>
        <w:t>Úrad pre reguláciu sieťových odvetví v roku 2018 vydal podľa § 12,</w:t>
      </w:r>
      <w:r>
        <w:t xml:space="preserve"> 13, 14 zákona</w:t>
      </w:r>
      <w:r>
        <w:t xml:space="preserve"> o regulácii v sieťových odvetviach v znení účinnom do 31. 12. 2018 rozhodnutia v konaniach o cenovej a vecnej regulácii. Úrad v týchto konaniach určil rozhodnutím pre OKTE, a.s. tarifu za systémové služby a tarifu za prevádzkovanie systému pre rok 2019. </w:t>
      </w:r>
    </w:p>
    <w:p w:rsidR="001B25F6" w:rsidRDefault="001B25F6" w:rsidP="001B25F6">
      <w:pPr>
        <w:ind w:firstLine="708"/>
        <w:jc w:val="both"/>
      </w:pPr>
      <w:r>
        <w:t xml:space="preserve">Od 1. 1. 2019 je účinný zákon o regulácii v sieťových odvetviach v znení zákona č. 309/2018 Z. z., ktorý mení pravidlá pre priznanie individuálnej sadzby tarify za prevádzkovanie systému. </w:t>
      </w:r>
    </w:p>
    <w:p w:rsidR="001B25F6" w:rsidRDefault="001B25F6" w:rsidP="001B25F6">
      <w:pPr>
        <w:ind w:firstLine="708"/>
        <w:jc w:val="both"/>
      </w:pPr>
      <w:r>
        <w:t xml:space="preserve">V čase vydania cenového rozhodnutia úradu pre OKTE o určení tarify za systémové služby a tarify za prevádzkovanie systému nebolo ešte účinné znenie zákona o regulácii v sieťových odvetviach v znení zákona č. 309/2018 Z. z. a nebol ani účinný všeobecne záväzný právny predpis podľa § 40 ods. 1 písm. b) až e), g) až i), l), n) a o) zákona o regulácii v sieťových odvetviach v znení zákona č. 309/2018 Z. z.       </w:t>
      </w:r>
    </w:p>
    <w:p w:rsidR="001B25F6" w:rsidRDefault="001B25F6" w:rsidP="001B25F6">
      <w:pPr>
        <w:ind w:firstLine="708"/>
        <w:jc w:val="both"/>
      </w:pPr>
      <w:r>
        <w:t xml:space="preserve">Vzhľadom na potrebu zachovania právnej a ekonomickej istoty a stability systému tarify  za prevádzkovanie systému, jej uplatňovania a zúčtovania OKTE, a.s a účastníkmi trhu s elektrinou navrhujeme vyššie uvedené ustanovenie. </w:t>
      </w:r>
    </w:p>
    <w:p w:rsidR="001B25F6" w:rsidRDefault="001B25F6" w:rsidP="001B25F6">
      <w:pPr>
        <w:ind w:firstLine="708"/>
        <w:jc w:val="both"/>
      </w:pPr>
      <w:r>
        <w:t xml:space="preserve">Dôvodom je odstránenie pochybností o spôsobe a výške účtovania tarify za prevádzkovanie systému v období roku 2019 do doby vydania nového cenového rozhodnutia úradu o určení tarify za systémové služby a tarify za prevádzkovanie systému podľa zákona       </w:t>
      </w:r>
      <w:bookmarkStart w:id="1" w:name="_GoBack"/>
      <w:bookmarkEnd w:id="1"/>
      <w:r>
        <w:t xml:space="preserve">o regulácii v sieťových odvetviach v znení zákona č. 309/2018 Z. z.   </w:t>
      </w:r>
    </w:p>
    <w:p w:rsidR="008F38DD" w:rsidRDefault="008F38DD" w:rsidP="002D0061">
      <w:pPr>
        <w:spacing w:before="120" w:line="276" w:lineRule="auto"/>
        <w:rPr>
          <w:rFonts w:cs="Times New Roman"/>
          <w:b/>
        </w:rPr>
      </w:pPr>
    </w:p>
    <w:p w:rsidR="002D0061" w:rsidRDefault="002D0061" w:rsidP="002D0061">
      <w:pPr>
        <w:spacing w:before="120" w:line="276" w:lineRule="auto"/>
        <w:rPr>
          <w:rFonts w:cs="Times New Roman"/>
          <w:b/>
        </w:rPr>
      </w:pPr>
      <w:r>
        <w:rPr>
          <w:rFonts w:cs="Times New Roman"/>
          <w:b/>
        </w:rPr>
        <w:t>K Čl. II</w:t>
      </w:r>
    </w:p>
    <w:p w:rsidR="002D0061" w:rsidRDefault="002D0061" w:rsidP="002D0061">
      <w:pPr>
        <w:pStyle w:val="Normlnywebov"/>
        <w:spacing w:before="120" w:beforeAutospacing="0" w:after="0" w:afterAutospacing="0" w:line="276" w:lineRule="auto"/>
        <w:jc w:val="both"/>
        <w:rPr>
          <w:rFonts w:eastAsia="SimSun"/>
          <w:kern w:val="2"/>
          <w:u w:val="single"/>
          <w:lang w:eastAsia="hi-IN" w:bidi="hi-IN"/>
        </w:rPr>
      </w:pPr>
    </w:p>
    <w:p w:rsidR="002D0061" w:rsidRDefault="002D0061" w:rsidP="008F38DD">
      <w:pPr>
        <w:pStyle w:val="Normlnywebov"/>
        <w:spacing w:before="120" w:beforeAutospacing="0" w:after="0" w:afterAutospacing="0" w:line="276" w:lineRule="auto"/>
        <w:ind w:firstLine="708"/>
        <w:jc w:val="both"/>
      </w:pPr>
      <w:r>
        <w:t xml:space="preserve">Navrhuje sa účinnosť predkladaného zákona so zohľadnením </w:t>
      </w:r>
      <w:proofErr w:type="spellStart"/>
      <w:r>
        <w:t>legisvakančnej</w:t>
      </w:r>
      <w:proofErr w:type="spellEnd"/>
      <w:r>
        <w:t xml:space="preserve"> lehoty, a to od 1. augusta 2019.</w:t>
      </w:r>
    </w:p>
    <w:p w:rsidR="008F38DD" w:rsidRPr="008F38DD" w:rsidRDefault="008F38DD" w:rsidP="008F38DD">
      <w:pPr>
        <w:pStyle w:val="Normlnywebov"/>
        <w:spacing w:before="120" w:beforeAutospacing="0" w:after="0" w:afterAutospacing="0" w:line="276" w:lineRule="auto"/>
        <w:ind w:firstLine="708"/>
        <w:jc w:val="both"/>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Default"/>
        <w:jc w:val="center"/>
      </w:pPr>
      <w:r>
        <w:rPr>
          <w:b/>
          <w:bCs/>
        </w:rPr>
        <w:t>DOLOŽKA ZLUČITEĽNOSTI</w:t>
      </w:r>
    </w:p>
    <w:p w:rsidR="002D0061" w:rsidRDefault="002D0061" w:rsidP="002D0061">
      <w:pPr>
        <w:pStyle w:val="Default"/>
        <w:jc w:val="center"/>
      </w:pPr>
      <w:r>
        <w:rPr>
          <w:b/>
          <w:bCs/>
        </w:rPr>
        <w:t>návrhu zákona s právom Európskej únie</w:t>
      </w:r>
    </w:p>
    <w:p w:rsidR="002D0061" w:rsidRDefault="002D0061" w:rsidP="002D0061">
      <w:pPr>
        <w:pStyle w:val="Default"/>
      </w:pPr>
    </w:p>
    <w:p w:rsidR="002D0061" w:rsidRDefault="002D0061" w:rsidP="002D0061">
      <w:pPr>
        <w:pStyle w:val="Default"/>
        <w:jc w:val="both"/>
      </w:pPr>
      <w:r>
        <w:t xml:space="preserve">1. </w:t>
      </w:r>
      <w:r>
        <w:rPr>
          <w:b/>
          <w:bCs/>
        </w:rPr>
        <w:t>Navrhovateľ zákona</w:t>
      </w:r>
      <w:r>
        <w:t xml:space="preserve">: poslanec Národnej rady Slovenskej republiky Maroš </w:t>
      </w:r>
      <w:proofErr w:type="spellStart"/>
      <w:r>
        <w:t>Kondrót</w:t>
      </w:r>
      <w:proofErr w:type="spellEnd"/>
    </w:p>
    <w:p w:rsidR="002D0061" w:rsidRDefault="002D0061" w:rsidP="002D0061">
      <w:pPr>
        <w:pStyle w:val="Default"/>
      </w:pPr>
    </w:p>
    <w:p w:rsidR="002D0061" w:rsidRDefault="002D0061" w:rsidP="002D0061">
      <w:pPr>
        <w:pStyle w:val="Default"/>
        <w:jc w:val="both"/>
      </w:pPr>
      <w:r>
        <w:t xml:space="preserve">2. </w:t>
      </w:r>
      <w:r>
        <w:rPr>
          <w:b/>
        </w:rPr>
        <w:t>Názov návrhu zákona</w:t>
      </w:r>
      <w:r>
        <w:t xml:space="preserve">: Návrh poslanca Národnej rady Slovenskej republiky Maroša </w:t>
      </w:r>
      <w:proofErr w:type="spellStart"/>
      <w:r>
        <w:t>Kondróta</w:t>
      </w:r>
      <w:proofErr w:type="spellEnd"/>
      <w:r>
        <w:t xml:space="preserve"> na vydanie zákona, ktorým sa mení a dopĺňa zákon </w:t>
      </w:r>
      <w:r w:rsidRPr="00EC6EFB">
        <w:t xml:space="preserve">č. </w:t>
      </w:r>
      <w:hyperlink r:id="rId7" w:tooltip="Odkaz na predpis alebo ustanovenie" w:history="1">
        <w:r w:rsidRPr="00EC6EFB">
          <w:rPr>
            <w:bCs/>
          </w:rPr>
          <w:t>250/2012</w:t>
        </w:r>
      </w:hyperlink>
      <w:r w:rsidRPr="00EC6EFB">
        <w:t xml:space="preserve"> Z. z. o regulácii v sieťových odvetviach</w:t>
      </w:r>
      <w:r>
        <w:t xml:space="preserve"> v znení neskorších predpisov</w:t>
      </w:r>
    </w:p>
    <w:p w:rsidR="002D0061" w:rsidRDefault="002D0061" w:rsidP="002D0061">
      <w:pPr>
        <w:pStyle w:val="Default"/>
      </w:pPr>
    </w:p>
    <w:p w:rsidR="002D0061" w:rsidRDefault="002D0061" w:rsidP="002D0061">
      <w:pPr>
        <w:pStyle w:val="Default"/>
      </w:pPr>
      <w:r>
        <w:t xml:space="preserve">3. </w:t>
      </w:r>
      <w:r>
        <w:rPr>
          <w:b/>
          <w:bCs/>
        </w:rPr>
        <w:t>Predmet návrhu zákona nie je upravený v práve Európskej únie</w:t>
      </w:r>
      <w:r>
        <w:t xml:space="preserve">: </w:t>
      </w:r>
    </w:p>
    <w:p w:rsidR="002D0061" w:rsidRDefault="002D0061" w:rsidP="002D0061">
      <w:pPr>
        <w:pStyle w:val="Default"/>
      </w:pPr>
    </w:p>
    <w:p w:rsidR="002D0061" w:rsidRDefault="002D0061" w:rsidP="002D0061">
      <w:pPr>
        <w:pStyle w:val="Default"/>
      </w:pPr>
      <w:r>
        <w:t xml:space="preserve">a) v primárnom práve </w:t>
      </w:r>
    </w:p>
    <w:p w:rsidR="002D0061" w:rsidRDefault="002D0061" w:rsidP="002D0061">
      <w:pPr>
        <w:pStyle w:val="Default"/>
      </w:pPr>
      <w:r>
        <w:t xml:space="preserve">b) v sekundárnom práve </w:t>
      </w:r>
    </w:p>
    <w:p w:rsidR="002D0061" w:rsidRDefault="002D0061" w:rsidP="002D0061">
      <w:pPr>
        <w:pStyle w:val="Default"/>
      </w:pPr>
      <w:r>
        <w:t xml:space="preserve">c) v judikatúre Súdneho dvora Európskej únie. </w:t>
      </w:r>
    </w:p>
    <w:p w:rsidR="002D0061" w:rsidRDefault="002D0061" w:rsidP="002D0061">
      <w:pPr>
        <w:pStyle w:val="Default"/>
      </w:pPr>
    </w:p>
    <w:p w:rsidR="002D0061" w:rsidRDefault="002D0061" w:rsidP="002D0061">
      <w:pPr>
        <w:pStyle w:val="Default"/>
      </w:pPr>
      <w:r>
        <w:t xml:space="preserve">4. </w:t>
      </w:r>
      <w:r>
        <w:rPr>
          <w:b/>
          <w:bCs/>
        </w:rPr>
        <w:t>Záväzky Slovenskej republiky vo vzťahu k Európskej únii</w:t>
      </w:r>
      <w:r>
        <w:t xml:space="preserve">: </w:t>
      </w:r>
    </w:p>
    <w:p w:rsidR="002D0061" w:rsidRDefault="002D0061" w:rsidP="002D0061">
      <w:pPr>
        <w:pStyle w:val="Default"/>
      </w:pPr>
    </w:p>
    <w:p w:rsidR="002D0061" w:rsidRDefault="002D0061" w:rsidP="002D0061">
      <w:pPr>
        <w:pStyle w:val="Default"/>
      </w:pPr>
      <w:r>
        <w:t xml:space="preserve">5. </w:t>
      </w:r>
      <w:r>
        <w:rPr>
          <w:b/>
          <w:bCs/>
        </w:rPr>
        <w:t>Návrh zákona je zlučiteľný s právom Európskej únie</w:t>
      </w:r>
      <w:r>
        <w:t xml:space="preserve">: </w:t>
      </w:r>
    </w:p>
    <w:p w:rsidR="002D0061" w:rsidRDefault="002D0061" w:rsidP="002D0061">
      <w:pPr>
        <w:rPr>
          <w:rFonts w:cs="Times New Roman"/>
        </w:rPr>
      </w:pPr>
    </w:p>
    <w:p w:rsidR="002D0061" w:rsidRDefault="002D0061" w:rsidP="002D0061">
      <w:pPr>
        <w:rPr>
          <w:rFonts w:cs="Times New Roman"/>
        </w:rPr>
      </w:pPr>
      <w:r>
        <w:rPr>
          <w:rFonts w:cs="Times New Roman"/>
        </w:rPr>
        <w:t>Ak predmet návrhu zákona nie je v práve Európskej únie upravený, body 4 a 5 sa nevypĺňajú.</w:t>
      </w: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120" w:beforeAutospacing="0" w:after="0" w:afterAutospacing="0" w:line="276" w:lineRule="auto"/>
        <w:jc w:val="both"/>
        <w:rPr>
          <w:sz w:val="22"/>
          <w:szCs w:val="22"/>
        </w:rPr>
      </w:pPr>
    </w:p>
    <w:p w:rsidR="002D0061" w:rsidRDefault="002D0061" w:rsidP="002D0061">
      <w:pPr>
        <w:pStyle w:val="Normlnywebov"/>
        <w:spacing w:before="0" w:beforeAutospacing="0" w:after="0" w:afterAutospacing="0"/>
        <w:jc w:val="center"/>
        <w:rPr>
          <w:b/>
          <w:bCs/>
          <w:sz w:val="28"/>
          <w:szCs w:val="28"/>
        </w:rPr>
      </w:pPr>
      <w:r>
        <w:rPr>
          <w:b/>
          <w:bCs/>
          <w:sz w:val="28"/>
          <w:szCs w:val="28"/>
        </w:rPr>
        <w:lastRenderedPageBreak/>
        <w:t>Doložka vybraných vplyvov</w:t>
      </w:r>
    </w:p>
    <w:p w:rsidR="002D0061" w:rsidRDefault="002D0061" w:rsidP="002D006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2D0061" w:rsidTr="002D0061">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1.  Základné údaje</w:t>
            </w:r>
          </w:p>
        </w:tc>
      </w:tr>
      <w:tr w:rsidR="002D0061" w:rsidTr="002D006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Názov materiálu</w:t>
            </w:r>
          </w:p>
        </w:tc>
      </w:tr>
      <w:tr w:rsidR="002D0061" w:rsidTr="002D006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D0061" w:rsidRDefault="002D0061">
            <w:pPr>
              <w:spacing w:line="256" w:lineRule="auto"/>
              <w:jc w:val="both"/>
              <w:rPr>
                <w:rFonts w:cs="Times New Roman"/>
                <w:sz w:val="20"/>
                <w:szCs w:val="20"/>
              </w:rPr>
            </w:pPr>
            <w:r>
              <w:rPr>
                <w:rFonts w:cs="Times New Roman"/>
                <w:sz w:val="20"/>
                <w:szCs w:val="20"/>
              </w:rPr>
              <w:t xml:space="preserve">Návrh poslanca Národnej rady </w:t>
            </w:r>
            <w:r w:rsidRPr="002D0061">
              <w:rPr>
                <w:rFonts w:cs="Times New Roman"/>
                <w:sz w:val="20"/>
                <w:szCs w:val="20"/>
              </w:rPr>
              <w:t xml:space="preserve">Slovenskej republiky Maroša </w:t>
            </w:r>
            <w:proofErr w:type="spellStart"/>
            <w:r w:rsidRPr="002D0061">
              <w:rPr>
                <w:rFonts w:cs="Times New Roman"/>
                <w:sz w:val="20"/>
                <w:szCs w:val="20"/>
              </w:rPr>
              <w:t>Kondróta</w:t>
            </w:r>
            <w:proofErr w:type="spellEnd"/>
            <w:r w:rsidRPr="002D0061">
              <w:rPr>
                <w:rFonts w:cs="Times New Roman"/>
                <w:sz w:val="20"/>
                <w:szCs w:val="20"/>
              </w:rPr>
              <w:t xml:space="preserve">  na vydanie zákona, ktorým sa mení a dopĺňa zákon č. </w:t>
            </w:r>
            <w:hyperlink r:id="rId8" w:tooltip="Odkaz na predpis alebo ustanovenie" w:history="1">
              <w:r w:rsidRPr="002D0061">
                <w:rPr>
                  <w:rFonts w:cs="Times New Roman"/>
                  <w:bCs/>
                  <w:sz w:val="20"/>
                  <w:szCs w:val="20"/>
                </w:rPr>
                <w:t>250/2012</w:t>
              </w:r>
            </w:hyperlink>
            <w:r w:rsidRPr="002D0061">
              <w:rPr>
                <w:rFonts w:cs="Times New Roman"/>
                <w:sz w:val="20"/>
                <w:szCs w:val="20"/>
              </w:rPr>
              <w:t xml:space="preserve"> Z. z. o regulácii v sieťových odvetviach v znení neskorších predpisov</w:t>
            </w:r>
          </w:p>
        </w:tc>
      </w:tr>
      <w:tr w:rsidR="002D0061" w:rsidTr="002D006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Predkladateľ (a spolupredkladateľ)</w:t>
            </w:r>
          </w:p>
        </w:tc>
      </w:tr>
      <w:tr w:rsidR="002D0061" w:rsidTr="002D006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D0061" w:rsidRDefault="002D0061">
            <w:pPr>
              <w:spacing w:line="256" w:lineRule="auto"/>
              <w:rPr>
                <w:rFonts w:cs="Times New Roman"/>
                <w:sz w:val="20"/>
                <w:szCs w:val="20"/>
                <w:lang w:val="en-GB"/>
              </w:rPr>
            </w:pPr>
            <w:r>
              <w:rPr>
                <w:rFonts w:cs="Times New Roman"/>
                <w:sz w:val="20"/>
                <w:szCs w:val="20"/>
              </w:rPr>
              <w:t>Poslanec Národnej rady Slovenskej republiky</w:t>
            </w:r>
            <w:r>
              <w:rPr>
                <w:rFonts w:cs="Times New Roman"/>
                <w:sz w:val="20"/>
                <w:szCs w:val="20"/>
                <w:lang w:val="en-GB"/>
              </w:rPr>
              <w:t xml:space="preserve"> Maroš </w:t>
            </w:r>
            <w:proofErr w:type="spellStart"/>
            <w:r>
              <w:rPr>
                <w:rFonts w:cs="Times New Roman"/>
                <w:sz w:val="20"/>
                <w:szCs w:val="20"/>
                <w:lang w:val="en-GB"/>
              </w:rPr>
              <w:t>Kondrót</w:t>
            </w:r>
            <w:proofErr w:type="spellEnd"/>
          </w:p>
        </w:tc>
      </w:tr>
      <w:tr w:rsidR="002D0061" w:rsidTr="002D0061">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0061" w:rsidRDefault="002D0061">
            <w:pPr>
              <w:spacing w:line="256" w:lineRule="auto"/>
              <w:jc w:val="center"/>
              <w:rPr>
                <w:rFonts w:cs="Times New Roman"/>
                <w:b/>
                <w:bCs/>
                <w:sz w:val="22"/>
                <w:szCs w:val="22"/>
              </w:rPr>
            </w:pPr>
            <w:r>
              <w:rPr>
                <w:rFonts w:cs="Times New Roman"/>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w:t>
            </w:r>
            <w:r>
              <w:rPr>
                <w:rFonts w:cs="Times New Roman"/>
                <w:sz w:val="28"/>
                <w:szCs w:val="28"/>
              </w:rPr>
              <w:sym w:font="Times New Roman" w:char="F02A"/>
            </w:r>
            <w:r>
              <w:rPr>
                <w:rFonts w:cs="Times New Roman"/>
                <w:sz w:val="20"/>
                <w:szCs w:val="20"/>
              </w:rPr>
              <w:t>  Materiál nelegislatívnej povahy</w:t>
            </w:r>
          </w:p>
        </w:tc>
      </w:tr>
      <w:tr w:rsidR="002D0061" w:rsidTr="002D0061">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0061" w:rsidRDefault="002D0061">
            <w:pPr>
              <w:widowControl/>
              <w:suppressAutoHyphens w:val="0"/>
              <w:rPr>
                <w:rFonts w:cs="Times New Roman"/>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w:t>
            </w:r>
            <w:r>
              <w:rPr>
                <w:rFonts w:ascii="MS Mincho" w:eastAsia="MS Mincho" w:hAnsi="MS Mincho" w:cs="MS Mincho" w:hint="eastAsia"/>
                <w:sz w:val="20"/>
                <w:szCs w:val="20"/>
              </w:rPr>
              <w:t>☒</w:t>
            </w:r>
            <w:r>
              <w:rPr>
                <w:rFonts w:cs="Times New Roman"/>
                <w:sz w:val="20"/>
                <w:szCs w:val="20"/>
              </w:rPr>
              <w:t xml:space="preserve">  Materiál legislatívnej povahy </w:t>
            </w:r>
          </w:p>
        </w:tc>
      </w:tr>
      <w:tr w:rsidR="002D0061" w:rsidTr="002D0061">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0061" w:rsidRDefault="002D0061">
            <w:pPr>
              <w:widowControl/>
              <w:suppressAutoHyphens w:val="0"/>
              <w:rPr>
                <w:rFonts w:cs="Times New Roman"/>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w:t>
            </w:r>
            <w:r>
              <w:rPr>
                <w:rFonts w:cs="Times New Roman"/>
                <w:sz w:val="28"/>
                <w:szCs w:val="28"/>
              </w:rPr>
              <w:sym w:font="Times New Roman" w:char="F02A"/>
            </w:r>
            <w:r>
              <w:rPr>
                <w:rFonts w:cs="Times New Roman"/>
                <w:sz w:val="20"/>
                <w:szCs w:val="20"/>
              </w:rPr>
              <w:t xml:space="preserve">  Transpozícia práva EÚ </w:t>
            </w:r>
          </w:p>
        </w:tc>
      </w:tr>
      <w:tr w:rsidR="002D0061" w:rsidTr="002D0061">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2D0061" w:rsidRDefault="002D0061">
            <w:pPr>
              <w:widowControl/>
              <w:suppressAutoHyphens w:val="0"/>
              <w:spacing w:line="256" w:lineRule="auto"/>
              <w:rPr>
                <w:rFonts w:asciiTheme="minorHAnsi" w:eastAsia="Times New Roman" w:hAnsiTheme="minorHAnsi" w:cs="Times New Roman"/>
                <w:kern w:val="0"/>
                <w:sz w:val="22"/>
                <w:szCs w:val="22"/>
                <w:lang w:eastAsia="en-US" w:bidi="ar-SA"/>
              </w:rPr>
            </w:pPr>
          </w:p>
        </w:tc>
      </w:tr>
      <w:tr w:rsidR="002D0061" w:rsidTr="002D0061">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2D0061" w:rsidRDefault="002D0061">
            <w:pPr>
              <w:spacing w:line="256" w:lineRule="auto"/>
              <w:rPr>
                <w:rFonts w:cs="Times New Roman"/>
                <w:sz w:val="20"/>
                <w:szCs w:val="20"/>
              </w:rPr>
            </w:pPr>
            <w:r>
              <w:rPr>
                <w:rFonts w:cs="Times New Roman"/>
                <w:sz w:val="20"/>
                <w:szCs w:val="20"/>
              </w:rPr>
              <w:t>Materiál nebol predmetom PPK</w:t>
            </w:r>
          </w:p>
        </w:tc>
      </w:tr>
      <w:tr w:rsidR="002D0061" w:rsidTr="002D0061">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2D0061" w:rsidRDefault="002D0061">
            <w:pPr>
              <w:spacing w:line="256" w:lineRule="auto"/>
              <w:rPr>
                <w:rFonts w:cs="Times New Roman"/>
                <w:b/>
                <w:bCs/>
                <w:sz w:val="22"/>
                <w:szCs w:val="22"/>
              </w:rPr>
            </w:pPr>
            <w:r>
              <w:rPr>
                <w:rFonts w:cs="Times New Roman"/>
                <w:bCs/>
                <w:sz w:val="20"/>
                <w:szCs w:val="20"/>
              </w:rPr>
              <w:t>Materiál nebol predmetom MPK</w:t>
            </w:r>
          </w:p>
        </w:tc>
      </w:tr>
      <w:tr w:rsidR="002D0061" w:rsidTr="002D0061">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Predpokladaný termín predloženia na Rokovanie vlády</w:t>
            </w:r>
            <w:r>
              <w:rPr>
                <w:rFonts w:cs="Times New Roman"/>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2D0061" w:rsidRDefault="002D0061">
            <w:pPr>
              <w:widowControl/>
              <w:suppressAutoHyphens w:val="0"/>
              <w:spacing w:line="256" w:lineRule="auto"/>
              <w:rPr>
                <w:rFonts w:asciiTheme="minorHAnsi" w:eastAsia="Times New Roman" w:hAnsiTheme="minorHAnsi" w:cs="Times New Roman"/>
                <w:kern w:val="0"/>
                <w:sz w:val="22"/>
                <w:szCs w:val="22"/>
                <w:lang w:eastAsia="en-US" w:bidi="ar-SA"/>
              </w:rPr>
            </w:pPr>
          </w:p>
        </w:tc>
      </w:tr>
    </w:tbl>
    <w:p w:rsidR="002D0061" w:rsidRDefault="002D0061" w:rsidP="002D0061">
      <w:pPr>
        <w:pStyle w:val="Normlnywebov"/>
        <w:spacing w:before="0" w:beforeAutospacing="0" w:after="0" w:afterAutospacing="0"/>
        <w:rPr>
          <w:bCs/>
          <w:sz w:val="22"/>
          <w:szCs w:val="22"/>
        </w:rPr>
      </w:pPr>
    </w:p>
    <w:p w:rsidR="002D0061" w:rsidRDefault="002D0061" w:rsidP="002D006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2.  Definícia problému</w:t>
            </w:r>
          </w:p>
        </w:tc>
      </w:tr>
      <w:tr w:rsidR="002D0061" w:rsidTr="002D006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Pr="008C589B" w:rsidRDefault="008C589B">
            <w:pPr>
              <w:spacing w:line="256" w:lineRule="auto"/>
              <w:rPr>
                <w:rFonts w:cs="Times New Roman"/>
                <w:bCs/>
                <w:sz w:val="20"/>
                <w:szCs w:val="20"/>
              </w:rPr>
            </w:pPr>
            <w:r w:rsidRPr="008C589B">
              <w:rPr>
                <w:rFonts w:cs="Times New Roman"/>
                <w:bCs/>
                <w:sz w:val="20"/>
                <w:szCs w:val="20"/>
              </w:rPr>
              <w:t>Možné interpretačné problémy a z nich vyplývajúce aplikačné problémy pri uplatňovaní zákona.</w:t>
            </w:r>
          </w:p>
        </w:tc>
      </w:tr>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3.  Ciele a výsledný stav</w:t>
            </w:r>
          </w:p>
        </w:tc>
      </w:tr>
      <w:tr w:rsidR="002D0061" w:rsidTr="002D006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Default="008C589B">
            <w:pPr>
              <w:spacing w:line="256" w:lineRule="auto"/>
              <w:rPr>
                <w:rFonts w:cs="Times New Roman"/>
                <w:bCs/>
                <w:sz w:val="22"/>
                <w:szCs w:val="22"/>
              </w:rPr>
            </w:pPr>
            <w:r w:rsidRPr="008C589B">
              <w:rPr>
                <w:rFonts w:cs="Times New Roman"/>
                <w:bCs/>
                <w:sz w:val="20"/>
                <w:szCs w:val="20"/>
              </w:rPr>
              <w:t>Bezproblémová aplikácia zákona</w:t>
            </w:r>
            <w:r>
              <w:rPr>
                <w:rFonts w:cs="Times New Roman"/>
                <w:bCs/>
                <w:sz w:val="22"/>
                <w:szCs w:val="22"/>
              </w:rPr>
              <w:t xml:space="preserve">. </w:t>
            </w:r>
          </w:p>
        </w:tc>
      </w:tr>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4.  Dotknuté subjekty</w:t>
            </w:r>
          </w:p>
        </w:tc>
      </w:tr>
      <w:tr w:rsidR="002D0061" w:rsidTr="002D006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Pr="008C589B" w:rsidRDefault="008C589B">
            <w:pPr>
              <w:spacing w:line="256" w:lineRule="auto"/>
              <w:rPr>
                <w:rFonts w:cs="Times New Roman"/>
                <w:bCs/>
                <w:sz w:val="20"/>
                <w:szCs w:val="20"/>
              </w:rPr>
            </w:pPr>
            <w:r w:rsidRPr="008C589B">
              <w:rPr>
                <w:rFonts w:cs="Times New Roman"/>
                <w:bCs/>
                <w:sz w:val="20"/>
                <w:szCs w:val="20"/>
              </w:rPr>
              <w:t>Subjekty v pôsobnosti zákona o regulácii.</w:t>
            </w:r>
          </w:p>
        </w:tc>
      </w:tr>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5.  Alternatívne riešenia</w:t>
            </w:r>
          </w:p>
        </w:tc>
      </w:tr>
      <w:tr w:rsidR="002D0061" w:rsidTr="002D006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Pr="008C589B" w:rsidRDefault="002D0061">
            <w:pPr>
              <w:spacing w:line="256" w:lineRule="auto"/>
              <w:rPr>
                <w:rFonts w:cs="Times New Roman"/>
                <w:bCs/>
                <w:sz w:val="20"/>
                <w:szCs w:val="20"/>
              </w:rPr>
            </w:pPr>
            <w:r w:rsidRPr="008C589B">
              <w:rPr>
                <w:rFonts w:cs="Times New Roman"/>
                <w:bCs/>
                <w:sz w:val="20"/>
                <w:szCs w:val="20"/>
              </w:rPr>
              <w:t>Nepredkladajú sa.</w:t>
            </w:r>
          </w:p>
        </w:tc>
      </w:tr>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6.  Vykonávacie predpisy</w:t>
            </w:r>
          </w:p>
        </w:tc>
      </w:tr>
      <w:tr w:rsidR="002D0061" w:rsidTr="002D006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Default="002D0061">
            <w:pPr>
              <w:spacing w:line="256" w:lineRule="auto"/>
              <w:rPr>
                <w:rFonts w:cs="Times New Roman"/>
                <w:sz w:val="20"/>
                <w:szCs w:val="20"/>
              </w:rPr>
            </w:pPr>
            <w:r>
              <w:rPr>
                <w:rFonts w:cs="Times New Roman"/>
                <w:sz w:val="20"/>
                <w:szCs w:val="20"/>
              </w:rPr>
              <w:t xml:space="preserve">Predpokladá sa prijatie/zmena vykonávacích predpisov?                           </w:t>
            </w:r>
            <w:r>
              <w:rPr>
                <w:rFonts w:cs="Times New Roman"/>
                <w:sz w:val="20"/>
                <w:szCs w:val="20"/>
              </w:rPr>
              <w:sym w:font="Times New Roman" w:char="F053"/>
            </w:r>
            <w:r>
              <w:rPr>
                <w:rFonts w:cs="Times New Roman"/>
                <w:sz w:val="20"/>
                <w:szCs w:val="20"/>
              </w:rPr>
              <w:t>  Nie</w:t>
            </w:r>
          </w:p>
        </w:tc>
      </w:tr>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xml:space="preserve">  7.  Transpozícia práva EÚ </w:t>
            </w:r>
          </w:p>
        </w:tc>
      </w:tr>
      <w:tr w:rsidR="002D0061" w:rsidTr="002D006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Pr="008C589B" w:rsidRDefault="002D0061">
            <w:pPr>
              <w:spacing w:line="256" w:lineRule="auto"/>
              <w:rPr>
                <w:rFonts w:cs="Times New Roman"/>
                <w:bCs/>
                <w:sz w:val="20"/>
                <w:szCs w:val="20"/>
              </w:rPr>
            </w:pPr>
            <w:r w:rsidRPr="008C589B">
              <w:rPr>
                <w:rFonts w:cs="Times New Roman"/>
                <w:bCs/>
                <w:sz w:val="20"/>
                <w:szCs w:val="20"/>
              </w:rPr>
              <w:t>Nepredstavuje transpozíciu práva EÚ.</w:t>
            </w:r>
          </w:p>
        </w:tc>
      </w:tr>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8.  Preskúmanie účelnosti**</w:t>
            </w:r>
          </w:p>
        </w:tc>
      </w:tr>
      <w:tr w:rsidR="002D0061" w:rsidTr="002D006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Default="002D0061">
            <w:pPr>
              <w:widowControl/>
              <w:suppressAutoHyphens w:val="0"/>
              <w:spacing w:line="256" w:lineRule="auto"/>
              <w:rPr>
                <w:rFonts w:asciiTheme="minorHAnsi" w:eastAsia="Times New Roman" w:hAnsiTheme="minorHAnsi" w:cs="Times New Roman"/>
                <w:kern w:val="0"/>
                <w:sz w:val="22"/>
                <w:szCs w:val="22"/>
                <w:lang w:eastAsia="en-US" w:bidi="ar-SA"/>
              </w:rPr>
            </w:pPr>
          </w:p>
        </w:tc>
      </w:tr>
    </w:tbl>
    <w:p w:rsidR="002D0061" w:rsidRDefault="002D0061" w:rsidP="002D0061">
      <w:pPr>
        <w:pStyle w:val="Normlnywebov"/>
        <w:spacing w:before="0" w:beforeAutospacing="0" w:after="0" w:afterAutospacing="0"/>
        <w:rPr>
          <w:bCs/>
          <w:sz w:val="22"/>
          <w:szCs w:val="22"/>
        </w:rPr>
      </w:pPr>
    </w:p>
    <w:p w:rsidR="002D0061" w:rsidRDefault="002D0061" w:rsidP="002D0061">
      <w:pPr>
        <w:ind w:left="142" w:hanging="142"/>
        <w:rPr>
          <w:rFonts w:cs="Times New Roman"/>
          <w:sz w:val="20"/>
          <w:szCs w:val="20"/>
        </w:rPr>
      </w:pPr>
      <w:r>
        <w:rPr>
          <w:rFonts w:cs="Times New Roman"/>
          <w:sz w:val="20"/>
          <w:szCs w:val="20"/>
        </w:rPr>
        <w:t xml:space="preserve">* vyplniť iba v prípade, ak materiál nie je zahrnutý do Plánu práce vlády Slovenskej republiky alebo Plánu        legislatívnych úloh vlády Slovenskej republiky. </w:t>
      </w:r>
    </w:p>
    <w:p w:rsidR="002D0061" w:rsidRDefault="002D0061" w:rsidP="002D0061">
      <w:pPr>
        <w:pStyle w:val="Normlnywebov"/>
        <w:spacing w:before="0" w:beforeAutospacing="0" w:after="0" w:afterAutospacing="0"/>
        <w:rPr>
          <w:sz w:val="20"/>
          <w:szCs w:val="20"/>
        </w:rPr>
      </w:pPr>
      <w:r>
        <w:rPr>
          <w:sz w:val="20"/>
          <w:szCs w:val="20"/>
        </w:rPr>
        <w:t>** nepovinné</w:t>
      </w:r>
    </w:p>
    <w:p w:rsidR="002D0061" w:rsidRDefault="002D0061" w:rsidP="002D006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2D0061" w:rsidTr="002D0061">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0"/>
                <w:szCs w:val="20"/>
              </w:rPr>
            </w:pPr>
            <w:r>
              <w:rPr>
                <w:rFonts w:cs="Times New Roman"/>
                <w:b/>
                <w:bCs/>
                <w:sz w:val="20"/>
                <w:szCs w:val="20"/>
              </w:rPr>
              <w:t>  9.   Vplyvy navrhovaného materiálu</w:t>
            </w:r>
          </w:p>
        </w:tc>
      </w:tr>
      <w:tr w:rsidR="002D0061" w:rsidTr="002D0061">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0061" w:rsidRDefault="002D0061">
            <w:pPr>
              <w:spacing w:line="256" w:lineRule="auto"/>
              <w:rPr>
                <w:rFonts w:cs="Times New Roman"/>
                <w:sz w:val="20"/>
                <w:szCs w:val="20"/>
              </w:rPr>
            </w:pPr>
            <w:r>
              <w:rPr>
                <w:rFonts w:cs="Times New Roman"/>
                <w:b/>
                <w:bCs/>
                <w:sz w:val="20"/>
                <w:szCs w:val="20"/>
              </w:rPr>
              <w:t>  Vplyvy na rozpočet verejnej správy</w:t>
            </w:r>
            <w:r>
              <w:rPr>
                <w:rFonts w:cs="Times New Roman"/>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ascii="MS Mincho" w:eastAsia="MS Mincho" w:hAnsi="MS Mincho" w:cs="MS Mincho" w:hint="eastAsia"/>
                <w:sz w:val="20"/>
                <w:szCs w:val="20"/>
              </w:rPr>
              <w:t>☒</w:t>
            </w:r>
            <w:r>
              <w:rPr>
                <w:rFonts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Negatívne</w:t>
            </w:r>
          </w:p>
        </w:tc>
      </w:tr>
      <w:tr w:rsidR="002D0061" w:rsidTr="002D0061">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0061" w:rsidRDefault="002D0061">
            <w:pPr>
              <w:widowControl/>
              <w:suppressAutoHyphens w:val="0"/>
              <w:rPr>
                <w:rFonts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ascii="MS Mincho" w:eastAsia="MS Mincho" w:hAnsi="MS Mincho" w:cs="MS Mincho" w:hint="eastAsia"/>
                <w:sz w:val="20"/>
                <w:szCs w:val="20"/>
              </w:rPr>
              <w:t>☒</w:t>
            </w:r>
            <w:r>
              <w:rPr>
                <w:rFonts w:cs="Times New Roman"/>
                <w:sz w:val="20"/>
                <w:szCs w:val="20"/>
              </w:rPr>
              <w:t>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Čiastočne</w:t>
            </w:r>
          </w:p>
        </w:tc>
      </w:tr>
      <w:tr w:rsidR="002D0061" w:rsidTr="002D0061">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0061" w:rsidRDefault="002D0061">
            <w:pPr>
              <w:spacing w:line="256" w:lineRule="auto"/>
              <w:rPr>
                <w:rFonts w:cs="Times New Roman"/>
                <w:sz w:val="20"/>
                <w:szCs w:val="20"/>
              </w:rPr>
            </w:pPr>
            <w:r>
              <w:rPr>
                <w:rFonts w:cs="Times New Roman"/>
                <w:b/>
                <w:bCs/>
                <w:sz w:val="20"/>
                <w:szCs w:val="20"/>
              </w:rPr>
              <w:t>  Vplyvy na podnikateľské prostredie</w:t>
            </w:r>
            <w:r>
              <w:rPr>
                <w:rFonts w:cs="Times New Roman"/>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ascii="MS Mincho" w:eastAsia="MS Mincho" w:hAnsi="MS Mincho" w:cs="MS Mincho" w:hint="eastAsia"/>
                <w:sz w:val="20"/>
                <w:szCs w:val="20"/>
              </w:rPr>
              <w:t>☒</w:t>
            </w:r>
            <w:r>
              <w:rPr>
                <w:rFonts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Negatívne</w:t>
            </w:r>
          </w:p>
        </w:tc>
      </w:tr>
      <w:tr w:rsidR="002D0061" w:rsidTr="002D0061">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0061" w:rsidRDefault="002D0061">
            <w:pPr>
              <w:widowControl/>
              <w:suppressAutoHyphens w:val="0"/>
              <w:rPr>
                <w:rFonts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ascii="MS Mincho" w:eastAsia="MS Mincho" w:hAnsi="MS Mincho" w:cs="MS Mincho" w:hint="eastAsia"/>
                <w:sz w:val="20"/>
                <w:szCs w:val="20"/>
              </w:rPr>
              <w:t>☒</w:t>
            </w:r>
            <w:r>
              <w:rPr>
                <w:rFonts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Negatívne</w:t>
            </w:r>
          </w:p>
        </w:tc>
      </w:tr>
      <w:tr w:rsidR="002D0061" w:rsidTr="002D006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0061" w:rsidRDefault="002D0061">
            <w:pPr>
              <w:spacing w:line="256" w:lineRule="auto"/>
              <w:rPr>
                <w:rFonts w:cs="Times New Roman"/>
                <w:sz w:val="20"/>
                <w:szCs w:val="20"/>
              </w:rPr>
            </w:pPr>
            <w:r>
              <w:rPr>
                <w:rFonts w:cs="Times New Roman"/>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ascii="MS Mincho" w:eastAsia="MS Mincho" w:hAnsi="MS Mincho" w:cs="MS Mincho" w:hint="eastAsia"/>
                <w:sz w:val="20"/>
                <w:szCs w:val="20"/>
              </w:rPr>
              <w:t>☒</w:t>
            </w:r>
            <w:r>
              <w:rPr>
                <w:rFonts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Negatívne</w:t>
            </w:r>
          </w:p>
        </w:tc>
      </w:tr>
      <w:tr w:rsidR="002D0061" w:rsidTr="002D006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0061" w:rsidRDefault="002D0061">
            <w:pPr>
              <w:spacing w:line="256" w:lineRule="auto"/>
              <w:rPr>
                <w:rFonts w:cs="Times New Roman"/>
                <w:sz w:val="20"/>
                <w:szCs w:val="20"/>
              </w:rPr>
            </w:pPr>
            <w:r>
              <w:rPr>
                <w:rFonts w:cs="Times New Roman"/>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ascii="MS Mincho" w:eastAsia="MS Mincho" w:hAnsi="MS Mincho" w:cs="MS Mincho" w:hint="eastAsia"/>
                <w:sz w:val="20"/>
                <w:szCs w:val="20"/>
              </w:rPr>
              <w:t>☒</w:t>
            </w:r>
            <w:r>
              <w:rPr>
                <w:rFonts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Negatívne</w:t>
            </w:r>
          </w:p>
        </w:tc>
      </w:tr>
      <w:tr w:rsidR="002D0061" w:rsidTr="002D006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0061" w:rsidRDefault="002D0061">
            <w:pPr>
              <w:spacing w:line="256" w:lineRule="auto"/>
              <w:rPr>
                <w:rFonts w:cs="Times New Roman"/>
                <w:sz w:val="20"/>
                <w:szCs w:val="20"/>
              </w:rPr>
            </w:pPr>
            <w:r>
              <w:rPr>
                <w:rFonts w:cs="Times New Roman"/>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ascii="MS Mincho" w:eastAsia="MS Mincho" w:hAnsi="MS Mincho" w:cs="MS Mincho" w:hint="eastAsia"/>
                <w:sz w:val="20"/>
                <w:szCs w:val="20"/>
              </w:rPr>
              <w:t>☒</w:t>
            </w:r>
            <w:r>
              <w:rPr>
                <w:rFonts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Negatívne</w:t>
            </w:r>
          </w:p>
        </w:tc>
      </w:tr>
      <w:tr w:rsidR="002D0061" w:rsidTr="002D0061">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0061" w:rsidRDefault="002D0061">
            <w:pPr>
              <w:spacing w:line="256" w:lineRule="auto"/>
              <w:rPr>
                <w:rFonts w:cs="Times New Roman"/>
                <w:sz w:val="20"/>
                <w:szCs w:val="20"/>
              </w:rPr>
            </w:pPr>
            <w:r>
              <w:rPr>
                <w:rFonts w:cs="Times New Roman"/>
                <w:b/>
                <w:bCs/>
                <w:sz w:val="20"/>
                <w:szCs w:val="20"/>
              </w:rPr>
              <w:t>  Vplyvy na služby pre občana z toho</w:t>
            </w:r>
            <w:r>
              <w:rPr>
                <w:rFonts w:cs="Times New Roman"/>
                <w:sz w:val="20"/>
                <w:szCs w:val="20"/>
              </w:rPr>
              <w:br/>
              <w:t>    vplyvy služieb verejnej správy na občana</w:t>
            </w:r>
            <w:r>
              <w:rPr>
                <w:rFonts w:cs="Times New Roman"/>
                <w:sz w:val="20"/>
                <w:szCs w:val="20"/>
              </w:rPr>
              <w:br/>
              <w:t>    vplyvy na procesy služieb vo verejnej</w:t>
            </w:r>
            <w:r>
              <w:rPr>
                <w:rFonts w:cs="Times New Roman"/>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ascii="MS Mincho" w:eastAsia="MS Mincho" w:hAnsi="MS Mincho" w:cs="MS Mincho" w:hint="eastAsia"/>
                <w:sz w:val="20"/>
                <w:szCs w:val="20"/>
              </w:rPr>
              <w:t>☒</w:t>
            </w:r>
            <w:r>
              <w:rPr>
                <w:rFonts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Negatívne</w:t>
            </w:r>
          </w:p>
        </w:tc>
      </w:tr>
      <w:tr w:rsidR="002D0061" w:rsidTr="002D0061">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0061" w:rsidRDefault="002D0061">
            <w:pPr>
              <w:widowControl/>
              <w:suppressAutoHyphens w:val="0"/>
              <w:rPr>
                <w:rFonts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ascii="MS Mincho" w:eastAsia="MS Mincho" w:hAnsi="MS Mincho" w:cs="MS Mincho" w:hint="eastAsia"/>
                <w:sz w:val="20"/>
                <w:szCs w:val="20"/>
              </w:rPr>
              <w:t>☒</w:t>
            </w:r>
            <w:r>
              <w:rPr>
                <w:rFonts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Negatívne</w:t>
            </w:r>
          </w:p>
        </w:tc>
      </w:tr>
      <w:tr w:rsidR="002D0061" w:rsidTr="002D006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0061" w:rsidRDefault="002D0061">
            <w:pPr>
              <w:spacing w:line="256" w:lineRule="auto"/>
              <w:rPr>
                <w:rFonts w:cs="Times New Roman"/>
                <w:sz w:val="20"/>
                <w:szCs w:val="20"/>
              </w:rPr>
            </w:pPr>
            <w:r>
              <w:rPr>
                <w:rFonts w:cs="Times New Roman"/>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ascii="MS Mincho" w:eastAsia="MS Mincho" w:hAnsi="MS Mincho" w:cs="MS Mincho" w:hint="eastAsia"/>
                <w:sz w:val="20"/>
                <w:szCs w:val="20"/>
              </w:rPr>
              <w:t>☒</w:t>
            </w:r>
            <w:r>
              <w:rPr>
                <w:rFonts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0061" w:rsidRDefault="002D0061">
            <w:pPr>
              <w:spacing w:line="256" w:lineRule="auto"/>
              <w:rPr>
                <w:rFonts w:cs="Times New Roman"/>
                <w:sz w:val="20"/>
                <w:szCs w:val="20"/>
              </w:rPr>
            </w:pPr>
            <w:r>
              <w:rPr>
                <w:rFonts w:cs="Times New Roman"/>
                <w:sz w:val="20"/>
                <w:szCs w:val="20"/>
              </w:rPr>
              <w:t xml:space="preserve">  </w:t>
            </w:r>
            <w:r>
              <w:rPr>
                <w:rFonts w:cs="Times New Roman"/>
                <w:sz w:val="28"/>
                <w:szCs w:val="28"/>
              </w:rPr>
              <w:sym w:font="Times New Roman" w:char="F02A"/>
            </w:r>
            <w:r>
              <w:rPr>
                <w:rFonts w:cs="Times New Roman"/>
                <w:sz w:val="20"/>
                <w:szCs w:val="20"/>
              </w:rPr>
              <w:t xml:space="preserve">   Negatívne</w:t>
            </w:r>
          </w:p>
        </w:tc>
      </w:tr>
    </w:tbl>
    <w:p w:rsidR="002D0061" w:rsidRDefault="002D0061" w:rsidP="002D0061">
      <w:pPr>
        <w:pStyle w:val="Normlnywebov"/>
        <w:spacing w:before="0" w:beforeAutospacing="0" w:after="0" w:afterAutospacing="0"/>
        <w:rPr>
          <w:sz w:val="20"/>
          <w:szCs w:val="20"/>
        </w:rPr>
      </w:pPr>
    </w:p>
    <w:p w:rsidR="002D0061" w:rsidRDefault="002D0061" w:rsidP="002D006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10.  Poznámky</w:t>
            </w:r>
          </w:p>
        </w:tc>
      </w:tr>
      <w:tr w:rsidR="002D0061" w:rsidTr="002D006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Default="002D0061">
            <w:pPr>
              <w:widowControl/>
              <w:suppressAutoHyphens w:val="0"/>
              <w:spacing w:line="256" w:lineRule="auto"/>
              <w:rPr>
                <w:rFonts w:asciiTheme="minorHAnsi" w:eastAsia="Times New Roman" w:hAnsiTheme="minorHAnsi" w:cs="Times New Roman"/>
                <w:kern w:val="0"/>
                <w:sz w:val="22"/>
                <w:szCs w:val="22"/>
                <w:lang w:eastAsia="en-US" w:bidi="ar-SA"/>
              </w:rPr>
            </w:pPr>
          </w:p>
        </w:tc>
      </w:tr>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11.  Kontakt na spracovateľa</w:t>
            </w:r>
          </w:p>
        </w:tc>
      </w:tr>
      <w:tr w:rsidR="002D0061" w:rsidTr="002D006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Default="002D0061">
            <w:pPr>
              <w:widowControl/>
              <w:suppressAutoHyphens w:val="0"/>
              <w:spacing w:line="256" w:lineRule="auto"/>
              <w:rPr>
                <w:rFonts w:asciiTheme="minorHAnsi" w:eastAsia="Times New Roman" w:hAnsiTheme="minorHAnsi" w:cs="Times New Roman"/>
                <w:kern w:val="0"/>
                <w:sz w:val="22"/>
                <w:szCs w:val="22"/>
                <w:lang w:eastAsia="en-US" w:bidi="ar-SA"/>
              </w:rPr>
            </w:pPr>
          </w:p>
        </w:tc>
      </w:tr>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12.  Zdroje</w:t>
            </w:r>
          </w:p>
        </w:tc>
      </w:tr>
      <w:tr w:rsidR="002D0061" w:rsidTr="002D006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Default="002D0061">
            <w:pPr>
              <w:widowControl/>
              <w:suppressAutoHyphens w:val="0"/>
              <w:spacing w:line="256" w:lineRule="auto"/>
              <w:rPr>
                <w:rFonts w:asciiTheme="minorHAnsi" w:eastAsia="Times New Roman" w:hAnsiTheme="minorHAnsi" w:cs="Times New Roman"/>
                <w:kern w:val="0"/>
                <w:sz w:val="22"/>
                <w:szCs w:val="22"/>
                <w:lang w:eastAsia="en-US" w:bidi="ar-SA"/>
              </w:rPr>
            </w:pPr>
          </w:p>
        </w:tc>
      </w:tr>
      <w:tr w:rsidR="002D0061" w:rsidTr="002D006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0061" w:rsidRDefault="002D0061">
            <w:pPr>
              <w:spacing w:line="256" w:lineRule="auto"/>
              <w:rPr>
                <w:rFonts w:cs="Times New Roman"/>
                <w:b/>
                <w:bCs/>
                <w:sz w:val="22"/>
                <w:szCs w:val="22"/>
              </w:rPr>
            </w:pPr>
            <w:r>
              <w:rPr>
                <w:rFonts w:cs="Times New Roman"/>
                <w:b/>
                <w:bCs/>
                <w:sz w:val="22"/>
                <w:szCs w:val="22"/>
              </w:rPr>
              <w:t>  13.  Stanovisko Komisie pre posudzovanie vybraných vplyvov z PPK</w:t>
            </w:r>
          </w:p>
        </w:tc>
      </w:tr>
      <w:tr w:rsidR="002D0061" w:rsidTr="002D0061">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2D0061" w:rsidRPr="008C589B" w:rsidRDefault="002D0061">
            <w:pPr>
              <w:spacing w:line="256" w:lineRule="auto"/>
              <w:rPr>
                <w:rFonts w:cs="Times New Roman"/>
                <w:b/>
                <w:bCs/>
                <w:sz w:val="20"/>
                <w:szCs w:val="20"/>
              </w:rPr>
            </w:pPr>
            <w:r w:rsidRPr="008C589B">
              <w:rPr>
                <w:rFonts w:cs="Times New Roman"/>
                <w:bCs/>
                <w:sz w:val="20"/>
                <w:szCs w:val="20"/>
              </w:rPr>
              <w:t>Materiál nebol predmetom PPK.</w:t>
            </w:r>
          </w:p>
        </w:tc>
      </w:tr>
    </w:tbl>
    <w:p w:rsidR="002D0061" w:rsidRDefault="002D0061" w:rsidP="002D0061">
      <w:pPr>
        <w:pStyle w:val="Normlnywebov"/>
        <w:spacing w:before="0" w:beforeAutospacing="0" w:after="0" w:afterAutospacing="0"/>
        <w:rPr>
          <w:bCs/>
          <w:sz w:val="20"/>
          <w:szCs w:val="20"/>
        </w:rPr>
      </w:pPr>
    </w:p>
    <w:p w:rsidR="002D0061" w:rsidRDefault="002D0061" w:rsidP="002D0061">
      <w:pPr>
        <w:pStyle w:val="Normlnywebov"/>
        <w:spacing w:before="120" w:beforeAutospacing="0" w:after="0" w:afterAutospacing="0" w:line="276" w:lineRule="auto"/>
        <w:jc w:val="both"/>
        <w:rPr>
          <w:sz w:val="22"/>
          <w:szCs w:val="22"/>
        </w:rPr>
      </w:pPr>
    </w:p>
    <w:p w:rsidR="003E19B7" w:rsidRDefault="001B25F6"/>
    <w:sectPr w:rsidR="003E1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61"/>
    <w:rsid w:val="001B25F6"/>
    <w:rsid w:val="002D0061"/>
    <w:rsid w:val="006B3EC7"/>
    <w:rsid w:val="008C589B"/>
    <w:rsid w:val="008F38DD"/>
    <w:rsid w:val="00A50ED8"/>
    <w:rsid w:val="00B71936"/>
    <w:rsid w:val="00D13853"/>
    <w:rsid w:val="00E46A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D006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semiHidden/>
    <w:unhideWhenUsed/>
    <w:rsid w:val="002D0061"/>
    <w:pPr>
      <w:widowControl/>
      <w:suppressAutoHyphens w:val="0"/>
      <w:spacing w:before="100" w:beforeAutospacing="1" w:after="100" w:afterAutospacing="1"/>
    </w:pPr>
    <w:rPr>
      <w:rFonts w:eastAsia="Times New Roman" w:cs="Times New Roman"/>
      <w:kern w:val="0"/>
      <w:lang w:eastAsia="sk-SK" w:bidi="ar-SA"/>
    </w:rPr>
  </w:style>
  <w:style w:type="paragraph" w:customStyle="1" w:styleId="Default">
    <w:name w:val="Default"/>
    <w:uiPriority w:val="99"/>
    <w:rsid w:val="002D00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1B25F6"/>
    <w:rPr>
      <w:rFonts w:ascii="Tahoma" w:hAnsi="Tahoma"/>
      <w:sz w:val="16"/>
      <w:szCs w:val="14"/>
    </w:rPr>
  </w:style>
  <w:style w:type="character" w:customStyle="1" w:styleId="TextbublinyChar">
    <w:name w:val="Text bubliny Char"/>
    <w:basedOn w:val="Predvolenpsmoodseku"/>
    <w:link w:val="Textbubliny"/>
    <w:uiPriority w:val="99"/>
    <w:semiHidden/>
    <w:rsid w:val="001B25F6"/>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D006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semiHidden/>
    <w:unhideWhenUsed/>
    <w:rsid w:val="002D0061"/>
    <w:pPr>
      <w:widowControl/>
      <w:suppressAutoHyphens w:val="0"/>
      <w:spacing w:before="100" w:beforeAutospacing="1" w:after="100" w:afterAutospacing="1"/>
    </w:pPr>
    <w:rPr>
      <w:rFonts w:eastAsia="Times New Roman" w:cs="Times New Roman"/>
      <w:kern w:val="0"/>
      <w:lang w:eastAsia="sk-SK" w:bidi="ar-SA"/>
    </w:rPr>
  </w:style>
  <w:style w:type="paragraph" w:customStyle="1" w:styleId="Default">
    <w:name w:val="Default"/>
    <w:uiPriority w:val="99"/>
    <w:rsid w:val="002D00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1B25F6"/>
    <w:rPr>
      <w:rFonts w:ascii="Tahoma" w:hAnsi="Tahoma"/>
      <w:sz w:val="16"/>
      <w:szCs w:val="14"/>
    </w:rPr>
  </w:style>
  <w:style w:type="character" w:customStyle="1" w:styleId="TextbublinyChar">
    <w:name w:val="Text bubliny Char"/>
    <w:basedOn w:val="Predvolenpsmoodseku"/>
    <w:link w:val="Textbubliny"/>
    <w:uiPriority w:val="99"/>
    <w:semiHidden/>
    <w:rsid w:val="001B25F6"/>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9079">
      <w:bodyDiv w:val="1"/>
      <w:marLeft w:val="0"/>
      <w:marRight w:val="0"/>
      <w:marTop w:val="0"/>
      <w:marBottom w:val="0"/>
      <w:divBdr>
        <w:top w:val="none" w:sz="0" w:space="0" w:color="auto"/>
        <w:left w:val="none" w:sz="0" w:space="0" w:color="auto"/>
        <w:bottom w:val="none" w:sz="0" w:space="0" w:color="auto"/>
        <w:right w:val="none" w:sz="0" w:space="0" w:color="auto"/>
      </w:divBdr>
    </w:div>
    <w:div w:id="413818116">
      <w:bodyDiv w:val="1"/>
      <w:marLeft w:val="0"/>
      <w:marRight w:val="0"/>
      <w:marTop w:val="0"/>
      <w:marBottom w:val="0"/>
      <w:divBdr>
        <w:top w:val="none" w:sz="0" w:space="0" w:color="auto"/>
        <w:left w:val="none" w:sz="0" w:space="0" w:color="auto"/>
        <w:bottom w:val="none" w:sz="0" w:space="0" w:color="auto"/>
        <w:right w:val="none" w:sz="0" w:space="0" w:color="auto"/>
      </w:divBdr>
    </w:div>
    <w:div w:id="429357723">
      <w:bodyDiv w:val="1"/>
      <w:marLeft w:val="0"/>
      <w:marRight w:val="0"/>
      <w:marTop w:val="0"/>
      <w:marBottom w:val="0"/>
      <w:divBdr>
        <w:top w:val="none" w:sz="0" w:space="0" w:color="auto"/>
        <w:left w:val="none" w:sz="0" w:space="0" w:color="auto"/>
        <w:bottom w:val="none" w:sz="0" w:space="0" w:color="auto"/>
        <w:right w:val="none" w:sz="0" w:space="0" w:color="auto"/>
      </w:divBdr>
    </w:div>
    <w:div w:id="18759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2/250/" TargetMode="External"/><Relationship Id="rId3" Type="http://schemas.microsoft.com/office/2007/relationships/stylesWithEffects" Target="stylesWithEffects.xml"/><Relationship Id="rId7" Type="http://schemas.openxmlformats.org/officeDocument/2006/relationships/hyperlink" Target="https://www.slov-lex.sk/pravne-predpisy/SK/ZZ/2012/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2/2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1404</Words>
  <Characters>8008</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Balog Boris</dc:creator>
  <cp:lastModifiedBy>Balog Boris</cp:lastModifiedBy>
  <cp:revision>13</cp:revision>
  <cp:lastPrinted>2019-04-23T10:10:00Z</cp:lastPrinted>
  <dcterms:created xsi:type="dcterms:W3CDTF">2019-04-17T06:08:00Z</dcterms:created>
  <dcterms:modified xsi:type="dcterms:W3CDTF">2019-04-23T10:11:00Z</dcterms:modified>
</cp:coreProperties>
</file>