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3D" w:rsidRPr="001B3EA9" w:rsidRDefault="001F463D" w:rsidP="001F463D">
      <w:pPr>
        <w:spacing w:after="0" w:line="240" w:lineRule="auto"/>
        <w:jc w:val="center"/>
        <w:rPr>
          <w:rFonts w:ascii="Times New Roman" w:hAnsi="Times New Roman"/>
          <w:b/>
          <w:caps/>
          <w:spacing w:val="30"/>
          <w:sz w:val="24"/>
        </w:rPr>
      </w:pPr>
      <w:r w:rsidRPr="001B3EA9">
        <w:rPr>
          <w:rFonts w:ascii="Times New Roman" w:hAnsi="Times New Roman"/>
          <w:b/>
          <w:caps/>
          <w:spacing w:val="30"/>
          <w:sz w:val="24"/>
        </w:rPr>
        <w:t>Dôvodová správa</w:t>
      </w:r>
    </w:p>
    <w:p w:rsidR="001F463D" w:rsidRPr="001B3EA9" w:rsidRDefault="001F463D" w:rsidP="001F463D">
      <w:pPr>
        <w:spacing w:after="0" w:line="240" w:lineRule="auto"/>
        <w:jc w:val="center"/>
        <w:rPr>
          <w:rFonts w:ascii="Times New Roman" w:hAnsi="Times New Roman"/>
          <w:b/>
          <w:caps/>
          <w:spacing w:val="30"/>
          <w:sz w:val="24"/>
        </w:rPr>
      </w:pPr>
    </w:p>
    <w:p w:rsidR="001F463D" w:rsidRPr="001B3EA9" w:rsidRDefault="001F463D" w:rsidP="001F463D">
      <w:pPr>
        <w:spacing w:after="0" w:line="240" w:lineRule="auto"/>
        <w:jc w:val="both"/>
        <w:rPr>
          <w:rFonts w:ascii="Times New Roman" w:hAnsi="Times New Roman"/>
          <w:sz w:val="24"/>
        </w:rPr>
      </w:pPr>
    </w:p>
    <w:p w:rsidR="001F463D" w:rsidRPr="001B3EA9" w:rsidRDefault="001F463D" w:rsidP="001F463D">
      <w:pPr>
        <w:pStyle w:val="Odsekzoznamu"/>
        <w:numPr>
          <w:ilvl w:val="0"/>
          <w:numId w:val="6"/>
        </w:numPr>
        <w:spacing w:after="0" w:line="240" w:lineRule="auto"/>
        <w:jc w:val="both"/>
        <w:rPr>
          <w:rFonts w:ascii="Times New Roman" w:hAnsi="Times New Roman"/>
          <w:b/>
          <w:sz w:val="24"/>
        </w:rPr>
      </w:pPr>
      <w:r w:rsidRPr="001B3EA9">
        <w:rPr>
          <w:rFonts w:ascii="Times New Roman" w:hAnsi="Times New Roman"/>
          <w:b/>
          <w:sz w:val="24"/>
        </w:rPr>
        <w:t xml:space="preserve">Všeobecná časť </w:t>
      </w:r>
    </w:p>
    <w:p w:rsidR="001F463D" w:rsidRPr="001B3EA9" w:rsidRDefault="001F463D" w:rsidP="001F463D">
      <w:pPr>
        <w:spacing w:after="0" w:line="240" w:lineRule="auto"/>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Pr>
          <w:rFonts w:ascii="Times New Roman" w:hAnsi="Times New Roman"/>
          <w:sz w:val="24"/>
        </w:rPr>
        <w:t>Vláda</w:t>
      </w:r>
      <w:r w:rsidRPr="001B3EA9">
        <w:rPr>
          <w:rFonts w:ascii="Times New Roman" w:hAnsi="Times New Roman"/>
          <w:sz w:val="24"/>
        </w:rPr>
        <w:t xml:space="preserve"> Slovenskej republiky predkladá na rokovani</w:t>
      </w:r>
      <w:r>
        <w:rPr>
          <w:rFonts w:ascii="Times New Roman" w:hAnsi="Times New Roman"/>
          <w:sz w:val="24"/>
        </w:rPr>
        <w:t>e Národnej rady</w:t>
      </w:r>
      <w:r w:rsidRPr="001B3EA9">
        <w:rPr>
          <w:rFonts w:ascii="Times New Roman" w:hAnsi="Times New Roman"/>
          <w:sz w:val="24"/>
        </w:rPr>
        <w:t xml:space="preserve"> Slovenskej republiky </w:t>
      </w:r>
      <w:r>
        <w:rPr>
          <w:rFonts w:ascii="Times New Roman" w:hAnsi="Times New Roman"/>
          <w:sz w:val="24"/>
        </w:rPr>
        <w:t xml:space="preserve">vládny </w:t>
      </w:r>
      <w:r w:rsidRPr="001B3EA9">
        <w:rPr>
          <w:rFonts w:ascii="Times New Roman" w:hAnsi="Times New Roman"/>
          <w:sz w:val="24"/>
        </w:rPr>
        <w:t>návrh zákona, ktorým sa mení a dopĺňa zákon č. 315/2016 Z. z. o registri partnerov verejného sektora a o zmene a doplnení niektorých zákonov v znení zákona č. 38/2017 Z. z. a ktorým sa menia a dopĺňajú niektoré zákony</w:t>
      </w:r>
      <w:r>
        <w:rPr>
          <w:rFonts w:ascii="Times New Roman" w:hAnsi="Times New Roman"/>
          <w:sz w:val="24"/>
        </w:rPr>
        <w:t xml:space="preserve"> (ďalej len ,,návrh zákona“)</w:t>
      </w:r>
      <w:r w:rsidRPr="001B3EA9">
        <w:rPr>
          <w:rFonts w:ascii="Times New Roman" w:hAnsi="Times New Roman"/>
          <w:sz w:val="24"/>
        </w:rPr>
        <w:t>.</w:t>
      </w:r>
    </w:p>
    <w:p w:rsidR="001F463D" w:rsidRPr="001B3EA9" w:rsidRDefault="001F463D" w:rsidP="001F463D">
      <w:pPr>
        <w:spacing w:after="0" w:line="240" w:lineRule="auto"/>
        <w:ind w:firstLine="708"/>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Návrh zákona sa predkladá na základe Plánu legislatívnych úloh vlády na rok 2018, v rámci ktorého bolo predkladateľovi zákona uložené vyhodnotiť doterajšiu právnu úpravu z hľadiska jej dopadov, ako aj s ohľadom na doterajšiu aplikačnú prax rešpektujúc požiadavky uvedené v Programovom vyhlásení vlády S</w:t>
      </w:r>
      <w:r w:rsidR="00861593">
        <w:rPr>
          <w:rFonts w:ascii="Times New Roman" w:hAnsi="Times New Roman"/>
          <w:sz w:val="24"/>
        </w:rPr>
        <w:t>lovenskej republiky na roky 2018</w:t>
      </w:r>
      <w:bookmarkStart w:id="0" w:name="_GoBack"/>
      <w:bookmarkEnd w:id="0"/>
      <w:r>
        <w:rPr>
          <w:rFonts w:ascii="Times New Roman" w:hAnsi="Times New Roman"/>
          <w:sz w:val="24"/>
        </w:rPr>
        <w:t xml:space="preserve"> – </w:t>
      </w:r>
      <w:r w:rsidRPr="001B3EA9">
        <w:rPr>
          <w:rFonts w:ascii="Times New Roman" w:hAnsi="Times New Roman"/>
          <w:sz w:val="24"/>
        </w:rPr>
        <w:t xml:space="preserve">2020. </w:t>
      </w:r>
    </w:p>
    <w:p w:rsidR="001F463D" w:rsidRPr="001B3EA9" w:rsidRDefault="001F463D" w:rsidP="001F463D">
      <w:pPr>
        <w:spacing w:after="0" w:line="240" w:lineRule="auto"/>
        <w:ind w:firstLine="708"/>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Cieľom predkladaného návrhu zákona je v reakcii na vyhodnotenie právnej úpravy registra partnerov verejného sektora vykonať korekcie právnej úpravy tak, aby bol zachovaný jej účel vymedzený Programovým vyhlásením vlády Slovenskej republiky a zároveň, aby došlo</w:t>
      </w:r>
      <w:r>
        <w:rPr>
          <w:rFonts w:ascii="Times New Roman" w:hAnsi="Times New Roman"/>
          <w:sz w:val="24"/>
        </w:rPr>
        <w:t xml:space="preserve"> k</w:t>
      </w:r>
      <w:r w:rsidRPr="001B3EA9">
        <w:rPr>
          <w:rFonts w:ascii="Times New Roman" w:hAnsi="Times New Roman"/>
          <w:sz w:val="24"/>
        </w:rPr>
        <w:t xml:space="preserve"> vyváženiu právnej úpravy tak, aby sa odbúrala zbytočn</w:t>
      </w:r>
      <w:r>
        <w:rPr>
          <w:rFonts w:ascii="Times New Roman" w:hAnsi="Times New Roman"/>
          <w:sz w:val="24"/>
        </w:rPr>
        <w:t>á</w:t>
      </w:r>
      <w:r w:rsidRPr="001B3EA9">
        <w:rPr>
          <w:rFonts w:ascii="Times New Roman" w:hAnsi="Times New Roman"/>
          <w:sz w:val="24"/>
        </w:rPr>
        <w:t xml:space="preserve"> administratívna záťaž tam, kde je to účelné. Už pri schvaľovaní pôvodnej právnej úpravy sa predkladateľ v doložke vybraných vplyvov zaviazal k vyhodnoteniu účinnosti právnej úpravy po schválení zákona. Predkladaný návrh zákona je výsledkom vyše </w:t>
      </w:r>
      <w:r>
        <w:rPr>
          <w:rFonts w:ascii="Times New Roman" w:hAnsi="Times New Roman"/>
          <w:sz w:val="24"/>
        </w:rPr>
        <w:t>dvoj</w:t>
      </w:r>
      <w:r w:rsidRPr="001B3EA9">
        <w:rPr>
          <w:rFonts w:ascii="Times New Roman" w:hAnsi="Times New Roman"/>
          <w:sz w:val="24"/>
        </w:rPr>
        <w:t xml:space="preserve">ročnej aplikácie zákona a zohľadňujú sa v ňom poznatky aplikačnej praxe, či už zo strany verejného sektora, partnerov verejného sektora alebo oprávnených osôb. </w:t>
      </w:r>
    </w:p>
    <w:p w:rsidR="001F463D" w:rsidRPr="001B3EA9" w:rsidRDefault="001F463D" w:rsidP="001F463D">
      <w:pPr>
        <w:spacing w:after="0" w:line="240" w:lineRule="auto"/>
        <w:ind w:firstLine="708"/>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 xml:space="preserve">Reálne dopady pôvodne schváleného zákona začali byť pre aplikačnú prax zrejmé až momentom účinnosti výslednej podoby zákona schválenej parlamentom. V tejto súvislosti možno konštatovať, že v rámci legislatívneho procesu pôvodného zákona neboli na strane  </w:t>
      </w:r>
      <w:r>
        <w:rPr>
          <w:rFonts w:ascii="Times New Roman" w:hAnsi="Times New Roman"/>
          <w:sz w:val="24"/>
        </w:rPr>
        <w:t>adresátov</w:t>
      </w:r>
      <w:r w:rsidRPr="001B3EA9">
        <w:rPr>
          <w:rFonts w:ascii="Times New Roman" w:hAnsi="Times New Roman"/>
          <w:sz w:val="24"/>
        </w:rPr>
        <w:t xml:space="preserve"> vždy dostatočným spôsobom zohľadnené a vyhodnotené jeho možné dopady, čo v praxi viedlo k tomu, že zákon dopadá aj na transakcie, pri ktorých to nie je účelné alebo legitímne. Už od prvých dní účinnosti zákona bol predkladateľ konfrontovaný s otázkami subjektov aplikačnej praxe (partneri verejného sektora, verejný sektor, oprávnené osoby) týkajúcimi sa výkladu právnej úpravy tam, kde sa táto nejavila jednoznačnou, ako aj otázkami technického charakteru súvisiacimi s elektronickými službami registra partnerov verejného sektora. Všetky tieto otázky, resp. nezrovnalosti predkladateľ priebežne rieši metodickým usmerňovaním, čo viedlo k ustáleniu niektorých otázok a postupov v praxi. Tam, kde sa tak nestalo, stali sa vzniknuté problémy vhodnou základňou pre obsahové vymedzenie predkladaného návrhu zákona.</w:t>
      </w:r>
    </w:p>
    <w:p w:rsidR="001F463D" w:rsidRPr="001B3EA9" w:rsidRDefault="001F463D" w:rsidP="001F463D">
      <w:pPr>
        <w:spacing w:after="0" w:line="240" w:lineRule="auto"/>
        <w:ind w:firstLine="708"/>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Z hľadiska obsahu zmien návrhu zákona tieto možno rozdeliť do troch skupín. V prvom rade ide o zmeny, ktoré sa týkajú pôsobnosti zákona, pričom sa na tento účel prehodnocuje vymedzenie partnera verejného sektora a rozsah transakcií, ktoré sú podriadené režimu zákona. V tomto prípade sa zohľadňujú najmä praktické skúsenosti a z toho prameniace požiadavky na zmenu právnej úpravy zo strany verejného sektora a súkromného sektora, pričom vo výsledku dochádza k faktickému zúženiu sledovaných transakcií a tým aj zaťaženia partnerov verejného sektora na zmysluplný a spravodlivý rozsah. Druhú skupinu zmien predstavujú zmeny týkajúce sa procesných ustanovení zákona, ktoré reflektujú najmä skúsenosti oprávnených osôb a registrujúceho orgánu, ktoré sa prejavujú v zmenách registračného konania a súvisiacich konaní. Tretiu skupinu zmien predstavujú zmeny, ktoré možno označiť ako súvisiace či vyvolané.</w:t>
      </w:r>
    </w:p>
    <w:p w:rsidR="001F463D" w:rsidRPr="001B3EA9" w:rsidRDefault="001F463D" w:rsidP="001F463D">
      <w:pPr>
        <w:spacing w:after="0" w:line="240" w:lineRule="auto"/>
        <w:ind w:firstLine="708"/>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Ako už vyplýva z predchádzajúceho textu</w:t>
      </w:r>
      <w:r>
        <w:rPr>
          <w:rFonts w:ascii="Times New Roman" w:hAnsi="Times New Roman"/>
          <w:sz w:val="24"/>
        </w:rPr>
        <w:t>,</w:t>
      </w:r>
      <w:r w:rsidRPr="001B3EA9">
        <w:rPr>
          <w:rFonts w:ascii="Times New Roman" w:hAnsi="Times New Roman"/>
          <w:sz w:val="24"/>
        </w:rPr>
        <w:t xml:space="preserve"> snahou predkladateľa je vhodné vyváženie právnej úpravy z pohľadu verejného záujmu a záujmov partnerov verejného sektora. Na základe pripomienkového konania predkladateľ čiastočne zredukoval objem možných administratívnych záťaží (napríklad rozšírenie okruhu zapisovaných údajov do registra, povinná registrácia zmien vo vlastníckej alebo riadiacej štruktúre partnera verejného sektora), precizoval vymedzenie verejného sektora</w:t>
      </w:r>
      <w:r>
        <w:rPr>
          <w:rFonts w:ascii="Times New Roman" w:hAnsi="Times New Roman"/>
          <w:sz w:val="24"/>
        </w:rPr>
        <w:t>,</w:t>
      </w:r>
      <w:r w:rsidRPr="001B3EA9">
        <w:rPr>
          <w:rFonts w:ascii="Times New Roman" w:hAnsi="Times New Roman"/>
          <w:sz w:val="24"/>
        </w:rPr>
        <w:t xml:space="preserve"> čím nepriamo dochádza k zúženiu sledovaných transakcií (napríklad vymedzenie verejného podniku), zjednodušil procedúru verifikácie konečných užívateľov výhod (emitenti cenných papierov, dobrovoľná verifikácia, dôsledné uplatňovanie výnimky podľa § 11 ods. 3 zákona), zaviedol materiálny </w:t>
      </w:r>
      <w:proofErr w:type="spellStart"/>
      <w:r w:rsidRPr="001B3EA9">
        <w:rPr>
          <w:rFonts w:ascii="Times New Roman" w:hAnsi="Times New Roman"/>
          <w:sz w:val="24"/>
        </w:rPr>
        <w:t>korektív</w:t>
      </w:r>
      <w:proofErr w:type="spellEnd"/>
      <w:r w:rsidRPr="001B3EA9">
        <w:rPr>
          <w:rFonts w:ascii="Times New Roman" w:hAnsi="Times New Roman"/>
          <w:sz w:val="24"/>
        </w:rPr>
        <w:t xml:space="preserve"> do konania o kvalifikovanom podnete, prehodnotil diskvalifikáciu zo zápisu do registra (skrátenie obdobia diskvalifikácie na dva roky). Na strane druhej však návrh zákona prináša aj nové prvky, ktorých cieľom je posilniť jeho účinnosť a prevenčný charakter zákona (napríklad zavedenie diskvalifikácie zo zápisu do registra).  </w:t>
      </w:r>
    </w:p>
    <w:p w:rsidR="001F463D" w:rsidRPr="001B3EA9" w:rsidRDefault="001F463D" w:rsidP="001F463D">
      <w:pPr>
        <w:spacing w:after="0" w:line="240" w:lineRule="auto"/>
        <w:ind w:firstLine="708"/>
        <w:jc w:val="both"/>
        <w:rPr>
          <w:rFonts w:ascii="Times New Roman" w:hAnsi="Times New Roman"/>
          <w:sz w:val="24"/>
        </w:rPr>
      </w:pPr>
    </w:p>
    <w:p w:rsidR="001F463D"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Účinnosť sa navrhuje od 1. júla 2019,</w:t>
      </w:r>
      <w:r>
        <w:rPr>
          <w:rFonts w:ascii="Times New Roman" w:hAnsi="Times New Roman"/>
          <w:sz w:val="24"/>
        </w:rPr>
        <w:t xml:space="preserve"> s výnimkou bodov, ktoré sa týkajú informačných systémov, kde je účinnosť navrhovaná od 1. septembra 2019.</w:t>
      </w:r>
    </w:p>
    <w:p w:rsidR="001F463D" w:rsidRDefault="001F463D" w:rsidP="001F463D">
      <w:pPr>
        <w:spacing w:after="0" w:line="240" w:lineRule="auto"/>
        <w:ind w:firstLine="708"/>
        <w:jc w:val="both"/>
        <w:rPr>
          <w:rFonts w:ascii="Times New Roman" w:hAnsi="Times New Roman"/>
          <w:sz w:val="24"/>
        </w:rPr>
      </w:pPr>
    </w:p>
    <w:p w:rsidR="001F463D" w:rsidRPr="001B3EA9"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Návrh zákona je v súlade s Ústavou Slovenskej republiky, ústavnými zákonmi, nálezmi Ústavného súdu Slovenskej republiky, medzinárodnými zmluvami, ktorými je Slovenská republika viazaná</w:t>
      </w:r>
      <w:r>
        <w:rPr>
          <w:rFonts w:ascii="Times New Roman" w:hAnsi="Times New Roman"/>
          <w:sz w:val="24"/>
        </w:rPr>
        <w:t>,</w:t>
      </w:r>
      <w:r w:rsidRPr="001B3EA9">
        <w:rPr>
          <w:rFonts w:ascii="Times New Roman" w:hAnsi="Times New Roman"/>
          <w:sz w:val="24"/>
        </w:rPr>
        <w:t xml:space="preserve"> a zákonmi a súčasne je v súlade s právom Európskej únie.</w:t>
      </w:r>
    </w:p>
    <w:p w:rsidR="001F463D" w:rsidRPr="001B3EA9" w:rsidRDefault="001F463D" w:rsidP="001F463D">
      <w:pPr>
        <w:spacing w:after="0" w:line="240" w:lineRule="auto"/>
        <w:ind w:firstLine="708"/>
        <w:jc w:val="both"/>
        <w:rPr>
          <w:rFonts w:ascii="Times New Roman" w:hAnsi="Times New Roman"/>
          <w:sz w:val="24"/>
        </w:rPr>
      </w:pPr>
    </w:p>
    <w:p w:rsidR="001F463D" w:rsidRDefault="001F463D" w:rsidP="001F463D">
      <w:pPr>
        <w:spacing w:after="0" w:line="240" w:lineRule="auto"/>
        <w:ind w:firstLine="708"/>
        <w:jc w:val="both"/>
        <w:rPr>
          <w:rFonts w:ascii="Times New Roman" w:hAnsi="Times New Roman"/>
          <w:sz w:val="24"/>
        </w:rPr>
      </w:pPr>
      <w:r w:rsidRPr="001B3EA9">
        <w:rPr>
          <w:rFonts w:ascii="Times New Roman" w:hAnsi="Times New Roman"/>
          <w:sz w:val="24"/>
        </w:rPr>
        <w:t>Návrh zákona zakladá vplyvy na verejné financie</w:t>
      </w:r>
      <w:r>
        <w:rPr>
          <w:rFonts w:ascii="Times New Roman" w:hAnsi="Times New Roman"/>
          <w:sz w:val="24"/>
        </w:rPr>
        <w:t>,</w:t>
      </w:r>
      <w:r w:rsidRPr="001B3EA9">
        <w:rPr>
          <w:rFonts w:ascii="Times New Roman" w:hAnsi="Times New Roman"/>
          <w:sz w:val="24"/>
        </w:rPr>
        <w:t xml:space="preserve"> informatizáciu spoločnosti a podnikateľské prostredie; tieto vplyvy sú detailne popísané v doložke vybraných vplyvov. Návrh zákona nebude mať sociálny vplyv, ani vplyv životné prostredie a na služ</w:t>
      </w:r>
      <w:r>
        <w:rPr>
          <w:rFonts w:ascii="Times New Roman" w:hAnsi="Times New Roman"/>
          <w:sz w:val="24"/>
        </w:rPr>
        <w:t>by verejnej správy pre občana .</w:t>
      </w:r>
    </w:p>
    <w:p w:rsidR="001F463D" w:rsidRPr="00692F9B" w:rsidRDefault="001F463D" w:rsidP="001F463D">
      <w:pPr>
        <w:spacing w:after="0" w:line="240" w:lineRule="auto"/>
        <w:ind w:firstLine="708"/>
        <w:jc w:val="both"/>
        <w:rPr>
          <w:rFonts w:ascii="Times New Roman" w:hAnsi="Times New Roman"/>
          <w:sz w:val="24"/>
          <w:szCs w:val="24"/>
        </w:rPr>
      </w:pPr>
    </w:p>
    <w:p w:rsidR="001F463D" w:rsidRPr="001F463D" w:rsidRDefault="001F463D" w:rsidP="001F463D">
      <w:pPr>
        <w:pStyle w:val="Zkladntext"/>
        <w:ind w:firstLine="708"/>
        <w:jc w:val="both"/>
        <w:rPr>
          <w:rFonts w:ascii="Times New Roman" w:hAnsi="Times New Roman"/>
          <w:b w:val="0"/>
          <w:bCs w:val="0"/>
          <w:sz w:val="24"/>
          <w:szCs w:val="22"/>
          <w:lang w:eastAsia="en-US"/>
        </w:rPr>
      </w:pPr>
      <w:r w:rsidRPr="001F463D">
        <w:rPr>
          <w:rFonts w:ascii="Times New Roman" w:hAnsi="Times New Roman"/>
          <w:b w:val="0"/>
          <w:bCs w:val="0"/>
          <w:sz w:val="24"/>
          <w:szCs w:val="22"/>
          <w:lang w:eastAsia="en-US"/>
        </w:rPr>
        <w:t xml:space="preserve">Návrh zákona bol predmetom riadneho pripomienkového konania. Legislatívna rada vlády Slovenskej republiky návrh zákona prerokovala dňa 2. 4. 2019, pričom  po  prerokovaní odporučila  návrh  upraviť   podľa jej pripomienok a na rokovanie vlády predložiť jeho nové, upravené znenie. Návrh zákona bol dňa 15. 4. 2019 predmetom rokovania Hospodárskej a sociálnej </w:t>
      </w:r>
      <w:r w:rsidR="002215AE">
        <w:rPr>
          <w:rFonts w:ascii="Times New Roman" w:hAnsi="Times New Roman"/>
          <w:b w:val="0"/>
          <w:bCs w:val="0"/>
          <w:sz w:val="24"/>
          <w:szCs w:val="22"/>
          <w:lang w:eastAsia="en-US"/>
        </w:rPr>
        <w:t>rady Slovenskej republiky. Dňa 24</w:t>
      </w:r>
      <w:r w:rsidRPr="001F463D">
        <w:rPr>
          <w:rFonts w:ascii="Times New Roman" w:hAnsi="Times New Roman"/>
          <w:b w:val="0"/>
          <w:bCs w:val="0"/>
          <w:sz w:val="24"/>
          <w:szCs w:val="22"/>
          <w:lang w:eastAsia="en-US"/>
        </w:rPr>
        <w:t>. 4. 2019 bol návrh zákona prorokovaný a schválený vládou Slovenskej republiky.</w:t>
      </w:r>
    </w:p>
    <w:p w:rsidR="001F463D" w:rsidRPr="00692F9B" w:rsidRDefault="001F463D" w:rsidP="001F463D">
      <w:pPr>
        <w:pStyle w:val="Zkladntext"/>
        <w:ind w:firstLine="708"/>
      </w:pPr>
    </w:p>
    <w:p w:rsidR="001F463D" w:rsidRPr="00692F9B" w:rsidRDefault="001F463D" w:rsidP="001F463D">
      <w:pPr>
        <w:ind w:firstLine="708"/>
        <w:jc w:val="both"/>
        <w:rPr>
          <w:rFonts w:ascii="Times New Roman" w:hAnsi="Times New Roman"/>
        </w:rPr>
      </w:pPr>
    </w:p>
    <w:p w:rsidR="001F463D" w:rsidRPr="001B3EA9" w:rsidRDefault="001F463D" w:rsidP="001F463D">
      <w:pPr>
        <w:spacing w:after="0" w:line="240" w:lineRule="auto"/>
        <w:jc w:val="both"/>
        <w:rPr>
          <w:rFonts w:ascii="Times New Roman" w:hAnsi="Times New Roman"/>
          <w:sz w:val="24"/>
        </w:rPr>
      </w:pPr>
    </w:p>
    <w:p w:rsidR="001F463D" w:rsidRPr="001B3EA9" w:rsidRDefault="001F463D" w:rsidP="001F463D">
      <w:pPr>
        <w:spacing w:after="0" w:line="240" w:lineRule="auto"/>
        <w:jc w:val="both"/>
        <w:rPr>
          <w:rFonts w:ascii="Times New Roman" w:hAnsi="Times New Roman"/>
          <w:sz w:val="24"/>
        </w:rPr>
      </w:pPr>
    </w:p>
    <w:p w:rsidR="001F463D" w:rsidRPr="001B3EA9" w:rsidRDefault="001F463D" w:rsidP="001F463D">
      <w:pPr>
        <w:spacing w:after="0" w:line="240" w:lineRule="auto"/>
        <w:jc w:val="both"/>
        <w:rPr>
          <w:rFonts w:ascii="Times New Roman" w:hAnsi="Times New Roman"/>
          <w:sz w:val="24"/>
        </w:rPr>
      </w:pPr>
    </w:p>
    <w:p w:rsidR="001F463D" w:rsidRDefault="001F463D" w:rsidP="001F463D">
      <w:pPr>
        <w:rPr>
          <w:rFonts w:ascii="Times New Roman" w:hAnsi="Times New Roman"/>
          <w:sz w:val="24"/>
        </w:rPr>
      </w:pPr>
      <w:r w:rsidRPr="001B3EA9">
        <w:rPr>
          <w:rFonts w:ascii="Times New Roman" w:hAnsi="Times New Roman"/>
          <w:sz w:val="24"/>
        </w:rPr>
        <w:br w:type="page"/>
      </w:r>
    </w:p>
    <w:p w:rsidR="001F463D" w:rsidRPr="00F94D86" w:rsidRDefault="001F463D" w:rsidP="001F463D">
      <w:pPr>
        <w:pStyle w:val="Normlnywebov"/>
        <w:spacing w:before="0" w:beforeAutospacing="0" w:after="0" w:afterAutospacing="0"/>
        <w:jc w:val="center"/>
        <w:rPr>
          <w:b/>
          <w:bCs/>
          <w:sz w:val="28"/>
          <w:szCs w:val="28"/>
        </w:rPr>
      </w:pPr>
      <w:r w:rsidRPr="00F94D86">
        <w:rPr>
          <w:b/>
          <w:bCs/>
          <w:sz w:val="28"/>
          <w:szCs w:val="28"/>
        </w:rPr>
        <w:lastRenderedPageBreak/>
        <w:t>Doložka vybraných vplyvov</w:t>
      </w:r>
    </w:p>
    <w:p w:rsidR="001F463D" w:rsidRPr="00F94D86" w:rsidRDefault="001F463D" w:rsidP="001F463D">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1F463D" w:rsidRPr="00F94D86" w:rsidTr="004A447A">
        <w:trPr>
          <w:jc w:val="center"/>
        </w:trPr>
        <w:tc>
          <w:tcPr>
            <w:tcW w:w="250" w:type="pct"/>
            <w:gridSpan w:val="2"/>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1.  Základné údaje</w:t>
            </w:r>
          </w:p>
        </w:tc>
      </w:tr>
      <w:tr w:rsidR="001F463D" w:rsidRPr="00F94D86" w:rsidTr="004A447A">
        <w:trPr>
          <w:trHeight w:val="450"/>
          <w:jc w:val="center"/>
        </w:trPr>
        <w:tc>
          <w:tcPr>
            <w:tcW w:w="250" w:type="pct"/>
            <w:gridSpan w:val="2"/>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Názov materiálu</w:t>
            </w:r>
          </w:p>
        </w:tc>
      </w:tr>
      <w:tr w:rsidR="001F463D" w:rsidRPr="00F94D86" w:rsidTr="004A447A">
        <w:trPr>
          <w:trHeight w:val="450"/>
          <w:jc w:val="center"/>
        </w:trPr>
        <w:tc>
          <w:tcPr>
            <w:tcW w:w="250" w:type="pct"/>
            <w:gridSpan w:val="2"/>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Pr>
                <w:rFonts w:ascii="Times New Roman" w:hAnsi="Times New Roman"/>
                <w:szCs w:val="20"/>
              </w:rPr>
              <w:t>Vládny n</w:t>
            </w:r>
            <w:r w:rsidRPr="00F94D86">
              <w:rPr>
                <w:rFonts w:ascii="Times New Roman" w:hAnsi="Times New Roman"/>
                <w:szCs w:val="20"/>
              </w:rPr>
              <w:t>ávrh zákona, ktorým sa mení a dopĺňa zákon č. 315/2016 Z. z. o registri partnerov verejného sektora a o zmene a o doplnení niektorých zákonov v znení zákona č. 38/2017 Z. z. a ktorým sa menia a dopĺňajú niektoré zákony</w:t>
            </w:r>
          </w:p>
        </w:tc>
      </w:tr>
      <w:tr w:rsidR="001F463D" w:rsidRPr="00F94D86" w:rsidTr="004A447A">
        <w:trPr>
          <w:trHeight w:val="450"/>
          <w:jc w:val="center"/>
        </w:trPr>
        <w:tc>
          <w:tcPr>
            <w:tcW w:w="250" w:type="pct"/>
            <w:gridSpan w:val="2"/>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p>
        </w:tc>
      </w:tr>
      <w:tr w:rsidR="001F463D" w:rsidRPr="00F94D86" w:rsidTr="004A447A">
        <w:trPr>
          <w:trHeight w:val="450"/>
          <w:jc w:val="center"/>
        </w:trPr>
        <w:tc>
          <w:tcPr>
            <w:tcW w:w="250" w:type="pct"/>
            <w:gridSpan w:val="2"/>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Pr>
                <w:rFonts w:ascii="Times New Roman" w:hAnsi="Times New Roman"/>
                <w:szCs w:val="20"/>
              </w:rPr>
              <w:t xml:space="preserve">Vláda </w:t>
            </w:r>
            <w:r w:rsidRPr="00F94D86">
              <w:rPr>
                <w:rFonts w:ascii="Times New Roman" w:hAnsi="Times New Roman"/>
                <w:szCs w:val="20"/>
              </w:rPr>
              <w:t xml:space="preserve">Slovenskej republiky </w:t>
            </w:r>
          </w:p>
        </w:tc>
      </w:tr>
      <w:tr w:rsidR="001F463D" w:rsidRPr="00F94D86" w:rsidTr="004A447A">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jc w:val="center"/>
              <w:rPr>
                <w:rFonts w:ascii="Times New Roman" w:hAnsi="Times New Roman"/>
                <w:b/>
                <w:bCs/>
              </w:rPr>
            </w:pPr>
            <w:r w:rsidRPr="00F94D86">
              <w:rPr>
                <w:rFonts w:ascii="Times New Roman" w:hAnsi="Times New Roman"/>
                <w:b/>
                <w:bCs/>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F94D86">
              <w:rPr>
                <w:rFonts w:ascii="Times New Roman" w:hAnsi="Times New Roman"/>
                <w:sz w:val="28"/>
                <w:szCs w:val="28"/>
              </w:rPr>
              <w:t></w:t>
            </w:r>
            <w:r w:rsidRPr="00F94D86">
              <w:rPr>
                <w:rFonts w:ascii="Times New Roman" w:hAnsi="Times New Roman"/>
                <w:sz w:val="20"/>
                <w:szCs w:val="20"/>
              </w:rPr>
              <w:t>  Materiál nelegislatívnej povahy</w:t>
            </w:r>
          </w:p>
        </w:tc>
      </w:tr>
      <w:tr w:rsidR="001F463D" w:rsidRPr="00F94D86" w:rsidTr="004A447A">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1F463D" w:rsidRPr="00F94D86" w:rsidRDefault="001F463D" w:rsidP="004A447A">
            <w:pPr>
              <w:rPr>
                <w:rFonts w:ascii="Times New Roman" w:hAnsi="Times New Roman"/>
                <w:b/>
                <w:bCs/>
              </w:rPr>
            </w:pPr>
          </w:p>
        </w:tc>
        <w:tc>
          <w:tcPr>
            <w:tcW w:w="2500" w:type="pct"/>
            <w:tcBorders>
              <w:top w:val="outset" w:sz="6" w:space="0" w:color="000000"/>
              <w:left w:val="outset" w:sz="6" w:space="0" w:color="000000"/>
              <w:bottom w:val="outset" w:sz="6" w:space="0" w:color="000000"/>
            </w:tcBorders>
            <w:vAlign w:val="center"/>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58486B">
              <w:rPr>
                <w:rFonts w:ascii="Wingdings 2" w:hAnsi="Wingdings 2" w:cs="Times"/>
                <w:sz w:val="20"/>
                <w:szCs w:val="20"/>
              </w:rPr>
              <w:t></w:t>
            </w:r>
            <w:r w:rsidRPr="0058486B">
              <w:rPr>
                <w:rFonts w:ascii="Times" w:hAnsi="Times" w:cs="Times"/>
                <w:sz w:val="20"/>
                <w:szCs w:val="20"/>
              </w:rPr>
              <w:t> </w:t>
            </w:r>
            <w:r w:rsidRPr="00F94D86">
              <w:rPr>
                <w:rFonts w:ascii="Times New Roman" w:hAnsi="Times New Roman"/>
                <w:sz w:val="20"/>
                <w:szCs w:val="20"/>
              </w:rPr>
              <w:t xml:space="preserve">  Materiál legislatívnej povahy </w:t>
            </w:r>
          </w:p>
        </w:tc>
      </w:tr>
      <w:tr w:rsidR="001F463D" w:rsidRPr="00F94D86" w:rsidTr="004A447A">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1F463D" w:rsidRPr="00F94D86" w:rsidRDefault="001F463D" w:rsidP="004A447A">
            <w:pPr>
              <w:rPr>
                <w:rFonts w:ascii="Times New Roman" w:hAnsi="Times New Roman"/>
                <w:b/>
                <w:bCs/>
              </w:rPr>
            </w:pPr>
          </w:p>
        </w:tc>
        <w:tc>
          <w:tcPr>
            <w:tcW w:w="2500" w:type="pct"/>
            <w:tcBorders>
              <w:top w:val="outset" w:sz="6" w:space="0" w:color="000000"/>
              <w:left w:val="outset" w:sz="6" w:space="0" w:color="000000"/>
              <w:bottom w:val="outset" w:sz="6" w:space="0" w:color="000000"/>
            </w:tcBorders>
            <w:vAlign w:val="center"/>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F94D86">
              <w:rPr>
                <w:rFonts w:ascii="Times New Roman" w:hAnsi="Times New Roman"/>
                <w:sz w:val="28"/>
                <w:szCs w:val="28"/>
              </w:rPr>
              <w:t></w:t>
            </w:r>
            <w:r w:rsidRPr="00F94D86">
              <w:rPr>
                <w:rFonts w:ascii="Times New Roman" w:hAnsi="Times New Roman"/>
                <w:sz w:val="20"/>
                <w:szCs w:val="20"/>
              </w:rPr>
              <w:t xml:space="preserve">  Transpozícia práva EÚ </w:t>
            </w:r>
          </w:p>
        </w:tc>
      </w:tr>
      <w:tr w:rsidR="001F463D" w:rsidRPr="00F94D86" w:rsidTr="004A447A">
        <w:trPr>
          <w:trHeight w:val="675"/>
          <w:jc w:val="center"/>
        </w:trPr>
        <w:tc>
          <w:tcPr>
            <w:tcW w:w="0" w:type="auto"/>
            <w:gridSpan w:val="2"/>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p>
        </w:tc>
      </w:tr>
      <w:tr w:rsidR="001F463D" w:rsidRPr="00F94D86" w:rsidTr="004A447A">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Termín začiatku a ukončenia PPK</w:t>
            </w:r>
          </w:p>
        </w:tc>
        <w:tc>
          <w:tcPr>
            <w:tcW w:w="2000" w:type="pct"/>
            <w:tcBorders>
              <w:top w:val="outset" w:sz="6" w:space="0" w:color="000000"/>
              <w:left w:val="outset" w:sz="6" w:space="0" w:color="000000"/>
              <w:bottom w:val="outset" w:sz="6" w:space="0" w:color="000000"/>
            </w:tcBorders>
            <w:hideMark/>
          </w:tcPr>
          <w:p w:rsidR="001F463D" w:rsidRPr="00F94D86" w:rsidRDefault="001F463D" w:rsidP="004A447A">
            <w:pPr>
              <w:rPr>
                <w:rFonts w:ascii="Times New Roman" w:hAnsi="Times New Roman"/>
                <w:i/>
                <w:sz w:val="20"/>
                <w:szCs w:val="20"/>
              </w:rPr>
            </w:pPr>
            <w:r w:rsidRPr="00F94D86">
              <w:rPr>
                <w:rFonts w:ascii="Times New Roman" w:hAnsi="Times New Roman"/>
                <w:sz w:val="20"/>
                <w:szCs w:val="20"/>
              </w:rPr>
              <w:t>júl 2018</w:t>
            </w:r>
          </w:p>
        </w:tc>
      </w:tr>
      <w:tr w:rsidR="001F463D" w:rsidRPr="00F94D86" w:rsidTr="004A447A">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Predpokladaný termín predloženia na MPK*</w:t>
            </w:r>
          </w:p>
        </w:tc>
        <w:tc>
          <w:tcPr>
            <w:tcW w:w="2000" w:type="pct"/>
            <w:tcBorders>
              <w:top w:val="outset" w:sz="6" w:space="0" w:color="000000"/>
              <w:left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júl 2018</w:t>
            </w:r>
          </w:p>
        </w:tc>
      </w:tr>
      <w:tr w:rsidR="001F463D" w:rsidRPr="00F94D86" w:rsidTr="004A447A">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Predpokladaný termín predloženia na Rokovanie vlády</w:t>
            </w:r>
            <w:r w:rsidRPr="00F94D86">
              <w:rPr>
                <w:rFonts w:ascii="Times New Roman" w:hAnsi="Times New Roman"/>
                <w:b/>
                <w:bCs/>
              </w:rPr>
              <w:br/>
              <w:t>  SR*</w:t>
            </w:r>
          </w:p>
        </w:tc>
        <w:tc>
          <w:tcPr>
            <w:tcW w:w="2000" w:type="pct"/>
            <w:tcBorders>
              <w:top w:val="outset" w:sz="6" w:space="0" w:color="000000"/>
              <w:left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marec 2019</w:t>
            </w:r>
          </w:p>
        </w:tc>
      </w:tr>
    </w:tbl>
    <w:p w:rsidR="001F463D" w:rsidRPr="00F94D86" w:rsidRDefault="001F463D" w:rsidP="001F463D">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19"/>
        <w:gridCol w:w="1811"/>
        <w:gridCol w:w="1811"/>
        <w:gridCol w:w="1813"/>
      </w:tblGrid>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2.  Definícia problému</w:t>
            </w:r>
          </w:p>
        </w:tc>
      </w:tr>
      <w:tr w:rsidR="001F463D" w:rsidRPr="00F94D86" w:rsidTr="004A447A">
        <w:trPr>
          <w:trHeight w:val="2300"/>
          <w:jc w:val="center"/>
        </w:trPr>
        <w:tc>
          <w:tcPr>
            <w:tcW w:w="250" w:type="pct"/>
            <w:gridSpan w:val="4"/>
            <w:tcBorders>
              <w:top w:val="outset" w:sz="6" w:space="0" w:color="000000"/>
              <w:bottom w:val="outset" w:sz="6" w:space="0" w:color="000000"/>
            </w:tcBorders>
            <w:hideMark/>
          </w:tcPr>
          <w:p w:rsidR="001F463D" w:rsidRPr="00F94D86" w:rsidRDefault="001F463D" w:rsidP="004A447A">
            <w:pPr>
              <w:jc w:val="both"/>
              <w:rPr>
                <w:rFonts w:ascii="Times New Roman" w:hAnsi="Times New Roman"/>
                <w:sz w:val="20"/>
                <w:szCs w:val="20"/>
              </w:rPr>
            </w:pPr>
            <w:r w:rsidRPr="00F94D86">
              <w:rPr>
                <w:rFonts w:ascii="Times New Roman" w:hAnsi="Times New Roman"/>
                <w:szCs w:val="20"/>
              </w:rPr>
              <w:t>Predkladaný návrh zákona reaguje na problémy vzniknuté v aplikačnej praxi v súvislosti s uplatňovaním zákona a ktoré ministerstvo spravodlivosti identifikovalo na základe podnetov dotknutých subjektov - oprávnených osôb, partnerov verejného sektora,  subjektov verejného sektora, registrujúceho orgánu i z vlastnej činnosti. Počas účinnosti zákona boli uvedené problémy a nejasnosti právnej úpravy regulované prostredníctvom podávania nezáväzných výkladových stanovísk, vzhľadom na množstvo podnetov a ich obsah ako aj na zachovanie právnej istoty subjektov uplatňujúcich uvedený zákon je potrebné precizovať právnu úpravu vo viacerých oblastiach. V prvom rade ide o zmeny, ktoré sa týkajú pôsobnosti zákona, pričom sa na tento účel prehodnocuje vymedzenie partnera verejného sektora a rozsah transakcií, ktoré sú podriadené režimu zákona. V tomto prípade sa zohľadňujú najmä praktické skúsenosti a z toho prameniace požiadavky na zmenu právnej úpravy zo strany verejného sektora a súkromného sektora. Druhú skupinu zmien predstavujú zmeny týkajúce sa procesných ustanovení zákona, ktoré reflektujú najmä skúsenosti oprávnených osôb a registrujúceho orgánu. Tretiu skupinu zmien predstavujú zmeny, ktoré možno označiť ako súvisiace, či vyvolané.</w:t>
            </w:r>
          </w:p>
        </w:tc>
      </w:tr>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3.  Ciele a výsledný stav</w:t>
            </w:r>
          </w:p>
        </w:tc>
      </w:tr>
      <w:tr w:rsidR="001F463D" w:rsidRPr="00F94D86" w:rsidTr="004A447A">
        <w:trPr>
          <w:trHeight w:val="600"/>
          <w:jc w:val="center"/>
        </w:trPr>
        <w:tc>
          <w:tcPr>
            <w:tcW w:w="250" w:type="pct"/>
            <w:gridSpan w:val="4"/>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Cs w:val="20"/>
              </w:rPr>
              <w:t xml:space="preserve">Cieľom predkladaného návrhu zákona je v reakcii na vyhodnotenie právnej úpravy registra partnerov verejného sektora vykonať korekcie právnej úpravy tak, aby bol zachovaný jej účel vymedzený Programovým vyhlásením vlády Slovenskej republiky. Už pri schvaľovaní pôvodnej právnej úpravy </w:t>
            </w:r>
            <w:r w:rsidRPr="00F94D86">
              <w:rPr>
                <w:rFonts w:ascii="Times New Roman" w:hAnsi="Times New Roman"/>
                <w:szCs w:val="20"/>
              </w:rPr>
              <w:lastRenderedPageBreak/>
              <w:t xml:space="preserve">sa predkladateľ v doložke vybraných vplyvov zaviazal k vyhodnoteniu účinnosti právnej úpravy. Predkladaný návrh zákona je výsledkom analýzy vyše ročnej aplikácie návrhu zákona. </w:t>
            </w:r>
          </w:p>
        </w:tc>
      </w:tr>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lastRenderedPageBreak/>
              <w:t>  4.  Dotknuté subjekty</w:t>
            </w:r>
          </w:p>
        </w:tc>
      </w:tr>
      <w:tr w:rsidR="001F463D" w:rsidRPr="00F94D86" w:rsidTr="004A447A">
        <w:trPr>
          <w:trHeight w:val="600"/>
          <w:jc w:val="center"/>
        </w:trPr>
        <w:tc>
          <w:tcPr>
            <w:tcW w:w="250" w:type="pct"/>
            <w:gridSpan w:val="4"/>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Cs w:val="20"/>
              </w:rPr>
              <w:t>MSSR, oprávnené osoby, partneri verejného sektora, registrujúci orgán, subjekty verejnej správy.</w:t>
            </w:r>
          </w:p>
        </w:tc>
      </w:tr>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5.  Alternatívne riešenia</w:t>
            </w:r>
          </w:p>
        </w:tc>
      </w:tr>
      <w:tr w:rsidR="001F463D" w:rsidRPr="00F94D86" w:rsidTr="004A447A">
        <w:trPr>
          <w:trHeight w:val="600"/>
          <w:jc w:val="center"/>
        </w:trPr>
        <w:tc>
          <w:tcPr>
            <w:tcW w:w="250" w:type="pct"/>
            <w:gridSpan w:val="4"/>
            <w:tcBorders>
              <w:top w:val="outset" w:sz="6" w:space="0" w:color="000000"/>
              <w:bottom w:val="outset" w:sz="6" w:space="0" w:color="000000"/>
            </w:tcBorders>
            <w:hideMark/>
          </w:tcPr>
          <w:p w:rsidR="001F463D" w:rsidRPr="00F94D86" w:rsidRDefault="001F463D" w:rsidP="004A447A">
            <w:pPr>
              <w:jc w:val="both"/>
              <w:rPr>
                <w:rFonts w:ascii="Times New Roman" w:hAnsi="Times New Roman"/>
              </w:rPr>
            </w:pPr>
            <w:r w:rsidRPr="00F94D86">
              <w:rPr>
                <w:rFonts w:ascii="Times New Roman" w:hAnsi="Times New Roman"/>
              </w:rPr>
              <w:t xml:space="preserve">Alternatívne riešenia neboli posudzované, pretože vzhľadom na úlohu uloženú v Pláne legislatívnych úloh vlády na rok 2018 ktorej obsahom je prijatie návrhu zákona ku ktorému má dôjsť  v dôsledku vyhodnotenia doterajšej právnej úpravy z hľadiska jej dopadov, ako aj s ohľadom na doterajšiu aplikačnú prax rešpektujúc požiadavky uvedené v Programovom vyhlásení vlády Slovenskej republiky na roky 2016-2020 i vzhľadom na množstvo podnetov z aplikačnej praxe, ktoré nemožno riešiť len výkladom uvedeného zákona, niet inej možnosti ako prijať uvedenú novelu zákona. </w:t>
            </w:r>
          </w:p>
        </w:tc>
      </w:tr>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6.  Vykonávacie predpisy</w:t>
            </w:r>
          </w:p>
        </w:tc>
      </w:tr>
      <w:tr w:rsidR="001F463D" w:rsidRPr="00F94D86" w:rsidTr="004A447A">
        <w:trPr>
          <w:trHeight w:val="600"/>
          <w:jc w:val="center"/>
        </w:trPr>
        <w:tc>
          <w:tcPr>
            <w:tcW w:w="250" w:type="pct"/>
            <w:gridSpan w:val="4"/>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Predpokladá sa prijatie/zmena vykonávacích predpisov?                           </w:t>
            </w:r>
            <w:r w:rsidRPr="0058486B">
              <w:rPr>
                <w:rFonts w:ascii="Wingdings 2" w:hAnsi="Wingdings 2" w:cs="Times"/>
                <w:sz w:val="20"/>
                <w:szCs w:val="20"/>
              </w:rPr>
              <w:t></w:t>
            </w:r>
            <w:r w:rsidRPr="0058486B">
              <w:rPr>
                <w:rFonts w:ascii="Times" w:hAnsi="Times" w:cs="Times"/>
                <w:sz w:val="20"/>
                <w:szCs w:val="20"/>
              </w:rPr>
              <w:t> </w:t>
            </w:r>
            <w:r w:rsidRPr="00F94D86">
              <w:rPr>
                <w:rFonts w:ascii="Times New Roman" w:hAnsi="Times New Roman"/>
                <w:sz w:val="20"/>
                <w:szCs w:val="20"/>
              </w:rPr>
              <w:t xml:space="preserve"> Áno          </w:t>
            </w:r>
            <w:r w:rsidRPr="00F94D86">
              <w:rPr>
                <w:rFonts w:ascii="Times New Roman" w:hAnsi="Times New Roman"/>
                <w:sz w:val="28"/>
                <w:szCs w:val="28"/>
              </w:rPr>
              <w:t></w:t>
            </w:r>
            <w:r w:rsidRPr="00F94D86">
              <w:rPr>
                <w:rFonts w:ascii="Times New Roman" w:hAnsi="Times New Roman"/>
                <w:sz w:val="20"/>
                <w:szCs w:val="20"/>
              </w:rPr>
              <w:t>  Nie</w:t>
            </w:r>
            <w:r w:rsidRPr="00F94D86">
              <w:rPr>
                <w:rFonts w:ascii="Times New Roman" w:hAnsi="Times New Roman"/>
                <w:sz w:val="20"/>
                <w:szCs w:val="20"/>
              </w:rPr>
              <w:br/>
            </w:r>
          </w:p>
        </w:tc>
      </w:tr>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xml:space="preserve">  7.  Transpozícia práva EÚ </w:t>
            </w:r>
          </w:p>
        </w:tc>
      </w:tr>
      <w:tr w:rsidR="001F463D" w:rsidRPr="00F94D86" w:rsidTr="004A447A">
        <w:trPr>
          <w:trHeight w:val="600"/>
          <w:jc w:val="center"/>
        </w:trPr>
        <w:tc>
          <w:tcPr>
            <w:tcW w:w="250" w:type="pct"/>
            <w:gridSpan w:val="4"/>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Pr>
                <w:rFonts w:ascii="Times New Roman" w:hAnsi="Times New Roman"/>
                <w:sz w:val="20"/>
                <w:szCs w:val="20"/>
              </w:rPr>
              <w:t>Nie</w:t>
            </w:r>
          </w:p>
        </w:tc>
      </w:tr>
      <w:tr w:rsidR="001F463D" w:rsidRPr="00F94D86" w:rsidTr="004A447A">
        <w:trPr>
          <w:jc w:val="center"/>
        </w:trPr>
        <w:tc>
          <w:tcPr>
            <w:tcW w:w="250" w:type="pct"/>
            <w:gridSpan w:val="4"/>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8.  Preskúmanie účelnosti**</w:t>
            </w:r>
          </w:p>
        </w:tc>
      </w:tr>
      <w:tr w:rsidR="001F463D" w:rsidRPr="00F94D86" w:rsidTr="004A447A">
        <w:trPr>
          <w:trHeight w:val="600"/>
          <w:jc w:val="center"/>
        </w:trPr>
        <w:tc>
          <w:tcPr>
            <w:tcW w:w="250" w:type="pct"/>
            <w:gridSpan w:val="4"/>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Cs w:val="20"/>
              </w:rPr>
              <w:t>Preskúmanie účelnosti navrhovaného predpisu bude vykonávané priebežne po nadobudnutí účinnosti.</w:t>
            </w:r>
          </w:p>
        </w:tc>
      </w:tr>
      <w:tr w:rsidR="001F463D" w:rsidRPr="00F94D86" w:rsidTr="004A447A">
        <w:trPr>
          <w:trHeight w:val="450"/>
          <w:jc w:val="center"/>
        </w:trPr>
        <w:tc>
          <w:tcPr>
            <w:tcW w:w="5000" w:type="pct"/>
            <w:gridSpan w:val="4"/>
            <w:tcBorders>
              <w:top w:val="outset" w:sz="6" w:space="0" w:color="000000"/>
              <w:bottom w:val="outset" w:sz="6" w:space="0" w:color="000000"/>
            </w:tcBorders>
            <w:shd w:val="clear" w:color="auto" w:fill="E6E6E6"/>
            <w:hideMark/>
          </w:tcPr>
          <w:p w:rsidR="001F463D" w:rsidRPr="00F94D86" w:rsidRDefault="001F463D" w:rsidP="004A447A">
            <w:pPr>
              <w:pStyle w:val="Normlnywebov"/>
              <w:rPr>
                <w:b/>
                <w:bCs/>
                <w:sz w:val="22"/>
                <w:szCs w:val="22"/>
              </w:rPr>
            </w:pPr>
            <w:r w:rsidRPr="00F94D86">
              <w:rPr>
                <w:b/>
                <w:bCs/>
                <w:sz w:val="22"/>
                <w:szCs w:val="22"/>
              </w:rPr>
              <w:t>  9.   Vplyvy navrhovaného materiálu</w:t>
            </w:r>
          </w:p>
        </w:tc>
      </w:tr>
      <w:tr w:rsidR="001F463D" w:rsidRPr="00F94D86" w:rsidTr="004A447A">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pStyle w:val="Normlnywebov"/>
              <w:rPr>
                <w:bCs/>
                <w:sz w:val="22"/>
                <w:szCs w:val="22"/>
              </w:rPr>
            </w:pPr>
            <w:r w:rsidRPr="00F94D86">
              <w:rPr>
                <w:b/>
                <w:bCs/>
                <w:sz w:val="22"/>
                <w:szCs w:val="22"/>
              </w:rPr>
              <w:t>  Vplyvy na rozpočet verejnej správy</w:t>
            </w:r>
            <w:r w:rsidRPr="00F94D86">
              <w:rPr>
                <w:bCs/>
                <w:sz w:val="22"/>
                <w:szCs w:val="22"/>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sz w:val="28"/>
                <w:szCs w:val="28"/>
              </w:rPr>
              <w:t></w:t>
            </w:r>
            <w:r w:rsidRPr="00F94D86">
              <w:rPr>
                <w:bCs/>
                <w:sz w:val="22"/>
                <w:szCs w:val="22"/>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F94D86">
              <w:rPr>
                <w:rFonts w:ascii="Times New Roman" w:hAnsi="Times New Roman"/>
                <w:sz w:val="28"/>
                <w:szCs w:val="28"/>
              </w:rPr>
              <w:t></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sz w:val="20"/>
                <w:szCs w:val="20"/>
              </w:rPr>
              <w:t xml:space="preserve"> </w:t>
            </w:r>
            <w:r w:rsidRPr="00F94D86">
              <w:rPr>
                <w:bCs/>
                <w:sz w:val="22"/>
                <w:szCs w:val="22"/>
              </w:rPr>
              <w:t xml:space="preserve">   Negatívne</w:t>
            </w:r>
          </w:p>
        </w:tc>
      </w:tr>
      <w:tr w:rsidR="001F463D" w:rsidRPr="00F94D86" w:rsidTr="004A447A">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sz w:val="20"/>
                <w:szCs w:val="20"/>
              </w:rPr>
              <w:t xml:space="preserve">  </w:t>
            </w:r>
            <w:r w:rsidRPr="00F94D86">
              <w:rPr>
                <w:bCs/>
                <w:sz w:val="22"/>
                <w:szCs w:val="22"/>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xml:space="preserve">   </w:t>
            </w:r>
            <w:r w:rsidRPr="00F94D86">
              <w:rPr>
                <w:rFonts w:ascii="Times New Roman" w:hAnsi="Times New Roman"/>
                <w:sz w:val="28"/>
                <w:szCs w:val="28"/>
              </w:rPr>
              <w:t></w:t>
            </w:r>
            <w:r w:rsidRPr="00F94D86">
              <w:rPr>
                <w:rFonts w:ascii="Times New Roman" w:hAnsi="Times New Roman"/>
                <w:sz w:val="20"/>
                <w:szCs w:val="20"/>
              </w:rPr>
              <w:t xml:space="preserve">     Nie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Čiastočne</w:t>
            </w:r>
          </w:p>
        </w:tc>
      </w:tr>
      <w:tr w:rsidR="001F463D" w:rsidRPr="00F94D86" w:rsidTr="004A447A">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pStyle w:val="Normlnywebov"/>
              <w:rPr>
                <w:bCs/>
                <w:sz w:val="22"/>
                <w:szCs w:val="22"/>
              </w:rPr>
            </w:pPr>
            <w:r w:rsidRPr="00F94D86">
              <w:rPr>
                <w:b/>
                <w:bCs/>
                <w:sz w:val="22"/>
                <w:szCs w:val="22"/>
              </w:rPr>
              <w:t>  Vplyvy na podnikateľské prostredie</w:t>
            </w:r>
            <w:r w:rsidRPr="00F94D86">
              <w:rPr>
                <w:bCs/>
                <w:sz w:val="22"/>
                <w:szCs w:val="22"/>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sz w:val="20"/>
                <w:szCs w:val="20"/>
              </w:rPr>
              <w:t xml:space="preserve">     </w:t>
            </w:r>
            <w:r w:rsidRPr="00F94D86">
              <w:rPr>
                <w:bCs/>
                <w:sz w:val="22"/>
                <w:szCs w:val="22"/>
              </w:rPr>
              <w:t>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xml:space="preserve">  </w:t>
            </w:r>
            <w:r w:rsidRPr="00F94D86">
              <w:rPr>
                <w:rFonts w:ascii="Times New Roman" w:hAnsi="Times New Roman"/>
                <w:sz w:val="28"/>
                <w:szCs w:val="28"/>
              </w:rPr>
              <w:t></w:t>
            </w:r>
            <w:r w:rsidRPr="00F94D86">
              <w:rPr>
                <w:rFonts w:ascii="Times New Roman" w:hAnsi="Times New Roman"/>
                <w:bCs/>
              </w:rPr>
              <w:t xml:space="preserve">   </w:t>
            </w:r>
            <w:r w:rsidRPr="00F94D86">
              <w:rPr>
                <w:rFonts w:ascii="Times New Roman" w:hAnsi="Times New Roman"/>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bCs/>
                <w:sz w:val="22"/>
                <w:szCs w:val="22"/>
              </w:rPr>
              <w:t>  Negatívne</w:t>
            </w:r>
          </w:p>
        </w:tc>
      </w:tr>
      <w:tr w:rsidR="001F463D" w:rsidRPr="00F94D86" w:rsidTr="004A447A">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bCs/>
                <w:sz w:val="22"/>
                <w:szCs w:val="22"/>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xml:space="preserve">  </w:t>
            </w:r>
            <w:r w:rsidRPr="00F94D86">
              <w:rPr>
                <w:rFonts w:ascii="Times New Roman" w:hAnsi="Times New Roman"/>
                <w:sz w:val="28"/>
                <w:szCs w:val="28"/>
              </w:rPr>
              <w:t></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bCs/>
                <w:sz w:val="22"/>
                <w:szCs w:val="22"/>
              </w:rPr>
              <w:t> Negatívne</w:t>
            </w:r>
          </w:p>
        </w:tc>
      </w:tr>
      <w:tr w:rsidR="001F463D" w:rsidRPr="00F94D86" w:rsidTr="004A447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pStyle w:val="Normlnywebov"/>
              <w:rPr>
                <w:bCs/>
                <w:sz w:val="22"/>
                <w:szCs w:val="22"/>
              </w:rPr>
            </w:pPr>
            <w:r w:rsidRPr="00F94D86">
              <w:rPr>
                <w:b/>
                <w:bCs/>
                <w:sz w:val="22"/>
                <w:szCs w:val="22"/>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58486B">
              <w:rPr>
                <w:rFonts w:ascii="Wingdings 2" w:hAnsi="Wingdings 2" w:cs="Times"/>
                <w:sz w:val="20"/>
                <w:szCs w:val="20"/>
              </w:rPr>
              <w:t></w:t>
            </w:r>
            <w:r w:rsidRPr="0058486B">
              <w:rPr>
                <w:rFonts w:ascii="Times" w:hAnsi="Times" w:cs="Times"/>
                <w:sz w:val="20"/>
                <w:szCs w:val="20"/>
              </w:rPr>
              <w:t> </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Negatívne</w:t>
            </w:r>
          </w:p>
        </w:tc>
      </w:tr>
      <w:tr w:rsidR="001F463D" w:rsidRPr="00F94D86" w:rsidTr="004A447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pStyle w:val="Normlnywebov"/>
              <w:rPr>
                <w:bCs/>
                <w:sz w:val="22"/>
                <w:szCs w:val="22"/>
              </w:rPr>
            </w:pPr>
            <w:r w:rsidRPr="00F94D86">
              <w:rPr>
                <w:b/>
                <w:bCs/>
                <w:sz w:val="22"/>
                <w:szCs w:val="22"/>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58486B">
              <w:rPr>
                <w:rFonts w:ascii="Wingdings 2" w:hAnsi="Wingdings 2" w:cs="Times"/>
                <w:sz w:val="20"/>
                <w:szCs w:val="20"/>
              </w:rPr>
              <w:t></w:t>
            </w:r>
            <w:r w:rsidRPr="0058486B">
              <w:rPr>
                <w:rFonts w:ascii="Times" w:hAnsi="Times" w:cs="Times"/>
                <w:sz w:val="20"/>
                <w:szCs w:val="20"/>
              </w:rPr>
              <w:t> </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Negatívne</w:t>
            </w:r>
          </w:p>
        </w:tc>
      </w:tr>
      <w:tr w:rsidR="001F463D" w:rsidRPr="00F94D86" w:rsidTr="004A447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pStyle w:val="Normlnywebov"/>
              <w:rPr>
                <w:bCs/>
                <w:sz w:val="22"/>
                <w:szCs w:val="22"/>
              </w:rPr>
            </w:pPr>
            <w:r w:rsidRPr="00F94D86">
              <w:rPr>
                <w:b/>
                <w:bCs/>
                <w:sz w:val="22"/>
                <w:szCs w:val="22"/>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w:t>
            </w:r>
            <w:r w:rsidRPr="0058486B">
              <w:rPr>
                <w:rFonts w:ascii="Wingdings 2" w:hAnsi="Wingdings 2" w:cs="Times"/>
                <w:sz w:val="20"/>
                <w:szCs w:val="20"/>
              </w:rPr>
              <w:t></w:t>
            </w:r>
            <w:r w:rsidRPr="0058486B">
              <w:rPr>
                <w:rFonts w:ascii="Times" w:hAnsi="Times" w:cs="Times"/>
                <w:sz w:val="20"/>
                <w:szCs w:val="20"/>
              </w:rPr>
              <w:t> </w:t>
            </w:r>
            <w:r w:rsidRPr="00F94D86">
              <w:rPr>
                <w:sz w:val="20"/>
                <w:szCs w:val="20"/>
              </w:rPr>
              <w:t> </w:t>
            </w:r>
            <w:r w:rsidRPr="00F94D86">
              <w:rPr>
                <w:bCs/>
                <w:sz w:val="22"/>
                <w:szCs w:val="22"/>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xml:space="preserve">  </w:t>
            </w:r>
            <w:r w:rsidRPr="00F94D86">
              <w:rPr>
                <w:rFonts w:ascii="Times New Roman" w:hAnsi="Times New Roman"/>
                <w:sz w:val="28"/>
                <w:szCs w:val="28"/>
              </w:rPr>
              <w:t></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Negatívne</w:t>
            </w:r>
          </w:p>
        </w:tc>
      </w:tr>
      <w:tr w:rsidR="001F463D" w:rsidRPr="00F94D86" w:rsidTr="004A447A">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1F463D" w:rsidRPr="00F94D86" w:rsidRDefault="001F463D" w:rsidP="004A447A">
            <w:pPr>
              <w:pStyle w:val="Normlnywebov"/>
              <w:rPr>
                <w:bCs/>
                <w:sz w:val="22"/>
                <w:szCs w:val="22"/>
              </w:rPr>
            </w:pPr>
            <w:r w:rsidRPr="00F94D86">
              <w:rPr>
                <w:b/>
                <w:bCs/>
                <w:sz w:val="22"/>
                <w:szCs w:val="22"/>
              </w:rPr>
              <w:t>  Vplyvy na služby pre občana z toho</w:t>
            </w:r>
            <w:r w:rsidRPr="00F94D86">
              <w:rPr>
                <w:bCs/>
                <w:sz w:val="22"/>
                <w:szCs w:val="22"/>
              </w:rPr>
              <w:br/>
              <w:t>    vplyvy služieb verejnej správy na občana</w:t>
            </w:r>
            <w:r w:rsidRPr="00F94D86">
              <w:rPr>
                <w:bCs/>
                <w:sz w:val="22"/>
                <w:szCs w:val="22"/>
              </w:rPr>
              <w:br/>
              <w:t>    vplyvy na procesy služieb vo verejnej</w:t>
            </w:r>
            <w:r w:rsidRPr="00F94D86">
              <w:rPr>
                <w:bCs/>
                <w:sz w:val="22"/>
                <w:szCs w:val="22"/>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br/>
              <w:t xml:space="preserve">  </w:t>
            </w:r>
            <w:r w:rsidRPr="00F94D86">
              <w:rPr>
                <w:bCs/>
                <w:sz w:val="22"/>
                <w:szCs w:val="22"/>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br/>
              <w:t> </w:t>
            </w:r>
            <w:r w:rsidRPr="0058486B">
              <w:rPr>
                <w:rFonts w:ascii="Wingdings 2" w:hAnsi="Wingdings 2" w:cs="Times"/>
                <w:sz w:val="20"/>
                <w:szCs w:val="20"/>
              </w:rPr>
              <w:t></w:t>
            </w:r>
            <w:r w:rsidRPr="0058486B">
              <w:rPr>
                <w:rFonts w:ascii="Times" w:hAnsi="Times" w:cs="Times"/>
                <w:sz w:val="20"/>
                <w:szCs w:val="20"/>
              </w:rPr>
              <w:t> </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br/>
              <w:t xml:space="preserve">  </w:t>
            </w:r>
            <w:r w:rsidRPr="00F94D86">
              <w:rPr>
                <w:bCs/>
                <w:sz w:val="22"/>
                <w:szCs w:val="22"/>
              </w:rPr>
              <w:t>   Negatívne</w:t>
            </w:r>
          </w:p>
        </w:tc>
      </w:tr>
      <w:tr w:rsidR="001F463D" w:rsidRPr="00F94D86" w:rsidTr="004A447A">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 </w:t>
            </w:r>
            <w:r w:rsidRPr="0058486B">
              <w:rPr>
                <w:rFonts w:ascii="Wingdings 2" w:hAnsi="Wingdings 2" w:cs="Times"/>
                <w:sz w:val="20"/>
                <w:szCs w:val="20"/>
              </w:rPr>
              <w:t></w:t>
            </w:r>
            <w:r w:rsidRPr="0058486B">
              <w:rPr>
                <w:rFonts w:ascii="Times" w:hAnsi="Times" w:cs="Times"/>
                <w:sz w:val="20"/>
                <w:szCs w:val="20"/>
              </w:rPr>
              <w:t> </w:t>
            </w:r>
            <w:r w:rsidRPr="00F94D86">
              <w:rPr>
                <w:rFonts w:ascii="Times New Roman" w:hAnsi="Times New Roman"/>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1F463D" w:rsidRPr="00F94D86" w:rsidRDefault="001F463D" w:rsidP="004A447A">
            <w:pPr>
              <w:pStyle w:val="Normlnywebov"/>
              <w:rPr>
                <w:bCs/>
                <w:sz w:val="22"/>
                <w:szCs w:val="22"/>
              </w:rPr>
            </w:pPr>
            <w:r w:rsidRPr="00F94D86">
              <w:rPr>
                <w:bCs/>
                <w:sz w:val="22"/>
                <w:szCs w:val="22"/>
              </w:rPr>
              <w:t xml:space="preserve">  </w:t>
            </w:r>
            <w:r w:rsidRPr="00F94D86">
              <w:rPr>
                <w:bCs/>
                <w:sz w:val="22"/>
                <w:szCs w:val="22"/>
              </w:rPr>
              <w:t>   Negatívne</w:t>
            </w:r>
          </w:p>
        </w:tc>
      </w:tr>
    </w:tbl>
    <w:p w:rsidR="001F463D" w:rsidRPr="00F94D86" w:rsidRDefault="001F463D" w:rsidP="001F463D">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1F463D" w:rsidRPr="00F94D86" w:rsidTr="004A447A">
        <w:trPr>
          <w:jc w:val="center"/>
        </w:trPr>
        <w:tc>
          <w:tcPr>
            <w:tcW w:w="250" w:type="pct"/>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lastRenderedPageBreak/>
              <w:t>  10.  Poznámky</w:t>
            </w:r>
          </w:p>
        </w:tc>
      </w:tr>
      <w:tr w:rsidR="001F463D" w:rsidRPr="00F94D86" w:rsidTr="004A447A">
        <w:trPr>
          <w:trHeight w:val="600"/>
          <w:jc w:val="center"/>
        </w:trPr>
        <w:tc>
          <w:tcPr>
            <w:tcW w:w="250" w:type="pct"/>
            <w:tcBorders>
              <w:top w:val="outset" w:sz="6" w:space="0" w:color="000000"/>
              <w:bottom w:val="outset" w:sz="6" w:space="0" w:color="000000"/>
            </w:tcBorders>
            <w:hideMark/>
          </w:tcPr>
          <w:p w:rsidR="001F463D" w:rsidRPr="00F94D86" w:rsidRDefault="001F463D" w:rsidP="004A447A">
            <w:pPr>
              <w:jc w:val="both"/>
              <w:rPr>
                <w:rFonts w:ascii="Times New Roman" w:hAnsi="Times New Roman"/>
                <w:i/>
                <w:szCs w:val="20"/>
              </w:rPr>
            </w:pPr>
            <w:r w:rsidRPr="00F94D86">
              <w:rPr>
                <w:rFonts w:ascii="Times New Roman" w:hAnsi="Times New Roman"/>
                <w:bCs/>
                <w:i/>
                <w:szCs w:val="20"/>
              </w:rPr>
              <w:t xml:space="preserve">V rámci vplyvov predkladateľ identifikoval pozitívne vplyvy na podnikateľské prostredie a to v dôsledku toho,  že návrh zákona bude vo výsledku znižovať administratívnu záťaž na strane partnerov verejného sektora, pretože zužuje okruh pôsobnosti zákona, a teda aj okruh právnych vzťahov, pri ktorých vzniká povinnosť zápisu do registra partnerov verejného sektora. Ide napríklad o fyzické a právnické osoby, ktoré uzatvárajú zmluvu s „verejnými podnikmi“, teda so subjektami v ktorých má štát v rôznej forme účasť; ďalej fyzické a právnické osoby, ktoré uzatvárajú zmluvu s finančnými inštitúciami ako je Slovenská záručná rozvojová banka, </w:t>
            </w:r>
            <w:r w:rsidRPr="00F94D86">
              <w:rPr>
                <w:rFonts w:ascii="Times New Roman" w:hAnsi="Times New Roman"/>
                <w:i/>
                <w:szCs w:val="20"/>
              </w:rPr>
              <w:t xml:space="preserve">Exportno-importnou bankou Slovenskej republiky či Štátna pokladnica, ďalej správcovia bytových domov, ktorí uzatvárajú zmluvy v mene vlastníkov bytov a nebytových priestorov a iné subjekty. </w:t>
            </w:r>
          </w:p>
          <w:p w:rsidR="001F463D" w:rsidRPr="00F94D86" w:rsidRDefault="001F463D" w:rsidP="004A447A">
            <w:pPr>
              <w:jc w:val="both"/>
              <w:rPr>
                <w:rFonts w:ascii="Times New Roman" w:hAnsi="Times New Roman"/>
                <w:bCs/>
                <w:i/>
                <w:szCs w:val="20"/>
              </w:rPr>
            </w:pPr>
            <w:r w:rsidRPr="00F94D86">
              <w:rPr>
                <w:rFonts w:ascii="Times New Roman" w:hAnsi="Times New Roman"/>
                <w:bCs/>
                <w:i/>
                <w:szCs w:val="20"/>
              </w:rPr>
              <w:t>Rovnako sa navrhuje z režimu zákona vyňatie i tých subjektov, ktoré sú sami verejnými podnikmi ak uzatvárajú zmluvu v rámci svojej bežnej obchodnej činnosti alebo hlavnej ekonomickej činnosti, teda v takom prípade, ak ide o ich vlastný „</w:t>
            </w:r>
            <w:proofErr w:type="spellStart"/>
            <w:r w:rsidRPr="00F94D86">
              <w:rPr>
                <w:rFonts w:ascii="Times New Roman" w:hAnsi="Times New Roman"/>
                <w:bCs/>
                <w:i/>
                <w:szCs w:val="20"/>
              </w:rPr>
              <w:t>core</w:t>
            </w:r>
            <w:proofErr w:type="spellEnd"/>
            <w:r w:rsidRPr="00F94D86">
              <w:rPr>
                <w:rFonts w:ascii="Times New Roman" w:hAnsi="Times New Roman"/>
                <w:bCs/>
                <w:i/>
                <w:szCs w:val="20"/>
              </w:rPr>
              <w:t xml:space="preserve"> business“. </w:t>
            </w:r>
          </w:p>
          <w:p w:rsidR="001F463D" w:rsidRPr="00F94D86" w:rsidRDefault="001F463D" w:rsidP="004A447A">
            <w:pPr>
              <w:jc w:val="both"/>
              <w:rPr>
                <w:rFonts w:ascii="Times New Roman" w:hAnsi="Times New Roman"/>
                <w:bCs/>
                <w:i/>
                <w:szCs w:val="20"/>
              </w:rPr>
            </w:pPr>
            <w:r w:rsidRPr="00F94D86">
              <w:rPr>
                <w:rFonts w:ascii="Times New Roman" w:hAnsi="Times New Roman"/>
                <w:bCs/>
                <w:i/>
                <w:szCs w:val="20"/>
              </w:rPr>
              <w:t xml:space="preserve">Taktiež reálne dochádza k zníženiu nákladov pre podnikateľov pri verifikácií zapísaného konečného užívateľa výhod prostredníctvom oprávnených osôb tým, že v návrhu zákona pribúda možnosť vykonať verifikáciu i „dobrovoľne“, t. j. mimo verifikačných udalostí uvedených v § 11 ods. 2, čo v praxi znamená, že verifikácia môže prebiehať na tzv. polročnej báze – teda vždy k 31.12, príslušného kalendárneho roka a v polovici kalendárneho roka, nakoľko po vykonaní verifikácie zákon pozná polročné oslobodenie od povinnosti zápisu. </w:t>
            </w:r>
          </w:p>
          <w:p w:rsidR="001F463D" w:rsidRPr="00F94D86" w:rsidRDefault="001F463D" w:rsidP="004A447A">
            <w:pPr>
              <w:jc w:val="both"/>
              <w:rPr>
                <w:rFonts w:ascii="Times New Roman" w:hAnsi="Times New Roman"/>
                <w:bCs/>
                <w:i/>
                <w:szCs w:val="20"/>
              </w:rPr>
            </w:pPr>
            <w:r w:rsidRPr="00F94D86">
              <w:rPr>
                <w:rFonts w:ascii="Times New Roman" w:hAnsi="Times New Roman"/>
                <w:bCs/>
                <w:i/>
                <w:szCs w:val="20"/>
              </w:rPr>
              <w:t xml:space="preserve">Schválenie návrhu zákona bude vyžadovať úpravu informačného systému registra partnerov verejného sektora vrátane úpravy služieb, ktoré poskytuje. Tieto zmeny si vyžiadajú rozpočtové výdavky, ktoré však sú rozpočtovo kryté v rámci schválených limitov výdavkov, t. j. bez dodatočných požiadaviek na rozpočet verejnej správy. </w:t>
            </w:r>
          </w:p>
          <w:p w:rsidR="001F463D" w:rsidRPr="00F94D86" w:rsidRDefault="001F463D" w:rsidP="004A447A">
            <w:pPr>
              <w:jc w:val="both"/>
              <w:rPr>
                <w:rFonts w:ascii="Times New Roman" w:hAnsi="Times New Roman"/>
                <w:bCs/>
                <w:i/>
              </w:rPr>
            </w:pPr>
            <w:r w:rsidRPr="00F94D86">
              <w:rPr>
                <w:rFonts w:ascii="Times New Roman" w:hAnsi="Times New Roman"/>
                <w:bCs/>
                <w:i/>
              </w:rPr>
              <w:t>Okrem pozitívnych vplyvov identifikoval predkladateľ i negatívne vplyvy na podnikateľské prostredie. Prvý negatívny vplyv súvisí so zmenou vnímania pojmu „vrcholový manažment“. Za členov vrcholového manažmentu partnera verejného sektora sa považujú už len štatutárny orgán a jeho členovia. Pokiaľ partner verejného sektora zapisuje týchto fiktívnych konečných užívateľov výhod, musí v rámci prechodného obdobia zabezpečiť zosúladenie zapísaných údajov a teda, ako konečných užívateľov výhod určí len štatutárny orgán a jeho členov, nie prokuristov ani zamestnancov v priamej riadiacej pôsobnosti štatutárneho orgánu. Druhý negatívny vplyv súvisí so zavedením zásad podľa ktorých sa posudzujú zmluvy a ich hodnota na účely povinnosti zápisu do registra. Podľa týchto zásad sa napríklad hodnota zmluvy, predmetom ktorej je opakujúce sa plnenie počíta počas celého obdobia trvania zmluvy, nie ako to bolo doteraz len počas jedného kalendárneho roka. Pokiaľ má subjekt uzavretú „živú“ zmluvu so štátom, ktorá z neho podľa týchto nových zásad robí partnera verejného sektora, má povinnosť zabezpečiť svoj dodatočný zápis do registra do konca novembra roku 2019, avšak len vtedy, ak hodnota plnenia ktorú má od účinnosti novely zákona prijať presahuje finančné limity stanovené zákonom. Sankcia za nesplnenie tejto povinnosti je možnosť odstúpenia od zmluvy, prípadne možnosť verejného sektora neplniť, to čo ukladá zmluva dokiaľ povinnosť zápisu nie je splnená.</w:t>
            </w:r>
          </w:p>
          <w:p w:rsidR="001F463D" w:rsidRPr="001F463D" w:rsidRDefault="001F463D" w:rsidP="001F463D">
            <w:pPr>
              <w:jc w:val="both"/>
              <w:rPr>
                <w:rFonts w:ascii="Times New Roman" w:hAnsi="Times New Roman"/>
                <w:bCs/>
                <w:i/>
                <w:sz w:val="20"/>
                <w:szCs w:val="20"/>
              </w:rPr>
            </w:pPr>
            <w:r w:rsidRPr="00F94D86">
              <w:rPr>
                <w:rFonts w:ascii="Times New Roman" w:hAnsi="Times New Roman"/>
                <w:i/>
              </w:rPr>
              <w:t xml:space="preserve">Okrem vplyvov na podnikateľské prostredie možno identifikovať i pozitívny  vplyv na informatizáciu spoločnosti tým, že v rámci existujúceho systému dochádza pri zápise partnerov verejného sektora k rozšíreniu možnosti zápisu pre subjekt: fyzická osoba - podnikateľ. K uvedenej zmene dochádza z dôvodu, že doterajšia právna úprava nerozlišovala medzi fyzickou osobou – podnikateľom a fyzickou osobou nepodnikateľom a fyzické osoby - podnikatelia sa zapisovali ako fyzické osoby, čo spôsobovalo </w:t>
            </w:r>
            <w:r w:rsidRPr="00F94D86">
              <w:rPr>
                <w:rFonts w:ascii="Times New Roman" w:hAnsi="Times New Roman"/>
                <w:i/>
              </w:rPr>
              <w:lastRenderedPageBreak/>
              <w:t xml:space="preserve">aplikačné problémy najmä pri zápise obchodného mena, keďže </w:t>
            </w:r>
            <w:proofErr w:type="spellStart"/>
            <w:r w:rsidRPr="00F94D86">
              <w:rPr>
                <w:rFonts w:ascii="Times New Roman" w:hAnsi="Times New Roman"/>
                <w:i/>
              </w:rPr>
              <w:t>prvozápisový</w:t>
            </w:r>
            <w:proofErr w:type="spellEnd"/>
            <w:r w:rsidRPr="00F94D86">
              <w:rPr>
                <w:rFonts w:ascii="Times New Roman" w:hAnsi="Times New Roman"/>
                <w:i/>
              </w:rPr>
              <w:t xml:space="preserve"> formulár pre fyzické osoby obsahuje možnosť zapisovať len údaje – meno a priezvisko a nie obchodné meno; to možno zapisovať len pri právnických osobách.</w:t>
            </w:r>
          </w:p>
        </w:tc>
      </w:tr>
      <w:tr w:rsidR="001F463D" w:rsidRPr="00F94D86" w:rsidTr="004A447A">
        <w:trPr>
          <w:jc w:val="center"/>
        </w:trPr>
        <w:tc>
          <w:tcPr>
            <w:tcW w:w="250" w:type="pct"/>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sz w:val="20"/>
                <w:szCs w:val="20"/>
              </w:rPr>
            </w:pPr>
            <w:r w:rsidRPr="00F94D86">
              <w:rPr>
                <w:rFonts w:ascii="Times New Roman" w:hAnsi="Times New Roman"/>
                <w:b/>
                <w:bCs/>
                <w:sz w:val="20"/>
                <w:szCs w:val="20"/>
              </w:rPr>
              <w:lastRenderedPageBreak/>
              <w:t>  11.  Kontakt na spracovateľa</w:t>
            </w:r>
          </w:p>
        </w:tc>
      </w:tr>
      <w:tr w:rsidR="001F463D" w:rsidRPr="00F94D86" w:rsidTr="004A447A">
        <w:trPr>
          <w:trHeight w:val="600"/>
          <w:jc w:val="center"/>
        </w:trPr>
        <w:tc>
          <w:tcPr>
            <w:tcW w:w="250" w:type="pct"/>
            <w:tcBorders>
              <w:top w:val="outset" w:sz="6" w:space="0" w:color="000000"/>
              <w:bottom w:val="outset" w:sz="6" w:space="0" w:color="000000"/>
            </w:tcBorders>
            <w:hideMark/>
          </w:tcPr>
          <w:p w:rsidR="001F463D" w:rsidRPr="00F94D86" w:rsidRDefault="001F463D" w:rsidP="004A447A">
            <w:pPr>
              <w:rPr>
                <w:rFonts w:ascii="Times New Roman" w:hAnsi="Times New Roman"/>
                <w:sz w:val="20"/>
                <w:szCs w:val="20"/>
              </w:rPr>
            </w:pPr>
            <w:r w:rsidRPr="00F94D86">
              <w:rPr>
                <w:rFonts w:ascii="Times New Roman" w:hAnsi="Times New Roman"/>
                <w:sz w:val="20"/>
                <w:szCs w:val="20"/>
              </w:rPr>
              <w:t>JUDr. Dominika Kardošová, odbor legislatívy občianskeho a obchodného práva, Ministerstvo spravodlivosti Slovenskej republiky, dominika.kardosova@justice.sk</w:t>
            </w:r>
          </w:p>
        </w:tc>
      </w:tr>
      <w:tr w:rsidR="001F463D" w:rsidRPr="00F94D86" w:rsidTr="004A447A">
        <w:trPr>
          <w:jc w:val="center"/>
        </w:trPr>
        <w:tc>
          <w:tcPr>
            <w:tcW w:w="250" w:type="pct"/>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12.  Zdroje</w:t>
            </w:r>
          </w:p>
        </w:tc>
      </w:tr>
      <w:tr w:rsidR="001F463D" w:rsidRPr="00F94D86" w:rsidTr="004A447A">
        <w:trPr>
          <w:trHeight w:val="600"/>
          <w:jc w:val="center"/>
        </w:trPr>
        <w:tc>
          <w:tcPr>
            <w:tcW w:w="250" w:type="pct"/>
            <w:tcBorders>
              <w:top w:val="outset" w:sz="6" w:space="0" w:color="000000"/>
              <w:bottom w:val="outset" w:sz="6" w:space="0" w:color="000000"/>
            </w:tcBorders>
            <w:hideMark/>
          </w:tcPr>
          <w:p w:rsidR="001F463D" w:rsidRPr="00F94D86" w:rsidRDefault="001F463D" w:rsidP="004A447A">
            <w:pPr>
              <w:jc w:val="both"/>
              <w:rPr>
                <w:rFonts w:ascii="Times New Roman" w:hAnsi="Times New Roman"/>
                <w:bCs/>
              </w:rPr>
            </w:pPr>
            <w:r w:rsidRPr="00F94D86">
              <w:rPr>
                <w:rFonts w:ascii="Times New Roman" w:hAnsi="Times New Roman"/>
                <w:bCs/>
              </w:rPr>
              <w:t xml:space="preserve">Pri výpočte vplyvov na rozpočet verejnej správy vychádzal predkladateľ z údajov </w:t>
            </w:r>
            <w:proofErr w:type="spellStart"/>
            <w:r w:rsidRPr="00F94D86">
              <w:rPr>
                <w:rFonts w:ascii="Times New Roman" w:hAnsi="Times New Roman"/>
                <w:bCs/>
              </w:rPr>
              <w:t>nacenenia</w:t>
            </w:r>
            <w:proofErr w:type="spellEnd"/>
            <w:r w:rsidRPr="00F94D86">
              <w:rPr>
                <w:rFonts w:ascii="Times New Roman" w:hAnsi="Times New Roman"/>
                <w:bCs/>
              </w:rPr>
              <w:t xml:space="preserve">  vypracovaného dodávateľom na základe objednávky navrhovaných zmien v registri partnerov verejného sektora.</w:t>
            </w:r>
          </w:p>
          <w:p w:rsidR="001F463D" w:rsidRPr="001F463D" w:rsidRDefault="001F463D" w:rsidP="001F463D">
            <w:pPr>
              <w:jc w:val="both"/>
              <w:rPr>
                <w:rFonts w:ascii="Times New Roman" w:hAnsi="Times New Roman"/>
                <w:bCs/>
              </w:rPr>
            </w:pPr>
            <w:r w:rsidRPr="00F94D86">
              <w:rPr>
                <w:rFonts w:ascii="Times New Roman" w:hAnsi="Times New Roman"/>
                <w:bCs/>
              </w:rPr>
              <w:t>Pri určení vplyvov na podnikateľské prostredie vychádza predkladateľ z aktuálnych údajov zapísaných v registri partnerov verejného sektora – z údajov o počte zapísaných partnerov verejného sektora a oprávnených osôb.</w:t>
            </w:r>
          </w:p>
        </w:tc>
      </w:tr>
      <w:tr w:rsidR="001F463D" w:rsidRPr="00F94D86" w:rsidTr="004A447A">
        <w:trPr>
          <w:jc w:val="center"/>
        </w:trPr>
        <w:tc>
          <w:tcPr>
            <w:tcW w:w="250" w:type="pct"/>
            <w:tcBorders>
              <w:top w:val="outset" w:sz="6" w:space="0" w:color="000000"/>
              <w:bottom w:val="outset" w:sz="6" w:space="0" w:color="000000"/>
            </w:tcBorders>
            <w:shd w:val="clear" w:color="auto" w:fill="E6E6E6"/>
            <w:hideMark/>
          </w:tcPr>
          <w:p w:rsidR="001F463D" w:rsidRPr="00F94D86" w:rsidRDefault="001F463D" w:rsidP="004A447A">
            <w:pPr>
              <w:rPr>
                <w:rFonts w:ascii="Times New Roman" w:hAnsi="Times New Roman"/>
                <w:b/>
                <w:bCs/>
              </w:rPr>
            </w:pPr>
            <w:r w:rsidRPr="00F94D86">
              <w:rPr>
                <w:rFonts w:ascii="Times New Roman" w:hAnsi="Times New Roman"/>
                <w:b/>
                <w:bCs/>
              </w:rPr>
              <w:t>  13.  Stanovisko Komisie pre posudzovanie vybraných vplyvov z PPK</w:t>
            </w:r>
          </w:p>
        </w:tc>
      </w:tr>
      <w:tr w:rsidR="001F463D" w:rsidRPr="00F94D86" w:rsidTr="004A447A">
        <w:trPr>
          <w:trHeight w:val="1200"/>
          <w:jc w:val="center"/>
        </w:trPr>
        <w:tc>
          <w:tcPr>
            <w:tcW w:w="250" w:type="pct"/>
            <w:tcBorders>
              <w:top w:val="outset" w:sz="6" w:space="0" w:color="000000"/>
              <w:bottom w:val="outset" w:sz="6" w:space="0" w:color="000000"/>
            </w:tcBorders>
            <w:hideMark/>
          </w:tcPr>
          <w:p w:rsidR="001F463D" w:rsidRPr="00F94D86" w:rsidRDefault="001F463D" w:rsidP="004A447A">
            <w:pPr>
              <w:tabs>
                <w:tab w:val="center" w:pos="6379"/>
              </w:tabs>
              <w:ind w:right="-2"/>
              <w:jc w:val="both"/>
              <w:rPr>
                <w:rFonts w:ascii="Times New Roman" w:hAnsi="Times New Roman"/>
                <w:b/>
                <w:bCs/>
              </w:rPr>
            </w:pP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
                <w:bCs/>
              </w:rPr>
              <w:t xml:space="preserve">I. Úvod: </w:t>
            </w:r>
            <w:r w:rsidRPr="00F94D86">
              <w:rPr>
                <w:rFonts w:ascii="Times New Roman" w:hAnsi="Times New Roman"/>
                <w:bCs/>
              </w:rPr>
              <w:t xml:space="preserve">Ministerstvo spravodlivosti </w:t>
            </w:r>
            <w:r w:rsidRPr="00F94D86">
              <w:rPr>
                <w:rFonts w:ascii="Times New Roman" w:hAnsi="Times New Roman"/>
              </w:rPr>
              <w:t>Slovenskej republiky</w:t>
            </w:r>
            <w:r w:rsidRPr="00F94D86">
              <w:rPr>
                <w:rFonts w:ascii="Times New Roman" w:hAnsi="Times New Roman"/>
                <w:bCs/>
              </w:rPr>
              <w:t xml:space="preserve"> dňa 10. júla 2018 predložilo Stálej pracovnej komisii na posudzovanie vybraných vplyvov (ďalej len „Komisia“) na predbežné pripomienkové konanie materiál </w:t>
            </w:r>
            <w:r w:rsidRPr="00F94D86">
              <w:rPr>
                <w:rFonts w:ascii="Times New Roman" w:hAnsi="Times New Roman"/>
                <w:bCs/>
                <w:i/>
              </w:rPr>
              <w:t>„Návrh zákona, ktorým sa mení a dopĺňa zákon č. 315/2016 Z. z. o registri partnerov verejného sektora a o zmene a o doplnení niektorých zákonov v znení zákona č. 38/2017 Z. z. a ktorým sa menia a dopĺňajú niektoré zákony´“</w:t>
            </w:r>
            <w:r w:rsidRPr="00F94D86">
              <w:rPr>
                <w:rFonts w:ascii="Times New Roman" w:hAnsi="Times New Roman"/>
                <w:bCs/>
              </w:rPr>
              <w:t>.</w:t>
            </w:r>
            <w:r w:rsidRPr="00F94D86">
              <w:rPr>
                <w:rFonts w:ascii="Times New Roman" w:hAnsi="Times New Roman"/>
                <w:bCs/>
                <w:i/>
              </w:rPr>
              <w:t xml:space="preserve"> </w:t>
            </w:r>
            <w:r w:rsidRPr="00F94D86">
              <w:rPr>
                <w:rFonts w:ascii="Times New Roman" w:hAnsi="Times New Roman"/>
                <w:bCs/>
              </w:rPr>
              <w:t>Materiál predpokladá negatívne vplyvy na rozpočet verejnej správy, ktoré sú rozpočtovo zabezpečené, a pozitívne vplyvy na podnikateľské prostredie, vrátane pozitívnych vplyvov na malé a stredné podniky.</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
                <w:bCs/>
              </w:rPr>
              <w:t>II. P</w:t>
            </w:r>
            <w:r w:rsidRPr="00F94D86">
              <w:rPr>
                <w:rFonts w:ascii="Times New Roman" w:hAnsi="Times New Roman"/>
                <w:b/>
              </w:rPr>
              <w:t>r</w:t>
            </w:r>
            <w:r w:rsidRPr="00F94D86">
              <w:rPr>
                <w:rFonts w:ascii="Times New Roman" w:hAnsi="Times New Roman"/>
                <w:b/>
                <w:bCs/>
              </w:rPr>
              <w:t>ipomienky a návrhy zm</w:t>
            </w:r>
            <w:r w:rsidRPr="00F94D86">
              <w:rPr>
                <w:rFonts w:ascii="Times New Roman" w:hAnsi="Times New Roman"/>
                <w:b/>
              </w:rPr>
              <w:t>ie</w:t>
            </w:r>
            <w:r w:rsidRPr="00F94D86">
              <w:rPr>
                <w:rFonts w:ascii="Times New Roman" w:hAnsi="Times New Roman"/>
                <w:b/>
                <w:bCs/>
              </w:rPr>
              <w:t xml:space="preserve">n: </w:t>
            </w:r>
            <w:r w:rsidRPr="00F94D86">
              <w:rPr>
                <w:rFonts w:ascii="Times New Roman" w:hAnsi="Times New Roman"/>
                <w:bCs/>
              </w:rPr>
              <w:t>Komisia uplatňuje k materiálu nasledovné pripomienky a odporúčania:</w:t>
            </w:r>
          </w:p>
          <w:p w:rsidR="001F463D" w:rsidRPr="00F94D86" w:rsidRDefault="001F463D" w:rsidP="004A447A">
            <w:pPr>
              <w:ind w:right="-2"/>
              <w:jc w:val="both"/>
              <w:rPr>
                <w:rFonts w:ascii="Times New Roman" w:hAnsi="Times New Roman"/>
                <w:b/>
                <w:bCs/>
              </w:rPr>
            </w:pPr>
            <w:r w:rsidRPr="00F94D86">
              <w:rPr>
                <w:rFonts w:ascii="Times New Roman" w:hAnsi="Times New Roman"/>
                <w:b/>
                <w:bCs/>
              </w:rPr>
              <w:t>K doložke vybraných vplyvov a celému materiálu</w:t>
            </w:r>
          </w:p>
          <w:p w:rsidR="001F463D" w:rsidRPr="00F94D86" w:rsidRDefault="001F463D" w:rsidP="004A447A">
            <w:pPr>
              <w:ind w:right="-2"/>
              <w:jc w:val="both"/>
              <w:rPr>
                <w:rFonts w:ascii="Times New Roman" w:hAnsi="Times New Roman"/>
                <w:bCs/>
              </w:rPr>
            </w:pPr>
            <w:r w:rsidRPr="00F94D86">
              <w:rPr>
                <w:rFonts w:ascii="Times New Roman" w:hAnsi="Times New Roman"/>
                <w:bCs/>
              </w:rPr>
              <w:t>Komisia žiada predkladateľa opätovne prehodnotiť vplyvy na podnikateľské prostredie. Predkladateľ v materiáli sám uvádza, že materiál tiež „...na jednej strane zvyšuje nároky na partnerov verejného sektora“, no v doložke vybraných vplyvov vyznačil len pozitívne vplyvy na podnikateľské prostredie. V zmysle jednotnej metodiky, predkladateľ by sa mal sústrediť na tie časti predkladaného materiálu, pri ktorých dochádza k zvýšeniu/zníženiu nákladov pre podnikateľský sektor. Ako príklad existujúcich negatívnych vplyvov na podnikateľské prostredie v predmetnom materiáli Komisia uvádza:</w:t>
            </w:r>
          </w:p>
          <w:p w:rsidR="001F463D" w:rsidRPr="00F94D86" w:rsidRDefault="001F463D" w:rsidP="001F463D">
            <w:pPr>
              <w:numPr>
                <w:ilvl w:val="0"/>
                <w:numId w:val="7"/>
              </w:numPr>
              <w:suppressAutoHyphens/>
              <w:spacing w:after="0" w:line="240" w:lineRule="auto"/>
              <w:ind w:left="709" w:right="-2"/>
              <w:jc w:val="both"/>
              <w:rPr>
                <w:rFonts w:ascii="Times New Roman" w:hAnsi="Times New Roman"/>
                <w:bCs/>
              </w:rPr>
            </w:pPr>
            <w:r w:rsidRPr="00F94D86">
              <w:rPr>
                <w:rFonts w:ascii="Times New Roman" w:hAnsi="Times New Roman"/>
                <w:bCs/>
              </w:rPr>
              <w:t>Negatívne vplyvy súvisiace s administratívnymi nákladmi vyplývajúcimi z bodu 15 (§4 ods. 2 písm. d), na základe ktorého je podľa navrhovanej právnej úpravy pri konečných užívateľoch výhod zavedená povinnosť uvádzať aj ďalšie údaje (adresu iného pobytu, rodné číslo, druh a číslo dokladu totožnosti a tiež údaj, ktorý zakladá postavenie konečného užívateľa výhod); a tiež z bodu 22 (§9 ods. 2), na základe ktorého vzniká povinnosť informovať nie len o zmenách v zapísaných údajoch o konečnom užívateľovi výhod, ale aj o zmenách v údajoch, ktoré sú vedené v registri partnerov verejného sektora. S touto zmenou takisto súvisia náklady spojené s odplatou pre oprávnené osoby.</w:t>
            </w:r>
          </w:p>
          <w:p w:rsidR="001F463D" w:rsidRPr="00F94D86" w:rsidRDefault="001F463D" w:rsidP="001F463D">
            <w:pPr>
              <w:numPr>
                <w:ilvl w:val="0"/>
                <w:numId w:val="7"/>
              </w:numPr>
              <w:suppressAutoHyphens/>
              <w:spacing w:after="0" w:line="240" w:lineRule="auto"/>
              <w:ind w:left="709" w:right="-2"/>
              <w:jc w:val="both"/>
              <w:rPr>
                <w:rFonts w:ascii="Times New Roman" w:hAnsi="Times New Roman"/>
                <w:bCs/>
              </w:rPr>
            </w:pPr>
            <w:r w:rsidRPr="00F94D86">
              <w:rPr>
                <w:rFonts w:ascii="Times New Roman" w:hAnsi="Times New Roman"/>
                <w:bCs/>
              </w:rPr>
              <w:t xml:space="preserve">Negatívne vplyvy súvisiace s administratívnymi nákladmi vyplývajúcimi z bodu 21 (§9 ods. 1), na základe ktorého sa zavádza povinnosť oznamovať registrujúcemu orgánu zmenu údajov o </w:t>
            </w:r>
            <w:r w:rsidRPr="00F94D86">
              <w:rPr>
                <w:rFonts w:ascii="Times New Roman" w:hAnsi="Times New Roman"/>
                <w:bCs/>
              </w:rPr>
              <w:lastRenderedPageBreak/>
              <w:t>konečných užívateľoch výhod, ako aj iné zmeny týkajúce sa vlastníckej a riadiacej štruktúry partnera verejného sektora, do 60 dní od kedy zmena nastala. K uvedeným zmenám takisto prináleží povinnosť priložiť aktualizovaný verifikačný dokument. S touto zmenou takisto súvisia náklady spojené s odplatou pre oprávnené osoby.</w:t>
            </w:r>
          </w:p>
          <w:p w:rsidR="001F463D" w:rsidRPr="00F94D86" w:rsidRDefault="001F463D" w:rsidP="001F463D">
            <w:pPr>
              <w:numPr>
                <w:ilvl w:val="0"/>
                <w:numId w:val="7"/>
              </w:numPr>
              <w:suppressAutoHyphens/>
              <w:spacing w:after="0" w:line="240" w:lineRule="auto"/>
              <w:ind w:left="709" w:right="-2"/>
              <w:jc w:val="both"/>
              <w:rPr>
                <w:rFonts w:ascii="Times New Roman" w:hAnsi="Times New Roman"/>
                <w:bCs/>
              </w:rPr>
            </w:pPr>
            <w:r w:rsidRPr="00F94D86">
              <w:rPr>
                <w:rFonts w:ascii="Times New Roman" w:hAnsi="Times New Roman"/>
                <w:bCs/>
              </w:rPr>
              <w:tab/>
              <w:t xml:space="preserve">Možné negatívne vplyvy súvisiace s rozšírením okruhu subjektov o </w:t>
            </w:r>
            <w:proofErr w:type="spellStart"/>
            <w:r w:rsidRPr="00F94D86">
              <w:rPr>
                <w:rFonts w:ascii="Times New Roman" w:hAnsi="Times New Roman"/>
                <w:bCs/>
              </w:rPr>
              <w:t>čerpateľov</w:t>
            </w:r>
            <w:proofErr w:type="spellEnd"/>
            <w:r w:rsidRPr="00F94D86">
              <w:rPr>
                <w:rFonts w:ascii="Times New Roman" w:hAnsi="Times New Roman"/>
                <w:bCs/>
              </w:rPr>
              <w:t xml:space="preserve"> z akýchkoľvek fondov EÚ, v zmysle bodu 2 (§2 ods. 1 písm. a) prvý bod). Súčasne predkladaná formulácia by rozšírila okruh subjektov napríklad o subjekty podnikajúce v poľnohospodárstve, čerpajúce iné než štrukturálne alebo investičné európske fondy.</w:t>
            </w:r>
          </w:p>
          <w:p w:rsidR="001F463D" w:rsidRPr="00F94D86" w:rsidRDefault="001F463D" w:rsidP="004A447A">
            <w:pPr>
              <w:ind w:right="-2"/>
              <w:jc w:val="both"/>
              <w:rPr>
                <w:rFonts w:ascii="Times New Roman" w:hAnsi="Times New Roman"/>
                <w:bCs/>
              </w:rPr>
            </w:pPr>
          </w:p>
          <w:p w:rsidR="001F463D" w:rsidRPr="00F94D86" w:rsidRDefault="001F463D" w:rsidP="004A447A">
            <w:pPr>
              <w:ind w:right="-2"/>
              <w:jc w:val="both"/>
              <w:rPr>
                <w:rFonts w:ascii="Times New Roman" w:hAnsi="Times New Roman"/>
                <w:bCs/>
              </w:rPr>
            </w:pPr>
            <w:r w:rsidRPr="00F94D86">
              <w:rPr>
                <w:rFonts w:ascii="Times New Roman" w:hAnsi="Times New Roman"/>
                <w:bCs/>
              </w:rPr>
              <w:t xml:space="preserve">Komisia preto žiada predkladateľa o vyznačenie negatívnych vplyvov do doložky vybraných vplyvov a ich dopracovanie v rámci analýzy vplyvov na podnikateľské prostredie. </w:t>
            </w:r>
          </w:p>
          <w:p w:rsidR="001F463D" w:rsidRPr="00F94D86" w:rsidRDefault="001F463D" w:rsidP="004A447A">
            <w:pPr>
              <w:ind w:right="-2"/>
              <w:jc w:val="both"/>
              <w:rPr>
                <w:rFonts w:ascii="Times New Roman" w:hAnsi="Times New Roman"/>
                <w:bCs/>
              </w:rPr>
            </w:pPr>
            <w:r w:rsidRPr="00F94D86">
              <w:rPr>
                <w:rFonts w:ascii="Times New Roman" w:hAnsi="Times New Roman"/>
                <w:bCs/>
              </w:rPr>
              <w:t>Do predbežného pripomienkového konania predkladateľ dodatočne zasiela analýzu vplyvov na informatizáciu spoločnosti, príslušné vplyvy však v materiáli neuvádza. V zmysle koherentnosti materiálu odporúča Komisia zjednotiť jeho jednotlivé časti a správne vyznačiť prítomnosť jednotlivých vplyvov v rámci doložky vybraných vplyvov k tomuto materiálu, ako aj v rámci ostatných častí materiálu.</w:t>
            </w:r>
          </w:p>
          <w:p w:rsidR="001F463D" w:rsidRPr="00F94D86" w:rsidRDefault="001F463D" w:rsidP="004A447A">
            <w:pPr>
              <w:ind w:right="-2"/>
              <w:jc w:val="both"/>
              <w:rPr>
                <w:rFonts w:ascii="Times New Roman" w:hAnsi="Times New Roman"/>
                <w:bCs/>
              </w:rPr>
            </w:pPr>
            <w:r w:rsidRPr="00F94D86">
              <w:rPr>
                <w:rFonts w:ascii="Times New Roman" w:hAnsi="Times New Roman"/>
                <w:bCs/>
              </w:rPr>
              <w:t>Predkladateľovi odporúča Komisia dopracovať časť 12. doložky vybraných vplyvov a uviesť zdroje údajov, z ktorých vychádzal.</w:t>
            </w:r>
          </w:p>
          <w:p w:rsidR="001F463D" w:rsidRPr="00F94D86" w:rsidRDefault="001F463D" w:rsidP="004A447A">
            <w:pPr>
              <w:ind w:right="-2"/>
              <w:jc w:val="both"/>
              <w:rPr>
                <w:rFonts w:ascii="Times New Roman" w:hAnsi="Times New Roman"/>
                <w:b/>
                <w:bCs/>
              </w:rPr>
            </w:pPr>
            <w:r w:rsidRPr="00F94D86">
              <w:rPr>
                <w:rFonts w:ascii="Times New Roman" w:hAnsi="Times New Roman"/>
                <w:b/>
                <w:bCs/>
              </w:rPr>
              <w:t>K analýze vplyvov na podnikateľské prostredie</w:t>
            </w:r>
          </w:p>
          <w:p w:rsidR="001F463D" w:rsidRPr="00F94D86" w:rsidRDefault="001F463D" w:rsidP="004A447A">
            <w:pPr>
              <w:ind w:right="-2"/>
              <w:jc w:val="both"/>
              <w:rPr>
                <w:rFonts w:ascii="Times New Roman" w:hAnsi="Times New Roman"/>
                <w:bCs/>
              </w:rPr>
            </w:pPr>
            <w:r w:rsidRPr="00F94D86">
              <w:rPr>
                <w:rFonts w:ascii="Times New Roman" w:hAnsi="Times New Roman"/>
                <w:bCs/>
              </w:rPr>
              <w:t>Komisia odporúča predkladateľovi v časti 3.1 Dotknuté podnikateľské subjekty nie len tieto subjekty menovať, ale tiež určiť ich počet. V tejto časti predkladateľ tiež uvádza len jeden okruh subjektov dotknutých návrhom zákona, ale ten sa dotýka nielen podnikateľov vylúčených z pôsobnosti zákona, ale aj ostatných z pozície partnerov verejného sektora a oprávnených osôb; Komisia preto žiada o ich uvedenie do tejto časti Analýzy vplyvov na podnikateľské prostredie, aby bolo zrejmé, že novelou sa nezavádza len táto konkrétna zmena spočívajúca v zmene pôsobnosti zákona.</w:t>
            </w:r>
          </w:p>
          <w:p w:rsidR="001F463D" w:rsidRPr="00F94D86" w:rsidRDefault="001F463D" w:rsidP="004A447A">
            <w:pPr>
              <w:ind w:right="-2"/>
              <w:jc w:val="both"/>
              <w:rPr>
                <w:rFonts w:ascii="Times New Roman" w:hAnsi="Times New Roman"/>
                <w:bCs/>
              </w:rPr>
            </w:pPr>
            <w:r w:rsidRPr="00F94D86">
              <w:rPr>
                <w:rFonts w:ascii="Times New Roman" w:hAnsi="Times New Roman"/>
                <w:bCs/>
              </w:rPr>
              <w:t>Komisia odporúča predkladateľovi popísať detailnejšie odbúravanie administratívnej záťaže pre podnikateľov, ktorú tento materiál prináša, a to v časti 3.3.3 Administratívne náklady. Príkladom, kedy dochádza k úprave/odstráneniu existujúcich administratívnych povinností, môžu byť napríklad zmeny, na ktoré predkladateľ poukazuje aj v dôvodovej správe, keď uvádza, že "návrh zákona bude vo výsledku znižovať administratívnu záťaž na strane partnerov verejného sektora, pretože zužuje okruh pôsobnosti zákona, a teda aj okruh právnych vzťahov, pri ktorých vzniká povinnosť zápisu do registra partnerov verejného sektora."</w:t>
            </w:r>
          </w:p>
          <w:p w:rsidR="001F463D" w:rsidRPr="00F94D86" w:rsidRDefault="001F463D" w:rsidP="004A447A">
            <w:pPr>
              <w:ind w:right="-2"/>
              <w:jc w:val="both"/>
              <w:rPr>
                <w:rFonts w:ascii="Times New Roman" w:hAnsi="Times New Roman"/>
                <w:bCs/>
              </w:rPr>
            </w:pPr>
            <w:r w:rsidRPr="00F94D86">
              <w:rPr>
                <w:rFonts w:ascii="Times New Roman" w:hAnsi="Times New Roman"/>
                <w:bCs/>
              </w:rPr>
              <w:t>Predkladateľ uvádza viacero zmien, ktoré zvyšujú, resp. znižujú administratívne náklady podnikateľských subjektov, napr. „...zavádza sa povinnosť oznamovať registrujúcemu orgánu nielen zmenu údajov o konečných užívateľoch výhod, ale aj akékoľvek zmeny vo vlastníckej či riadiacej štruktúre partnera verejného sektora, a to do 60 dní od kedy uvedená zmena nastala, ako aj povinnosť priložiť aktualizovaný verifikačný dokument...“. Komisia žiada o uvedenie týchto nákladov do časti 3.3.3 Administratívne náklady a v prípade, že predkladateľ bude vedieť tieto náklady aj vyčísliť, aj o zaradenie do časti 3.3.4.</w:t>
            </w:r>
          </w:p>
          <w:p w:rsidR="001F463D" w:rsidRPr="00F94D86" w:rsidRDefault="001F463D" w:rsidP="004A447A">
            <w:pPr>
              <w:ind w:right="-2"/>
              <w:jc w:val="both"/>
              <w:rPr>
                <w:rFonts w:ascii="Times New Roman" w:hAnsi="Times New Roman"/>
                <w:bCs/>
              </w:rPr>
            </w:pPr>
          </w:p>
          <w:p w:rsidR="001F463D" w:rsidRPr="00F94D86" w:rsidRDefault="001F463D" w:rsidP="004A447A">
            <w:pPr>
              <w:ind w:right="-2"/>
              <w:jc w:val="both"/>
              <w:rPr>
                <w:rFonts w:ascii="Times New Roman" w:hAnsi="Times New Roman"/>
                <w:bCs/>
              </w:rPr>
            </w:pPr>
            <w:r w:rsidRPr="00F94D86">
              <w:rPr>
                <w:rFonts w:ascii="Times New Roman" w:hAnsi="Times New Roman"/>
                <w:bCs/>
              </w:rPr>
              <w:t xml:space="preserve">V časti 3.3.1 Priame finančné náklady predkladateľ popísal jednotlivé zmeny, ktoré vedú k zníženiu priamych finančných nákladov, ale ani na príklade sa nepokúsil toto zníženie kvantifikovať, a to aj </w:t>
            </w:r>
            <w:r w:rsidRPr="00F94D86">
              <w:rPr>
                <w:rFonts w:ascii="Times New Roman" w:hAnsi="Times New Roman"/>
                <w:bCs/>
              </w:rPr>
              <w:lastRenderedPageBreak/>
              <w:t>napriek tomu, že disponuje podkladmi pre vyčíslenie subjektov z radov partnerov verejného sektora, ako aj oprávnených osôb. Komisia preto žiada, aby predkladateľ okrem kvalitatívneho popisu zahrnul do tejto časti aj kvantifikáciu zníženia nákladov a uviedol toto číslo aj do časti 3.3.4 Súhrnná tabuľka nákladov regulácie.</w:t>
            </w:r>
          </w:p>
          <w:p w:rsidR="001F463D" w:rsidRPr="00F94D86" w:rsidRDefault="001F463D" w:rsidP="004A447A">
            <w:pPr>
              <w:ind w:right="-2"/>
              <w:jc w:val="both"/>
              <w:rPr>
                <w:rFonts w:ascii="Times New Roman" w:hAnsi="Times New Roman"/>
                <w:bCs/>
              </w:rPr>
            </w:pPr>
            <w:r w:rsidRPr="00F94D86">
              <w:rPr>
                <w:rFonts w:ascii="Times New Roman" w:hAnsi="Times New Roman"/>
                <w:bCs/>
              </w:rPr>
              <w:t xml:space="preserve">V časti 3.3.4. Súhrnná tabuľka nákladov regulácie Komisia takisto odporúča predkladateľovi vyčísliť všetky vplyvy, a teda kvantifikovať všetky náklady, ktoré podnikatelia ušetria, resp. ktoré ich táto regulácia bude stáť. Výpočet predkladateľ popíše v rámci jednotlivých druhov nákladov. </w:t>
            </w:r>
          </w:p>
          <w:p w:rsidR="001F463D" w:rsidRPr="00F94D86" w:rsidRDefault="001F463D" w:rsidP="004A447A">
            <w:pPr>
              <w:ind w:right="-2"/>
              <w:jc w:val="both"/>
              <w:rPr>
                <w:rFonts w:ascii="Times New Roman" w:hAnsi="Times New Roman"/>
                <w:bCs/>
              </w:rPr>
            </w:pPr>
            <w:r w:rsidRPr="00F94D86">
              <w:rPr>
                <w:rFonts w:ascii="Times New Roman" w:hAnsi="Times New Roman"/>
                <w:bCs/>
              </w:rPr>
              <w:t xml:space="preserve">Pri vyčíslení je možné pomôcť si kalkulačkou nákladov regulácie, ktorú predkladateľ nájde na nasledujúcom odkaze: </w:t>
            </w:r>
            <w:hyperlink r:id="rId10" w:history="1">
              <w:r w:rsidRPr="00F94D86">
                <w:rPr>
                  <w:rStyle w:val="Hypertextovprepojenie"/>
                  <w:rFonts w:ascii="Times New Roman" w:hAnsi="Times New Roman"/>
                  <w:bCs/>
                </w:rPr>
                <w:t>http://www.economy.gov.sk/podnikatelske-prostredie/lepsia-regulacia/regulacne-zatazenie/kalkulacka-nakladov-regulacie</w:t>
              </w:r>
            </w:hyperlink>
          </w:p>
          <w:p w:rsidR="001F463D" w:rsidRPr="00F94D86" w:rsidRDefault="001F463D" w:rsidP="004A447A">
            <w:pPr>
              <w:ind w:right="-2"/>
              <w:jc w:val="both"/>
              <w:rPr>
                <w:rFonts w:ascii="Times New Roman" w:hAnsi="Times New Roman"/>
                <w:lang w:val="cs-CZ"/>
              </w:rPr>
            </w:pPr>
            <w:r w:rsidRPr="00F94D86">
              <w:rPr>
                <w:rFonts w:ascii="Times New Roman" w:hAnsi="Times New Roman"/>
                <w:bCs/>
              </w:rPr>
              <w:t>Komisia odporúča predkladateľovi dopracovať časť 3.4. analýzy vplyvov na podnikateľské prostredie, popisujúc konkrétnejšie akým spôsobom materiál ovplyvňuje konkurencieschopnosť dotknutých podnikateľských subjektov.</w:t>
            </w:r>
            <w:r w:rsidRPr="00F94D86">
              <w:rPr>
                <w:rFonts w:ascii="Times New Roman" w:hAnsi="Times New Roman"/>
              </w:rPr>
              <w:t xml:space="preserve"> </w:t>
            </w:r>
          </w:p>
          <w:p w:rsidR="001F463D" w:rsidRPr="00F94D86" w:rsidRDefault="001F463D" w:rsidP="004A447A">
            <w:pPr>
              <w:ind w:right="-2"/>
              <w:jc w:val="both"/>
              <w:rPr>
                <w:rFonts w:ascii="Times New Roman" w:hAnsi="Times New Roman"/>
                <w:bCs/>
              </w:rPr>
            </w:pPr>
            <w:r w:rsidRPr="00F94D86">
              <w:rPr>
                <w:rFonts w:ascii="Times New Roman" w:hAnsi="Times New Roman"/>
                <w:bCs/>
              </w:rPr>
              <w:t>V časti 3.4 Konkurencieschopnosť a správanie sa podnikov na trhu  Komisia predkladateľovi tiež odporúča uviesť dôvody vylúčenia určitých subjektov z pôsobnosti zákona, nakoľko odôvodňuje tieto zmeny práve v súvislosti s konkurencieschopnosťou, napr. registráciou Slovenskej záručnej a rozvojovej banky „...stávajú sa podmienky, za ktorých Slovenská záručná a rozvojová banka, a. s. tieto finančné služby poskytuje reálne menej výhodnými“, ďalej zmena, v rámci ktorej „...sa umožní vykonávanie činnosti oprávnenej osoby aj zahraničným oprávnených osobám, ak vykonávajú činnosť na území Slovenskej republiky prostredníctvom organizačnej zložky“.</w:t>
            </w:r>
          </w:p>
          <w:p w:rsidR="001F463D" w:rsidRPr="00F94D86" w:rsidRDefault="001F463D" w:rsidP="004A447A">
            <w:pPr>
              <w:ind w:right="-2"/>
              <w:jc w:val="both"/>
              <w:rPr>
                <w:rFonts w:ascii="Times New Roman" w:hAnsi="Times New Roman"/>
                <w:b/>
                <w:bCs/>
              </w:rPr>
            </w:pPr>
            <w:r w:rsidRPr="00F94D86">
              <w:rPr>
                <w:rFonts w:ascii="Times New Roman" w:hAnsi="Times New Roman"/>
                <w:b/>
                <w:bCs/>
              </w:rPr>
              <w:t>K analýze vplyvov na rozpočet verejnej správy</w:t>
            </w:r>
          </w:p>
          <w:p w:rsidR="001F463D" w:rsidRPr="00F94D86" w:rsidRDefault="001F463D" w:rsidP="004A447A">
            <w:pPr>
              <w:ind w:right="-2"/>
              <w:jc w:val="both"/>
              <w:rPr>
                <w:rFonts w:ascii="Times New Roman" w:hAnsi="Times New Roman"/>
                <w:bCs/>
              </w:rPr>
            </w:pPr>
            <w:r w:rsidRPr="00F94D86">
              <w:rPr>
                <w:rFonts w:ascii="Times New Roman" w:hAnsi="Times New Roman"/>
                <w:bCs/>
              </w:rPr>
              <w:t xml:space="preserve">Predkladateľ zaslal materiál na PPK 10. júla 2018, pričom v materiáli absentovala analýza vplyvov na rozpočet verejnej správy. Túto analýzu MF SR </w:t>
            </w:r>
            <w:proofErr w:type="spellStart"/>
            <w:r w:rsidRPr="00F94D86">
              <w:rPr>
                <w:rFonts w:ascii="Times New Roman" w:hAnsi="Times New Roman"/>
                <w:bCs/>
              </w:rPr>
              <w:t>obdržalo</w:t>
            </w:r>
            <w:proofErr w:type="spellEnd"/>
            <w:r w:rsidRPr="00F94D86">
              <w:rPr>
                <w:rFonts w:ascii="Times New Roman" w:hAnsi="Times New Roman"/>
                <w:bCs/>
              </w:rPr>
              <w:t xml:space="preserve"> až dodatočne 20. júla 2018, teda krátko pred uplynutím termínu PPK. Komisia upozorňuje, že v takýchto prípadoch je potrebné predĺžiť termín na vypracovanie stanoviska v rámci PPK.</w:t>
            </w:r>
          </w:p>
          <w:p w:rsidR="001F463D" w:rsidRPr="00F94D86" w:rsidRDefault="001F463D" w:rsidP="004A447A">
            <w:pPr>
              <w:ind w:right="-2"/>
              <w:jc w:val="both"/>
              <w:rPr>
                <w:rFonts w:ascii="Times New Roman" w:hAnsi="Times New Roman"/>
                <w:bCs/>
              </w:rPr>
            </w:pPr>
            <w:r w:rsidRPr="00F94D86">
              <w:rPr>
                <w:rFonts w:ascii="Times New Roman" w:hAnsi="Times New Roman"/>
                <w:b/>
                <w:bCs/>
              </w:rPr>
              <w:br w:type="page"/>
              <w:t xml:space="preserve">III. Záver: </w:t>
            </w:r>
            <w:r w:rsidRPr="00F94D86">
              <w:rPr>
                <w:rFonts w:ascii="Times New Roman" w:hAnsi="Times New Roman"/>
                <w:bCs/>
              </w:rPr>
              <w:t xml:space="preserve">Stála pracovná komisia na posudzovanie vybraných vplyvov vyjadruje </w:t>
            </w:r>
          </w:p>
          <w:p w:rsidR="001F463D" w:rsidRPr="00F94D86" w:rsidRDefault="001F463D" w:rsidP="004A447A">
            <w:pPr>
              <w:tabs>
                <w:tab w:val="center" w:pos="6379"/>
              </w:tabs>
              <w:ind w:right="-2"/>
              <w:jc w:val="center"/>
              <w:rPr>
                <w:rFonts w:ascii="Times New Roman" w:hAnsi="Times New Roman"/>
                <w:b/>
                <w:bCs/>
              </w:rPr>
            </w:pPr>
            <w:r w:rsidRPr="00F94D86">
              <w:rPr>
                <w:rFonts w:ascii="Times New Roman" w:hAnsi="Times New Roman"/>
                <w:b/>
                <w:bCs/>
              </w:rPr>
              <w:t>nesúhlasné stanovisko</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Cs/>
              </w:rPr>
              <w:t xml:space="preserve">s materiálom predloženým na predbežné pripomienkové konanie s odporúčaním na jeho dopracovanie podľa pripomienok v bode II.  </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
                <w:bCs/>
              </w:rPr>
              <w:t xml:space="preserve">IV. Poznámka: </w:t>
            </w:r>
            <w:r w:rsidRPr="00F94D86">
              <w:rPr>
                <w:rFonts w:ascii="Times New Roman" w:hAnsi="Times New Roman"/>
                <w:bCs/>
              </w:rPr>
              <w:t>Predkladateľ zapracuje pripomienky a odporúčania na úpravu uvedené v bode II a uvedie stanovisko Komisie do Doložky vybraných vplyvov spolu s vyhodnotením pripomienok.</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C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1F463D" w:rsidRPr="00F94D86" w:rsidRDefault="001F463D" w:rsidP="004A447A">
            <w:pPr>
              <w:tabs>
                <w:tab w:val="center" w:pos="6379"/>
              </w:tabs>
              <w:ind w:right="-2"/>
              <w:jc w:val="both"/>
              <w:rPr>
                <w:rFonts w:ascii="Times New Roman" w:hAnsi="Times New Roman"/>
                <w:bCs/>
              </w:rPr>
            </w:pP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Cs/>
              </w:rPr>
              <w:lastRenderedPageBreak/>
              <w:t>Po vyhodnotení medzirezortného pripomienkového konania predkladateľ opätovne predložil materiál na záverečné posúdenie, ku ktorému zaujala Komisia dňa 26.3.2019 nasledovné stanovisko:</w:t>
            </w:r>
          </w:p>
          <w:p w:rsidR="001F463D" w:rsidRPr="00F94D86" w:rsidRDefault="001F463D" w:rsidP="004A447A">
            <w:pPr>
              <w:jc w:val="both"/>
              <w:rPr>
                <w:rFonts w:ascii="Times New Roman" w:hAnsi="Times New Roman"/>
                <w:b/>
                <w:bCs/>
              </w:rPr>
            </w:pPr>
            <w:r w:rsidRPr="00F94D86">
              <w:rPr>
                <w:rFonts w:ascii="Times New Roman" w:hAnsi="Times New Roman"/>
                <w:b/>
                <w:bCs/>
              </w:rPr>
              <w:t xml:space="preserve">I. Úvod: </w:t>
            </w:r>
            <w:r w:rsidRPr="00F94D86">
              <w:rPr>
                <w:rFonts w:ascii="Times New Roman" w:hAnsi="Times New Roman"/>
                <w:bCs/>
              </w:rPr>
              <w:t>Ministerstvo spravodlivosti Slovenskej republiky dňa 19. marca 2019 predložilo Stálej pracovnej komisii na posudzovanie vybraných vplyvov (ďalej len „Komisia“) na záverečné posúdenie vybraných vplyvov materiál: „</w:t>
            </w:r>
            <w:r w:rsidRPr="00F94D86">
              <w:rPr>
                <w:rFonts w:ascii="Times New Roman" w:hAnsi="Times New Roman"/>
                <w:i/>
                <w:iCs/>
              </w:rPr>
              <w:t xml:space="preserve">Návrh zákona, ktorým sa mení a dopĺňa zákon č. 315/2016 Z. z. o registri partnerov verejného sektora a o zmene a o doplnení niektorých zákonov v znení zákona č. 38/2017 Z. z. a ktorým sa menia a dopĺňajú niektoré zákony“. </w:t>
            </w:r>
            <w:r w:rsidRPr="00F94D86">
              <w:rPr>
                <w:rFonts w:ascii="Times New Roman" w:hAnsi="Times New Roman"/>
                <w:iCs/>
              </w:rPr>
              <w:t>Materiál predpokladá negatívne vplyvy na rozpočet verejnej správy, ktoré sú rozpočtovo zabezpečené, pozitívno-negatívne vplyvy na podnikateľské prostredie, vrátane pozitívno-negatívnych vplyvov na malé a stredné podniky a pozitívne vplyvy na informatizáciu.</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
                <w:bCs/>
              </w:rPr>
              <w:t>II. P</w:t>
            </w:r>
            <w:r w:rsidRPr="00F94D86">
              <w:rPr>
                <w:rFonts w:ascii="Times New Roman" w:hAnsi="Times New Roman"/>
                <w:b/>
              </w:rPr>
              <w:t>r</w:t>
            </w:r>
            <w:r w:rsidRPr="00F94D86">
              <w:rPr>
                <w:rFonts w:ascii="Times New Roman" w:hAnsi="Times New Roman"/>
                <w:b/>
                <w:bCs/>
              </w:rPr>
              <w:t>ipomienky a návrhy zm</w:t>
            </w:r>
            <w:r w:rsidRPr="00F94D86">
              <w:rPr>
                <w:rFonts w:ascii="Times New Roman" w:hAnsi="Times New Roman"/>
                <w:b/>
              </w:rPr>
              <w:t>ie</w:t>
            </w:r>
            <w:r w:rsidRPr="00F94D86">
              <w:rPr>
                <w:rFonts w:ascii="Times New Roman" w:hAnsi="Times New Roman"/>
                <w:b/>
                <w:bCs/>
              </w:rPr>
              <w:t xml:space="preserve">n: </w:t>
            </w:r>
            <w:r w:rsidRPr="00F94D86">
              <w:rPr>
                <w:rFonts w:ascii="Times New Roman" w:hAnsi="Times New Roman"/>
                <w:bCs/>
              </w:rPr>
              <w:t>Komisia uplatňuje k materiálu nasledovné pripomienky a odporúčania:</w:t>
            </w:r>
          </w:p>
          <w:p w:rsidR="001F463D" w:rsidRPr="00F94D86" w:rsidRDefault="001F463D" w:rsidP="004A447A">
            <w:pPr>
              <w:tabs>
                <w:tab w:val="center" w:pos="6379"/>
              </w:tabs>
              <w:ind w:right="-2"/>
              <w:jc w:val="both"/>
              <w:rPr>
                <w:rFonts w:ascii="Times New Roman" w:hAnsi="Times New Roman"/>
              </w:rPr>
            </w:pPr>
            <w:r w:rsidRPr="00F94D86">
              <w:rPr>
                <w:rFonts w:ascii="Times New Roman" w:hAnsi="Times New Roman"/>
                <w:b/>
                <w:bCs/>
              </w:rPr>
              <w:t>K vplyvom na podnikateľské prostredie</w:t>
            </w:r>
          </w:p>
          <w:p w:rsidR="001F463D" w:rsidRPr="00F94D86" w:rsidRDefault="001F463D" w:rsidP="004A447A">
            <w:pPr>
              <w:tabs>
                <w:tab w:val="center" w:pos="6379"/>
              </w:tabs>
              <w:ind w:right="-2"/>
              <w:jc w:val="both"/>
              <w:rPr>
                <w:rFonts w:ascii="Times New Roman" w:hAnsi="Times New Roman"/>
              </w:rPr>
            </w:pPr>
            <w:r w:rsidRPr="00F94D86">
              <w:rPr>
                <w:rFonts w:ascii="Times New Roman" w:hAnsi="Times New Roman"/>
              </w:rPr>
              <w:t xml:space="preserve">Predkladateľ nezapracoval niektoré pripomienky k vplyvom materiálu na podnikateľské prostredie uvedené v stanovisku Komisie v rámci predbežného pripomienkového konania a rovnako nebol materiál doplnený v zmysle záverov z </w:t>
            </w:r>
            <w:proofErr w:type="spellStart"/>
            <w:r w:rsidRPr="00F94D86">
              <w:rPr>
                <w:rFonts w:ascii="Times New Roman" w:hAnsi="Times New Roman"/>
              </w:rPr>
              <w:t>rozporového</w:t>
            </w:r>
            <w:proofErr w:type="spellEnd"/>
            <w:r w:rsidRPr="00F94D86">
              <w:rPr>
                <w:rFonts w:ascii="Times New Roman" w:hAnsi="Times New Roman"/>
              </w:rPr>
              <w:t xml:space="preserve"> konania k pripomienkam vzneseným zo strany Ministerstva hospodárstva Slovenskej republiky k vplyvom na podnikateľské prostredie v rámci medzirezortného pripomienkového konania. Z tohto dôvodu Komisia uplatňuje nasledujúce pripomienky, resp.:</w:t>
            </w:r>
          </w:p>
          <w:p w:rsidR="001F463D" w:rsidRPr="00F94D86" w:rsidRDefault="001F463D" w:rsidP="001F463D">
            <w:pPr>
              <w:numPr>
                <w:ilvl w:val="0"/>
                <w:numId w:val="8"/>
              </w:numPr>
              <w:suppressAutoHyphens/>
              <w:spacing w:after="0" w:line="100" w:lineRule="atLeast"/>
              <w:ind w:right="-2"/>
              <w:jc w:val="both"/>
              <w:rPr>
                <w:rFonts w:ascii="Times New Roman" w:hAnsi="Times New Roman"/>
              </w:rPr>
            </w:pPr>
            <w:r w:rsidRPr="00F94D86">
              <w:rPr>
                <w:rFonts w:ascii="Times New Roman" w:hAnsi="Times New Roman"/>
              </w:rPr>
              <w:t>Komisia opätovne žiada v časti 3.2 Analýzy vplyvov na podnikateľské prostredie o podrobné spracovanie vyhodnotenia konzultácií v zmysle bodu 5 Jednotnej metodiky na posudzovanie vybraných vplyvov, pokiaľ ide o výsledky konzultácií s jednotlivými podnikateľskými subjektmi. Formuláciu „Ministerstvo spravodlivosti Slovenskej republiky výsledky týchto konzultácií dôsledne vyhodnotilo a následne v potrebnej miere vyjadrilo v návrhu zákona.“ nemožno považovať za vyhodnotenie výsledkov konzultácií, pretože nie je zrejmé, ktoré pripomienky zúčastnených subjektov boli do návrhu materiálu zapracované a pri ktorých sa tak, naopak, nestalo;</w:t>
            </w:r>
          </w:p>
          <w:p w:rsidR="001F463D" w:rsidRPr="00F94D86" w:rsidRDefault="001F463D" w:rsidP="001F463D">
            <w:pPr>
              <w:numPr>
                <w:ilvl w:val="0"/>
                <w:numId w:val="8"/>
              </w:numPr>
              <w:suppressAutoHyphens/>
              <w:spacing w:after="0" w:line="100" w:lineRule="atLeast"/>
              <w:ind w:right="-2"/>
              <w:jc w:val="both"/>
              <w:rPr>
                <w:rFonts w:ascii="Times New Roman" w:hAnsi="Times New Roman"/>
              </w:rPr>
            </w:pPr>
            <w:r w:rsidRPr="00F94D86">
              <w:rPr>
                <w:rFonts w:ascii="Times New Roman" w:hAnsi="Times New Roman"/>
              </w:rPr>
              <w:t>Komisia opätovne žiada o dopracovanie bodu 3.3 Analýzy vplyvov na podnikateľské prostredie a o dôsledné zapracovanie stanoviska Stálej pracovnej komisie Legislatívnej rady vlády SR na posudzovanie vybraných vplyvov z 25. júla 2018, najmä pokiaľ ide o doplnenie vplyvov materiálu v časti 3.3.3 Administratívne náklady a kvantifikáciu priamych finančných nákladov a administratívnych nákladov minimálne ako modelového príkladu na jedného podnikateľa. Výsledky kvantifikácie Komisia žiada uviesť do častí 3.3.1., 3.3.3. a 3.3.4. analýzy vplyvov na podnikateľské prostredie.</w:t>
            </w:r>
          </w:p>
          <w:p w:rsidR="001F463D" w:rsidRPr="00F94D86" w:rsidRDefault="001F463D" w:rsidP="004A447A">
            <w:pPr>
              <w:ind w:right="-2"/>
              <w:jc w:val="both"/>
              <w:rPr>
                <w:rFonts w:ascii="Times New Roman" w:hAnsi="Times New Roman"/>
              </w:rPr>
            </w:pPr>
          </w:p>
          <w:p w:rsidR="001F463D" w:rsidRPr="00F94D86" w:rsidRDefault="001F463D" w:rsidP="004A447A">
            <w:pPr>
              <w:ind w:right="-2"/>
              <w:jc w:val="both"/>
              <w:rPr>
                <w:rFonts w:ascii="Times New Roman" w:hAnsi="Times New Roman"/>
              </w:rPr>
            </w:pPr>
            <w:r w:rsidRPr="00F94D86">
              <w:rPr>
                <w:rFonts w:ascii="Times New Roman" w:hAnsi="Times New Roman"/>
              </w:rPr>
              <w:t>Komisia zároveň žiada predkladateľa aby v časti 3.3.4. Analýzy vplyvov na podnikateľské prostredie doplnil vyčíslenie zmien aspoň na jeden podnikateľský subjekt, a to tak pozitívnych v podobe odpadnutia/liberalizácie povinností (napr. zápisu do registra partnerov verejného sektora či dobrovoľná verifikácia) ako aj negatívnych v podobe pribudnutia/sprísnenia povinností (napr. aplikácia nových zásad hodnotenia zmluvy či prepis konečného užívateľa výhod v súlade s novou definíciou). K výpočtu úspor či nákladov jednotlivých úkonov Komisia odporúča použiť Kalkulačku nákladov regulácie z dielne Ministerstva hospodárstva Slovenskej republiky.</w:t>
            </w:r>
          </w:p>
          <w:p w:rsidR="001F463D" w:rsidRPr="00F94D86" w:rsidRDefault="001F463D" w:rsidP="004A447A">
            <w:pPr>
              <w:ind w:right="-2"/>
              <w:jc w:val="both"/>
              <w:rPr>
                <w:rFonts w:ascii="Times New Roman" w:hAnsi="Times New Roman"/>
              </w:rPr>
            </w:pP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
                <w:bCs/>
              </w:rPr>
              <w:t xml:space="preserve">K vplyvom na rozpočet verejnej správy </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Cs/>
              </w:rPr>
              <w:lastRenderedPageBreak/>
              <w:t>V analýze vplyvov na rozpočet verejnej správy je vyčíslený rozpočtovo zabezpečený vplyv v sume 629 420 eur na rok 2018. Predmetná analýza vplyvov je totožná s analýzou vplyvov, ktorá bola súčasťou materiálu na Medzirezortnom pripomienkovom konaní. Nakoľko však oproti Medzirezortnému pripomienkovému konaniu dochádza k posunu účinnosti zákona z 1. novembra 2018 na 1. júna 2019, resp. v prípade niektorých ustanovení až na 1. septembra 2019, je potrebné aktualizovať analýzu vplyvov na roky 2019 až 2022. Komisia zároveň berie na vedomie konštatovanie predkladateľa, že finančné krytie návrhu je zabezpečené v rozpočte kapitoly Ministerstva spravodlivosti Slovenskej republiky.</w:t>
            </w:r>
          </w:p>
          <w:p w:rsidR="001F463D" w:rsidRPr="00F94D86" w:rsidRDefault="001F463D" w:rsidP="004A447A">
            <w:pPr>
              <w:tabs>
                <w:tab w:val="center" w:pos="6379"/>
              </w:tabs>
              <w:ind w:right="-2"/>
              <w:jc w:val="both"/>
              <w:rPr>
                <w:rFonts w:ascii="Times New Roman" w:hAnsi="Times New Roman"/>
                <w:bCs/>
              </w:rPr>
            </w:pPr>
            <w:r w:rsidRPr="00F94D86">
              <w:rPr>
                <w:rFonts w:ascii="Times New Roman" w:hAnsi="Times New Roman"/>
                <w:b/>
                <w:bCs/>
              </w:rPr>
              <w:t xml:space="preserve">III. Záver: </w:t>
            </w:r>
            <w:r w:rsidRPr="00F94D86">
              <w:rPr>
                <w:rFonts w:ascii="Times New Roman" w:hAnsi="Times New Roman"/>
                <w:bCs/>
              </w:rPr>
              <w:t xml:space="preserve">Stála pracovná komisia na posudzovanie vybraných vplyvov vyjadruje </w:t>
            </w:r>
          </w:p>
          <w:p w:rsidR="001F463D" w:rsidRPr="00F94D86" w:rsidRDefault="001F463D" w:rsidP="004A447A">
            <w:pPr>
              <w:tabs>
                <w:tab w:val="center" w:pos="6379"/>
              </w:tabs>
              <w:ind w:right="-2"/>
              <w:jc w:val="center"/>
              <w:rPr>
                <w:rFonts w:ascii="Times New Roman" w:hAnsi="Times New Roman"/>
                <w:bCs/>
              </w:rPr>
            </w:pPr>
            <w:r w:rsidRPr="00F94D86">
              <w:rPr>
                <w:rFonts w:ascii="Times New Roman" w:hAnsi="Times New Roman"/>
                <w:b/>
                <w:bCs/>
              </w:rPr>
              <w:t xml:space="preserve">nesúhlasné stanovisko </w:t>
            </w:r>
          </w:p>
          <w:p w:rsidR="001F463D" w:rsidRPr="00F94D86" w:rsidRDefault="001F463D" w:rsidP="004A447A">
            <w:pPr>
              <w:jc w:val="both"/>
              <w:rPr>
                <w:rFonts w:ascii="Times New Roman" w:hAnsi="Times New Roman"/>
                <w:b/>
                <w:bCs/>
              </w:rPr>
            </w:pPr>
            <w:r w:rsidRPr="00F94D86">
              <w:rPr>
                <w:rFonts w:ascii="Times New Roman" w:hAnsi="Times New Roman"/>
                <w:bCs/>
              </w:rPr>
              <w:t>s materiálom, ktorý bol predložený na záverečné posúdenie s odporúčaním na jeho dopracovanie podľa pripomienok v bode II.</w:t>
            </w:r>
          </w:p>
          <w:p w:rsidR="001F463D" w:rsidRPr="00F94D86" w:rsidRDefault="001F463D" w:rsidP="004A447A">
            <w:pPr>
              <w:jc w:val="both"/>
              <w:rPr>
                <w:rFonts w:ascii="Times New Roman" w:hAnsi="Times New Roman"/>
                <w:bCs/>
              </w:rPr>
            </w:pPr>
            <w:r w:rsidRPr="00F94D86">
              <w:rPr>
                <w:rFonts w:ascii="Times New Roman" w:hAnsi="Times New Roman"/>
                <w:b/>
                <w:bCs/>
              </w:rPr>
              <w:t xml:space="preserve">IV. Poznámka: </w:t>
            </w:r>
            <w:r w:rsidRPr="00F94D86">
              <w:rPr>
                <w:rFonts w:ascii="Times New Roman" w:hAnsi="Times New Roman"/>
                <w:bCs/>
              </w:rPr>
              <w:t>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1F463D" w:rsidRPr="00F94D86" w:rsidRDefault="001F463D" w:rsidP="004A447A">
            <w:pPr>
              <w:tabs>
                <w:tab w:val="center" w:pos="6379"/>
              </w:tabs>
              <w:ind w:right="-2"/>
              <w:jc w:val="both"/>
              <w:rPr>
                <w:rFonts w:ascii="Times New Roman" w:hAnsi="Times New Roman"/>
                <w:b/>
                <w:bCs/>
              </w:rPr>
            </w:pPr>
            <w:r w:rsidRPr="00F94D86">
              <w:rPr>
                <w:rFonts w:ascii="Times New Roman" w:hAnsi="Times New Roman"/>
                <w:bC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1F463D" w:rsidRPr="00F94D86" w:rsidRDefault="001F463D" w:rsidP="004A447A">
            <w:pPr>
              <w:tabs>
                <w:tab w:val="center" w:pos="6379"/>
              </w:tabs>
              <w:ind w:right="-2"/>
              <w:rPr>
                <w:rFonts w:ascii="Times New Roman" w:hAnsi="Times New Roman"/>
                <w:b/>
                <w:bCs/>
              </w:rPr>
            </w:pPr>
          </w:p>
          <w:p w:rsidR="001F463D" w:rsidRPr="00F94D86" w:rsidRDefault="001F463D" w:rsidP="004A447A">
            <w:pPr>
              <w:tabs>
                <w:tab w:val="center" w:pos="6379"/>
              </w:tabs>
              <w:ind w:left="4536" w:right="-2"/>
              <w:jc w:val="center"/>
              <w:rPr>
                <w:rFonts w:ascii="Times New Roman" w:hAnsi="Times New Roman"/>
                <w:b/>
                <w:bCs/>
              </w:rPr>
            </w:pPr>
            <w:r w:rsidRPr="00F94D86">
              <w:rPr>
                <w:rFonts w:ascii="Times New Roman" w:hAnsi="Times New Roman"/>
                <w:b/>
                <w:bCs/>
              </w:rPr>
              <w:t>Ing. Rastislav Chovanec, PhD.</w:t>
            </w:r>
          </w:p>
          <w:p w:rsidR="001F463D" w:rsidRPr="00F94D86" w:rsidRDefault="001F463D" w:rsidP="004A447A">
            <w:pPr>
              <w:tabs>
                <w:tab w:val="center" w:pos="6379"/>
              </w:tabs>
              <w:ind w:left="4536" w:right="-2"/>
              <w:jc w:val="center"/>
              <w:rPr>
                <w:rFonts w:ascii="Times New Roman" w:hAnsi="Times New Roman"/>
                <w:bCs/>
              </w:rPr>
            </w:pPr>
            <w:r w:rsidRPr="00F94D86">
              <w:rPr>
                <w:rFonts w:ascii="Times New Roman" w:hAnsi="Times New Roman"/>
                <w:bCs/>
              </w:rPr>
              <w:t>predseda Komisie</w:t>
            </w:r>
          </w:p>
          <w:p w:rsidR="001F463D" w:rsidRPr="00F94D86" w:rsidRDefault="001F463D" w:rsidP="004A447A">
            <w:pPr>
              <w:rPr>
                <w:rFonts w:ascii="Times New Roman" w:hAnsi="Times New Roman"/>
                <w:bCs/>
              </w:rPr>
            </w:pPr>
          </w:p>
        </w:tc>
      </w:tr>
    </w:tbl>
    <w:p w:rsidR="001F463D" w:rsidRPr="00F94D86" w:rsidRDefault="001F463D" w:rsidP="001F463D">
      <w:pPr>
        <w:pStyle w:val="Normlnywebov"/>
        <w:spacing w:before="0" w:beforeAutospacing="0" w:after="0" w:afterAutospacing="0"/>
        <w:rPr>
          <w:bCs/>
          <w:sz w:val="20"/>
          <w:szCs w:val="20"/>
        </w:rPr>
      </w:pPr>
    </w:p>
    <w:p w:rsidR="001F463D" w:rsidRDefault="001F463D" w:rsidP="001F463D">
      <w:pPr>
        <w:rPr>
          <w:rFonts w:ascii="Times New Roman" w:hAnsi="Times New Roman"/>
          <w:sz w:val="24"/>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1F463D" w:rsidRDefault="001F463D" w:rsidP="007D5748">
      <w:pPr>
        <w:spacing w:after="0" w:line="240" w:lineRule="auto"/>
        <w:jc w:val="center"/>
        <w:rPr>
          <w:rFonts w:ascii="Times New Roman" w:hAnsi="Times New Roman"/>
          <w:b/>
          <w:bCs/>
          <w:sz w:val="28"/>
          <w:szCs w:val="28"/>
          <w:lang w:eastAsia="sk-SK"/>
        </w:rPr>
      </w:pPr>
    </w:p>
    <w:p w:rsidR="007D5748" w:rsidRPr="001F463D" w:rsidRDefault="007D5748" w:rsidP="007D5748">
      <w:pPr>
        <w:spacing w:after="0" w:line="240" w:lineRule="auto"/>
        <w:jc w:val="center"/>
        <w:rPr>
          <w:rFonts w:ascii="Times New Roman" w:hAnsi="Times New Roman"/>
          <w:b/>
          <w:bCs/>
          <w:sz w:val="28"/>
          <w:szCs w:val="28"/>
          <w:lang w:eastAsia="sk-SK"/>
        </w:rPr>
      </w:pPr>
      <w:r w:rsidRPr="001F463D">
        <w:rPr>
          <w:rFonts w:ascii="Times New Roman" w:hAnsi="Times New Roman"/>
          <w:b/>
          <w:bCs/>
          <w:sz w:val="28"/>
          <w:szCs w:val="28"/>
          <w:lang w:eastAsia="sk-SK"/>
        </w:rPr>
        <w:t>Analýza vplyvov na rozpočet verejnej správy,</w:t>
      </w:r>
    </w:p>
    <w:p w:rsidR="007D5748" w:rsidRPr="001F463D" w:rsidRDefault="007D5748" w:rsidP="007D5748">
      <w:pPr>
        <w:spacing w:after="0" w:line="240" w:lineRule="auto"/>
        <w:jc w:val="center"/>
        <w:rPr>
          <w:rFonts w:ascii="Times New Roman" w:hAnsi="Times New Roman"/>
          <w:b/>
          <w:bCs/>
          <w:sz w:val="28"/>
          <w:szCs w:val="28"/>
          <w:lang w:eastAsia="sk-SK"/>
        </w:rPr>
      </w:pPr>
      <w:r w:rsidRPr="001F463D">
        <w:rPr>
          <w:rFonts w:ascii="Times New Roman" w:hAnsi="Times New Roman"/>
          <w:b/>
          <w:bCs/>
          <w:sz w:val="28"/>
          <w:szCs w:val="28"/>
          <w:lang w:eastAsia="sk-SK"/>
        </w:rPr>
        <w:t>na zamestnanosť vo verejnej správe a financovanie návrhu</w:t>
      </w:r>
    </w:p>
    <w:p w:rsidR="00E963A3" w:rsidRPr="001F463D" w:rsidRDefault="00E963A3" w:rsidP="007D5748">
      <w:pPr>
        <w:spacing w:after="0" w:line="240" w:lineRule="auto"/>
        <w:jc w:val="right"/>
        <w:rPr>
          <w:rFonts w:ascii="Times New Roman" w:hAnsi="Times New Roman"/>
          <w:b/>
          <w:bCs/>
          <w:sz w:val="24"/>
          <w:szCs w:val="24"/>
          <w:lang w:eastAsia="sk-SK"/>
        </w:rPr>
      </w:pPr>
    </w:p>
    <w:p w:rsidR="00E963A3" w:rsidRPr="001F463D" w:rsidRDefault="00E963A3" w:rsidP="00212894">
      <w:pPr>
        <w:spacing w:after="0" w:line="240" w:lineRule="auto"/>
        <w:rPr>
          <w:rFonts w:ascii="Times New Roman" w:hAnsi="Times New Roman"/>
          <w:b/>
          <w:bCs/>
          <w:sz w:val="24"/>
          <w:szCs w:val="24"/>
          <w:lang w:eastAsia="sk-SK"/>
        </w:rPr>
      </w:pPr>
    </w:p>
    <w:p w:rsidR="00E963A3" w:rsidRPr="001F463D" w:rsidRDefault="00E963A3" w:rsidP="00212894">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2.1 Zhrnutie vplyvov na rozpočet verejnej správy v návrhu</w:t>
      </w:r>
    </w:p>
    <w:p w:rsidR="00E963A3" w:rsidRPr="001F463D" w:rsidRDefault="00E963A3" w:rsidP="007D5748">
      <w:pPr>
        <w:spacing w:after="0" w:line="240" w:lineRule="auto"/>
        <w:jc w:val="right"/>
        <w:rPr>
          <w:rFonts w:ascii="Times New Roman" w:hAnsi="Times New Roman"/>
          <w:sz w:val="20"/>
          <w:szCs w:val="20"/>
          <w:lang w:eastAsia="sk-SK"/>
        </w:rPr>
      </w:pPr>
    </w:p>
    <w:p w:rsidR="007D5748" w:rsidRPr="001F463D" w:rsidRDefault="007D5748" w:rsidP="007D5748">
      <w:pPr>
        <w:spacing w:after="0" w:line="240" w:lineRule="auto"/>
        <w:jc w:val="right"/>
        <w:rPr>
          <w:rFonts w:ascii="Times New Roman" w:hAnsi="Times New Roman"/>
          <w:sz w:val="20"/>
          <w:szCs w:val="20"/>
          <w:lang w:eastAsia="sk-SK"/>
        </w:rPr>
      </w:pPr>
      <w:r w:rsidRPr="001F463D">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1F463D" w:rsidTr="005666F6">
        <w:trPr>
          <w:cantSplit/>
          <w:trHeight w:val="194"/>
          <w:jc w:val="center"/>
        </w:trPr>
        <w:tc>
          <w:tcPr>
            <w:tcW w:w="4661" w:type="dxa"/>
            <w:vMerge w:val="restart"/>
            <w:shd w:val="clear" w:color="auto" w:fill="BFBFBF" w:themeFill="background1" w:themeFillShade="BF"/>
            <w:vAlign w:val="center"/>
          </w:tcPr>
          <w:p w:rsidR="007D5748" w:rsidRPr="001F463D" w:rsidRDefault="007D5748" w:rsidP="007D5748">
            <w:pPr>
              <w:spacing w:after="0" w:line="240" w:lineRule="auto"/>
              <w:jc w:val="center"/>
              <w:rPr>
                <w:rFonts w:ascii="Times New Roman" w:hAnsi="Times New Roman"/>
                <w:b/>
                <w:bCs/>
                <w:sz w:val="24"/>
                <w:szCs w:val="24"/>
                <w:lang w:eastAsia="sk-SK"/>
              </w:rPr>
            </w:pPr>
            <w:bookmarkStart w:id="1" w:name="OLE_LINK1"/>
            <w:r w:rsidRPr="001F463D">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Vplyv na rozpočet verejnej správy (v eurách)</w:t>
            </w:r>
          </w:p>
        </w:tc>
      </w:tr>
      <w:tr w:rsidR="00025B86" w:rsidRPr="001F463D" w:rsidTr="005666F6">
        <w:trPr>
          <w:cantSplit/>
          <w:trHeight w:val="70"/>
          <w:jc w:val="center"/>
        </w:trPr>
        <w:tc>
          <w:tcPr>
            <w:tcW w:w="4661" w:type="dxa"/>
            <w:vMerge/>
            <w:shd w:val="clear" w:color="auto" w:fill="BFBFBF" w:themeFill="background1" w:themeFillShade="BF"/>
            <w:vAlign w:val="center"/>
          </w:tcPr>
          <w:p w:rsidR="00025B86" w:rsidRPr="001F463D" w:rsidRDefault="00025B86" w:rsidP="007D574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025B86" w:rsidRPr="001F463D" w:rsidRDefault="005C3866" w:rsidP="006A5981">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2019</w:t>
            </w:r>
          </w:p>
        </w:tc>
        <w:tc>
          <w:tcPr>
            <w:tcW w:w="1267" w:type="dxa"/>
            <w:shd w:val="clear" w:color="auto" w:fill="BFBFBF" w:themeFill="background1" w:themeFillShade="BF"/>
            <w:vAlign w:val="center"/>
          </w:tcPr>
          <w:p w:rsidR="00025B86" w:rsidRPr="001F463D" w:rsidRDefault="005C3866" w:rsidP="006A5981">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2020</w:t>
            </w:r>
          </w:p>
        </w:tc>
        <w:tc>
          <w:tcPr>
            <w:tcW w:w="1267" w:type="dxa"/>
            <w:shd w:val="clear" w:color="auto" w:fill="BFBFBF" w:themeFill="background1" w:themeFillShade="BF"/>
            <w:vAlign w:val="center"/>
          </w:tcPr>
          <w:p w:rsidR="00025B86" w:rsidRPr="001F463D" w:rsidRDefault="005C3866"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2021</w:t>
            </w:r>
          </w:p>
        </w:tc>
        <w:tc>
          <w:tcPr>
            <w:tcW w:w="1267" w:type="dxa"/>
            <w:shd w:val="clear" w:color="auto" w:fill="BFBFBF" w:themeFill="background1" w:themeFillShade="BF"/>
            <w:vAlign w:val="center"/>
          </w:tcPr>
          <w:p w:rsidR="00025B86" w:rsidRPr="001F463D" w:rsidRDefault="005C3866"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2022</w:t>
            </w:r>
          </w:p>
        </w:tc>
      </w:tr>
      <w:tr w:rsidR="007D5748" w:rsidRPr="001F463D" w:rsidTr="005666F6">
        <w:trPr>
          <w:trHeight w:val="70"/>
          <w:jc w:val="center"/>
        </w:trPr>
        <w:tc>
          <w:tcPr>
            <w:tcW w:w="4661" w:type="dxa"/>
            <w:shd w:val="clear" w:color="auto" w:fill="C0C0C0"/>
            <w:noWrap/>
            <w:vAlign w:val="center"/>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b/>
                <w:bCs/>
                <w:sz w:val="24"/>
                <w:szCs w:val="24"/>
                <w:lang w:eastAsia="sk-SK"/>
              </w:rPr>
              <w:t>Príjmy verejnej správy celkom</w:t>
            </w:r>
          </w:p>
        </w:tc>
        <w:tc>
          <w:tcPr>
            <w:tcW w:w="1267" w:type="dxa"/>
            <w:shd w:val="clear" w:color="auto" w:fill="C0C0C0"/>
            <w:vAlign w:val="center"/>
          </w:tcPr>
          <w:p w:rsidR="007D5748" w:rsidRPr="001F463D" w:rsidRDefault="007D5748" w:rsidP="007D5748">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vAlign w:val="center"/>
          </w:tcPr>
          <w:p w:rsidR="007D5748" w:rsidRPr="001F463D" w:rsidRDefault="007D5748" w:rsidP="007D5748">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vAlign w:val="center"/>
          </w:tcPr>
          <w:p w:rsidR="007D5748" w:rsidRPr="001F463D" w:rsidRDefault="007D5748" w:rsidP="007D5748">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vAlign w:val="center"/>
          </w:tcPr>
          <w:p w:rsidR="007D5748" w:rsidRPr="001F463D" w:rsidRDefault="007D5748" w:rsidP="007D5748">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tr w:rsidR="007D5748" w:rsidRPr="001F463D" w:rsidTr="005666F6">
        <w:trPr>
          <w:trHeight w:val="132"/>
          <w:jc w:val="center"/>
        </w:trPr>
        <w:tc>
          <w:tcPr>
            <w:tcW w:w="4661" w:type="dxa"/>
            <w:noWrap/>
            <w:vAlign w:val="center"/>
          </w:tcPr>
          <w:p w:rsidR="007D5748" w:rsidRPr="001F463D" w:rsidRDefault="007D5748" w:rsidP="005F59A9">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xml:space="preserve">v tom: </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r>
      <w:tr w:rsidR="007D5748" w:rsidRPr="001F463D" w:rsidTr="005666F6">
        <w:trPr>
          <w:trHeight w:val="70"/>
          <w:jc w:val="center"/>
        </w:trPr>
        <w:tc>
          <w:tcPr>
            <w:tcW w:w="4661" w:type="dxa"/>
            <w:noWrap/>
            <w:vAlign w:val="center"/>
          </w:tcPr>
          <w:p w:rsidR="007D5748" w:rsidRPr="001F463D" w:rsidRDefault="007D5748"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xml:space="preserve">z toho:  </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p>
        </w:tc>
      </w:tr>
      <w:tr w:rsidR="007D5748" w:rsidRPr="001F463D" w:rsidTr="005666F6">
        <w:trPr>
          <w:trHeight w:val="125"/>
          <w:jc w:val="center"/>
        </w:trPr>
        <w:tc>
          <w:tcPr>
            <w:tcW w:w="4661" w:type="dxa"/>
            <w:noWrap/>
            <w:vAlign w:val="center"/>
          </w:tcPr>
          <w:p w:rsidR="007D5748" w:rsidRPr="001F463D" w:rsidRDefault="007D5748"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ŠR</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C51FD4" w:rsidRPr="001F463D" w:rsidTr="005666F6">
        <w:trPr>
          <w:trHeight w:val="125"/>
          <w:jc w:val="center"/>
        </w:trPr>
        <w:tc>
          <w:tcPr>
            <w:tcW w:w="4661" w:type="dxa"/>
            <w:noWrap/>
            <w:vAlign w:val="center"/>
          </w:tcPr>
          <w:p w:rsidR="00C51FD4" w:rsidRPr="001F463D" w:rsidRDefault="00C51FD4" w:rsidP="00212894">
            <w:pPr>
              <w:spacing w:after="0" w:line="240" w:lineRule="auto"/>
              <w:ind w:left="259"/>
              <w:rPr>
                <w:rFonts w:ascii="Times New Roman" w:hAnsi="Times New Roman"/>
                <w:b/>
                <w:bCs/>
                <w:i/>
                <w:iCs/>
                <w:sz w:val="24"/>
                <w:szCs w:val="24"/>
                <w:lang w:eastAsia="sk-SK"/>
              </w:rPr>
            </w:pPr>
            <w:r w:rsidRPr="001F463D">
              <w:rPr>
                <w:rFonts w:ascii="Times New Roman" w:hAnsi="Times New Roman"/>
                <w:bCs/>
                <w:i/>
                <w:iCs/>
                <w:sz w:val="24"/>
                <w:szCs w:val="24"/>
                <w:lang w:eastAsia="sk-SK"/>
              </w:rPr>
              <w:t>Rozpočtové prostriedky</w:t>
            </w:r>
          </w:p>
        </w:tc>
        <w:tc>
          <w:tcPr>
            <w:tcW w:w="1267" w:type="dxa"/>
            <w:noWrap/>
            <w:vAlign w:val="center"/>
          </w:tcPr>
          <w:p w:rsidR="00C51FD4" w:rsidRPr="001F463D" w:rsidRDefault="00212894"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C51FD4" w:rsidRPr="001F463D" w:rsidRDefault="00212894"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C51FD4" w:rsidRPr="001F463D" w:rsidRDefault="00212894"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C51FD4" w:rsidRPr="001F463D" w:rsidRDefault="00212894"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7D5748" w:rsidRPr="001F463D" w:rsidTr="005666F6">
        <w:trPr>
          <w:trHeight w:val="125"/>
          <w:jc w:val="center"/>
        </w:trPr>
        <w:tc>
          <w:tcPr>
            <w:tcW w:w="4661" w:type="dxa"/>
            <w:noWrap/>
            <w:vAlign w:val="center"/>
          </w:tcPr>
          <w:p w:rsidR="007D5748" w:rsidRPr="001F463D" w:rsidRDefault="007D5748" w:rsidP="00212894">
            <w:pPr>
              <w:spacing w:after="0" w:line="240" w:lineRule="auto"/>
              <w:ind w:left="259"/>
              <w:rPr>
                <w:rFonts w:ascii="Times New Roman" w:hAnsi="Times New Roman"/>
                <w:bCs/>
                <w:i/>
                <w:iCs/>
                <w:sz w:val="24"/>
                <w:szCs w:val="24"/>
                <w:lang w:eastAsia="sk-SK"/>
              </w:rPr>
            </w:pPr>
            <w:r w:rsidRPr="001F463D">
              <w:rPr>
                <w:rFonts w:ascii="Times New Roman" w:hAnsi="Times New Roman"/>
                <w:bCs/>
                <w:i/>
                <w:iCs/>
                <w:sz w:val="24"/>
                <w:szCs w:val="24"/>
                <w:lang w:eastAsia="sk-SK"/>
              </w:rPr>
              <w:t>EÚ zdroje</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r>
      <w:tr w:rsidR="007D5748" w:rsidRPr="001F463D" w:rsidTr="005666F6">
        <w:trPr>
          <w:trHeight w:val="125"/>
          <w:jc w:val="center"/>
        </w:trPr>
        <w:tc>
          <w:tcPr>
            <w:tcW w:w="4661" w:type="dxa"/>
            <w:noWrap/>
            <w:vAlign w:val="center"/>
          </w:tcPr>
          <w:p w:rsidR="007D5748" w:rsidRPr="001F463D" w:rsidRDefault="007D5748"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obce</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7D5748" w:rsidRPr="001F463D" w:rsidTr="005666F6">
        <w:trPr>
          <w:trHeight w:val="125"/>
          <w:jc w:val="center"/>
        </w:trPr>
        <w:tc>
          <w:tcPr>
            <w:tcW w:w="4661" w:type="dxa"/>
            <w:noWrap/>
            <w:vAlign w:val="center"/>
          </w:tcPr>
          <w:p w:rsidR="007D5748" w:rsidRPr="001F463D" w:rsidRDefault="007D5748"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vyššie územné celky</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7D5748" w:rsidRPr="001F463D" w:rsidTr="005666F6">
        <w:trPr>
          <w:trHeight w:val="125"/>
          <w:jc w:val="center"/>
        </w:trPr>
        <w:tc>
          <w:tcPr>
            <w:tcW w:w="4661" w:type="dxa"/>
            <w:noWrap/>
            <w:vAlign w:val="center"/>
          </w:tcPr>
          <w:p w:rsidR="007D5748" w:rsidRPr="001F463D" w:rsidRDefault="007D5748"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ostatné subjekty verejnej správy</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7D5748" w:rsidRPr="001F463D" w:rsidRDefault="007D5748" w:rsidP="007D5748">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125"/>
          <w:jc w:val="center"/>
        </w:trPr>
        <w:tc>
          <w:tcPr>
            <w:tcW w:w="4661" w:type="dxa"/>
            <w:shd w:val="clear" w:color="auto" w:fill="C0C0C0"/>
            <w:noWrap/>
            <w:vAlign w:val="center"/>
          </w:tcPr>
          <w:p w:rsidR="00F10917" w:rsidRPr="001F463D" w:rsidRDefault="00F10917" w:rsidP="007850C0">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Výdavky verejnej správy celkom</w:t>
            </w:r>
          </w:p>
        </w:tc>
        <w:tc>
          <w:tcPr>
            <w:tcW w:w="1267" w:type="dxa"/>
            <w:shd w:val="clear" w:color="auto" w:fill="C0C0C0"/>
            <w:noWrap/>
            <w:vAlign w:val="center"/>
          </w:tcPr>
          <w:p w:rsidR="00F10917" w:rsidRPr="001F463D" w:rsidRDefault="00283D97" w:rsidP="007850C0">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102 869,85</w:t>
            </w:r>
          </w:p>
        </w:tc>
        <w:tc>
          <w:tcPr>
            <w:tcW w:w="1267" w:type="dxa"/>
            <w:shd w:val="clear" w:color="auto" w:fill="C0C0C0"/>
            <w:noWrap/>
            <w:vAlign w:val="center"/>
          </w:tcPr>
          <w:p w:rsidR="00F10917" w:rsidRPr="001F463D" w:rsidRDefault="00F10917" w:rsidP="0005345F">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F1091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xml:space="preserve">v tom: 0EK0C Informačné technológie financované zo ŠR – MS SR </w:t>
            </w:r>
          </w:p>
        </w:tc>
        <w:tc>
          <w:tcPr>
            <w:tcW w:w="1267" w:type="dxa"/>
            <w:noWrap/>
            <w:vAlign w:val="center"/>
          </w:tcPr>
          <w:p w:rsidR="00F10917" w:rsidRPr="001F463D" w:rsidRDefault="00283D97" w:rsidP="006B04A1">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102 869,85</w:t>
            </w:r>
          </w:p>
        </w:tc>
        <w:tc>
          <w:tcPr>
            <w:tcW w:w="1267" w:type="dxa"/>
            <w:noWrap/>
            <w:vAlign w:val="center"/>
          </w:tcPr>
          <w:p w:rsidR="00F10917" w:rsidRPr="001F463D" w:rsidRDefault="00F10917" w:rsidP="0005345F">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xml:space="preserve">z toho: </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ŠR</w:t>
            </w:r>
          </w:p>
        </w:tc>
        <w:tc>
          <w:tcPr>
            <w:tcW w:w="1267" w:type="dxa"/>
            <w:noWrap/>
            <w:vAlign w:val="center"/>
          </w:tcPr>
          <w:p w:rsidR="00F10917" w:rsidRPr="001F463D" w:rsidRDefault="00283D97" w:rsidP="00016788">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102 869,85</w:t>
            </w:r>
          </w:p>
        </w:tc>
        <w:tc>
          <w:tcPr>
            <w:tcW w:w="1267" w:type="dxa"/>
            <w:noWrap/>
            <w:vAlign w:val="center"/>
          </w:tcPr>
          <w:p w:rsidR="00F10917" w:rsidRPr="001F463D" w:rsidRDefault="00F10917" w:rsidP="0005345F">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212894">
            <w:pPr>
              <w:spacing w:after="0" w:line="240" w:lineRule="auto"/>
              <w:ind w:left="259"/>
              <w:rPr>
                <w:rFonts w:ascii="Times New Roman" w:hAnsi="Times New Roman"/>
                <w:b/>
                <w:bCs/>
                <w:i/>
                <w:iCs/>
                <w:sz w:val="24"/>
                <w:szCs w:val="24"/>
                <w:lang w:eastAsia="sk-SK"/>
              </w:rPr>
            </w:pPr>
            <w:r w:rsidRPr="001F463D">
              <w:rPr>
                <w:rFonts w:ascii="Times New Roman" w:hAnsi="Times New Roman"/>
                <w:bCs/>
                <w:i/>
                <w:iCs/>
                <w:sz w:val="24"/>
                <w:szCs w:val="24"/>
                <w:lang w:eastAsia="sk-SK"/>
              </w:rPr>
              <w:t>Rozpočtové prostriedky</w:t>
            </w:r>
          </w:p>
        </w:tc>
        <w:tc>
          <w:tcPr>
            <w:tcW w:w="1267" w:type="dxa"/>
            <w:noWrap/>
            <w:vAlign w:val="center"/>
          </w:tcPr>
          <w:p w:rsidR="00F10917" w:rsidRPr="001F463D" w:rsidRDefault="00283D97" w:rsidP="00016788">
            <w:pPr>
              <w:spacing w:after="0" w:line="240" w:lineRule="auto"/>
              <w:jc w:val="right"/>
              <w:rPr>
                <w:rFonts w:ascii="Times New Roman" w:hAnsi="Times New Roman"/>
                <w:bCs/>
                <w:i/>
                <w:sz w:val="24"/>
                <w:szCs w:val="24"/>
                <w:lang w:eastAsia="sk-SK"/>
              </w:rPr>
            </w:pPr>
            <w:r w:rsidRPr="001F463D">
              <w:rPr>
                <w:rFonts w:ascii="Times New Roman" w:hAnsi="Times New Roman"/>
                <w:bCs/>
                <w:i/>
                <w:sz w:val="24"/>
                <w:szCs w:val="24"/>
                <w:lang w:eastAsia="sk-SK"/>
              </w:rPr>
              <w:t>102 869,85</w:t>
            </w:r>
          </w:p>
        </w:tc>
        <w:tc>
          <w:tcPr>
            <w:tcW w:w="1267" w:type="dxa"/>
            <w:noWrap/>
            <w:vAlign w:val="center"/>
          </w:tcPr>
          <w:p w:rsidR="00F10917" w:rsidRPr="001F463D" w:rsidRDefault="00F10917" w:rsidP="0005345F">
            <w:pPr>
              <w:spacing w:after="0" w:line="240" w:lineRule="auto"/>
              <w:jc w:val="right"/>
              <w:rPr>
                <w:rFonts w:ascii="Times New Roman" w:hAnsi="Times New Roman"/>
                <w:bCs/>
                <w:i/>
                <w:sz w:val="24"/>
                <w:szCs w:val="24"/>
                <w:lang w:eastAsia="sk-SK"/>
              </w:rPr>
            </w:pPr>
            <w:r w:rsidRPr="001F463D">
              <w:rPr>
                <w:rFonts w:ascii="Times New Roman" w:hAnsi="Times New Roman"/>
                <w:bCs/>
                <w:i/>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Cs/>
                <w:i/>
                <w:sz w:val="24"/>
                <w:szCs w:val="24"/>
                <w:lang w:eastAsia="sk-SK"/>
              </w:rPr>
            </w:pPr>
            <w:r w:rsidRPr="001F463D">
              <w:rPr>
                <w:rFonts w:ascii="Times New Roman" w:hAnsi="Times New Roman"/>
                <w:bCs/>
                <w:i/>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Cs/>
                <w:i/>
                <w:sz w:val="24"/>
                <w:szCs w:val="24"/>
                <w:lang w:eastAsia="sk-SK"/>
              </w:rPr>
            </w:pPr>
            <w:r w:rsidRPr="001F463D">
              <w:rPr>
                <w:rFonts w:ascii="Times New Roman" w:hAnsi="Times New Roman"/>
                <w:bCs/>
                <w:i/>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Cs/>
                <w:i/>
                <w:iCs/>
                <w:sz w:val="24"/>
                <w:szCs w:val="24"/>
                <w:lang w:eastAsia="sk-SK"/>
              </w:rPr>
            </w:pPr>
            <w:r w:rsidRPr="001F463D">
              <w:rPr>
                <w:rFonts w:ascii="Times New Roman" w:hAnsi="Times New Roman"/>
                <w:bCs/>
                <w:i/>
                <w:iCs/>
                <w:sz w:val="24"/>
                <w:szCs w:val="24"/>
                <w:lang w:eastAsia="sk-SK"/>
              </w:rPr>
              <w:t xml:space="preserve">    EÚ zdroje</w:t>
            </w:r>
          </w:p>
        </w:tc>
        <w:tc>
          <w:tcPr>
            <w:tcW w:w="1267" w:type="dxa"/>
            <w:noWrap/>
            <w:vAlign w:val="center"/>
          </w:tcPr>
          <w:p w:rsidR="00F10917" w:rsidRPr="001F463D" w:rsidRDefault="00F10917" w:rsidP="006A5981">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Cs/>
                <w:i/>
                <w:iCs/>
                <w:sz w:val="24"/>
                <w:szCs w:val="24"/>
                <w:lang w:eastAsia="sk-SK"/>
              </w:rPr>
            </w:pPr>
            <w:r w:rsidRPr="001F463D">
              <w:rPr>
                <w:rFonts w:ascii="Times New Roman" w:hAnsi="Times New Roman"/>
                <w:bCs/>
                <w:i/>
                <w:iCs/>
                <w:sz w:val="24"/>
                <w:szCs w:val="24"/>
                <w:lang w:eastAsia="sk-SK"/>
              </w:rPr>
              <w:t xml:space="preserve">    spolufinancovanie</w:t>
            </w:r>
          </w:p>
        </w:tc>
        <w:tc>
          <w:tcPr>
            <w:tcW w:w="1267" w:type="dxa"/>
            <w:noWrap/>
            <w:vAlign w:val="center"/>
          </w:tcPr>
          <w:p w:rsidR="00F10917" w:rsidRPr="001F463D" w:rsidRDefault="00F10917" w:rsidP="006A5981">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r>
      <w:tr w:rsidR="00F10917" w:rsidRPr="001F463D" w:rsidTr="005666F6">
        <w:trPr>
          <w:trHeight w:val="125"/>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obce</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125"/>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vyššie územné celky</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sz w:val="24"/>
                <w:szCs w:val="24"/>
                <w:lang w:eastAsia="sk-SK"/>
              </w:rPr>
            </w:pPr>
            <w:r w:rsidRPr="001F463D">
              <w:rPr>
                <w:rFonts w:ascii="Times New Roman" w:hAnsi="Times New Roman"/>
                <w:b/>
                <w:bCs/>
                <w:i/>
                <w:iCs/>
                <w:sz w:val="24"/>
                <w:szCs w:val="24"/>
                <w:lang w:eastAsia="sk-SK"/>
              </w:rPr>
              <w:t>- vplyv na ostatné subjekty verejnej správy</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shd w:val="clear" w:color="auto" w:fill="BFBFBF" w:themeFill="background1" w:themeFillShade="BF"/>
            <w:noWrap/>
            <w:vAlign w:val="center"/>
          </w:tcPr>
          <w:p w:rsidR="00F10917" w:rsidRPr="001F463D" w:rsidRDefault="00F10917"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F10917" w:rsidRPr="001F463D" w:rsidRDefault="00F10917" w:rsidP="006A5981">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10917" w:rsidRPr="001F463D" w:rsidRDefault="00F10917" w:rsidP="0005345F">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ŠR</w:t>
            </w:r>
          </w:p>
        </w:tc>
        <w:tc>
          <w:tcPr>
            <w:tcW w:w="1267" w:type="dxa"/>
            <w:noWrap/>
            <w:vAlign w:val="center"/>
          </w:tcPr>
          <w:p w:rsidR="00F10917" w:rsidRPr="001F463D" w:rsidRDefault="00F10917" w:rsidP="00AC15EE">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obce</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vyššie územné celky</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ostatné subjekty verejnej správy</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shd w:val="clear" w:color="auto" w:fill="BFBFBF" w:themeFill="background1" w:themeFillShade="BF"/>
            <w:noWrap/>
            <w:vAlign w:val="center"/>
          </w:tcPr>
          <w:p w:rsidR="00F10917" w:rsidRPr="001F463D" w:rsidRDefault="00F10917" w:rsidP="007D5748">
            <w:pPr>
              <w:spacing w:after="0" w:line="240" w:lineRule="auto"/>
              <w:rPr>
                <w:rFonts w:ascii="Times New Roman" w:hAnsi="Times New Roman"/>
                <w:b/>
                <w:sz w:val="24"/>
                <w:szCs w:val="24"/>
                <w:lang w:eastAsia="sk-SK"/>
              </w:rPr>
            </w:pPr>
            <w:r w:rsidRPr="001F463D">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F10917" w:rsidRPr="001F463D" w:rsidRDefault="00F10917" w:rsidP="006A5981">
            <w:pPr>
              <w:spacing w:after="0" w:line="240" w:lineRule="auto"/>
              <w:jc w:val="right"/>
              <w:rPr>
                <w:rFonts w:ascii="Times New Roman" w:hAnsi="Times New Roman"/>
                <w:b/>
                <w:sz w:val="24"/>
                <w:szCs w:val="24"/>
                <w:lang w:eastAsia="sk-SK"/>
              </w:rPr>
            </w:pPr>
            <w:r w:rsidRPr="001F463D">
              <w:rPr>
                <w:rFonts w:ascii="Times New Roman" w:hAnsi="Times New Roman"/>
                <w:b/>
                <w:sz w:val="24"/>
                <w:szCs w:val="24"/>
                <w:lang w:eastAsia="sk-SK"/>
              </w:rPr>
              <w:t>0</w:t>
            </w:r>
          </w:p>
        </w:tc>
        <w:tc>
          <w:tcPr>
            <w:tcW w:w="1267" w:type="dxa"/>
            <w:shd w:val="clear" w:color="auto" w:fill="BFBFBF" w:themeFill="background1" w:themeFillShade="BF"/>
            <w:noWrap/>
            <w:vAlign w:val="center"/>
          </w:tcPr>
          <w:p w:rsidR="00F10917" w:rsidRPr="001F463D" w:rsidRDefault="00F10917" w:rsidP="0005345F">
            <w:pPr>
              <w:spacing w:after="0" w:line="240" w:lineRule="auto"/>
              <w:jc w:val="right"/>
              <w:rPr>
                <w:rFonts w:ascii="Times New Roman" w:hAnsi="Times New Roman"/>
                <w:b/>
                <w:sz w:val="24"/>
                <w:szCs w:val="24"/>
                <w:lang w:eastAsia="sk-SK"/>
              </w:rPr>
            </w:pPr>
            <w:r w:rsidRPr="001F463D">
              <w:rPr>
                <w:rFonts w:ascii="Times New Roman" w:hAnsi="Times New Roman"/>
                <w:b/>
                <w:sz w:val="24"/>
                <w:szCs w:val="24"/>
                <w:lang w:eastAsia="sk-SK"/>
              </w:rPr>
              <w:t>0</w:t>
            </w:r>
          </w:p>
        </w:tc>
        <w:tc>
          <w:tcPr>
            <w:tcW w:w="1267" w:type="dxa"/>
            <w:shd w:val="clear" w:color="auto" w:fill="BFBFBF" w:themeFill="background1" w:themeFillShade="BF"/>
            <w:noWrap/>
            <w:vAlign w:val="center"/>
          </w:tcPr>
          <w:p w:rsidR="00F10917" w:rsidRPr="001F463D" w:rsidRDefault="00F10917" w:rsidP="00D61B2C">
            <w:pPr>
              <w:spacing w:after="0" w:line="240" w:lineRule="auto"/>
              <w:jc w:val="right"/>
              <w:rPr>
                <w:rFonts w:ascii="Times New Roman" w:hAnsi="Times New Roman"/>
                <w:b/>
                <w:sz w:val="24"/>
                <w:szCs w:val="24"/>
                <w:lang w:eastAsia="sk-SK"/>
              </w:rPr>
            </w:pPr>
            <w:r w:rsidRPr="001F463D">
              <w:rPr>
                <w:rFonts w:ascii="Times New Roman" w:hAnsi="Times New Roman"/>
                <w:b/>
                <w:sz w:val="24"/>
                <w:szCs w:val="24"/>
                <w:lang w:eastAsia="sk-SK"/>
              </w:rPr>
              <w:t>0</w:t>
            </w:r>
          </w:p>
        </w:tc>
        <w:tc>
          <w:tcPr>
            <w:tcW w:w="1267" w:type="dxa"/>
            <w:shd w:val="clear" w:color="auto" w:fill="BFBFBF" w:themeFill="background1" w:themeFillShade="BF"/>
            <w:noWrap/>
            <w:vAlign w:val="center"/>
          </w:tcPr>
          <w:p w:rsidR="00F10917" w:rsidRPr="001F463D" w:rsidRDefault="00F10917" w:rsidP="00D61B2C">
            <w:pPr>
              <w:spacing w:after="0" w:line="240" w:lineRule="auto"/>
              <w:jc w:val="right"/>
              <w:rPr>
                <w:rFonts w:ascii="Times New Roman" w:hAnsi="Times New Roman"/>
                <w:b/>
                <w:sz w:val="24"/>
                <w:szCs w:val="24"/>
                <w:lang w:eastAsia="sk-SK"/>
              </w:rPr>
            </w:pPr>
            <w:r w:rsidRPr="001F463D">
              <w:rPr>
                <w:rFonts w:ascii="Times New Roman" w:hAnsi="Times New Roman"/>
                <w:b/>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ŠR</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obce</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i/>
                <w:iCs/>
                <w:sz w:val="24"/>
                <w:szCs w:val="24"/>
                <w:lang w:eastAsia="sk-SK"/>
              </w:rPr>
            </w:pPr>
            <w:r w:rsidRPr="001F463D">
              <w:rPr>
                <w:rFonts w:ascii="Times New Roman" w:hAnsi="Times New Roman"/>
                <w:b/>
                <w:bCs/>
                <w:i/>
                <w:iCs/>
                <w:sz w:val="24"/>
                <w:szCs w:val="24"/>
                <w:lang w:eastAsia="sk-SK"/>
              </w:rPr>
              <w:t>- vplyv na vyššie územné celky</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7D5748">
            <w:pPr>
              <w:spacing w:after="0" w:line="240" w:lineRule="auto"/>
              <w:rPr>
                <w:rFonts w:ascii="Times New Roman" w:hAnsi="Times New Roman"/>
                <w:b/>
                <w:bCs/>
                <w:sz w:val="24"/>
                <w:szCs w:val="24"/>
                <w:lang w:eastAsia="sk-SK"/>
              </w:rPr>
            </w:pPr>
            <w:r w:rsidRPr="001F463D">
              <w:rPr>
                <w:rFonts w:ascii="Times New Roman" w:hAnsi="Times New Roman"/>
                <w:b/>
                <w:bCs/>
                <w:i/>
                <w:iCs/>
                <w:sz w:val="24"/>
                <w:szCs w:val="24"/>
                <w:lang w:eastAsia="sk-SK"/>
              </w:rPr>
              <w:t>- vplyv na ostatné subjekty verejnej správy</w:t>
            </w:r>
          </w:p>
        </w:tc>
        <w:tc>
          <w:tcPr>
            <w:tcW w:w="1267" w:type="dxa"/>
            <w:noWrap/>
            <w:vAlign w:val="center"/>
          </w:tcPr>
          <w:p w:rsidR="00F10917" w:rsidRPr="001F463D" w:rsidRDefault="00F10917" w:rsidP="006A5981">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05345F">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b/>
                <w:bCs/>
                <w:iCs/>
                <w:sz w:val="24"/>
                <w:szCs w:val="24"/>
                <w:lang w:eastAsia="sk-SK"/>
              </w:rPr>
            </w:pPr>
            <w:r w:rsidRPr="001F463D">
              <w:rPr>
                <w:rFonts w:ascii="Times New Roman" w:hAnsi="Times New Roman"/>
                <w:b/>
                <w:bCs/>
                <w:iCs/>
                <w:sz w:val="24"/>
                <w:szCs w:val="24"/>
                <w:lang w:eastAsia="sk-SK"/>
              </w:rPr>
              <w:t>0</w:t>
            </w:r>
          </w:p>
        </w:tc>
      </w:tr>
      <w:tr w:rsidR="00F10917" w:rsidRPr="001F463D" w:rsidTr="005666F6">
        <w:trPr>
          <w:trHeight w:val="70"/>
          <w:jc w:val="center"/>
        </w:trPr>
        <w:tc>
          <w:tcPr>
            <w:tcW w:w="4661" w:type="dxa"/>
            <w:shd w:val="clear" w:color="auto" w:fill="C0C0C0"/>
            <w:noWrap/>
            <w:vAlign w:val="center"/>
          </w:tcPr>
          <w:p w:rsidR="00F10917" w:rsidRPr="001F463D" w:rsidRDefault="00F10917"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F10917" w:rsidRPr="001F463D" w:rsidRDefault="00283D97" w:rsidP="00016788">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102 869,85</w:t>
            </w:r>
          </w:p>
        </w:tc>
        <w:tc>
          <w:tcPr>
            <w:tcW w:w="1267" w:type="dxa"/>
            <w:shd w:val="clear" w:color="auto" w:fill="C0C0C0"/>
            <w:noWrap/>
            <w:vAlign w:val="center"/>
          </w:tcPr>
          <w:p w:rsidR="00F10917" w:rsidRPr="001F463D" w:rsidRDefault="00F10917" w:rsidP="0005345F">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C0C0C0"/>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tr w:rsidR="00F10917" w:rsidRPr="001F463D" w:rsidTr="005666F6">
        <w:trPr>
          <w:trHeight w:val="70"/>
          <w:jc w:val="center"/>
        </w:trPr>
        <w:tc>
          <w:tcPr>
            <w:tcW w:w="4661" w:type="dxa"/>
            <w:noWrap/>
            <w:vAlign w:val="center"/>
          </w:tcPr>
          <w:p w:rsidR="00F10917" w:rsidRPr="001F463D" w:rsidRDefault="00F10917" w:rsidP="005F59A9">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v tom: 0EK0C Informačné technológie financované zo ŠR – MS SR</w:t>
            </w:r>
          </w:p>
        </w:tc>
        <w:tc>
          <w:tcPr>
            <w:tcW w:w="1267" w:type="dxa"/>
            <w:noWrap/>
            <w:vAlign w:val="center"/>
          </w:tcPr>
          <w:p w:rsidR="00F10917" w:rsidRPr="001F463D" w:rsidRDefault="00283D97" w:rsidP="005F59A9">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102 869,85</w:t>
            </w:r>
          </w:p>
        </w:tc>
        <w:tc>
          <w:tcPr>
            <w:tcW w:w="1267" w:type="dxa"/>
            <w:noWrap/>
            <w:vAlign w:val="center"/>
          </w:tcPr>
          <w:p w:rsidR="00F10917" w:rsidRPr="001F463D" w:rsidRDefault="00F10917" w:rsidP="0005345F">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c>
          <w:tcPr>
            <w:tcW w:w="1267" w:type="dxa"/>
            <w:noWrap/>
            <w:vAlign w:val="center"/>
          </w:tcPr>
          <w:p w:rsidR="00F10917" w:rsidRPr="001F463D" w:rsidRDefault="00F10917" w:rsidP="00D61B2C">
            <w:pPr>
              <w:spacing w:after="0" w:line="240" w:lineRule="auto"/>
              <w:jc w:val="right"/>
              <w:rPr>
                <w:rFonts w:ascii="Times New Roman" w:hAnsi="Times New Roman"/>
                <w:sz w:val="24"/>
                <w:szCs w:val="24"/>
                <w:lang w:eastAsia="sk-SK"/>
              </w:rPr>
            </w:pPr>
            <w:r w:rsidRPr="001F463D">
              <w:rPr>
                <w:rFonts w:ascii="Times New Roman" w:hAnsi="Times New Roman"/>
                <w:sz w:val="24"/>
                <w:szCs w:val="24"/>
                <w:lang w:eastAsia="sk-SK"/>
              </w:rPr>
              <w:t>0</w:t>
            </w:r>
          </w:p>
        </w:tc>
      </w:tr>
      <w:tr w:rsidR="00F10917" w:rsidRPr="001F463D" w:rsidTr="005666F6">
        <w:trPr>
          <w:trHeight w:val="70"/>
          <w:jc w:val="center"/>
        </w:trPr>
        <w:tc>
          <w:tcPr>
            <w:tcW w:w="4661" w:type="dxa"/>
            <w:shd w:val="clear" w:color="auto" w:fill="BFBFBF" w:themeFill="background1" w:themeFillShade="BF"/>
            <w:noWrap/>
            <w:vAlign w:val="center"/>
          </w:tcPr>
          <w:p w:rsidR="00F10917" w:rsidRPr="001F463D" w:rsidRDefault="00F10917" w:rsidP="007D5748">
            <w:pPr>
              <w:spacing w:after="0" w:line="240" w:lineRule="auto"/>
              <w:rPr>
                <w:rFonts w:ascii="Times New Roman" w:hAnsi="Times New Roman"/>
                <w:b/>
                <w:sz w:val="24"/>
                <w:szCs w:val="24"/>
                <w:lang w:eastAsia="sk-SK"/>
              </w:rPr>
            </w:pPr>
            <w:r w:rsidRPr="001F463D">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F10917" w:rsidRPr="001F463D" w:rsidRDefault="00F10917" w:rsidP="006A5981">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10917" w:rsidRPr="001F463D" w:rsidRDefault="00F10917" w:rsidP="0005345F">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tr w:rsidR="00F10917" w:rsidRPr="001F463D" w:rsidTr="005666F6">
        <w:trPr>
          <w:trHeight w:val="70"/>
          <w:jc w:val="center"/>
        </w:trPr>
        <w:tc>
          <w:tcPr>
            <w:tcW w:w="4661" w:type="dxa"/>
            <w:shd w:val="clear" w:color="auto" w:fill="A6A6A6" w:themeFill="background1" w:themeFillShade="A6"/>
            <w:noWrap/>
            <w:vAlign w:val="center"/>
          </w:tcPr>
          <w:p w:rsidR="00F10917" w:rsidRPr="001F463D" w:rsidRDefault="00F10917"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F10917" w:rsidRPr="001F463D" w:rsidRDefault="00F10917" w:rsidP="006A5981">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F10917" w:rsidRPr="001F463D" w:rsidRDefault="00F10917" w:rsidP="0005345F">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F10917" w:rsidRPr="001F463D" w:rsidRDefault="00F10917" w:rsidP="00D61B2C">
            <w:pPr>
              <w:spacing w:after="0" w:line="240" w:lineRule="auto"/>
              <w:jc w:val="right"/>
              <w:rPr>
                <w:rFonts w:ascii="Times New Roman" w:hAnsi="Times New Roman"/>
                <w:b/>
                <w:bCs/>
                <w:sz w:val="24"/>
                <w:szCs w:val="24"/>
                <w:lang w:eastAsia="sk-SK"/>
              </w:rPr>
            </w:pPr>
            <w:r w:rsidRPr="001F463D">
              <w:rPr>
                <w:rFonts w:ascii="Times New Roman" w:hAnsi="Times New Roman"/>
                <w:b/>
                <w:bCs/>
                <w:sz w:val="24"/>
                <w:szCs w:val="24"/>
                <w:lang w:eastAsia="sk-SK"/>
              </w:rPr>
              <w:t>0</w:t>
            </w:r>
          </w:p>
        </w:tc>
      </w:tr>
      <w:bookmarkEnd w:id="1"/>
    </w:tbl>
    <w:p w:rsidR="007D5748" w:rsidRPr="001F463D" w:rsidRDefault="007D5748" w:rsidP="007D5748">
      <w:pPr>
        <w:spacing w:after="0" w:line="240" w:lineRule="auto"/>
        <w:rPr>
          <w:rFonts w:ascii="Times New Roman" w:hAnsi="Times New Roman"/>
          <w:b/>
          <w:bCs/>
          <w:sz w:val="24"/>
          <w:szCs w:val="24"/>
          <w:lang w:eastAsia="sk-SK"/>
        </w:rPr>
      </w:pPr>
    </w:p>
    <w:p w:rsidR="00E963A3" w:rsidRPr="001F463D" w:rsidRDefault="00E963A3">
      <w:pPr>
        <w:rPr>
          <w:rFonts w:ascii="Times New Roman" w:hAnsi="Times New Roman"/>
          <w:b/>
          <w:bCs/>
          <w:sz w:val="24"/>
          <w:szCs w:val="24"/>
          <w:lang w:eastAsia="sk-SK"/>
        </w:rPr>
      </w:pPr>
      <w:r w:rsidRPr="001F463D">
        <w:rPr>
          <w:rFonts w:ascii="Times New Roman" w:hAnsi="Times New Roman"/>
          <w:b/>
          <w:bCs/>
          <w:sz w:val="24"/>
          <w:szCs w:val="24"/>
          <w:lang w:eastAsia="sk-SK"/>
        </w:rPr>
        <w:br w:type="page"/>
      </w:r>
    </w:p>
    <w:p w:rsidR="007D5748" w:rsidRPr="001F463D" w:rsidRDefault="007D5748" w:rsidP="007D5748">
      <w:pPr>
        <w:spacing w:after="0" w:line="240" w:lineRule="auto"/>
        <w:jc w:val="both"/>
        <w:rPr>
          <w:rFonts w:ascii="Times New Roman" w:hAnsi="Times New Roman"/>
          <w:b/>
          <w:bCs/>
          <w:sz w:val="24"/>
          <w:szCs w:val="24"/>
          <w:lang w:eastAsia="sk-SK"/>
        </w:rPr>
      </w:pPr>
      <w:r w:rsidRPr="001F463D">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1F463D" w:rsidRDefault="007D5748" w:rsidP="007D5748">
      <w:pPr>
        <w:spacing w:after="0" w:line="240" w:lineRule="auto"/>
        <w:jc w:val="both"/>
        <w:rPr>
          <w:rFonts w:ascii="Times New Roman" w:hAnsi="Times New Roman"/>
          <w:b/>
          <w:bCs/>
          <w:sz w:val="12"/>
          <w:szCs w:val="24"/>
          <w:lang w:eastAsia="sk-SK"/>
        </w:rPr>
      </w:pPr>
    </w:p>
    <w:p w:rsidR="00F10917" w:rsidRPr="001F463D" w:rsidRDefault="00F10917" w:rsidP="00F10917">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1F463D">
        <w:rPr>
          <w:rFonts w:ascii="Times New Roman" w:hAnsi="Times New Roman"/>
          <w:bCs/>
          <w:sz w:val="24"/>
          <w:szCs w:val="24"/>
          <w:lang w:eastAsia="sk-SK"/>
        </w:rPr>
        <w:t>Finančné krytie návrhu je zabezpečené v rozpočte kapitoly Ministerstvo spravodlivosti Slovenskej republiky.</w:t>
      </w:r>
    </w:p>
    <w:p w:rsidR="007704F5" w:rsidRPr="001F463D" w:rsidRDefault="007704F5" w:rsidP="007D5748">
      <w:pPr>
        <w:spacing w:after="0" w:line="240" w:lineRule="auto"/>
        <w:rPr>
          <w:rFonts w:ascii="Times New Roman" w:hAnsi="Times New Roman"/>
          <w:b/>
          <w:bCs/>
          <w:sz w:val="24"/>
          <w:szCs w:val="24"/>
          <w:lang w:eastAsia="sk-SK"/>
        </w:rPr>
      </w:pPr>
    </w:p>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2.2. Popis a charakteristika návrhu</w:t>
      </w:r>
    </w:p>
    <w:p w:rsidR="007D5748" w:rsidRPr="001F463D" w:rsidRDefault="007D5748" w:rsidP="007D5748">
      <w:pPr>
        <w:spacing w:after="0" w:line="240" w:lineRule="auto"/>
        <w:rPr>
          <w:rFonts w:ascii="Times New Roman" w:hAnsi="Times New Roman"/>
          <w:sz w:val="24"/>
          <w:szCs w:val="24"/>
          <w:lang w:eastAsia="sk-SK"/>
        </w:rPr>
      </w:pPr>
    </w:p>
    <w:p w:rsidR="007D5748" w:rsidRPr="001F463D" w:rsidRDefault="007D5748" w:rsidP="007D5748">
      <w:pPr>
        <w:spacing w:after="0" w:line="240" w:lineRule="auto"/>
        <w:jc w:val="both"/>
        <w:rPr>
          <w:rFonts w:ascii="Times New Roman" w:hAnsi="Times New Roman"/>
          <w:b/>
          <w:bCs/>
          <w:sz w:val="24"/>
          <w:szCs w:val="24"/>
          <w:lang w:eastAsia="sk-SK"/>
        </w:rPr>
      </w:pPr>
      <w:r w:rsidRPr="001F463D">
        <w:rPr>
          <w:rFonts w:ascii="Times New Roman" w:hAnsi="Times New Roman"/>
          <w:b/>
          <w:bCs/>
          <w:sz w:val="24"/>
          <w:szCs w:val="24"/>
          <w:lang w:eastAsia="sk-SK"/>
        </w:rPr>
        <w:t>2.2.1. Popis návrhu:</w:t>
      </w:r>
    </w:p>
    <w:p w:rsidR="007D5748" w:rsidRPr="001F463D" w:rsidRDefault="007D5748" w:rsidP="007D5748">
      <w:pPr>
        <w:spacing w:after="0" w:line="240" w:lineRule="auto"/>
        <w:jc w:val="both"/>
        <w:rPr>
          <w:rFonts w:ascii="Times New Roman" w:hAnsi="Times New Roman"/>
          <w:sz w:val="24"/>
          <w:szCs w:val="24"/>
          <w:lang w:eastAsia="sk-SK"/>
        </w:rPr>
      </w:pPr>
    </w:p>
    <w:p w:rsidR="00E06CA5" w:rsidRPr="001F463D" w:rsidRDefault="00F10917" w:rsidP="007704F5">
      <w:pPr>
        <w:spacing w:after="0" w:line="240" w:lineRule="auto"/>
        <w:jc w:val="both"/>
        <w:rPr>
          <w:rFonts w:ascii="Times New Roman" w:hAnsi="Times New Roman"/>
          <w:sz w:val="24"/>
          <w:szCs w:val="24"/>
          <w:lang w:eastAsia="sk-SK"/>
        </w:rPr>
      </w:pPr>
      <w:r w:rsidRPr="001F463D">
        <w:rPr>
          <w:rFonts w:ascii="Times New Roman" w:hAnsi="Times New Roman"/>
          <w:sz w:val="24"/>
          <w:szCs w:val="24"/>
          <w:lang w:eastAsia="sk-SK"/>
        </w:rPr>
        <w:t>Návrh zákona, ktorým sa mení a dopĺňa zákon č. 315/2016 Z. z. o registri partnerov verejného sektora a o zmene a o doplnení niektorých zákonov v znení zákona č. 38/2017 Z. z. a ktorým sa menia a dopĺňajú niektoré zákony</w:t>
      </w:r>
      <w:r w:rsidR="00305723" w:rsidRPr="001F463D">
        <w:rPr>
          <w:rFonts w:ascii="Times New Roman" w:hAnsi="Times New Roman"/>
          <w:sz w:val="24"/>
          <w:szCs w:val="24"/>
          <w:lang w:eastAsia="sk-SK"/>
        </w:rPr>
        <w:t>.</w:t>
      </w:r>
    </w:p>
    <w:p w:rsidR="00305723" w:rsidRPr="001F463D" w:rsidRDefault="00305723" w:rsidP="007704F5">
      <w:pPr>
        <w:spacing w:after="0" w:line="240" w:lineRule="auto"/>
        <w:jc w:val="both"/>
        <w:rPr>
          <w:rFonts w:ascii="Times New Roman" w:hAnsi="Times New Roman"/>
          <w:sz w:val="24"/>
          <w:szCs w:val="24"/>
          <w:lang w:eastAsia="sk-SK"/>
        </w:rPr>
      </w:pPr>
    </w:p>
    <w:p w:rsidR="007704F5" w:rsidRPr="001F463D" w:rsidRDefault="00033722" w:rsidP="007704F5">
      <w:pPr>
        <w:spacing w:after="0" w:line="240" w:lineRule="auto"/>
        <w:jc w:val="both"/>
        <w:rPr>
          <w:rFonts w:ascii="Times New Roman" w:hAnsi="Times New Roman"/>
          <w:sz w:val="24"/>
          <w:szCs w:val="24"/>
          <w:lang w:eastAsia="sk-SK"/>
        </w:rPr>
      </w:pPr>
      <w:r w:rsidRPr="001F463D">
        <w:rPr>
          <w:rFonts w:ascii="Times New Roman" w:hAnsi="Times New Roman"/>
          <w:sz w:val="24"/>
          <w:szCs w:val="24"/>
          <w:lang w:eastAsia="sk-SK"/>
        </w:rPr>
        <w:t xml:space="preserve">Návrh bude implementovať </w:t>
      </w:r>
      <w:r w:rsidR="007704F5" w:rsidRPr="001F463D">
        <w:rPr>
          <w:rFonts w:ascii="Times New Roman" w:hAnsi="Times New Roman"/>
          <w:sz w:val="24"/>
          <w:szCs w:val="24"/>
          <w:lang w:eastAsia="sk-SK"/>
        </w:rPr>
        <w:t xml:space="preserve">Ministerstvo spravodlivosti Slovenskej republiky. </w:t>
      </w:r>
    </w:p>
    <w:p w:rsidR="007704F5" w:rsidRPr="001F463D" w:rsidRDefault="007704F5" w:rsidP="007704F5">
      <w:pPr>
        <w:spacing w:after="0" w:line="240" w:lineRule="auto"/>
        <w:jc w:val="both"/>
        <w:rPr>
          <w:rFonts w:ascii="Times New Roman" w:hAnsi="Times New Roman"/>
          <w:sz w:val="24"/>
          <w:szCs w:val="24"/>
          <w:lang w:eastAsia="sk-SK"/>
        </w:rPr>
      </w:pPr>
    </w:p>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2.2.2. Charakteristika návrhu:</w:t>
      </w:r>
    </w:p>
    <w:p w:rsidR="007D5748" w:rsidRPr="001F463D" w:rsidRDefault="007D5748" w:rsidP="007D5748">
      <w:pPr>
        <w:spacing w:after="0" w:line="240" w:lineRule="auto"/>
        <w:rPr>
          <w:rFonts w:ascii="Times New Roman" w:hAnsi="Times New Roman"/>
          <w:sz w:val="24"/>
          <w:szCs w:val="24"/>
          <w:lang w:eastAsia="sk-SK"/>
        </w:rPr>
      </w:pPr>
    </w:p>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b/>
          <w:sz w:val="24"/>
          <w:szCs w:val="24"/>
          <w:bdr w:val="single" w:sz="4" w:space="0" w:color="auto"/>
          <w:lang w:eastAsia="sk-SK"/>
        </w:rPr>
        <w:t xml:space="preserve">     </w:t>
      </w:r>
      <w:r w:rsidRPr="001F463D">
        <w:rPr>
          <w:rFonts w:ascii="Times New Roman" w:hAnsi="Times New Roman"/>
          <w:b/>
          <w:sz w:val="24"/>
          <w:szCs w:val="24"/>
          <w:lang w:eastAsia="sk-SK"/>
        </w:rPr>
        <w:t xml:space="preserve">  </w:t>
      </w:r>
      <w:r w:rsidRPr="001F463D">
        <w:rPr>
          <w:rFonts w:ascii="Times New Roman" w:hAnsi="Times New Roman"/>
          <w:sz w:val="24"/>
          <w:szCs w:val="24"/>
          <w:lang w:eastAsia="sk-SK"/>
        </w:rPr>
        <w:t>zmena sadzby</w:t>
      </w:r>
    </w:p>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bdr w:val="single" w:sz="4" w:space="0" w:color="auto"/>
          <w:lang w:eastAsia="sk-SK"/>
        </w:rPr>
        <w:t xml:space="preserve">     </w:t>
      </w:r>
      <w:r w:rsidRPr="001F463D">
        <w:rPr>
          <w:rFonts w:ascii="Times New Roman" w:hAnsi="Times New Roman"/>
          <w:sz w:val="24"/>
          <w:szCs w:val="24"/>
          <w:lang w:eastAsia="sk-SK"/>
        </w:rPr>
        <w:t xml:space="preserve">  zmena v nároku</w:t>
      </w:r>
    </w:p>
    <w:p w:rsidR="007D5748" w:rsidRPr="001F463D" w:rsidRDefault="00066F09" w:rsidP="007D5748">
      <w:pPr>
        <w:spacing w:after="0" w:line="240" w:lineRule="auto"/>
        <w:rPr>
          <w:rFonts w:ascii="Times New Roman" w:hAnsi="Times New Roman"/>
          <w:sz w:val="24"/>
          <w:szCs w:val="24"/>
          <w:lang w:eastAsia="sk-SK"/>
        </w:rPr>
      </w:pPr>
      <w:r w:rsidRPr="001F463D">
        <w:rPr>
          <w:rFonts w:ascii="Times New Roman" w:hAnsi="Times New Roman"/>
          <w:sz w:val="24"/>
          <w:szCs w:val="24"/>
          <w:bdr w:val="single" w:sz="4" w:space="0" w:color="auto"/>
          <w:lang w:eastAsia="sk-SK"/>
        </w:rPr>
        <w:t xml:space="preserve">  </w:t>
      </w:r>
      <w:r w:rsidR="00F10917" w:rsidRPr="001F463D">
        <w:rPr>
          <w:rFonts w:ascii="Times New Roman" w:hAnsi="Times New Roman"/>
          <w:sz w:val="24"/>
          <w:szCs w:val="24"/>
          <w:bdr w:val="single" w:sz="4" w:space="0" w:color="auto"/>
          <w:lang w:eastAsia="sk-SK"/>
        </w:rPr>
        <w:t xml:space="preserve">  </w:t>
      </w:r>
      <w:r w:rsidR="007D5748" w:rsidRPr="001F463D">
        <w:rPr>
          <w:rFonts w:ascii="Times New Roman" w:hAnsi="Times New Roman"/>
          <w:sz w:val="24"/>
          <w:szCs w:val="24"/>
          <w:bdr w:val="single" w:sz="4" w:space="0" w:color="auto"/>
          <w:lang w:eastAsia="sk-SK"/>
        </w:rPr>
        <w:t xml:space="preserve"> </w:t>
      </w:r>
      <w:r w:rsidR="007D5748" w:rsidRPr="001F463D">
        <w:rPr>
          <w:rFonts w:ascii="Times New Roman" w:hAnsi="Times New Roman"/>
          <w:sz w:val="24"/>
          <w:szCs w:val="24"/>
          <w:lang w:eastAsia="sk-SK"/>
        </w:rPr>
        <w:t xml:space="preserve">  nová služba alebo nariadenie (alebo ich zrušenie)</w:t>
      </w:r>
    </w:p>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bdr w:val="single" w:sz="4" w:space="0" w:color="auto"/>
          <w:lang w:eastAsia="sk-SK"/>
        </w:rPr>
        <w:t xml:space="preserve">     </w:t>
      </w:r>
      <w:r w:rsidRPr="001F463D">
        <w:rPr>
          <w:rFonts w:ascii="Times New Roman" w:hAnsi="Times New Roman"/>
          <w:sz w:val="24"/>
          <w:szCs w:val="24"/>
          <w:lang w:eastAsia="sk-SK"/>
        </w:rPr>
        <w:t xml:space="preserve">  kombinovaný návrh</w:t>
      </w:r>
    </w:p>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bdr w:val="single" w:sz="4" w:space="0" w:color="auto"/>
          <w:lang w:eastAsia="sk-SK"/>
        </w:rPr>
        <w:t xml:space="preserve">  </w:t>
      </w:r>
      <w:r w:rsidR="00EB0F00" w:rsidRPr="001F463D">
        <w:rPr>
          <w:rFonts w:ascii="Times New Roman" w:hAnsi="Times New Roman"/>
          <w:sz w:val="24"/>
          <w:szCs w:val="24"/>
          <w:bdr w:val="single" w:sz="4" w:space="0" w:color="auto"/>
          <w:lang w:eastAsia="sk-SK"/>
        </w:rPr>
        <w:t>x</w:t>
      </w:r>
      <w:r w:rsidRPr="001F463D">
        <w:rPr>
          <w:rFonts w:ascii="Times New Roman" w:hAnsi="Times New Roman"/>
          <w:sz w:val="24"/>
          <w:szCs w:val="24"/>
          <w:bdr w:val="single" w:sz="4" w:space="0" w:color="auto"/>
          <w:lang w:eastAsia="sk-SK"/>
        </w:rPr>
        <w:t xml:space="preserve"> </w:t>
      </w:r>
      <w:r w:rsidRPr="001F463D">
        <w:rPr>
          <w:rFonts w:ascii="Times New Roman" w:hAnsi="Times New Roman"/>
          <w:sz w:val="24"/>
          <w:szCs w:val="24"/>
          <w:lang w:eastAsia="sk-SK"/>
        </w:rPr>
        <w:t xml:space="preserve">  iné </w:t>
      </w:r>
    </w:p>
    <w:p w:rsidR="007D5748" w:rsidRPr="001F463D" w:rsidRDefault="007D5748" w:rsidP="007D5748">
      <w:pPr>
        <w:spacing w:after="0" w:line="240" w:lineRule="auto"/>
        <w:rPr>
          <w:rFonts w:ascii="Times New Roman" w:hAnsi="Times New Roman"/>
          <w:sz w:val="24"/>
          <w:szCs w:val="24"/>
          <w:lang w:eastAsia="sk-SK"/>
        </w:rPr>
      </w:pPr>
    </w:p>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b/>
          <w:bCs/>
          <w:sz w:val="24"/>
          <w:szCs w:val="24"/>
          <w:lang w:eastAsia="sk-SK"/>
        </w:rPr>
        <w:t>2.2.3. Predpoklady vývoja objemu aktivít:</w:t>
      </w:r>
    </w:p>
    <w:p w:rsidR="007D5748" w:rsidRPr="001F463D" w:rsidRDefault="007D5748" w:rsidP="007D5748">
      <w:pPr>
        <w:spacing w:after="0" w:line="240" w:lineRule="auto"/>
        <w:rPr>
          <w:rFonts w:ascii="Times New Roman" w:hAnsi="Times New Roman"/>
          <w:sz w:val="24"/>
          <w:szCs w:val="24"/>
          <w:lang w:eastAsia="sk-SK"/>
        </w:rPr>
      </w:pPr>
    </w:p>
    <w:p w:rsidR="007D5748" w:rsidRPr="001F463D" w:rsidRDefault="007D5748" w:rsidP="007D5748">
      <w:pPr>
        <w:spacing w:after="0" w:line="240" w:lineRule="auto"/>
        <w:ind w:firstLine="708"/>
        <w:jc w:val="both"/>
        <w:rPr>
          <w:rFonts w:ascii="Times New Roman" w:hAnsi="Times New Roman"/>
          <w:sz w:val="24"/>
          <w:szCs w:val="24"/>
          <w:lang w:eastAsia="sk-SK"/>
        </w:rPr>
      </w:pPr>
      <w:r w:rsidRPr="001F463D">
        <w:rPr>
          <w:rFonts w:ascii="Times New Roman" w:hAnsi="Times New Roman"/>
          <w:sz w:val="24"/>
          <w:szCs w:val="24"/>
          <w:lang w:eastAsia="sk-SK"/>
        </w:rPr>
        <w:t>Jasne popíšte, v prípade potreby použite nižšie uvedenú tabuľku. Uveďte aj odhady základov daní a/alebo poplatkov, ak sa ich táto zmena týka.</w:t>
      </w:r>
    </w:p>
    <w:p w:rsidR="007D5748" w:rsidRPr="001F463D" w:rsidRDefault="007D5748" w:rsidP="007D5748">
      <w:pPr>
        <w:spacing w:after="0" w:line="240" w:lineRule="auto"/>
        <w:jc w:val="right"/>
        <w:rPr>
          <w:rFonts w:ascii="Times New Roman" w:hAnsi="Times New Roman"/>
          <w:sz w:val="20"/>
          <w:szCs w:val="20"/>
          <w:lang w:eastAsia="sk-SK"/>
        </w:rPr>
      </w:pPr>
      <w:r w:rsidRPr="001F463D">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1F463D" w:rsidTr="005666F6">
        <w:trPr>
          <w:cantSplit/>
          <w:trHeight w:val="70"/>
        </w:trPr>
        <w:tc>
          <w:tcPr>
            <w:tcW w:w="4530" w:type="dxa"/>
            <w:vMerge w:val="restart"/>
            <w:shd w:val="clear" w:color="auto" w:fill="BFBFBF" w:themeFill="background1" w:themeFillShade="BF"/>
            <w:vAlign w:val="center"/>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Odhadované objemy</w:t>
            </w:r>
          </w:p>
        </w:tc>
      </w:tr>
      <w:tr w:rsidR="007D5748" w:rsidRPr="001F463D" w:rsidTr="005666F6">
        <w:trPr>
          <w:cantSplit/>
          <w:trHeight w:val="70"/>
        </w:trPr>
        <w:tc>
          <w:tcPr>
            <w:tcW w:w="4530" w:type="dxa"/>
            <w:vMerge/>
            <w:shd w:val="clear" w:color="auto" w:fill="BFBFBF" w:themeFill="background1" w:themeFillShade="BF"/>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r</w:t>
            </w:r>
          </w:p>
        </w:tc>
        <w:tc>
          <w:tcPr>
            <w:tcW w:w="1134" w:type="dxa"/>
            <w:shd w:val="clear" w:color="auto" w:fill="BFBFBF" w:themeFill="background1" w:themeFillShade="BF"/>
            <w:vAlign w:val="center"/>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r + 1</w:t>
            </w:r>
          </w:p>
        </w:tc>
        <w:tc>
          <w:tcPr>
            <w:tcW w:w="1134" w:type="dxa"/>
            <w:shd w:val="clear" w:color="auto" w:fill="BFBFBF" w:themeFill="background1" w:themeFillShade="BF"/>
            <w:vAlign w:val="center"/>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r + 2</w:t>
            </w:r>
          </w:p>
        </w:tc>
        <w:tc>
          <w:tcPr>
            <w:tcW w:w="1134" w:type="dxa"/>
            <w:shd w:val="clear" w:color="auto" w:fill="BFBFBF" w:themeFill="background1" w:themeFillShade="BF"/>
            <w:vAlign w:val="center"/>
          </w:tcPr>
          <w:p w:rsidR="007D5748" w:rsidRPr="001F463D"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r + 3</w:t>
            </w:r>
          </w:p>
        </w:tc>
      </w:tr>
      <w:tr w:rsidR="007D5748" w:rsidRPr="001F463D" w:rsidTr="005666F6">
        <w:trPr>
          <w:trHeight w:val="70"/>
        </w:trPr>
        <w:tc>
          <w:tcPr>
            <w:tcW w:w="4530" w:type="dxa"/>
          </w:tcPr>
          <w:p w:rsidR="007D5748" w:rsidRPr="001F463D"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1F463D">
              <w:rPr>
                <w:rFonts w:ascii="Times New Roman" w:hAnsi="Times New Roman"/>
                <w:color w:val="000000"/>
                <w:sz w:val="24"/>
                <w:szCs w:val="24"/>
                <w:lang w:eastAsia="sk-SK"/>
              </w:rPr>
              <w:t>Indikátor ABC</w:t>
            </w: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r w:rsidR="007D5748" w:rsidRPr="001F463D" w:rsidTr="005666F6">
        <w:trPr>
          <w:trHeight w:val="70"/>
        </w:trPr>
        <w:tc>
          <w:tcPr>
            <w:tcW w:w="4530" w:type="dxa"/>
          </w:tcPr>
          <w:p w:rsidR="007D5748" w:rsidRPr="001F463D"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1F463D">
              <w:rPr>
                <w:rFonts w:ascii="Times New Roman" w:hAnsi="Times New Roman"/>
                <w:color w:val="000000"/>
                <w:sz w:val="24"/>
                <w:szCs w:val="24"/>
                <w:lang w:eastAsia="sk-SK"/>
              </w:rPr>
              <w:t>Indikátor KLM</w:t>
            </w: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r w:rsidR="007D5748" w:rsidRPr="001F463D" w:rsidTr="005666F6">
        <w:trPr>
          <w:trHeight w:val="70"/>
        </w:trPr>
        <w:tc>
          <w:tcPr>
            <w:tcW w:w="4530" w:type="dxa"/>
          </w:tcPr>
          <w:p w:rsidR="007D5748" w:rsidRPr="001F463D"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1F463D">
              <w:rPr>
                <w:rFonts w:ascii="Times New Roman" w:hAnsi="Times New Roman"/>
                <w:color w:val="000000"/>
                <w:sz w:val="24"/>
                <w:szCs w:val="24"/>
                <w:lang w:eastAsia="sk-SK"/>
              </w:rPr>
              <w:t>Indikátor XYZ</w:t>
            </w: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1F463D"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bl>
    <w:p w:rsidR="007D5748" w:rsidRPr="001F463D" w:rsidRDefault="007D5748" w:rsidP="007D5748">
      <w:pPr>
        <w:spacing w:after="0" w:line="240" w:lineRule="auto"/>
        <w:rPr>
          <w:rFonts w:ascii="Times New Roman" w:hAnsi="Times New Roman"/>
          <w:sz w:val="24"/>
          <w:szCs w:val="24"/>
          <w:lang w:eastAsia="sk-SK"/>
        </w:rPr>
      </w:pPr>
    </w:p>
    <w:p w:rsidR="007D5748" w:rsidRPr="001F463D" w:rsidRDefault="007D5748" w:rsidP="007D5748">
      <w:pPr>
        <w:spacing w:after="0" w:line="240" w:lineRule="auto"/>
        <w:rPr>
          <w:rFonts w:ascii="Times New Roman" w:hAnsi="Times New Roman"/>
          <w:sz w:val="24"/>
          <w:szCs w:val="24"/>
          <w:lang w:eastAsia="sk-SK"/>
        </w:rPr>
      </w:pPr>
    </w:p>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2.2.4. Výpočty vplyvov na verejné financie</w:t>
      </w:r>
    </w:p>
    <w:p w:rsidR="00D43460" w:rsidRPr="001F463D" w:rsidRDefault="00D43460" w:rsidP="007D5748">
      <w:pPr>
        <w:tabs>
          <w:tab w:val="num" w:pos="1080"/>
        </w:tabs>
        <w:spacing w:after="0" w:line="240" w:lineRule="auto"/>
        <w:jc w:val="both"/>
        <w:rPr>
          <w:rFonts w:ascii="Times New Roman" w:hAnsi="Times New Roman"/>
          <w:sz w:val="24"/>
          <w:szCs w:val="24"/>
          <w:lang w:eastAsia="sk-SK"/>
        </w:rPr>
      </w:pPr>
    </w:p>
    <w:p w:rsidR="000813B1" w:rsidRPr="001F463D" w:rsidRDefault="00EB0F00" w:rsidP="00D2224C">
      <w:pPr>
        <w:tabs>
          <w:tab w:val="num" w:pos="1080"/>
        </w:tabs>
        <w:spacing w:after="0" w:line="240" w:lineRule="auto"/>
        <w:jc w:val="both"/>
        <w:rPr>
          <w:rFonts w:ascii="Times New Roman" w:hAnsi="Times New Roman"/>
          <w:sz w:val="24"/>
          <w:szCs w:val="24"/>
          <w:lang w:eastAsia="sk-SK"/>
        </w:rPr>
      </w:pPr>
      <w:r w:rsidRPr="001F463D">
        <w:rPr>
          <w:rFonts w:ascii="Times New Roman" w:hAnsi="Times New Roman"/>
          <w:sz w:val="24"/>
          <w:szCs w:val="24"/>
          <w:lang w:eastAsia="sk-SK"/>
        </w:rPr>
        <w:t>Predmetný návrh</w:t>
      </w:r>
      <w:r w:rsidR="00F25589" w:rsidRPr="001F463D">
        <w:rPr>
          <w:rFonts w:ascii="Times New Roman" w:hAnsi="Times New Roman"/>
          <w:sz w:val="24"/>
          <w:szCs w:val="24"/>
          <w:lang w:eastAsia="sk-SK"/>
        </w:rPr>
        <w:t xml:space="preserve"> bude mať negatívny vplyv na rozpočet v oblasti </w:t>
      </w:r>
      <w:r w:rsidR="000E0790" w:rsidRPr="001F463D">
        <w:rPr>
          <w:rFonts w:ascii="Times New Roman" w:hAnsi="Times New Roman"/>
          <w:sz w:val="24"/>
          <w:szCs w:val="24"/>
          <w:lang w:eastAsia="sk-SK"/>
        </w:rPr>
        <w:t xml:space="preserve">kapitálových </w:t>
      </w:r>
      <w:r w:rsidR="00F25589" w:rsidRPr="001F463D">
        <w:rPr>
          <w:rFonts w:ascii="Times New Roman" w:hAnsi="Times New Roman"/>
          <w:sz w:val="24"/>
          <w:szCs w:val="24"/>
          <w:lang w:eastAsia="sk-SK"/>
        </w:rPr>
        <w:t xml:space="preserve">výdavkov </w:t>
      </w:r>
      <w:r w:rsidR="003C4117" w:rsidRPr="001F463D">
        <w:rPr>
          <w:rFonts w:ascii="Times New Roman" w:hAnsi="Times New Roman"/>
          <w:sz w:val="24"/>
          <w:szCs w:val="24"/>
          <w:lang w:eastAsia="sk-SK"/>
        </w:rPr>
        <w:t>na informatiku, a to zmenou</w:t>
      </w:r>
      <w:r w:rsidR="000813B1" w:rsidRPr="001F463D">
        <w:rPr>
          <w:rFonts w:ascii="Times New Roman" w:hAnsi="Times New Roman"/>
          <w:sz w:val="24"/>
          <w:szCs w:val="24"/>
          <w:lang w:eastAsia="sk-SK"/>
        </w:rPr>
        <w:t xml:space="preserve"> v samotnom  informačnom systéme </w:t>
      </w:r>
      <w:r w:rsidR="00154F7D" w:rsidRPr="001F463D">
        <w:rPr>
          <w:rFonts w:ascii="Times New Roman" w:hAnsi="Times New Roman"/>
          <w:sz w:val="24"/>
          <w:szCs w:val="24"/>
          <w:lang w:eastAsia="sk-SK"/>
        </w:rPr>
        <w:t xml:space="preserve">Register partnerov verejného sektora </w:t>
      </w:r>
      <w:r w:rsidR="000813B1" w:rsidRPr="001F463D">
        <w:rPr>
          <w:rFonts w:ascii="Times New Roman" w:hAnsi="Times New Roman"/>
          <w:sz w:val="24"/>
          <w:szCs w:val="24"/>
          <w:lang w:eastAsia="sk-SK"/>
        </w:rPr>
        <w:t xml:space="preserve">v sume </w:t>
      </w:r>
      <w:r w:rsidR="00283D97" w:rsidRPr="001F463D">
        <w:rPr>
          <w:rFonts w:ascii="Times New Roman" w:hAnsi="Times New Roman"/>
          <w:sz w:val="24"/>
          <w:szCs w:val="24"/>
          <w:lang w:eastAsia="sk-SK"/>
        </w:rPr>
        <w:t>102 869,85</w:t>
      </w:r>
      <w:r w:rsidR="000813B1" w:rsidRPr="001F463D">
        <w:rPr>
          <w:rFonts w:ascii="Times New Roman" w:hAnsi="Times New Roman"/>
          <w:sz w:val="24"/>
          <w:szCs w:val="24"/>
          <w:lang w:eastAsia="sk-SK"/>
        </w:rPr>
        <w:t xml:space="preserve"> eur  za nasledovné činnosti v rozsahu </w:t>
      </w:r>
      <w:r w:rsidR="00283D97" w:rsidRPr="001F463D">
        <w:rPr>
          <w:rFonts w:ascii="Times New Roman" w:hAnsi="Times New Roman"/>
          <w:sz w:val="24"/>
          <w:szCs w:val="24"/>
          <w:lang w:eastAsia="sk-SK"/>
        </w:rPr>
        <w:t>168</w:t>
      </w:r>
      <w:r w:rsidR="000813B1" w:rsidRPr="001F463D">
        <w:rPr>
          <w:rFonts w:ascii="Times New Roman" w:hAnsi="Times New Roman"/>
          <w:sz w:val="24"/>
          <w:szCs w:val="24"/>
          <w:lang w:eastAsia="sk-SK"/>
        </w:rPr>
        <w:t xml:space="preserve"> človekodní - zavedenie nového formuláru pre prvozápis fyzickej osoby – podnikateľa, pridanie možnosti dobrovoľného overenia identifikácie </w:t>
      </w:r>
      <w:r w:rsidR="00283D97" w:rsidRPr="001F463D">
        <w:rPr>
          <w:rFonts w:ascii="Times New Roman" w:hAnsi="Times New Roman"/>
          <w:sz w:val="24"/>
          <w:szCs w:val="24"/>
          <w:lang w:eastAsia="sk-SK"/>
        </w:rPr>
        <w:t>konečného užívateľa výhod a</w:t>
      </w:r>
      <w:r w:rsidR="000813B1" w:rsidRPr="001F463D">
        <w:rPr>
          <w:rFonts w:ascii="Times New Roman" w:hAnsi="Times New Roman"/>
          <w:sz w:val="24"/>
          <w:szCs w:val="24"/>
          <w:lang w:eastAsia="sk-SK"/>
        </w:rPr>
        <w:t xml:space="preserve"> zákaz zápisu - pridanie kontroly ak má subjekt zákaz na zápis do </w:t>
      </w:r>
      <w:r w:rsidR="00283D97" w:rsidRPr="001F463D">
        <w:rPr>
          <w:rFonts w:ascii="Times New Roman" w:hAnsi="Times New Roman"/>
          <w:sz w:val="24"/>
          <w:szCs w:val="24"/>
          <w:lang w:eastAsia="sk-SK"/>
        </w:rPr>
        <w:t>Registra partnerov verejného sektora</w:t>
      </w:r>
      <w:r w:rsidR="000813B1" w:rsidRPr="001F463D">
        <w:rPr>
          <w:rFonts w:ascii="Times New Roman" w:hAnsi="Times New Roman"/>
          <w:sz w:val="24"/>
          <w:szCs w:val="24"/>
          <w:lang w:eastAsia="sk-SK"/>
        </w:rPr>
        <w:t>.</w:t>
      </w:r>
    </w:p>
    <w:p w:rsidR="000F1888" w:rsidRPr="001F463D" w:rsidRDefault="000F1888" w:rsidP="00D2224C">
      <w:pPr>
        <w:tabs>
          <w:tab w:val="num" w:pos="1080"/>
        </w:tabs>
        <w:spacing w:after="0" w:line="240" w:lineRule="auto"/>
        <w:jc w:val="both"/>
        <w:rPr>
          <w:rFonts w:ascii="Times New Roman" w:hAnsi="Times New Roman"/>
          <w:sz w:val="24"/>
          <w:szCs w:val="24"/>
          <w:lang w:eastAsia="sk-SK"/>
        </w:rPr>
      </w:pPr>
    </w:p>
    <w:p w:rsidR="00E06CA5" w:rsidRPr="001F463D" w:rsidRDefault="00E06CA5" w:rsidP="007D5748">
      <w:pPr>
        <w:tabs>
          <w:tab w:val="num" w:pos="1080"/>
        </w:tabs>
        <w:spacing w:after="0" w:line="240" w:lineRule="auto"/>
        <w:jc w:val="both"/>
        <w:rPr>
          <w:rFonts w:ascii="Times New Roman" w:hAnsi="Times New Roman"/>
          <w:sz w:val="24"/>
          <w:szCs w:val="24"/>
          <w:lang w:eastAsia="sk-SK"/>
        </w:rPr>
      </w:pPr>
    </w:p>
    <w:p w:rsidR="00B27A60" w:rsidRPr="001F463D" w:rsidRDefault="00B27A60" w:rsidP="007D5748">
      <w:pPr>
        <w:tabs>
          <w:tab w:val="num" w:pos="1080"/>
        </w:tabs>
        <w:spacing w:after="0" w:line="240" w:lineRule="auto"/>
        <w:jc w:val="both"/>
        <w:rPr>
          <w:rFonts w:ascii="Times New Roman" w:hAnsi="Times New Roman"/>
          <w:bCs/>
          <w:sz w:val="24"/>
          <w:szCs w:val="20"/>
          <w:lang w:eastAsia="sk-SK"/>
        </w:rPr>
        <w:sectPr w:rsidR="00B27A60" w:rsidRPr="001F463D" w:rsidSect="005D5D87">
          <w:headerReference w:type="even"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rsidR="007D5748" w:rsidRPr="001F463D" w:rsidRDefault="007D5748" w:rsidP="007D5748">
      <w:pPr>
        <w:tabs>
          <w:tab w:val="num" w:pos="1080"/>
        </w:tabs>
        <w:spacing w:after="0" w:line="240" w:lineRule="auto"/>
        <w:jc w:val="right"/>
        <w:rPr>
          <w:rFonts w:ascii="Times New Roman" w:hAnsi="Times New Roman"/>
          <w:bCs/>
          <w:sz w:val="24"/>
          <w:szCs w:val="24"/>
          <w:lang w:eastAsia="sk-SK"/>
        </w:rPr>
      </w:pPr>
      <w:r w:rsidRPr="001F463D">
        <w:rPr>
          <w:rFonts w:ascii="Times New Roman" w:hAnsi="Times New Roman"/>
          <w:bCs/>
          <w:sz w:val="24"/>
          <w:szCs w:val="24"/>
          <w:lang w:eastAsia="sk-SK"/>
        </w:rPr>
        <w:lastRenderedPageBreak/>
        <w:t xml:space="preserve">Tabuľka č. 3 </w:t>
      </w:r>
    </w:p>
    <w:p w:rsidR="007D5748" w:rsidRPr="001F463D"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1F463D" w:rsidTr="005666F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poznámka</w:t>
            </w:r>
          </w:p>
        </w:tc>
      </w:tr>
      <w:tr w:rsidR="00D774EB" w:rsidRPr="001F463D" w:rsidTr="005666F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774EB" w:rsidRPr="001F463D" w:rsidRDefault="00D774EB" w:rsidP="00D774EB">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D774EB" w:rsidRPr="001F463D" w:rsidRDefault="00D774EB" w:rsidP="00D774EB">
            <w:pPr>
              <w:spacing w:after="0" w:line="240" w:lineRule="auto"/>
              <w:rPr>
                <w:rFonts w:ascii="Times New Roman" w:hAnsi="Times New Roman"/>
                <w:b/>
                <w:bCs/>
                <w:color w:val="FFFFFF"/>
                <w:sz w:val="24"/>
                <w:szCs w:val="24"/>
                <w:lang w:eastAsia="sk-SK"/>
              </w:rPr>
            </w:pPr>
          </w:p>
        </w:tc>
      </w:tr>
      <w:tr w:rsidR="007D5748" w:rsidRPr="001F463D" w:rsidTr="005666F6">
        <w:trPr>
          <w:trHeight w:val="255"/>
        </w:trPr>
        <w:tc>
          <w:tcPr>
            <w:tcW w:w="4950" w:type="dxa"/>
            <w:tcBorders>
              <w:top w:val="nil"/>
              <w:left w:val="single" w:sz="4" w:space="0" w:color="auto"/>
              <w:bottom w:val="single" w:sz="4" w:space="0" w:color="auto"/>
              <w:right w:val="single" w:sz="4" w:space="0" w:color="auto"/>
            </w:tcBorders>
          </w:tcPr>
          <w:p w:rsidR="007D5748" w:rsidRPr="001F463D" w:rsidRDefault="007D5748" w:rsidP="007D5748">
            <w:pPr>
              <w:spacing w:after="0" w:line="240" w:lineRule="auto"/>
              <w:rPr>
                <w:rFonts w:ascii="Times New Roman" w:hAnsi="Times New Roman"/>
                <w:b/>
                <w:bCs/>
                <w:sz w:val="24"/>
                <w:szCs w:val="24"/>
                <w:vertAlign w:val="superscript"/>
                <w:lang w:eastAsia="sk-SK"/>
              </w:rPr>
            </w:pPr>
            <w:r w:rsidRPr="001F463D">
              <w:rPr>
                <w:rFonts w:ascii="Times New Roman" w:hAnsi="Times New Roman"/>
                <w:b/>
                <w:bCs/>
                <w:sz w:val="24"/>
                <w:szCs w:val="24"/>
                <w:lang w:eastAsia="sk-SK"/>
              </w:rPr>
              <w:t>Daňové príjmy (100)</w:t>
            </w:r>
            <w:r w:rsidRPr="001F463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7D5748" w:rsidRPr="001F463D" w:rsidTr="005666F6">
        <w:trPr>
          <w:trHeight w:val="255"/>
        </w:trPr>
        <w:tc>
          <w:tcPr>
            <w:tcW w:w="4950" w:type="dxa"/>
            <w:tcBorders>
              <w:top w:val="nil"/>
              <w:left w:val="single" w:sz="4" w:space="0" w:color="auto"/>
              <w:bottom w:val="single" w:sz="4" w:space="0" w:color="auto"/>
              <w:right w:val="single" w:sz="4" w:space="0" w:color="auto"/>
            </w:tcBorders>
          </w:tcPr>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Nedaňové príjmy (200)</w:t>
            </w:r>
            <w:r w:rsidRPr="001F463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7D5748" w:rsidRPr="001F463D" w:rsidTr="005666F6">
        <w:trPr>
          <w:trHeight w:val="255"/>
        </w:trPr>
        <w:tc>
          <w:tcPr>
            <w:tcW w:w="4950" w:type="dxa"/>
            <w:tcBorders>
              <w:top w:val="nil"/>
              <w:left w:val="single" w:sz="4" w:space="0" w:color="auto"/>
              <w:bottom w:val="single" w:sz="4" w:space="0" w:color="auto"/>
              <w:right w:val="single" w:sz="4" w:space="0" w:color="auto"/>
            </w:tcBorders>
          </w:tcPr>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Granty a transfery (300)</w:t>
            </w:r>
            <w:r w:rsidRPr="001F463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1F463D"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7D5748" w:rsidRPr="001F463D" w:rsidTr="005666F6">
        <w:trPr>
          <w:trHeight w:val="255"/>
        </w:trPr>
        <w:tc>
          <w:tcPr>
            <w:tcW w:w="4950" w:type="dxa"/>
            <w:tcBorders>
              <w:top w:val="nil"/>
              <w:left w:val="single" w:sz="4" w:space="0" w:color="auto"/>
              <w:bottom w:val="single" w:sz="4" w:space="0" w:color="auto"/>
              <w:right w:val="single" w:sz="4" w:space="0" w:color="auto"/>
            </w:tcBorders>
          </w:tcPr>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7D5748" w:rsidRPr="001F463D" w:rsidTr="005666F6">
        <w:trPr>
          <w:trHeight w:val="255"/>
        </w:trPr>
        <w:tc>
          <w:tcPr>
            <w:tcW w:w="4950" w:type="dxa"/>
            <w:tcBorders>
              <w:top w:val="nil"/>
              <w:left w:val="single" w:sz="4" w:space="0" w:color="auto"/>
              <w:bottom w:val="single" w:sz="4" w:space="0" w:color="auto"/>
              <w:right w:val="single" w:sz="4" w:space="0" w:color="auto"/>
            </w:tcBorders>
          </w:tcPr>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7D5748" w:rsidRPr="001F463D" w:rsidTr="005666F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bl>
    <w:p w:rsidR="007D5748" w:rsidRPr="001F463D" w:rsidRDefault="007D5748" w:rsidP="007D5748">
      <w:pPr>
        <w:tabs>
          <w:tab w:val="num" w:pos="1080"/>
        </w:tabs>
        <w:spacing w:after="0" w:line="240" w:lineRule="auto"/>
        <w:jc w:val="both"/>
        <w:rPr>
          <w:rFonts w:ascii="Times New Roman" w:hAnsi="Times New Roman"/>
          <w:bCs/>
          <w:sz w:val="20"/>
          <w:szCs w:val="20"/>
          <w:lang w:eastAsia="sk-SK"/>
        </w:rPr>
      </w:pPr>
      <w:r w:rsidRPr="001F463D">
        <w:rPr>
          <w:rFonts w:ascii="Times New Roman" w:hAnsi="Times New Roman"/>
          <w:bCs/>
          <w:sz w:val="20"/>
          <w:szCs w:val="20"/>
          <w:lang w:eastAsia="sk-SK"/>
        </w:rPr>
        <w:t>1 –  príjmy rozpísať až do položiek platnej ekonomickej klasifikácie</w:t>
      </w:r>
    </w:p>
    <w:p w:rsidR="007D5748" w:rsidRPr="001F463D" w:rsidRDefault="007D5748" w:rsidP="007D5748">
      <w:pPr>
        <w:tabs>
          <w:tab w:val="num" w:pos="1080"/>
        </w:tabs>
        <w:spacing w:after="0" w:line="240" w:lineRule="auto"/>
        <w:jc w:val="both"/>
        <w:rPr>
          <w:rFonts w:ascii="Times New Roman" w:hAnsi="Times New Roman"/>
          <w:bCs/>
          <w:sz w:val="24"/>
          <w:szCs w:val="20"/>
          <w:lang w:eastAsia="sk-SK"/>
        </w:rPr>
      </w:pPr>
    </w:p>
    <w:p w:rsidR="007D5748" w:rsidRPr="001F463D" w:rsidRDefault="007D5748" w:rsidP="007D5748">
      <w:pPr>
        <w:tabs>
          <w:tab w:val="num" w:pos="1080"/>
        </w:tabs>
        <w:spacing w:after="0" w:line="240" w:lineRule="auto"/>
        <w:jc w:val="both"/>
        <w:rPr>
          <w:rFonts w:ascii="Times New Roman" w:hAnsi="Times New Roman"/>
          <w:b/>
          <w:bCs/>
          <w:sz w:val="24"/>
          <w:szCs w:val="20"/>
          <w:lang w:eastAsia="sk-SK"/>
        </w:rPr>
      </w:pPr>
      <w:r w:rsidRPr="001F463D">
        <w:rPr>
          <w:rFonts w:ascii="Times New Roman" w:hAnsi="Times New Roman"/>
          <w:b/>
          <w:bCs/>
          <w:sz w:val="24"/>
          <w:szCs w:val="20"/>
          <w:lang w:eastAsia="sk-SK"/>
        </w:rPr>
        <w:t>Poznámka:</w:t>
      </w:r>
    </w:p>
    <w:p w:rsidR="007D5748" w:rsidRPr="001F463D" w:rsidRDefault="007D5748" w:rsidP="007D5748">
      <w:pPr>
        <w:tabs>
          <w:tab w:val="num" w:pos="1080"/>
        </w:tabs>
        <w:spacing w:after="0" w:line="240" w:lineRule="auto"/>
        <w:jc w:val="both"/>
        <w:rPr>
          <w:rFonts w:ascii="Times New Roman" w:hAnsi="Times New Roman"/>
          <w:bCs/>
          <w:sz w:val="24"/>
          <w:szCs w:val="20"/>
          <w:lang w:eastAsia="sk-SK"/>
        </w:rPr>
      </w:pPr>
      <w:r w:rsidRPr="001F463D">
        <w:rPr>
          <w:rFonts w:ascii="Times New Roman" w:hAnsi="Times New Roman"/>
          <w:bCs/>
          <w:sz w:val="24"/>
          <w:szCs w:val="20"/>
          <w:lang w:eastAsia="sk-SK"/>
        </w:rPr>
        <w:t>Ak sa vplyv týka viacerých subjektov verejnej správy, vypĺňa sa samostatná tabuľka za každý subjekt.</w:t>
      </w: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r w:rsidRPr="001F463D">
        <w:rPr>
          <w:rFonts w:ascii="Times New Roman" w:hAnsi="Times New Roman"/>
          <w:bCs/>
          <w:sz w:val="24"/>
          <w:szCs w:val="24"/>
          <w:lang w:eastAsia="sk-SK"/>
        </w:rPr>
        <w:t xml:space="preserve"> </w:t>
      </w: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1F463D" w:rsidRDefault="007D5748" w:rsidP="007D5748">
      <w:pPr>
        <w:tabs>
          <w:tab w:val="num" w:pos="1080"/>
        </w:tabs>
        <w:spacing w:after="0" w:line="240" w:lineRule="auto"/>
        <w:ind w:right="-32"/>
        <w:jc w:val="right"/>
        <w:rPr>
          <w:rFonts w:ascii="Times New Roman" w:hAnsi="Times New Roman"/>
          <w:bCs/>
          <w:sz w:val="24"/>
          <w:szCs w:val="24"/>
          <w:lang w:eastAsia="sk-SK"/>
        </w:rPr>
      </w:pPr>
      <w:r w:rsidRPr="001F463D">
        <w:rPr>
          <w:rFonts w:ascii="Times New Roman" w:hAnsi="Times New Roman"/>
          <w:bCs/>
          <w:sz w:val="24"/>
          <w:szCs w:val="24"/>
          <w:lang w:eastAsia="sk-SK"/>
        </w:rPr>
        <w:lastRenderedPageBreak/>
        <w:t xml:space="preserve">Tabuľka č. 4 </w:t>
      </w:r>
    </w:p>
    <w:p w:rsidR="007D5748" w:rsidRPr="001F463D"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1F463D" w:rsidTr="005666F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1F463D" w:rsidRDefault="007D5748" w:rsidP="007D5748">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poznámka</w:t>
            </w:r>
          </w:p>
        </w:tc>
      </w:tr>
      <w:tr w:rsidR="00D774EB" w:rsidRPr="001F463D" w:rsidTr="0002115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774EB" w:rsidRPr="001F463D" w:rsidRDefault="00D774EB" w:rsidP="00D774EB">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D774EB" w:rsidRPr="001F463D" w:rsidRDefault="00D774EB" w:rsidP="00D774EB">
            <w:pPr>
              <w:spacing w:after="0" w:line="240" w:lineRule="auto"/>
              <w:rPr>
                <w:rFonts w:ascii="Times New Roman" w:hAnsi="Times New Roman"/>
                <w:b/>
                <w:bCs/>
                <w:color w:val="FFFFFF"/>
                <w:sz w:val="24"/>
                <w:szCs w:val="24"/>
                <w:lang w:eastAsia="sk-SK"/>
              </w:rPr>
            </w:pP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b/>
                <w:bCs/>
                <w:sz w:val="20"/>
                <w:szCs w:val="20"/>
                <w:lang w:eastAsia="sk-SK"/>
              </w:rPr>
            </w:pPr>
            <w:r w:rsidRPr="001F463D">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B06AAD">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sz w:val="20"/>
                <w:szCs w:val="20"/>
                <w:lang w:eastAsia="sk-SK"/>
              </w:rPr>
            </w:pPr>
            <w:r w:rsidRPr="001F463D">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B06AAD">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sz w:val="20"/>
                <w:szCs w:val="20"/>
                <w:vertAlign w:val="superscript"/>
                <w:lang w:eastAsia="sk-SK"/>
              </w:rPr>
            </w:pPr>
            <w:r w:rsidRPr="001F463D">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sz w:val="20"/>
                <w:szCs w:val="20"/>
                <w:lang w:eastAsia="sk-SK"/>
              </w:rPr>
            </w:pPr>
            <w:r w:rsidRPr="001F463D">
              <w:rPr>
                <w:rFonts w:ascii="Times New Roman" w:hAnsi="Times New Roman"/>
                <w:sz w:val="20"/>
                <w:szCs w:val="20"/>
                <w:lang w:eastAsia="sk-SK"/>
              </w:rPr>
              <w:t xml:space="preserve">  Tovary a služby (630)</w:t>
            </w:r>
            <w:r w:rsidRPr="001F463D">
              <w:rPr>
                <w:rFonts w:ascii="Times New Roman" w:hAnsi="Times New Roman"/>
                <w:sz w:val="20"/>
                <w:szCs w:val="20"/>
                <w:vertAlign w:val="superscript"/>
                <w:lang w:eastAsia="sk-SK"/>
              </w:rPr>
              <w:t>2</w:t>
            </w:r>
            <w:r w:rsidRPr="001F463D">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sz w:val="20"/>
                <w:szCs w:val="20"/>
                <w:lang w:eastAsia="sk-SK"/>
              </w:rPr>
            </w:pPr>
            <w:r w:rsidRPr="001F463D">
              <w:rPr>
                <w:rFonts w:ascii="Times New Roman" w:hAnsi="Times New Roman"/>
                <w:sz w:val="20"/>
                <w:szCs w:val="20"/>
                <w:lang w:eastAsia="sk-SK"/>
              </w:rPr>
              <w:t xml:space="preserve">  Bežné transfery (640)</w:t>
            </w:r>
            <w:r w:rsidRPr="001F463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vAlign w:val="center"/>
          </w:tcPr>
          <w:p w:rsidR="00250C87" w:rsidRPr="001F463D" w:rsidRDefault="00250C87" w:rsidP="00250C87">
            <w:pPr>
              <w:spacing w:after="0" w:line="240" w:lineRule="auto"/>
              <w:rPr>
                <w:rFonts w:ascii="Times New Roman" w:hAnsi="Times New Roman"/>
                <w:sz w:val="20"/>
                <w:szCs w:val="20"/>
                <w:lang w:eastAsia="sk-SK"/>
              </w:rPr>
            </w:pPr>
            <w:r w:rsidRPr="001F463D">
              <w:rPr>
                <w:rFonts w:ascii="Times New Roman" w:hAnsi="Times New Roman"/>
                <w:sz w:val="20"/>
                <w:szCs w:val="20"/>
                <w:lang w:eastAsia="sk-SK"/>
              </w:rPr>
              <w:t xml:space="preserve">  Splácanie úrokov a ostatné platby súvisiace s </w:t>
            </w:r>
            <w:r w:rsidRPr="001F463D">
              <w:rPr>
                <w:rFonts w:ascii="Times New Roman" w:hAnsi="Times New Roman"/>
              </w:rPr>
              <w:t xml:space="preserve"> </w:t>
            </w:r>
            <w:r w:rsidRPr="001F463D">
              <w:rPr>
                <w:rFonts w:ascii="Times New Roman" w:hAnsi="Times New Roman"/>
                <w:sz w:val="20"/>
                <w:szCs w:val="20"/>
                <w:lang w:eastAsia="sk-SK"/>
              </w:rPr>
              <w:t>úverom, pôžičkou, návratnou finančnou výpomocou a finančným prenájmom (650)</w:t>
            </w:r>
            <w:r w:rsidRPr="001F463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b/>
                <w:bCs/>
                <w:sz w:val="20"/>
                <w:szCs w:val="20"/>
                <w:lang w:eastAsia="sk-SK"/>
              </w:rPr>
            </w:pPr>
            <w:r w:rsidRPr="001F463D">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250C87" w:rsidRPr="001F463D" w:rsidRDefault="00283D9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102 869,85</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sz w:val="20"/>
                <w:szCs w:val="20"/>
                <w:lang w:eastAsia="sk-SK"/>
              </w:rPr>
            </w:pPr>
            <w:r w:rsidRPr="001F463D">
              <w:rPr>
                <w:rFonts w:ascii="Times New Roman" w:hAnsi="Times New Roman"/>
                <w:sz w:val="20"/>
                <w:szCs w:val="20"/>
                <w:lang w:eastAsia="sk-SK"/>
              </w:rPr>
              <w:t xml:space="preserve">  Obstarávanie kapitálových aktív (710)</w:t>
            </w:r>
            <w:r w:rsidRPr="001F463D">
              <w:rPr>
                <w:rFonts w:ascii="Times New Roman" w:hAnsi="Times New Roman"/>
                <w:sz w:val="20"/>
                <w:szCs w:val="20"/>
                <w:vertAlign w:val="superscript"/>
                <w:lang w:eastAsia="sk-SK"/>
              </w:rPr>
              <w:t>2</w:t>
            </w:r>
            <w:r w:rsidRPr="001F463D">
              <w:rPr>
                <w:rFonts w:ascii="Times New Roman" w:hAnsi="Times New Roman"/>
                <w:sz w:val="20"/>
                <w:szCs w:val="20"/>
                <w:lang w:eastAsia="sk-SK"/>
              </w:rPr>
              <w:t xml:space="preserve"> </w:t>
            </w:r>
            <w:r w:rsidR="00E24EEC" w:rsidRPr="001F463D">
              <w:rPr>
                <w:rFonts w:ascii="Times New Roman" w:hAnsi="Times New Roman"/>
                <w:sz w:val="20"/>
                <w:szCs w:val="20"/>
                <w:lang w:eastAsia="sk-SK"/>
              </w:rPr>
              <w:t>- 711</w:t>
            </w:r>
          </w:p>
        </w:tc>
        <w:tc>
          <w:tcPr>
            <w:tcW w:w="1540" w:type="dxa"/>
            <w:tcBorders>
              <w:top w:val="nil"/>
              <w:left w:val="nil"/>
              <w:bottom w:val="single" w:sz="4" w:space="0" w:color="auto"/>
              <w:right w:val="single" w:sz="4" w:space="0" w:color="auto"/>
            </w:tcBorders>
            <w:vAlign w:val="center"/>
          </w:tcPr>
          <w:p w:rsidR="00250C87" w:rsidRPr="001F463D" w:rsidRDefault="00283D97" w:rsidP="00250C87">
            <w:pPr>
              <w:spacing w:after="0" w:line="240" w:lineRule="auto"/>
              <w:jc w:val="center"/>
              <w:rPr>
                <w:rFonts w:ascii="Times New Roman" w:hAnsi="Times New Roman"/>
                <w:sz w:val="20"/>
                <w:szCs w:val="20"/>
                <w:lang w:eastAsia="sk-SK"/>
              </w:rPr>
            </w:pPr>
            <w:r w:rsidRPr="001F463D">
              <w:rPr>
                <w:rFonts w:ascii="Times New Roman" w:hAnsi="Times New Roman"/>
                <w:sz w:val="20"/>
                <w:szCs w:val="20"/>
                <w:lang w:eastAsia="sk-SK"/>
              </w:rPr>
              <w:t>102 869,85</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021154">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sz w:val="20"/>
                <w:szCs w:val="20"/>
                <w:lang w:eastAsia="sk-SK"/>
              </w:rPr>
            </w:pPr>
            <w:r w:rsidRPr="001F463D">
              <w:rPr>
                <w:rFonts w:ascii="Times New Roman" w:hAnsi="Times New Roman"/>
                <w:sz w:val="20"/>
                <w:szCs w:val="20"/>
                <w:lang w:eastAsia="sk-SK"/>
              </w:rPr>
              <w:t xml:space="preserve">  Kapitálové transfery (720)</w:t>
            </w:r>
            <w:r w:rsidRPr="001F463D">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vAlign w:val="center"/>
          </w:tcPr>
          <w:p w:rsidR="00250C87" w:rsidRPr="001F463D" w:rsidRDefault="00250C87" w:rsidP="00250C87">
            <w:pPr>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5666F6">
        <w:trPr>
          <w:trHeight w:val="255"/>
        </w:trPr>
        <w:tc>
          <w:tcPr>
            <w:tcW w:w="7070" w:type="dxa"/>
            <w:tcBorders>
              <w:top w:val="nil"/>
              <w:left w:val="single" w:sz="4" w:space="0" w:color="auto"/>
              <w:bottom w:val="single" w:sz="4" w:space="0" w:color="auto"/>
              <w:right w:val="single" w:sz="4" w:space="0" w:color="auto"/>
            </w:tcBorders>
          </w:tcPr>
          <w:p w:rsidR="00250C87" w:rsidRPr="001F463D" w:rsidRDefault="00250C87" w:rsidP="00250C87">
            <w:pPr>
              <w:spacing w:after="0" w:line="240" w:lineRule="auto"/>
              <w:rPr>
                <w:rFonts w:ascii="Times New Roman" w:hAnsi="Times New Roman"/>
                <w:b/>
                <w:bCs/>
                <w:sz w:val="20"/>
                <w:szCs w:val="20"/>
                <w:lang w:eastAsia="sk-SK"/>
              </w:rPr>
            </w:pPr>
            <w:r w:rsidRPr="001F463D">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250C87" w:rsidRPr="001F463D" w:rsidTr="00B06AAD">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0C87" w:rsidRPr="001F463D" w:rsidRDefault="00250C87" w:rsidP="00250C87">
            <w:pPr>
              <w:spacing w:after="0" w:line="240" w:lineRule="auto"/>
              <w:rPr>
                <w:rFonts w:ascii="Times New Roman" w:hAnsi="Times New Roman"/>
                <w:b/>
                <w:bCs/>
                <w:sz w:val="20"/>
                <w:szCs w:val="20"/>
                <w:lang w:eastAsia="sk-SK"/>
              </w:rPr>
            </w:pPr>
            <w:r w:rsidRPr="001F463D">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50C87" w:rsidRPr="001F463D" w:rsidRDefault="00283D9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102 869,85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50C87" w:rsidRPr="001F463D" w:rsidRDefault="00250C87" w:rsidP="00250C87">
            <w:pPr>
              <w:spacing w:after="0" w:line="240" w:lineRule="auto"/>
              <w:jc w:val="center"/>
              <w:rPr>
                <w:rFonts w:ascii="Times New Roman" w:hAnsi="Times New Roman"/>
                <w:b/>
                <w:bCs/>
                <w:sz w:val="20"/>
                <w:szCs w:val="20"/>
                <w:lang w:eastAsia="sk-SK"/>
              </w:rPr>
            </w:pPr>
            <w:r w:rsidRPr="001F463D">
              <w:rPr>
                <w:rFonts w:ascii="Times New Roman" w:hAnsi="Times New Roman"/>
                <w:b/>
                <w:bCs/>
                <w:sz w:val="20"/>
                <w:szCs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50C87" w:rsidRPr="001F463D" w:rsidRDefault="00250C87" w:rsidP="00250C87">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bl>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r w:rsidRPr="001F463D">
        <w:rPr>
          <w:rFonts w:ascii="Times New Roman" w:hAnsi="Times New Roman"/>
          <w:bCs/>
          <w:sz w:val="20"/>
          <w:szCs w:val="20"/>
          <w:lang w:eastAsia="sk-SK"/>
        </w:rPr>
        <w:t>2 –  výdavky rozpísať až do položiek platnej ekonomickej klasifikácie</w:t>
      </w:r>
    </w:p>
    <w:p w:rsidR="007D5748" w:rsidRPr="001F463D" w:rsidRDefault="007D5748" w:rsidP="007D5748">
      <w:pPr>
        <w:tabs>
          <w:tab w:val="num" w:pos="1080"/>
        </w:tabs>
        <w:spacing w:after="0" w:line="240" w:lineRule="auto"/>
        <w:ind w:left="-900"/>
        <w:jc w:val="both"/>
        <w:rPr>
          <w:rFonts w:ascii="Times New Roman" w:hAnsi="Times New Roman"/>
          <w:bCs/>
          <w:sz w:val="24"/>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
          <w:bCs/>
          <w:sz w:val="20"/>
          <w:szCs w:val="20"/>
          <w:lang w:eastAsia="sk-SK"/>
        </w:rPr>
      </w:pPr>
      <w:r w:rsidRPr="001F463D">
        <w:rPr>
          <w:rFonts w:ascii="Times New Roman" w:hAnsi="Times New Roman"/>
          <w:b/>
          <w:bCs/>
          <w:sz w:val="24"/>
          <w:szCs w:val="20"/>
          <w:lang w:eastAsia="sk-SK"/>
        </w:rPr>
        <w:t>Poznámka:</w:t>
      </w: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r w:rsidRPr="001F463D">
        <w:rPr>
          <w:rFonts w:ascii="Times New Roman" w:hAnsi="Times New Roman"/>
          <w:bCs/>
          <w:sz w:val="24"/>
          <w:szCs w:val="20"/>
          <w:lang w:eastAsia="sk-SK"/>
        </w:rPr>
        <w:t>Ak sa vplyv týka viacerých subjektov verejnej správy, vypĺňa sa samostatná tabuľka za každý subjekt.</w:t>
      </w: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1F463D" w:rsidRDefault="007D5748" w:rsidP="007D5748">
      <w:pPr>
        <w:tabs>
          <w:tab w:val="num" w:pos="1080"/>
        </w:tabs>
        <w:spacing w:after="0" w:line="240" w:lineRule="auto"/>
        <w:jc w:val="right"/>
        <w:rPr>
          <w:rFonts w:ascii="Times New Roman" w:hAnsi="Times New Roman"/>
          <w:bCs/>
          <w:sz w:val="24"/>
          <w:szCs w:val="24"/>
          <w:lang w:eastAsia="sk-SK"/>
        </w:rPr>
      </w:pPr>
      <w:r w:rsidRPr="001F463D">
        <w:rPr>
          <w:rFonts w:ascii="Times New Roman" w:hAnsi="Times New Roman"/>
          <w:bCs/>
          <w:sz w:val="24"/>
          <w:szCs w:val="24"/>
          <w:lang w:eastAsia="sk-SK"/>
        </w:rPr>
        <w:t xml:space="preserve">                 Tabuľka č. 5 </w:t>
      </w:r>
    </w:p>
    <w:p w:rsidR="007D5748" w:rsidRPr="001F463D" w:rsidRDefault="007D5748" w:rsidP="007D5748">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75"/>
        <w:gridCol w:w="323"/>
        <w:gridCol w:w="1722"/>
        <w:gridCol w:w="630"/>
        <w:gridCol w:w="990"/>
      </w:tblGrid>
      <w:tr w:rsidR="007D5748" w:rsidRPr="001F463D" w:rsidTr="005666F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Zamestnanosť</w:t>
            </w:r>
          </w:p>
        </w:tc>
        <w:tc>
          <w:tcPr>
            <w:tcW w:w="7626" w:type="dxa"/>
            <w:gridSpan w:val="6"/>
            <w:tcBorders>
              <w:top w:val="single" w:sz="4" w:space="0" w:color="auto"/>
              <w:left w:val="nil"/>
              <w:bottom w:val="single" w:sz="4" w:space="0" w:color="auto"/>
              <w:right w:val="single" w:sz="4" w:space="0" w:color="auto"/>
            </w:tcBorders>
            <w:shd w:val="clear" w:color="auto" w:fill="BFBFBF" w:themeFill="background1" w:themeFillShade="BF"/>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1F463D" w:rsidRDefault="007D5748" w:rsidP="007D5748">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poznámka</w:t>
            </w:r>
          </w:p>
        </w:tc>
      </w:tr>
      <w:tr w:rsidR="00D774EB" w:rsidRPr="001F463D" w:rsidTr="00066F0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2019</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2020</w:t>
            </w:r>
          </w:p>
        </w:tc>
        <w:tc>
          <w:tcPr>
            <w:tcW w:w="2095" w:type="dxa"/>
            <w:gridSpan w:val="2"/>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2021</w:t>
            </w:r>
          </w:p>
        </w:tc>
        <w:tc>
          <w:tcPr>
            <w:tcW w:w="2045" w:type="dxa"/>
            <w:gridSpan w:val="2"/>
            <w:tcBorders>
              <w:top w:val="nil"/>
              <w:left w:val="nil"/>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74EB" w:rsidRPr="001F463D" w:rsidRDefault="00D774EB" w:rsidP="00D774EB">
            <w:pPr>
              <w:spacing w:after="0" w:line="240" w:lineRule="auto"/>
              <w:rPr>
                <w:rFonts w:ascii="Times New Roman" w:hAnsi="Times New Roman"/>
                <w:b/>
                <w:bCs/>
                <w:color w:val="FFFFFF"/>
                <w:sz w:val="24"/>
                <w:szCs w:val="24"/>
                <w:lang w:eastAsia="sk-SK"/>
              </w:rPr>
            </w:pPr>
          </w:p>
        </w:tc>
      </w:tr>
      <w:tr w:rsidR="00F77770" w:rsidRPr="001F463D" w:rsidTr="00066F09">
        <w:trPr>
          <w:trHeight w:val="255"/>
        </w:trPr>
        <w:tc>
          <w:tcPr>
            <w:tcW w:w="6188" w:type="dxa"/>
            <w:tcBorders>
              <w:top w:val="nil"/>
              <w:left w:val="single" w:sz="4" w:space="0" w:color="auto"/>
              <w:bottom w:val="single" w:sz="4" w:space="0" w:color="auto"/>
              <w:right w:val="single" w:sz="4" w:space="0" w:color="auto"/>
            </w:tcBorders>
          </w:tcPr>
          <w:p w:rsidR="00F77770" w:rsidRPr="001F463D" w:rsidRDefault="00F77770"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2095" w:type="dxa"/>
            <w:gridSpan w:val="2"/>
            <w:tcBorders>
              <w:top w:val="nil"/>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2045" w:type="dxa"/>
            <w:gridSpan w:val="2"/>
            <w:tcBorders>
              <w:top w:val="nil"/>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1620" w:type="dxa"/>
            <w:gridSpan w:val="2"/>
            <w:vMerge w:val="restart"/>
            <w:tcBorders>
              <w:top w:val="nil"/>
              <w:left w:val="nil"/>
              <w:right w:val="single" w:sz="4" w:space="0" w:color="auto"/>
            </w:tcBorders>
            <w:noWrap/>
          </w:tcPr>
          <w:p w:rsidR="00F77770" w:rsidRPr="001F463D" w:rsidRDefault="00F77770" w:rsidP="007850C0">
            <w:pPr>
              <w:spacing w:after="0" w:line="240" w:lineRule="auto"/>
              <w:rPr>
                <w:rFonts w:ascii="Times New Roman" w:hAnsi="Times New Roman"/>
                <w:sz w:val="20"/>
                <w:szCs w:val="20"/>
                <w:lang w:eastAsia="sk-SK"/>
              </w:rPr>
            </w:pPr>
          </w:p>
        </w:tc>
      </w:tr>
      <w:tr w:rsidR="00F77770" w:rsidRPr="001F463D" w:rsidTr="00066F09">
        <w:trPr>
          <w:trHeight w:val="255"/>
        </w:trPr>
        <w:tc>
          <w:tcPr>
            <w:tcW w:w="6188" w:type="dxa"/>
            <w:tcBorders>
              <w:top w:val="nil"/>
              <w:left w:val="single" w:sz="4" w:space="0" w:color="auto"/>
              <w:bottom w:val="single" w:sz="4" w:space="0" w:color="auto"/>
              <w:right w:val="single" w:sz="4" w:space="0" w:color="auto"/>
            </w:tcBorders>
          </w:tcPr>
          <w:p w:rsidR="00F77770" w:rsidRPr="001F463D" w:rsidRDefault="00F77770"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2095" w:type="dxa"/>
            <w:gridSpan w:val="2"/>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2045" w:type="dxa"/>
            <w:gridSpan w:val="2"/>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1620" w:type="dxa"/>
            <w:gridSpan w:val="2"/>
            <w:vMerge/>
            <w:tcBorders>
              <w:left w:val="nil"/>
              <w:right w:val="single" w:sz="4" w:space="0" w:color="auto"/>
            </w:tcBorders>
            <w:noWrap/>
            <w:vAlign w:val="bottom"/>
          </w:tcPr>
          <w:p w:rsidR="00F77770" w:rsidRPr="001F463D" w:rsidRDefault="00F77770" w:rsidP="007D5748">
            <w:pPr>
              <w:spacing w:after="0" w:line="240" w:lineRule="auto"/>
              <w:rPr>
                <w:rFonts w:ascii="Times New Roman" w:hAnsi="Times New Roman"/>
                <w:sz w:val="24"/>
                <w:szCs w:val="24"/>
                <w:lang w:eastAsia="sk-SK"/>
              </w:rPr>
            </w:pPr>
          </w:p>
        </w:tc>
      </w:tr>
      <w:tr w:rsidR="00F77770" w:rsidRPr="001F463D" w:rsidTr="00066F09">
        <w:trPr>
          <w:trHeight w:val="255"/>
        </w:trPr>
        <w:tc>
          <w:tcPr>
            <w:tcW w:w="6188" w:type="dxa"/>
            <w:tcBorders>
              <w:top w:val="nil"/>
              <w:left w:val="single" w:sz="4" w:space="0" w:color="auto"/>
              <w:bottom w:val="single" w:sz="4" w:space="0" w:color="auto"/>
              <w:right w:val="single" w:sz="4" w:space="0" w:color="auto"/>
            </w:tcBorders>
          </w:tcPr>
          <w:p w:rsidR="00F77770" w:rsidRPr="001F463D" w:rsidRDefault="00F77770"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2095" w:type="dxa"/>
            <w:gridSpan w:val="2"/>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2045" w:type="dxa"/>
            <w:gridSpan w:val="2"/>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bCs/>
                <w:sz w:val="24"/>
                <w:szCs w:val="24"/>
                <w:lang w:eastAsia="sk-SK"/>
              </w:rPr>
            </w:pPr>
          </w:p>
        </w:tc>
        <w:tc>
          <w:tcPr>
            <w:tcW w:w="1620" w:type="dxa"/>
            <w:gridSpan w:val="2"/>
            <w:vMerge/>
            <w:tcBorders>
              <w:left w:val="nil"/>
              <w:right w:val="single" w:sz="4" w:space="0" w:color="auto"/>
            </w:tcBorders>
            <w:noWrap/>
            <w:vAlign w:val="bottom"/>
          </w:tcPr>
          <w:p w:rsidR="00F77770" w:rsidRPr="001F463D" w:rsidRDefault="00F77770" w:rsidP="007D5748">
            <w:pPr>
              <w:spacing w:after="0" w:line="240" w:lineRule="auto"/>
              <w:rPr>
                <w:rFonts w:ascii="Times New Roman" w:hAnsi="Times New Roman"/>
                <w:sz w:val="24"/>
                <w:szCs w:val="24"/>
                <w:lang w:eastAsia="sk-SK"/>
              </w:rPr>
            </w:pPr>
          </w:p>
        </w:tc>
      </w:tr>
      <w:tr w:rsidR="00F77770" w:rsidRPr="001F463D" w:rsidTr="00066F09">
        <w:trPr>
          <w:trHeight w:val="255"/>
        </w:trPr>
        <w:tc>
          <w:tcPr>
            <w:tcW w:w="6188" w:type="dxa"/>
            <w:tcBorders>
              <w:top w:val="nil"/>
              <w:left w:val="single" w:sz="4" w:space="0" w:color="auto"/>
              <w:bottom w:val="single" w:sz="4" w:space="0" w:color="auto"/>
              <w:right w:val="single" w:sz="4" w:space="0" w:color="auto"/>
            </w:tcBorders>
          </w:tcPr>
          <w:p w:rsidR="00F77770" w:rsidRPr="001F463D" w:rsidRDefault="00F77770" w:rsidP="007D5748">
            <w:pPr>
              <w:spacing w:after="0" w:line="240" w:lineRule="auto"/>
              <w:rPr>
                <w:rFonts w:ascii="Times New Roman" w:hAnsi="Times New Roman"/>
                <w:sz w:val="24"/>
                <w:szCs w:val="24"/>
                <w:lang w:eastAsia="sk-SK"/>
              </w:rPr>
            </w:pPr>
            <w:r w:rsidRPr="001F463D">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sz w:val="24"/>
                <w:szCs w:val="24"/>
                <w:lang w:eastAsia="sk-SK"/>
              </w:rPr>
            </w:pPr>
          </w:p>
        </w:tc>
        <w:tc>
          <w:tcPr>
            <w:tcW w:w="1788" w:type="dxa"/>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b/>
                <w:sz w:val="24"/>
                <w:szCs w:val="24"/>
                <w:lang w:eastAsia="sk-SK"/>
              </w:rPr>
            </w:pPr>
          </w:p>
        </w:tc>
        <w:tc>
          <w:tcPr>
            <w:tcW w:w="2095" w:type="dxa"/>
            <w:gridSpan w:val="2"/>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sz w:val="24"/>
                <w:szCs w:val="24"/>
                <w:lang w:eastAsia="sk-SK"/>
              </w:rPr>
            </w:pPr>
          </w:p>
        </w:tc>
        <w:tc>
          <w:tcPr>
            <w:tcW w:w="2045" w:type="dxa"/>
            <w:gridSpan w:val="2"/>
            <w:tcBorders>
              <w:top w:val="single" w:sz="4" w:space="0" w:color="auto"/>
              <w:left w:val="nil"/>
              <w:bottom w:val="single" w:sz="4" w:space="0" w:color="auto"/>
              <w:right w:val="single" w:sz="4" w:space="0" w:color="auto"/>
            </w:tcBorders>
          </w:tcPr>
          <w:p w:rsidR="00F77770" w:rsidRPr="001F463D" w:rsidRDefault="00F77770" w:rsidP="00AA4556">
            <w:pPr>
              <w:spacing w:after="0" w:line="240" w:lineRule="auto"/>
              <w:jc w:val="center"/>
              <w:rPr>
                <w:rFonts w:ascii="Times New Roman" w:hAnsi="Times New Roman"/>
                <w:sz w:val="24"/>
                <w:szCs w:val="24"/>
                <w:lang w:eastAsia="sk-SK"/>
              </w:rPr>
            </w:pPr>
          </w:p>
        </w:tc>
        <w:tc>
          <w:tcPr>
            <w:tcW w:w="1620" w:type="dxa"/>
            <w:gridSpan w:val="2"/>
            <w:vMerge/>
            <w:tcBorders>
              <w:left w:val="nil"/>
              <w:bottom w:val="single" w:sz="4" w:space="0" w:color="auto"/>
              <w:right w:val="single" w:sz="4" w:space="0" w:color="auto"/>
            </w:tcBorders>
            <w:noWrap/>
            <w:vAlign w:val="bottom"/>
          </w:tcPr>
          <w:p w:rsidR="00F77770" w:rsidRPr="001F463D" w:rsidRDefault="00F77770" w:rsidP="007D5748">
            <w:pPr>
              <w:spacing w:after="0" w:line="240" w:lineRule="auto"/>
              <w:rPr>
                <w:rFonts w:ascii="Times New Roman" w:hAnsi="Times New Roman"/>
                <w:sz w:val="24"/>
                <w:szCs w:val="24"/>
                <w:lang w:eastAsia="sk-SK"/>
              </w:rPr>
            </w:pPr>
          </w:p>
        </w:tc>
      </w:tr>
      <w:tr w:rsidR="00631FC4" w:rsidRPr="001F463D" w:rsidTr="00066F0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631FC4" w:rsidRPr="001F463D" w:rsidRDefault="00631FC4"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631FC4" w:rsidRPr="001F463D" w:rsidRDefault="00631FC4" w:rsidP="00AA4556">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631FC4" w:rsidRPr="001F463D" w:rsidRDefault="00F25589" w:rsidP="00AA4556">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631FC4" w:rsidRPr="001F463D" w:rsidRDefault="00F25589" w:rsidP="00631FC4">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631FC4" w:rsidRPr="001F463D" w:rsidRDefault="00F25589" w:rsidP="00631FC4">
            <w:pPr>
              <w:spacing w:after="0" w:line="240" w:lineRule="auto"/>
              <w:jc w:val="center"/>
              <w:rPr>
                <w:rFonts w:ascii="Times New Roman" w:hAnsi="Times New Roman"/>
                <w:b/>
                <w:bCs/>
                <w:sz w:val="24"/>
                <w:szCs w:val="24"/>
                <w:lang w:eastAsia="sk-SK"/>
              </w:rPr>
            </w:pPr>
            <w:r w:rsidRPr="001F463D">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631FC4" w:rsidRPr="001F463D" w:rsidRDefault="00631FC4"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 </w:t>
            </w:r>
          </w:p>
        </w:tc>
      </w:tr>
      <w:tr w:rsidR="00631FC4" w:rsidRPr="001F463D" w:rsidTr="00066F09">
        <w:trPr>
          <w:trHeight w:val="255"/>
        </w:trPr>
        <w:tc>
          <w:tcPr>
            <w:tcW w:w="6188" w:type="dxa"/>
            <w:tcBorders>
              <w:top w:val="nil"/>
              <w:left w:val="single" w:sz="4" w:space="0" w:color="auto"/>
              <w:bottom w:val="single" w:sz="4" w:space="0" w:color="auto"/>
              <w:right w:val="single" w:sz="4" w:space="0" w:color="auto"/>
            </w:tcBorders>
          </w:tcPr>
          <w:p w:rsidR="00631FC4" w:rsidRPr="001F463D" w:rsidRDefault="00631FC4"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631FC4" w:rsidRPr="001F463D" w:rsidRDefault="00631FC4" w:rsidP="00AA4556">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31FC4" w:rsidRPr="001F463D" w:rsidRDefault="00631FC4" w:rsidP="00AA4556">
            <w:pPr>
              <w:spacing w:after="0" w:line="240" w:lineRule="auto"/>
              <w:jc w:val="center"/>
              <w:rPr>
                <w:rFonts w:ascii="Times New Roman" w:hAnsi="Times New Roman"/>
                <w:b/>
                <w:bCs/>
                <w:sz w:val="24"/>
                <w:szCs w:val="24"/>
                <w:lang w:eastAsia="sk-SK"/>
              </w:rPr>
            </w:pPr>
          </w:p>
        </w:tc>
        <w:tc>
          <w:tcPr>
            <w:tcW w:w="209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204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31FC4" w:rsidRPr="001F463D" w:rsidRDefault="00631FC4"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 </w:t>
            </w:r>
          </w:p>
        </w:tc>
      </w:tr>
      <w:tr w:rsidR="00631FC4" w:rsidRPr="001F463D" w:rsidTr="00066F09">
        <w:trPr>
          <w:trHeight w:val="255"/>
        </w:trPr>
        <w:tc>
          <w:tcPr>
            <w:tcW w:w="6188" w:type="dxa"/>
            <w:tcBorders>
              <w:top w:val="nil"/>
              <w:left w:val="single" w:sz="4" w:space="0" w:color="auto"/>
              <w:bottom w:val="single" w:sz="4" w:space="0" w:color="auto"/>
              <w:right w:val="single" w:sz="4" w:space="0" w:color="auto"/>
            </w:tcBorders>
          </w:tcPr>
          <w:p w:rsidR="00631FC4" w:rsidRPr="001F463D" w:rsidRDefault="00631FC4" w:rsidP="007D5748">
            <w:pPr>
              <w:spacing w:after="0" w:line="240" w:lineRule="auto"/>
              <w:rPr>
                <w:rFonts w:ascii="Times New Roman" w:hAnsi="Times New Roman"/>
                <w:sz w:val="24"/>
                <w:szCs w:val="24"/>
                <w:lang w:eastAsia="sk-SK"/>
              </w:rPr>
            </w:pPr>
            <w:r w:rsidRPr="001F463D">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31FC4" w:rsidRPr="001F463D" w:rsidRDefault="00631FC4" w:rsidP="00016788">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31FC4" w:rsidRPr="001F463D" w:rsidRDefault="00631FC4" w:rsidP="00016788">
            <w:pPr>
              <w:spacing w:after="0" w:line="240" w:lineRule="auto"/>
              <w:jc w:val="center"/>
              <w:rPr>
                <w:rFonts w:ascii="Times New Roman" w:hAnsi="Times New Roman"/>
                <w:b/>
                <w:bCs/>
                <w:sz w:val="24"/>
                <w:szCs w:val="24"/>
                <w:lang w:eastAsia="sk-SK"/>
              </w:rPr>
            </w:pPr>
          </w:p>
        </w:tc>
        <w:tc>
          <w:tcPr>
            <w:tcW w:w="209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204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31FC4" w:rsidRPr="001F463D" w:rsidRDefault="00631FC4"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631FC4" w:rsidRPr="001F463D" w:rsidTr="00066F09">
        <w:trPr>
          <w:trHeight w:val="255"/>
        </w:trPr>
        <w:tc>
          <w:tcPr>
            <w:tcW w:w="6188" w:type="dxa"/>
            <w:tcBorders>
              <w:top w:val="nil"/>
              <w:left w:val="single" w:sz="4" w:space="0" w:color="auto"/>
              <w:bottom w:val="single" w:sz="4" w:space="0" w:color="auto"/>
              <w:right w:val="single" w:sz="4" w:space="0" w:color="auto"/>
            </w:tcBorders>
          </w:tcPr>
          <w:p w:rsidR="00631FC4" w:rsidRPr="001F463D" w:rsidRDefault="00631FC4"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631FC4" w:rsidRPr="001F463D" w:rsidRDefault="00631FC4" w:rsidP="00AA4556">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31FC4" w:rsidRPr="001F463D" w:rsidRDefault="00631FC4" w:rsidP="00AA4556">
            <w:pPr>
              <w:spacing w:after="0" w:line="240" w:lineRule="auto"/>
              <w:jc w:val="center"/>
              <w:rPr>
                <w:rFonts w:ascii="Times New Roman" w:hAnsi="Times New Roman"/>
                <w:b/>
                <w:bCs/>
                <w:sz w:val="24"/>
                <w:szCs w:val="24"/>
                <w:lang w:eastAsia="sk-SK"/>
              </w:rPr>
            </w:pPr>
          </w:p>
        </w:tc>
        <w:tc>
          <w:tcPr>
            <w:tcW w:w="209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204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31FC4" w:rsidRPr="001F463D" w:rsidRDefault="00631FC4"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 </w:t>
            </w:r>
          </w:p>
        </w:tc>
      </w:tr>
      <w:tr w:rsidR="00631FC4" w:rsidRPr="001F463D" w:rsidTr="00066F09">
        <w:trPr>
          <w:trHeight w:val="255"/>
        </w:trPr>
        <w:tc>
          <w:tcPr>
            <w:tcW w:w="6188" w:type="dxa"/>
            <w:tcBorders>
              <w:top w:val="nil"/>
              <w:left w:val="single" w:sz="4" w:space="0" w:color="auto"/>
              <w:bottom w:val="single" w:sz="4" w:space="0" w:color="auto"/>
              <w:right w:val="single" w:sz="4" w:space="0" w:color="auto"/>
            </w:tcBorders>
          </w:tcPr>
          <w:p w:rsidR="00631FC4" w:rsidRPr="001F463D" w:rsidRDefault="00631FC4" w:rsidP="007D5748">
            <w:pPr>
              <w:spacing w:after="0" w:line="240" w:lineRule="auto"/>
              <w:rPr>
                <w:rFonts w:ascii="Times New Roman" w:hAnsi="Times New Roman"/>
                <w:sz w:val="24"/>
                <w:szCs w:val="24"/>
                <w:lang w:eastAsia="sk-SK"/>
              </w:rPr>
            </w:pPr>
            <w:r w:rsidRPr="001F463D">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31FC4" w:rsidRPr="001F463D" w:rsidRDefault="00631FC4" w:rsidP="00016788">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31FC4" w:rsidRPr="001F463D" w:rsidRDefault="00631FC4" w:rsidP="00016788">
            <w:pPr>
              <w:spacing w:after="0" w:line="240" w:lineRule="auto"/>
              <w:jc w:val="center"/>
              <w:rPr>
                <w:rFonts w:ascii="Times New Roman" w:hAnsi="Times New Roman"/>
                <w:b/>
                <w:bCs/>
                <w:sz w:val="24"/>
                <w:szCs w:val="24"/>
                <w:lang w:eastAsia="sk-SK"/>
              </w:rPr>
            </w:pPr>
          </w:p>
        </w:tc>
        <w:tc>
          <w:tcPr>
            <w:tcW w:w="209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2045" w:type="dxa"/>
            <w:gridSpan w:val="2"/>
            <w:tcBorders>
              <w:top w:val="nil"/>
              <w:left w:val="nil"/>
              <w:bottom w:val="single" w:sz="4" w:space="0" w:color="auto"/>
              <w:right w:val="single" w:sz="4" w:space="0" w:color="auto"/>
            </w:tcBorders>
          </w:tcPr>
          <w:p w:rsidR="00631FC4" w:rsidRPr="001F463D" w:rsidRDefault="00631FC4" w:rsidP="00AC15EE">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31FC4" w:rsidRPr="001F463D" w:rsidRDefault="00631FC4"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 </w:t>
            </w:r>
          </w:p>
        </w:tc>
      </w:tr>
      <w:tr w:rsidR="007D5748" w:rsidRPr="001F463D" w:rsidTr="00066F09">
        <w:trPr>
          <w:trHeight w:val="255"/>
        </w:trPr>
        <w:tc>
          <w:tcPr>
            <w:tcW w:w="6188" w:type="dxa"/>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2095"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2045"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r>
      <w:tr w:rsidR="007D5748" w:rsidRPr="001F463D" w:rsidTr="00066F09">
        <w:trPr>
          <w:trHeight w:val="255"/>
        </w:trPr>
        <w:tc>
          <w:tcPr>
            <w:tcW w:w="6188" w:type="dxa"/>
            <w:tcBorders>
              <w:top w:val="nil"/>
              <w:left w:val="nil"/>
              <w:bottom w:val="nil"/>
              <w:right w:val="nil"/>
            </w:tcBorders>
          </w:tcPr>
          <w:p w:rsidR="007D5748" w:rsidRPr="001F463D" w:rsidRDefault="007D5748" w:rsidP="007D5748">
            <w:pPr>
              <w:spacing w:after="0" w:line="240" w:lineRule="auto"/>
              <w:rPr>
                <w:rFonts w:ascii="Times New Roman" w:hAnsi="Times New Roman"/>
                <w:b/>
                <w:bCs/>
                <w:sz w:val="24"/>
                <w:szCs w:val="24"/>
                <w:lang w:eastAsia="sk-SK"/>
              </w:rPr>
            </w:pPr>
            <w:r w:rsidRPr="001F463D">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2095"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2045"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r>
      <w:tr w:rsidR="007D5748" w:rsidRPr="001F463D" w:rsidTr="005666F6">
        <w:trPr>
          <w:trHeight w:val="255"/>
        </w:trPr>
        <w:tc>
          <w:tcPr>
            <w:tcW w:w="13814" w:type="dxa"/>
            <w:gridSpan w:val="7"/>
            <w:tcBorders>
              <w:top w:val="nil"/>
              <w:left w:val="nil"/>
              <w:bottom w:val="nil"/>
              <w:right w:val="nil"/>
            </w:tcBorders>
            <w:noWrap/>
          </w:tcPr>
          <w:p w:rsidR="007D5748" w:rsidRPr="001F463D" w:rsidRDefault="007D5748" w:rsidP="007D5748">
            <w:pPr>
              <w:tabs>
                <w:tab w:val="num" w:pos="1080"/>
              </w:tabs>
              <w:spacing w:after="0" w:line="240" w:lineRule="auto"/>
              <w:jc w:val="both"/>
              <w:rPr>
                <w:rFonts w:ascii="Times New Roman" w:hAnsi="Times New Roman"/>
                <w:bCs/>
                <w:sz w:val="24"/>
                <w:szCs w:val="20"/>
                <w:lang w:eastAsia="sk-SK"/>
              </w:rPr>
            </w:pPr>
            <w:r w:rsidRPr="001F463D">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r>
      <w:tr w:rsidR="007D5748" w:rsidRPr="001F463D" w:rsidTr="005666F6">
        <w:trPr>
          <w:trHeight w:val="255"/>
        </w:trPr>
        <w:tc>
          <w:tcPr>
            <w:tcW w:w="10394" w:type="dxa"/>
            <w:gridSpan w:val="4"/>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r w:rsidRPr="001F463D">
              <w:rPr>
                <w:rFonts w:ascii="Times New Roman" w:hAnsi="Times New Roman"/>
                <w:sz w:val="24"/>
                <w:szCs w:val="24"/>
                <w:lang w:eastAsia="sk-SK"/>
              </w:rPr>
              <w:t>Kategórie 610 a 620 sú z tejto prílohy prenášané do príslušných kategórií prílohy „výdavky“.</w:t>
            </w:r>
          </w:p>
        </w:tc>
        <w:tc>
          <w:tcPr>
            <w:tcW w:w="1698"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7D5748" w:rsidRPr="001F463D" w:rsidRDefault="007D5748" w:rsidP="007D5748">
            <w:pPr>
              <w:spacing w:after="0" w:line="240" w:lineRule="auto"/>
              <w:rPr>
                <w:rFonts w:ascii="Times New Roman" w:hAnsi="Times New Roman"/>
                <w:sz w:val="24"/>
                <w:szCs w:val="24"/>
                <w:lang w:eastAsia="sk-SK"/>
              </w:rPr>
            </w:pPr>
          </w:p>
        </w:tc>
      </w:tr>
    </w:tbl>
    <w:p w:rsidR="001F463D" w:rsidRPr="001F463D" w:rsidRDefault="001F463D" w:rsidP="005D5D87">
      <w:pPr>
        <w:spacing w:after="0" w:line="240" w:lineRule="auto"/>
        <w:jc w:val="center"/>
        <w:rPr>
          <w:rFonts w:ascii="Times New Roman" w:hAnsi="Times New Roman"/>
        </w:rPr>
        <w:sectPr w:rsidR="001F463D" w:rsidRPr="001F463D" w:rsidSect="005D5D87">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060"/>
      </w:tblGrid>
      <w:tr w:rsidR="001F463D" w:rsidRPr="001F463D" w:rsidTr="004A447A">
        <w:trPr>
          <w:trHeight w:val="567"/>
        </w:trPr>
        <w:tc>
          <w:tcPr>
            <w:tcW w:w="9212" w:type="dxa"/>
            <w:shd w:val="clear" w:color="auto" w:fill="D9D9D9" w:themeFill="background1" w:themeFillShade="D9"/>
          </w:tcPr>
          <w:p w:rsidR="001F463D" w:rsidRPr="001F463D" w:rsidRDefault="001F463D" w:rsidP="004A447A">
            <w:pPr>
              <w:jc w:val="center"/>
              <w:rPr>
                <w:rFonts w:ascii="Times New Roman" w:hAnsi="Times New Roman"/>
                <w:b/>
                <w:sz w:val="24"/>
              </w:rPr>
            </w:pPr>
            <w:r w:rsidRPr="001F463D">
              <w:rPr>
                <w:rFonts w:ascii="Times New Roman" w:hAnsi="Times New Roman"/>
                <w:b/>
                <w:sz w:val="28"/>
              </w:rPr>
              <w:lastRenderedPageBreak/>
              <w:t xml:space="preserve">Analýza vplyvov na podnikateľské prostredie </w:t>
            </w:r>
          </w:p>
          <w:p w:rsidR="001F463D" w:rsidRPr="001F463D" w:rsidRDefault="001F463D" w:rsidP="004A447A">
            <w:pPr>
              <w:jc w:val="center"/>
              <w:rPr>
                <w:rFonts w:ascii="Times New Roman" w:hAnsi="Times New Roman"/>
                <w:b/>
              </w:rPr>
            </w:pPr>
            <w:r w:rsidRPr="001F463D">
              <w:rPr>
                <w:rFonts w:ascii="Times New Roman" w:hAnsi="Times New Roman"/>
                <w:b/>
                <w:sz w:val="24"/>
              </w:rPr>
              <w:t>(vrátane testu MSP)</w:t>
            </w:r>
          </w:p>
        </w:tc>
      </w:tr>
      <w:tr w:rsidR="001F463D" w:rsidRPr="001F463D" w:rsidTr="004A447A">
        <w:trPr>
          <w:trHeight w:val="567"/>
        </w:trPr>
        <w:tc>
          <w:tcPr>
            <w:tcW w:w="9212" w:type="dxa"/>
            <w:shd w:val="clear" w:color="auto" w:fill="D9D9D9" w:themeFill="background1" w:themeFillShade="D9"/>
          </w:tcPr>
          <w:p w:rsidR="001F463D" w:rsidRPr="001F463D" w:rsidRDefault="001F463D" w:rsidP="004A447A">
            <w:pPr>
              <w:rPr>
                <w:rFonts w:ascii="Times New Roman" w:hAnsi="Times New Roman"/>
                <w:b/>
                <w:sz w:val="24"/>
              </w:rPr>
            </w:pPr>
            <w:r w:rsidRPr="001F463D">
              <w:rPr>
                <w:rFonts w:ascii="Times New Roman" w:hAnsi="Times New Roman"/>
                <w:b/>
                <w:sz w:val="24"/>
              </w:rPr>
              <w:t>Materiál bude mať vplyv s ohľadom na veľkostnú kategóriu podnikov:</w:t>
            </w:r>
          </w:p>
        </w:tc>
      </w:tr>
      <w:tr w:rsidR="001F463D" w:rsidRPr="001F463D" w:rsidTr="004A447A">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09"/>
            </w:tblGrid>
            <w:tr w:rsidR="001F463D" w:rsidRPr="001F463D" w:rsidTr="004A447A">
              <w:tc>
                <w:tcPr>
                  <w:tcW w:w="436" w:type="dxa"/>
                  <w:tcBorders>
                    <w:top w:val="nil"/>
                    <w:left w:val="nil"/>
                    <w:bottom w:val="nil"/>
                    <w:right w:val="nil"/>
                  </w:tcBorders>
                </w:tcPr>
                <w:p w:rsidR="001F463D" w:rsidRPr="001F463D" w:rsidRDefault="001F463D" w:rsidP="004A447A">
                  <w:pPr>
                    <w:jc w:val="center"/>
                    <w:rPr>
                      <w:rFonts w:ascii="Times New Roman" w:hAnsi="Times New Roman"/>
                    </w:rPr>
                  </w:pPr>
                  <w:r w:rsidRPr="001F463D">
                    <w:rPr>
                      <w:rFonts w:ascii="Segoe UI Symbol" w:eastAsia="MS Mincho" w:hAnsi="Segoe UI Symbol" w:cs="Segoe UI Symbol"/>
                    </w:rPr>
                    <w:t>☐</w:t>
                  </w:r>
                </w:p>
              </w:tc>
              <w:tc>
                <w:tcPr>
                  <w:tcW w:w="8545" w:type="dxa"/>
                  <w:tcBorders>
                    <w:top w:val="nil"/>
                    <w:left w:val="nil"/>
                    <w:bottom w:val="nil"/>
                    <w:right w:val="nil"/>
                  </w:tcBorders>
                </w:tcPr>
                <w:p w:rsidR="001F463D" w:rsidRPr="001F463D" w:rsidRDefault="001F463D" w:rsidP="004A447A">
                  <w:pPr>
                    <w:rPr>
                      <w:rFonts w:ascii="Times New Roman" w:hAnsi="Times New Roman"/>
                      <w:b/>
                    </w:rPr>
                  </w:pPr>
                  <w:r w:rsidRPr="001F463D">
                    <w:rPr>
                      <w:rFonts w:ascii="Times New Roman" w:hAnsi="Times New Roman"/>
                      <w:b/>
                    </w:rPr>
                    <w:t xml:space="preserve">iba na MSP (0 - 249 zamestnancov) </w:t>
                  </w:r>
                </w:p>
              </w:tc>
            </w:tr>
            <w:tr w:rsidR="001F463D" w:rsidRPr="001F463D" w:rsidTr="004A447A">
              <w:tc>
                <w:tcPr>
                  <w:tcW w:w="436" w:type="dxa"/>
                  <w:tcBorders>
                    <w:top w:val="nil"/>
                    <w:left w:val="nil"/>
                    <w:bottom w:val="nil"/>
                    <w:right w:val="nil"/>
                  </w:tcBorders>
                </w:tcPr>
                <w:p w:rsidR="001F463D" w:rsidRPr="001F463D" w:rsidRDefault="001F463D" w:rsidP="004A447A">
                  <w:pPr>
                    <w:jc w:val="center"/>
                    <w:rPr>
                      <w:rFonts w:ascii="Times New Roman" w:hAnsi="Times New Roman"/>
                    </w:rPr>
                  </w:pPr>
                  <w:r w:rsidRPr="001F463D">
                    <w:rPr>
                      <w:rFonts w:ascii="Segoe UI Symbol" w:eastAsia="MS Mincho" w:hAnsi="Segoe UI Symbol" w:cs="Segoe UI Symbol"/>
                    </w:rPr>
                    <w:t>☐</w:t>
                  </w:r>
                </w:p>
              </w:tc>
              <w:tc>
                <w:tcPr>
                  <w:tcW w:w="8545" w:type="dxa"/>
                  <w:tcBorders>
                    <w:top w:val="nil"/>
                    <w:left w:val="nil"/>
                    <w:bottom w:val="nil"/>
                    <w:right w:val="nil"/>
                  </w:tcBorders>
                </w:tcPr>
                <w:p w:rsidR="001F463D" w:rsidRPr="001F463D" w:rsidRDefault="001F463D" w:rsidP="004A447A">
                  <w:pPr>
                    <w:rPr>
                      <w:rFonts w:ascii="Times New Roman" w:hAnsi="Times New Roman"/>
                      <w:b/>
                    </w:rPr>
                  </w:pPr>
                  <w:r w:rsidRPr="001F463D">
                    <w:rPr>
                      <w:rFonts w:ascii="Times New Roman" w:hAnsi="Times New Roman"/>
                      <w:b/>
                    </w:rPr>
                    <w:t>iba na veľké podniky (250 a viac zamestnancov)</w:t>
                  </w:r>
                </w:p>
              </w:tc>
            </w:tr>
            <w:tr w:rsidR="001F463D" w:rsidRPr="001F463D" w:rsidTr="004A447A">
              <w:tc>
                <w:tcPr>
                  <w:tcW w:w="436" w:type="dxa"/>
                  <w:tcBorders>
                    <w:top w:val="nil"/>
                    <w:left w:val="nil"/>
                    <w:bottom w:val="nil"/>
                    <w:right w:val="nil"/>
                  </w:tcBorders>
                </w:tcPr>
                <w:p w:rsidR="001F463D" w:rsidRPr="001F463D" w:rsidRDefault="001F463D" w:rsidP="004A447A">
                  <w:pPr>
                    <w:jc w:val="center"/>
                    <w:rPr>
                      <w:rFonts w:ascii="Times New Roman" w:hAnsi="Times New Roman"/>
                    </w:rPr>
                  </w:pPr>
                  <w:r w:rsidRPr="001F463D">
                    <w:rPr>
                      <w:rFonts w:ascii="Segoe UI Symbol" w:eastAsia="MS Gothic" w:hAnsi="Segoe UI Symbol" w:cs="Segoe UI Symbol"/>
                    </w:rPr>
                    <w:t>☒</w:t>
                  </w:r>
                </w:p>
              </w:tc>
              <w:tc>
                <w:tcPr>
                  <w:tcW w:w="8545" w:type="dxa"/>
                  <w:tcBorders>
                    <w:top w:val="nil"/>
                    <w:left w:val="nil"/>
                    <w:bottom w:val="nil"/>
                    <w:right w:val="nil"/>
                  </w:tcBorders>
                </w:tcPr>
                <w:p w:rsidR="001F463D" w:rsidRPr="001F463D" w:rsidRDefault="001F463D" w:rsidP="004A447A">
                  <w:pPr>
                    <w:rPr>
                      <w:rFonts w:ascii="Times New Roman" w:hAnsi="Times New Roman"/>
                    </w:rPr>
                  </w:pPr>
                  <w:r w:rsidRPr="001F463D">
                    <w:rPr>
                      <w:rFonts w:ascii="Times New Roman" w:hAnsi="Times New Roman"/>
                      <w:b/>
                    </w:rPr>
                    <w:t>na všetky kategórie podnikov</w:t>
                  </w:r>
                </w:p>
              </w:tc>
            </w:tr>
          </w:tbl>
          <w:p w:rsidR="001F463D" w:rsidRPr="001F463D" w:rsidRDefault="001F463D" w:rsidP="004A447A">
            <w:pPr>
              <w:rPr>
                <w:rFonts w:ascii="Times New Roman" w:hAnsi="Times New Roman"/>
                <w:b/>
              </w:rPr>
            </w:pPr>
          </w:p>
        </w:tc>
      </w:tr>
      <w:tr w:rsidR="001F463D" w:rsidRPr="001F463D" w:rsidTr="004A447A">
        <w:tc>
          <w:tcPr>
            <w:tcW w:w="9212" w:type="dxa"/>
            <w:shd w:val="clear" w:color="auto" w:fill="D9D9D9" w:themeFill="background1" w:themeFillShade="D9"/>
          </w:tcPr>
          <w:p w:rsidR="001F463D" w:rsidRPr="001F463D" w:rsidRDefault="001F463D" w:rsidP="004A447A">
            <w:pPr>
              <w:rPr>
                <w:rFonts w:ascii="Times New Roman" w:hAnsi="Times New Roman"/>
                <w:b/>
                <w:sz w:val="24"/>
              </w:rPr>
            </w:pPr>
            <w:r w:rsidRPr="001F463D">
              <w:rPr>
                <w:rFonts w:ascii="Times New Roman" w:hAnsi="Times New Roman"/>
                <w:b/>
                <w:sz w:val="24"/>
              </w:rPr>
              <w:t>3.1 Dotknuté podnikateľské subjekty</w:t>
            </w:r>
          </w:p>
          <w:p w:rsidR="001F463D" w:rsidRPr="001F463D" w:rsidRDefault="001F463D" w:rsidP="004A447A">
            <w:pPr>
              <w:ind w:left="284"/>
              <w:rPr>
                <w:rFonts w:ascii="Times New Roman" w:hAnsi="Times New Roman"/>
                <w:b/>
              </w:rPr>
            </w:pPr>
            <w:r w:rsidRPr="001F463D">
              <w:rPr>
                <w:rFonts w:ascii="Times New Roman" w:hAnsi="Times New Roman"/>
                <w:sz w:val="24"/>
              </w:rPr>
              <w:t xml:space="preserve"> - </w:t>
            </w:r>
            <w:r w:rsidRPr="001F463D">
              <w:rPr>
                <w:rFonts w:ascii="Times New Roman" w:hAnsi="Times New Roman"/>
                <w:b/>
                <w:sz w:val="24"/>
              </w:rPr>
              <w:t>z toho MSP</w:t>
            </w:r>
          </w:p>
        </w:tc>
      </w:tr>
      <w:tr w:rsidR="001F463D" w:rsidRPr="001F463D" w:rsidTr="004A447A">
        <w:tc>
          <w:tcPr>
            <w:tcW w:w="9212" w:type="dxa"/>
          </w:tcPr>
          <w:p w:rsidR="001F463D" w:rsidRPr="001F463D" w:rsidRDefault="001F463D" w:rsidP="004A447A">
            <w:pPr>
              <w:rPr>
                <w:rFonts w:ascii="Times New Roman" w:hAnsi="Times New Roman"/>
                <w:i/>
              </w:rPr>
            </w:pPr>
            <w:r w:rsidRPr="001F463D">
              <w:rPr>
                <w:rFonts w:ascii="Times New Roman" w:hAnsi="Times New Roman"/>
                <w:i/>
              </w:rPr>
              <w:t>Uveďte, aké podnikateľské subjekty budú predkladaným návrhom ovplyvnené.</w:t>
            </w:r>
          </w:p>
          <w:p w:rsidR="001F463D" w:rsidRPr="001F463D" w:rsidRDefault="001F463D" w:rsidP="004A447A">
            <w:pPr>
              <w:rPr>
                <w:rFonts w:ascii="Times New Roman" w:hAnsi="Times New Roman"/>
                <w:i/>
              </w:rPr>
            </w:pPr>
            <w:r w:rsidRPr="001F463D">
              <w:rPr>
                <w:rFonts w:ascii="Times New Roman" w:hAnsi="Times New Roman"/>
                <w:i/>
              </w:rPr>
              <w:t>Aký je ich počet?</w:t>
            </w:r>
          </w:p>
        </w:tc>
      </w:tr>
      <w:tr w:rsidR="001F463D" w:rsidRPr="001F463D" w:rsidTr="004A447A">
        <w:trPr>
          <w:trHeight w:val="1440"/>
        </w:trPr>
        <w:tc>
          <w:tcPr>
            <w:tcW w:w="9212" w:type="dxa"/>
          </w:tcPr>
          <w:p w:rsidR="001F463D" w:rsidRPr="001F463D" w:rsidRDefault="001F463D" w:rsidP="004A447A">
            <w:pPr>
              <w:jc w:val="both"/>
              <w:rPr>
                <w:rFonts w:ascii="Times New Roman" w:hAnsi="Times New Roman"/>
                <w:i/>
              </w:rPr>
            </w:pPr>
            <w:r w:rsidRPr="001F463D">
              <w:rPr>
                <w:rFonts w:ascii="Times New Roman" w:hAnsi="Times New Roman"/>
                <w:i/>
              </w:rPr>
              <w:t>Pôsobnosť zákona sa naďalej vzťahuje na všetky fyzické a právnické osoby, ktoré prijímajú „verejné zdroje“ nad zákonom určené limity a ktoré zároveň nie sú vylúčené z pôsobnosti zákona. Podľa údajov z registra partnerov verejného sektora k júlu 2018 ide približne o 17 000 subjektov.</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Návrhom zákona sú ovplyvnené i špecifické kategórie podnikateľských subjektov, ktoré sa uchádzajú alebo prijímajú verejné zdroje nad zákonom určený finančný limit a ktoré návrh zákona napriek tomu z dôvodu ich  špecifického postavenia alebo predmetu činnosti vyníma z povinnosti zápisu do registra partnerov verejného sektora (ďalej len „register“).</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V zmysle návrhu zákona ide o v rámci podnikateľského sektora o: </w:t>
            </w:r>
          </w:p>
          <w:p w:rsidR="001F463D" w:rsidRPr="001F463D" w:rsidRDefault="001F463D" w:rsidP="004A447A">
            <w:pPr>
              <w:jc w:val="both"/>
              <w:rPr>
                <w:rFonts w:ascii="Times New Roman" w:hAnsi="Times New Roman"/>
                <w:i/>
              </w:rPr>
            </w:pPr>
          </w:p>
          <w:p w:rsidR="001F463D" w:rsidRPr="001F463D" w:rsidRDefault="001F463D" w:rsidP="001F463D">
            <w:pPr>
              <w:pStyle w:val="Odsekzoznamu"/>
              <w:numPr>
                <w:ilvl w:val="0"/>
                <w:numId w:val="5"/>
              </w:numPr>
              <w:spacing w:after="200" w:line="276" w:lineRule="auto"/>
              <w:jc w:val="both"/>
              <w:rPr>
                <w:rFonts w:ascii="Times New Roman" w:hAnsi="Times New Roman"/>
                <w:i/>
                <w:sz w:val="20"/>
                <w:szCs w:val="20"/>
              </w:rPr>
            </w:pPr>
            <w:r w:rsidRPr="001F463D">
              <w:rPr>
                <w:rFonts w:ascii="Times New Roman" w:hAnsi="Times New Roman"/>
                <w:bCs/>
                <w:i/>
                <w:sz w:val="20"/>
                <w:szCs w:val="20"/>
              </w:rPr>
              <w:t> fyzické a právnické osoby, ktoré uzatvárajú zmluvu s „verejnými podnikmi“, teda so subjektami v ktorých má štát v rôznej forme účasť,</w:t>
            </w:r>
          </w:p>
          <w:p w:rsidR="001F463D" w:rsidRPr="001F463D" w:rsidRDefault="001F463D" w:rsidP="001F463D">
            <w:pPr>
              <w:pStyle w:val="Odsekzoznamu"/>
              <w:numPr>
                <w:ilvl w:val="0"/>
                <w:numId w:val="5"/>
              </w:numPr>
              <w:spacing w:after="200" w:line="276" w:lineRule="auto"/>
              <w:jc w:val="both"/>
              <w:rPr>
                <w:rFonts w:ascii="Times New Roman" w:hAnsi="Times New Roman"/>
                <w:i/>
                <w:sz w:val="20"/>
                <w:szCs w:val="20"/>
              </w:rPr>
            </w:pPr>
            <w:r w:rsidRPr="001F463D">
              <w:rPr>
                <w:rFonts w:ascii="Times New Roman" w:hAnsi="Times New Roman"/>
                <w:bCs/>
                <w:i/>
                <w:sz w:val="20"/>
                <w:szCs w:val="20"/>
              </w:rPr>
              <w:t xml:space="preserve">fyzické a právnické osoby, ktoré uzatvárajú zmluvu s finančnými inštitúciami ako je Slovenská záručná rozvojová banka, </w:t>
            </w:r>
            <w:r w:rsidRPr="001F463D">
              <w:rPr>
                <w:rFonts w:ascii="Times New Roman" w:hAnsi="Times New Roman"/>
                <w:i/>
                <w:sz w:val="20"/>
                <w:szCs w:val="20"/>
              </w:rPr>
              <w:t>Exportno-importnou bankou Slovenskej republiky, Štátna pokladnica, Agentúra pre riadenie dlhu a likvidity alebo Národná banka Slovenska,</w:t>
            </w:r>
          </w:p>
          <w:p w:rsidR="001F463D" w:rsidRPr="001F463D" w:rsidRDefault="001F463D" w:rsidP="001F463D">
            <w:pPr>
              <w:pStyle w:val="Odsekzoznamu"/>
              <w:numPr>
                <w:ilvl w:val="0"/>
                <w:numId w:val="5"/>
              </w:numPr>
              <w:spacing w:after="200" w:line="276" w:lineRule="auto"/>
              <w:jc w:val="both"/>
              <w:rPr>
                <w:rFonts w:ascii="Times New Roman" w:hAnsi="Times New Roman"/>
                <w:i/>
                <w:sz w:val="20"/>
                <w:szCs w:val="20"/>
              </w:rPr>
            </w:pPr>
            <w:r w:rsidRPr="001F463D">
              <w:rPr>
                <w:rFonts w:ascii="Times New Roman" w:hAnsi="Times New Roman"/>
                <w:i/>
                <w:sz w:val="20"/>
                <w:szCs w:val="20"/>
              </w:rPr>
              <w:t>správcov bytových domov, ktorí uzatvárajú zmluvy v mene vlastníkov bytov a nebytových priestorov,</w:t>
            </w:r>
          </w:p>
          <w:p w:rsidR="001F463D" w:rsidRPr="001F463D" w:rsidRDefault="001F463D" w:rsidP="001F463D">
            <w:pPr>
              <w:pStyle w:val="Odsekzoznamu"/>
              <w:numPr>
                <w:ilvl w:val="0"/>
                <w:numId w:val="5"/>
              </w:numPr>
              <w:spacing w:after="200" w:line="276" w:lineRule="auto"/>
              <w:jc w:val="both"/>
              <w:rPr>
                <w:rFonts w:ascii="Times New Roman" w:hAnsi="Times New Roman"/>
                <w:i/>
                <w:sz w:val="20"/>
                <w:szCs w:val="20"/>
              </w:rPr>
            </w:pPr>
            <w:r w:rsidRPr="001F463D">
              <w:rPr>
                <w:rFonts w:ascii="Times New Roman" w:hAnsi="Times New Roman"/>
                <w:bCs/>
                <w:i/>
                <w:sz w:val="20"/>
                <w:szCs w:val="20"/>
              </w:rPr>
              <w:t xml:space="preserve">subjekty, ktoré sú sami „verejnými podnikmi“ ak uzatvárajú zmluvu v rámci svojej bežnej obchodnej činnosti alebo hlavnej ekonomickej činnosti, teda v takom prípade, ak ide o ich vlastný </w:t>
            </w:r>
            <w:proofErr w:type="spellStart"/>
            <w:r w:rsidRPr="001F463D">
              <w:rPr>
                <w:rFonts w:ascii="Times New Roman" w:hAnsi="Times New Roman"/>
                <w:bCs/>
                <w:i/>
                <w:sz w:val="20"/>
                <w:szCs w:val="20"/>
              </w:rPr>
              <w:t>core</w:t>
            </w:r>
            <w:proofErr w:type="spellEnd"/>
            <w:r w:rsidRPr="001F463D">
              <w:rPr>
                <w:rFonts w:ascii="Times New Roman" w:hAnsi="Times New Roman"/>
                <w:bCs/>
                <w:i/>
                <w:sz w:val="20"/>
                <w:szCs w:val="20"/>
              </w:rPr>
              <w:t xml:space="preserve"> business, </w:t>
            </w:r>
          </w:p>
          <w:p w:rsidR="001F463D" w:rsidRPr="001F463D" w:rsidRDefault="001F463D" w:rsidP="001F463D">
            <w:pPr>
              <w:pStyle w:val="Odsekzoznamu"/>
              <w:numPr>
                <w:ilvl w:val="0"/>
                <w:numId w:val="5"/>
              </w:numPr>
              <w:spacing w:after="200" w:line="276" w:lineRule="auto"/>
              <w:jc w:val="both"/>
              <w:rPr>
                <w:rFonts w:ascii="Times New Roman" w:hAnsi="Times New Roman"/>
                <w:i/>
                <w:sz w:val="20"/>
                <w:szCs w:val="20"/>
              </w:rPr>
            </w:pPr>
            <w:r w:rsidRPr="001F463D">
              <w:rPr>
                <w:rFonts w:ascii="Times New Roman" w:hAnsi="Times New Roman"/>
                <w:i/>
                <w:sz w:val="20"/>
                <w:szCs w:val="20"/>
              </w:rPr>
              <w:t>majiteľov finančných nástrojov, ktorých upísanie alebo umiestnenie sprostredkovala alebo vykonala finančná inštitúcia identifikovaná v návrhu zákona, alebo majitelia finančných nástrojov, ktoré sú obchodované na regulovanom trhu v rámci Európskej únie alebo Európskeho hospodárskeho priestoru,</w:t>
            </w:r>
          </w:p>
          <w:p w:rsidR="001F463D" w:rsidRPr="001F463D" w:rsidRDefault="001F463D" w:rsidP="001F463D">
            <w:pPr>
              <w:pStyle w:val="Odsekzoznamu"/>
              <w:numPr>
                <w:ilvl w:val="0"/>
                <w:numId w:val="5"/>
              </w:numPr>
              <w:spacing w:after="200" w:line="276" w:lineRule="auto"/>
              <w:jc w:val="both"/>
              <w:rPr>
                <w:rFonts w:ascii="Times New Roman" w:hAnsi="Times New Roman"/>
                <w:i/>
                <w:sz w:val="20"/>
                <w:szCs w:val="20"/>
              </w:rPr>
            </w:pPr>
            <w:r w:rsidRPr="001F463D">
              <w:rPr>
                <w:rFonts w:ascii="Times New Roman" w:hAnsi="Times New Roman"/>
                <w:i/>
                <w:sz w:val="20"/>
                <w:szCs w:val="20"/>
              </w:rPr>
              <w:t>poskytovateľov zdravotnej starostlivosti so sídlom alebo miestom podnikania mimo územia Slovenskej republiky prijímajúcich plnenia od zdravotnej poisťovne.</w:t>
            </w:r>
          </w:p>
          <w:p w:rsidR="001F463D" w:rsidRPr="001F463D" w:rsidRDefault="001F463D" w:rsidP="004A447A">
            <w:pPr>
              <w:rPr>
                <w:rFonts w:ascii="Times New Roman" w:hAnsi="Times New Roman"/>
                <w:i/>
              </w:rPr>
            </w:pPr>
          </w:p>
        </w:tc>
      </w:tr>
      <w:tr w:rsidR="001F463D" w:rsidRPr="001F463D" w:rsidTr="004A447A">
        <w:trPr>
          <w:trHeight w:val="339"/>
        </w:trPr>
        <w:tc>
          <w:tcPr>
            <w:tcW w:w="9212" w:type="dxa"/>
            <w:shd w:val="clear" w:color="auto" w:fill="D9D9D9" w:themeFill="background1" w:themeFillShade="D9"/>
          </w:tcPr>
          <w:p w:rsidR="001F463D" w:rsidRPr="001F463D" w:rsidRDefault="001F463D" w:rsidP="004A447A">
            <w:pPr>
              <w:rPr>
                <w:rFonts w:ascii="Times New Roman" w:hAnsi="Times New Roman"/>
                <w:b/>
                <w:sz w:val="24"/>
              </w:rPr>
            </w:pPr>
            <w:r w:rsidRPr="001F463D">
              <w:rPr>
                <w:rFonts w:ascii="Times New Roman" w:hAnsi="Times New Roman"/>
                <w:b/>
                <w:sz w:val="24"/>
              </w:rPr>
              <w:t>3.2 Vyhodnotenie konzultácií</w:t>
            </w:r>
          </w:p>
          <w:p w:rsidR="001F463D" w:rsidRPr="001F463D" w:rsidRDefault="001F463D" w:rsidP="004A447A">
            <w:pPr>
              <w:rPr>
                <w:rFonts w:ascii="Times New Roman" w:hAnsi="Times New Roman"/>
                <w:b/>
              </w:rPr>
            </w:pPr>
            <w:r w:rsidRPr="001F463D">
              <w:rPr>
                <w:rFonts w:ascii="Times New Roman" w:hAnsi="Times New Roman"/>
                <w:sz w:val="24"/>
              </w:rPr>
              <w:t xml:space="preserve">       - </w:t>
            </w:r>
            <w:r w:rsidRPr="001F463D">
              <w:rPr>
                <w:rFonts w:ascii="Times New Roman" w:hAnsi="Times New Roman"/>
                <w:b/>
                <w:sz w:val="24"/>
              </w:rPr>
              <w:t>z toho MSP</w:t>
            </w:r>
          </w:p>
        </w:tc>
      </w:tr>
      <w:tr w:rsidR="001F463D" w:rsidRPr="001F463D" w:rsidTr="004A447A">
        <w:trPr>
          <w:trHeight w:val="557"/>
        </w:trPr>
        <w:tc>
          <w:tcPr>
            <w:tcW w:w="9212" w:type="dxa"/>
          </w:tcPr>
          <w:p w:rsidR="001F463D" w:rsidRPr="001F463D" w:rsidRDefault="001F463D" w:rsidP="004A447A">
            <w:pPr>
              <w:rPr>
                <w:rFonts w:ascii="Times New Roman" w:hAnsi="Times New Roman"/>
                <w:i/>
              </w:rPr>
            </w:pPr>
            <w:r w:rsidRPr="001F463D">
              <w:rPr>
                <w:rFonts w:ascii="Times New Roman" w:hAnsi="Times New Roman"/>
                <w:i/>
              </w:rPr>
              <w:t>Uveďte, akou formou (verejné alebo cielené konzultácie a prečo) a s kým bol návrh konzultovaný.</w:t>
            </w:r>
          </w:p>
          <w:p w:rsidR="001F463D" w:rsidRPr="001F463D" w:rsidRDefault="001F463D" w:rsidP="004A447A">
            <w:pPr>
              <w:rPr>
                <w:rFonts w:ascii="Times New Roman" w:hAnsi="Times New Roman"/>
                <w:i/>
              </w:rPr>
            </w:pPr>
            <w:r w:rsidRPr="001F463D">
              <w:rPr>
                <w:rFonts w:ascii="Times New Roman" w:hAnsi="Times New Roman"/>
                <w:i/>
              </w:rPr>
              <w:t>Ako dlho trvali konzultácie?</w:t>
            </w:r>
          </w:p>
          <w:p w:rsidR="001F463D" w:rsidRPr="001F463D" w:rsidRDefault="001F463D" w:rsidP="004A447A">
            <w:pPr>
              <w:rPr>
                <w:rFonts w:ascii="Times New Roman" w:hAnsi="Times New Roman"/>
                <w:i/>
              </w:rPr>
            </w:pPr>
            <w:r w:rsidRPr="001F463D">
              <w:rPr>
                <w:rFonts w:ascii="Times New Roman" w:hAnsi="Times New Roman"/>
                <w:i/>
              </w:rPr>
              <w:t xml:space="preserve">Uveďte hlavné body konzultácií a výsledky konzultácií. </w:t>
            </w:r>
          </w:p>
        </w:tc>
      </w:tr>
      <w:tr w:rsidR="001F463D" w:rsidRPr="001F463D" w:rsidTr="004A447A">
        <w:trPr>
          <w:trHeight w:val="1440"/>
        </w:trPr>
        <w:tc>
          <w:tcPr>
            <w:tcW w:w="9212" w:type="dxa"/>
          </w:tcPr>
          <w:p w:rsidR="001F463D" w:rsidRPr="001F463D" w:rsidRDefault="001F463D" w:rsidP="004A447A">
            <w:pPr>
              <w:jc w:val="both"/>
              <w:rPr>
                <w:rFonts w:ascii="Times New Roman" w:hAnsi="Times New Roman"/>
                <w:i/>
              </w:rPr>
            </w:pPr>
            <w:r w:rsidRPr="001F463D">
              <w:rPr>
                <w:rFonts w:ascii="Times New Roman" w:hAnsi="Times New Roman"/>
                <w:i/>
              </w:rPr>
              <w:t xml:space="preserve">Konzultácie boli vykonané formou osobných stretnutí uskutočnených v priebehu roka 2017 a začiatku roka 2018 na pôde Ministerstva spravodlivosti Slovenskej republiky a to so zástupcami: finančného sektora (najmä Slovenská záručná a rozvojová banka, Exportno-importná banka Slovenskej republiky,) so zástupcami „verených podnikov“, teda subjektov v ktorých má štát určitú formu účasti (najmä subjekty podnikajúce v sektore energetiky  - </w:t>
            </w:r>
            <w:proofErr w:type="spellStart"/>
            <w:r w:rsidRPr="001F463D">
              <w:rPr>
                <w:rFonts w:ascii="Times New Roman" w:hAnsi="Times New Roman"/>
                <w:i/>
              </w:rPr>
              <w:t>Eustream</w:t>
            </w:r>
            <w:proofErr w:type="spellEnd"/>
            <w:r w:rsidRPr="001F463D">
              <w:rPr>
                <w:rFonts w:ascii="Times New Roman" w:hAnsi="Times New Roman"/>
                <w:i/>
              </w:rPr>
              <w:t>, a.s., Stredoslovenská energetika, a.s., ...), ďalej so zástupcami zdravotných poisťovní reprezentujúcimi tak záujmy zdravotných poisťovní ale aj poskytovateľov zdravotnej starostlivosti. Rovnako sa konzultácií zúčastnili aj združenia podnikateľov, taktiež Ministerstvo spravodlivosti absolvovalo konzultácie so zástupcami Slovenského pozemkového fondu, Ministerstva pôdohospodárstva a rozvoja vidieka Slovenskej republiky či Pôdohospodárskej platobnej agentúry.</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Všetky formy konzultácií viedli zo strany dotknutých subjektov k prezentovaniu potreby úpravy povinnosti zápisu do registra pri podnikateľských subjektoch, na ktoré sa vzťahuje povinnosť zápisu do registra, ale ktorým v dôsledku povinnosti zápisu do registra vznikajú rôzne neprekonateľné prekážky, ktoré sťažujú alebo znemožňujú ich činnosť. In </w:t>
            </w:r>
            <w:proofErr w:type="spellStart"/>
            <w:r w:rsidRPr="001F463D">
              <w:rPr>
                <w:rFonts w:ascii="Times New Roman" w:hAnsi="Times New Roman"/>
                <w:i/>
              </w:rPr>
              <w:t>concreto</w:t>
            </w:r>
            <w:proofErr w:type="spellEnd"/>
            <w:r w:rsidRPr="001F463D">
              <w:rPr>
                <w:rFonts w:ascii="Times New Roman" w:hAnsi="Times New Roman"/>
                <w:i/>
              </w:rPr>
              <w:t xml:space="preserve">, stretnutia so zástupcami bankového sektora (Slovenská záručná a rozvojová banka, Eximbanka) sa týkali možnosti vyňatia klientov týchto subjektov v prípade poskytovania špecifických foriem služieb – napr. v prípade financovania vývozných a dovozných úverov, v prípade zabezpečovania </w:t>
            </w:r>
            <w:proofErr w:type="spellStart"/>
            <w:r w:rsidRPr="001F463D">
              <w:rPr>
                <w:rFonts w:ascii="Times New Roman" w:hAnsi="Times New Roman"/>
                <w:i/>
              </w:rPr>
              <w:t>zaisťovateľských</w:t>
            </w:r>
            <w:proofErr w:type="spellEnd"/>
            <w:r w:rsidRPr="001F463D">
              <w:rPr>
                <w:rFonts w:ascii="Times New Roman" w:hAnsi="Times New Roman"/>
                <w:i/>
              </w:rPr>
              <w:t xml:space="preserve"> vzťahov a pod.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Konzultácie so zástupcami subjektov podnikajúcimi v energetike sa týkali „dvojakého“ postavenia uvedených subjektov, teda ich postavenia ako subjektov verejného sektora aj ako partnerov verejného sektora. Zároveň uvedené spoločnosti prezentovali, že nie je vhodné vnímať tieto subjekty ako súčasti verejného sektora, nakoľko vplyv štátu v týchto spoločnostiach spočíva len v účasti štátu v dozorných orgánoch a uvedené spoločnosti majú preto „súkromný charakter“. Taktiež uvedené spoločnosti mali za to, že podrobovaním klientov týchto spoločností povinnosti zápisu je ohrozené ich postavenie na konkurenčnom trhu s energiami.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Konzultácie so zdravotnými poisťovňami viedli jednak k prehodnoteniu pojmu zmluva, prípadne stanovením ako počítať hodnotu plnenia, ktorú získavajú poskytovatelia zdravotnej starostlivosti od zdravotných poisťovní, nakoľko výška plnenia nie je vopred zrejmá a závisí od vopred nejasných skutočností (počet predaných liekov, počet vykonaných úkonov zdravotnej starostlivosti). Taktiež bola konzultovaná možnosť vyňatia zahraničných poskytovateľov zdravotnej starostlivosti z dôvodu zabezpečenia plánovaných špecializovaných úkonov či operačných zákrokov v zahraničí pre slovenských platiteľov zdravotného poistenia.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Zástupcovia podnikateľského sektora poukazovali na potrebu znižovania administratívnej záťaže pre partnerov verejného sektora, ktoré vznikajú so zápisom do registra partnerov verejného sektora, požadovali najmä odstránenie inštitútu oprávnenej osoby, ktorá ako jediná vykonáva zápisy do registra, rovnako požadovali odstránenie verifikačnej udalosti „31.12. kalendárneho roka“, taktiež sa stretnutia dotkli aj povinnosti zápisu pre klientov subjektov podnikajúcich v oblasti energetiky.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Ministerstvo pôdohospodárstva Slovenskej republiky a Pôdohospodárska platobná agentúra na stretnutiach prezentovali nejednoznačné postavenie Európskeho pôdohospodárskeho a záručného fondu, z ktorého prijímajú priame platby najmä samostatne hospodáriaci roľníci. Tento fond sa neradí medzi európske štrukturálne a investičné fondy, napriek tomu podľa stanoviska Ministerstva spravodlivosti subjekty prijímajúce plnenia z uvedeného fondu majú povinnosť zápisu do registra partnerov.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Predmetom stretnutí so Slovenským pozemkovým fondom bolo postavenie subjektov prijímajúcich plnenia v rámci reštitúcií podľa osobitných predpisov, rovnako tiež výklad pojmu zmluva, opakujúce sa plnenie, resp. vnímanie nájomných zmlúv so štátom v režime zákona o registri partnerov verejného sektora, taktiež doba, počas ktorej sa posudzuje opakujúce sa plnenia pri zmluvách na dobú neurčitú.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Ministerstvo spravodlivosti Slovenskej republiky výsledky týchto konzultácií dôsledne vyhodnotilo a následne v potrebnej miere vyjadrilo v návrhu zákona. </w:t>
            </w:r>
          </w:p>
        </w:tc>
      </w:tr>
      <w:tr w:rsidR="001F463D" w:rsidRPr="001F463D" w:rsidTr="004A447A">
        <w:tc>
          <w:tcPr>
            <w:tcW w:w="9212" w:type="dxa"/>
            <w:shd w:val="clear" w:color="auto" w:fill="D9D9D9" w:themeFill="background1" w:themeFillShade="D9"/>
          </w:tcPr>
          <w:p w:rsidR="001F463D" w:rsidRPr="001F463D" w:rsidRDefault="001F463D" w:rsidP="004A447A">
            <w:pPr>
              <w:rPr>
                <w:rFonts w:ascii="Times New Roman" w:hAnsi="Times New Roman"/>
                <w:b/>
              </w:rPr>
            </w:pPr>
          </w:p>
        </w:tc>
      </w:tr>
      <w:tr w:rsidR="001F463D" w:rsidRPr="001F463D" w:rsidTr="004A447A">
        <w:tc>
          <w:tcPr>
            <w:tcW w:w="9212" w:type="dxa"/>
          </w:tcPr>
          <w:p w:rsidR="001F463D" w:rsidRPr="001F463D" w:rsidRDefault="001F463D" w:rsidP="004A447A">
            <w:pPr>
              <w:rPr>
                <w:rFonts w:ascii="Times New Roman" w:hAnsi="Times New Roman"/>
                <w:b/>
                <w:i/>
              </w:rPr>
            </w:pPr>
            <w:r w:rsidRPr="001F463D">
              <w:rPr>
                <w:rFonts w:ascii="Times New Roman" w:hAnsi="Times New Roman"/>
                <w:b/>
                <w:i/>
              </w:rPr>
              <w:t>3.3.1 Priame finančné náklady</w:t>
            </w:r>
          </w:p>
          <w:p w:rsidR="001F463D" w:rsidRPr="001F463D" w:rsidRDefault="001F463D" w:rsidP="004A447A">
            <w:pPr>
              <w:rPr>
                <w:rFonts w:ascii="Times New Roman" w:hAnsi="Times New Roman"/>
                <w:i/>
              </w:rPr>
            </w:pPr>
            <w:r w:rsidRPr="001F463D">
              <w:rPr>
                <w:rFonts w:ascii="Times New Roman" w:hAnsi="Times New Roman"/>
                <w:i/>
              </w:rPr>
              <w:t xml:space="preserve">Dochádza k zvýšeniu/zníženiu priamych finančných nákladov (poplatky, odvody, dane clá...)? Ak áno, popíšte a vyčíslite ich. Uveďte tiež spôsob ich výpočtu. </w:t>
            </w:r>
          </w:p>
        </w:tc>
      </w:tr>
      <w:tr w:rsidR="001F463D" w:rsidRPr="001F463D" w:rsidTr="004A447A">
        <w:tc>
          <w:tcPr>
            <w:tcW w:w="9212" w:type="dxa"/>
          </w:tcPr>
          <w:p w:rsidR="001F463D" w:rsidRPr="001F463D" w:rsidRDefault="001F463D" w:rsidP="004A447A">
            <w:pPr>
              <w:jc w:val="both"/>
              <w:rPr>
                <w:rFonts w:ascii="Times New Roman" w:hAnsi="Times New Roman"/>
                <w:i/>
                <w:szCs w:val="24"/>
              </w:rPr>
            </w:pPr>
            <w:r w:rsidRPr="001F463D">
              <w:rPr>
                <w:rFonts w:ascii="Times New Roman" w:hAnsi="Times New Roman"/>
                <w:i/>
                <w:szCs w:val="24"/>
              </w:rPr>
              <w:t xml:space="preserve">Dochádza k zníženiu priamych finančných nákladov pre subjekty, ktoré v zmysle predchádzajúcej právnej úpravy zákona spĺňali podmienky zápis do registra, keďže sa uchádzali o verejné prostriedky nad limity, ale návrh zákona ich z rôznych dôvodov  vyníma z povinnosti zápisu. Návrh zákona vo výsledku znižuje administratívnu zaťaž na strane partnerov verejného sektora tým, že zužuje okruh pôsobnosti zákona a teda aj okruh právnych vzťahov, pri ktorých vzniká povinnosť zápisu do registra </w:t>
            </w:r>
            <w:r w:rsidRPr="001F463D">
              <w:rPr>
                <w:rFonts w:ascii="Times New Roman" w:hAnsi="Times New Roman"/>
                <w:i/>
                <w:szCs w:val="24"/>
              </w:rPr>
              <w:lastRenderedPageBreak/>
              <w:t>partnerov verejného sektora. Subjekty, ktoré návrh zákona vyníma z režimu zákona nemajú povinnosť zabezpečiť si oprávnenú osobu a zapísať sa do registra, prípadne už existujúci zápis v registri partnerov verejného sektora udržiavať, čím dochádza k zníženiu nákladov spojených so spoluprácou s oprávnenou osobou. Okruh subjektov, ktoré návrh zákona vyníma z pôsobnosti je uvedený v časti 3.1.  Predkladateľ v súčasnosti nedisponuje informáciou, akému počtu subjektov zanikne, resp. ani nevznikne povinnosť zápisu do registra partnerov verejného sektora, v rámci registra partnerov verejného sektora totiž nemožno dohľadať „dôvod“, pre ktorý sa jednotlivé fyzické alebo právnické osoby do registra zapísali – napr. nemožno vyčísliť, koľko fyzických či právnických osôb bolo do dnešného dňa zapísaných/má byť v budúcnosti zapísaných z titulu prijímania plnení od „verejných podnikov“ a teda nemožno konštatovať, aká množina subjektov je v rámci návrhu zákona z tohto titulu zo zápisu/jeho udržiavania oslobodená.</w:t>
            </w:r>
          </w:p>
          <w:p w:rsidR="001F463D" w:rsidRPr="001F463D" w:rsidRDefault="001F463D" w:rsidP="004A447A">
            <w:pPr>
              <w:rPr>
                <w:rFonts w:ascii="Times New Roman" w:hAnsi="Times New Roman"/>
                <w:i/>
                <w:szCs w:val="24"/>
              </w:rPr>
            </w:pPr>
          </w:p>
          <w:p w:rsidR="001F463D" w:rsidRPr="001F463D" w:rsidRDefault="001F463D" w:rsidP="004A447A">
            <w:pPr>
              <w:jc w:val="both"/>
              <w:rPr>
                <w:rFonts w:ascii="Times New Roman" w:hAnsi="Times New Roman"/>
                <w:bCs/>
                <w:i/>
                <w:szCs w:val="24"/>
              </w:rPr>
            </w:pPr>
            <w:r w:rsidRPr="001F463D">
              <w:rPr>
                <w:rFonts w:ascii="Times New Roman" w:hAnsi="Times New Roman"/>
                <w:bCs/>
                <w:i/>
                <w:szCs w:val="24"/>
              </w:rPr>
              <w:t>Taktiež reálne dochádza k zníženiu nákladov pre podnikateľov pri verifikácií zapísaného konečného užívateľa výhod prostredníctvom oprávnených osôb tým, že v návrhu zákona pribúda možnosť vykonať verifikáciu i „dobrovoľne“, t. j. mimo verifikačných udalostí uvedených v § 11 ods. 2, čo v praxi znamená, že verifikácia môže prebiehať na tzv. polročnej báze – teda vždy k 31.12, príslušného kalendárneho roka a v polovici kalendárneho roka, nakoľko po vykonaní verifikácie návrh zákona pozná polročné oslobodenie od povinnosti zápisu. Podľa súčasnej právnej úpravy oprávnená osoby vykonávala verifikáciu vždy ku koncu kalendárneho roka, ďalej pri uzavretí novej zmluvy ktorá je nad limity uvedené v zákone a ďalej pri plnení nad 1 000 000 €, teda zákon nepozná tzv. „dobrovoľnú verifikáciu“,  čo v praxi znamenalo vyššie náklady na oprávnenú osobu (oprávnená osoba vykonávala verifikáciu viac ako dvakrát do roka ako tomu bude podľa novej právnej úpravy.</w:t>
            </w:r>
          </w:p>
          <w:p w:rsidR="001F463D" w:rsidRPr="001F463D" w:rsidRDefault="001F463D" w:rsidP="004A447A">
            <w:pPr>
              <w:jc w:val="both"/>
              <w:rPr>
                <w:rFonts w:ascii="Times New Roman" w:hAnsi="Times New Roman"/>
                <w:bCs/>
                <w:i/>
                <w:szCs w:val="24"/>
              </w:rPr>
            </w:pPr>
          </w:p>
          <w:p w:rsidR="001F463D" w:rsidRPr="001F463D" w:rsidRDefault="001F463D" w:rsidP="004A447A">
            <w:pPr>
              <w:jc w:val="both"/>
              <w:rPr>
                <w:rFonts w:ascii="Times New Roman" w:hAnsi="Times New Roman"/>
                <w:bCs/>
                <w:i/>
                <w:szCs w:val="24"/>
              </w:rPr>
            </w:pPr>
            <w:r w:rsidRPr="001F463D">
              <w:rPr>
                <w:rFonts w:ascii="Times New Roman" w:hAnsi="Times New Roman"/>
                <w:bCs/>
                <w:i/>
                <w:szCs w:val="24"/>
              </w:rPr>
              <w:t>Okrem pozitívnych vplyvov identifikoval predkladateľ i negatívne vplyvy na podnikateľské prostredie. Prvý negatívny vplyv súvisí so zmenou vnímania pojmu „vrcholový manažment“. Za členov vrcholového manažmentu partnera verejného sektora sa považujú už len štatutárny orgán a jeho členovia. Pokiaľ partner verejného sektora zapisuje týchto fiktívnych konečných užívateľov výhod, musí v rámci prechodného obdobia zabezpečiť zosúladenie zapísaných údajov a teda, ako konečných užívateľov výhod určí len štatutárny orgán a jeho členov, nie prokuristov ani zamestnancov v priamej riadiacej pôsobnosti štatutárneho orgánu. Druhý negatívny vplyv súvisí so zavedením zásad podľa ktorých sa posudzujú zmluvy a ich hodnota na účely povinnosti zápisu do registra. Podľa týchto zásad sa napríklad hodnota zmluvy, predmetom ktorej je opakujúce sa plnenie počíta počas celého obdobia trvania zmluvy, nie ako to bolo doteraz len počas jedného kalendárneho roka. Pokiaľ má subjekt uzavretú „živú“ zmluvu so štátom, ktorá z neho podľa týchto nových zásad robí partnera verejného sektora, má povinnosť zabezpečiť svoj dodatočný zápis do registra do konca decembra roku 2019, avšak len vtedy, ak hodnota plnenia ktorú má od účinnosti novely zákona prijať presahuje finančné limity stanovené zákonom. Sankcia za nesplnenie tejto povinnosti je možnosť odstúpenia od zmluvy, prípadne možnosť verejného sektora neplniť, to čo ukladá zmluva dokiaľ povinnosť zápisu nie je splnená. V prvom prípade vzniká povinnosť časti subjektov, ktoré zapísali „fiktívneho konečného užívateľa výhod“ uskutočniť prostredníctvom oprávnenej osoby zmenové konanie v rámci prechodného obdobia, teda do konca decembra 2019 tak, aby ako koneční užívatelia výhod boli zapísaní len členovia štatutárneho orgánu.</w:t>
            </w:r>
          </w:p>
          <w:p w:rsidR="001F463D" w:rsidRPr="001F463D" w:rsidRDefault="001F463D" w:rsidP="004A447A">
            <w:pPr>
              <w:jc w:val="both"/>
              <w:rPr>
                <w:rFonts w:ascii="Times New Roman" w:hAnsi="Times New Roman"/>
                <w:bCs/>
                <w:i/>
                <w:szCs w:val="24"/>
              </w:rPr>
            </w:pPr>
          </w:p>
          <w:p w:rsidR="001F463D" w:rsidRPr="001F463D" w:rsidRDefault="001F463D" w:rsidP="004A447A">
            <w:pPr>
              <w:jc w:val="both"/>
              <w:rPr>
                <w:rFonts w:ascii="Times New Roman" w:hAnsi="Times New Roman"/>
                <w:bCs/>
                <w:i/>
                <w:szCs w:val="24"/>
              </w:rPr>
            </w:pPr>
            <w:r w:rsidRPr="001F463D">
              <w:rPr>
                <w:rFonts w:ascii="Times New Roman" w:hAnsi="Times New Roman"/>
                <w:bCs/>
                <w:i/>
                <w:szCs w:val="24"/>
              </w:rPr>
              <w:t xml:space="preserve">V druhom prípade vznikne subjektom, ktoré nie sú zapísané v registri partnerov verejného sektora a ktoré majú platne uzavreté zmluvy s ktorých sa má čerpať povinnosť uskutočniť prvozápis do registra partnerov verejného sektora. Predkladateľ v tejto súvislosti nevie určiť, koľko uvedených subjektov sa predmetná povinnosť bude týkať.  Výška jedného úkonu oprávnenej osoby (teda v prvom rade vykonanie zmenového konania, v druhom prípade prvozápis partnera verejného sektora) je stanovená oprávnenými osobami pretože žiaden právny predpis odmenu oprávnenej osoby za vykonanie úkonov nereguluje. Samotné oprávnené osoby neurčujú „fixnú“ sumu za vykonanie prvozápisu, pretože zložitosť zápisu sa líši od štruktúry partnera verejného sektora a následnú zložitosť určenia konečného užívateľa výhod. Taktiež je uvedená suma závislá od regiónu v rámci územia Slovenskej republiky, najvyššie sumy za zápis oprávnené osoby požadujú v Bratislavskom kraji, najnižšie v Košickom a Prešovskom kraji. Analýzou jednotlivých cenníkov desiatok oprávnených osôb vykonávajúcich zápis partnerov verejného sektora možno konštatovať že cena za </w:t>
            </w:r>
            <w:r w:rsidRPr="001F463D">
              <w:rPr>
                <w:rFonts w:ascii="Times New Roman" w:hAnsi="Times New Roman"/>
                <w:bCs/>
                <w:i/>
                <w:szCs w:val="24"/>
              </w:rPr>
              <w:lastRenderedPageBreak/>
              <w:t xml:space="preserve">zápis partnera verejného sektora sa pohybuje zhruba  od 300 € do 2. 000 €, zmenové konanie a ďalšie úkony spojené so zápisom zhruba od 80 € do 600 €. </w:t>
            </w:r>
          </w:p>
          <w:p w:rsidR="001F463D" w:rsidRPr="001F463D" w:rsidRDefault="001F463D" w:rsidP="004A447A">
            <w:pPr>
              <w:rPr>
                <w:rFonts w:ascii="Times New Roman" w:hAnsi="Times New Roman"/>
                <w:b/>
                <w:i/>
                <w:sz w:val="16"/>
              </w:rPr>
            </w:pPr>
          </w:p>
          <w:p w:rsidR="001F463D" w:rsidRPr="001F463D" w:rsidRDefault="001F463D" w:rsidP="004A447A">
            <w:pPr>
              <w:rPr>
                <w:rFonts w:ascii="Times New Roman" w:hAnsi="Times New Roman"/>
                <w:b/>
                <w:i/>
              </w:rPr>
            </w:pPr>
          </w:p>
        </w:tc>
      </w:tr>
      <w:tr w:rsidR="001F463D" w:rsidRPr="001F463D" w:rsidTr="004A447A">
        <w:tc>
          <w:tcPr>
            <w:tcW w:w="9212" w:type="dxa"/>
          </w:tcPr>
          <w:p w:rsidR="001F463D" w:rsidRPr="001F463D" w:rsidRDefault="001F463D" w:rsidP="004A447A">
            <w:pPr>
              <w:rPr>
                <w:rFonts w:ascii="Times New Roman" w:hAnsi="Times New Roman"/>
                <w:b/>
                <w:i/>
              </w:rPr>
            </w:pPr>
            <w:r w:rsidRPr="001F463D">
              <w:rPr>
                <w:rFonts w:ascii="Times New Roman" w:hAnsi="Times New Roman"/>
                <w:b/>
                <w:i/>
              </w:rPr>
              <w:lastRenderedPageBreak/>
              <w:t>3.3.2 Nepriame finančné náklady</w:t>
            </w:r>
          </w:p>
          <w:p w:rsidR="001F463D" w:rsidRPr="001F463D" w:rsidRDefault="001F463D" w:rsidP="004A447A">
            <w:pPr>
              <w:rPr>
                <w:rFonts w:ascii="Times New Roman" w:hAnsi="Times New Roman"/>
                <w:i/>
              </w:rPr>
            </w:pPr>
            <w:r w:rsidRPr="001F463D">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1F463D" w:rsidRPr="001F463D" w:rsidTr="004A447A">
        <w:tc>
          <w:tcPr>
            <w:tcW w:w="9212" w:type="dxa"/>
          </w:tcPr>
          <w:p w:rsidR="001F463D" w:rsidRPr="001F463D" w:rsidRDefault="001F463D" w:rsidP="004A447A">
            <w:pPr>
              <w:rPr>
                <w:rFonts w:ascii="Times New Roman" w:hAnsi="Times New Roman"/>
                <w:i/>
              </w:rPr>
            </w:pPr>
            <w:r w:rsidRPr="001F463D">
              <w:rPr>
                <w:rFonts w:ascii="Times New Roman" w:hAnsi="Times New Roman"/>
                <w:i/>
              </w:rPr>
              <w:t xml:space="preserve">Nie, návrh zákona nevyžaduje dodatočné náklady. </w:t>
            </w:r>
          </w:p>
          <w:p w:rsidR="001F463D" w:rsidRPr="001F463D" w:rsidRDefault="001F463D" w:rsidP="004A447A">
            <w:pPr>
              <w:rPr>
                <w:rFonts w:ascii="Times New Roman" w:hAnsi="Times New Roman"/>
                <w:b/>
                <w:i/>
              </w:rPr>
            </w:pPr>
          </w:p>
        </w:tc>
      </w:tr>
      <w:tr w:rsidR="001F463D" w:rsidRPr="001F463D" w:rsidTr="004A447A">
        <w:tc>
          <w:tcPr>
            <w:tcW w:w="9212" w:type="dxa"/>
          </w:tcPr>
          <w:p w:rsidR="001F463D" w:rsidRPr="001F463D" w:rsidRDefault="001F463D" w:rsidP="004A447A">
            <w:pPr>
              <w:rPr>
                <w:rFonts w:ascii="Times New Roman" w:hAnsi="Times New Roman"/>
                <w:b/>
                <w:i/>
              </w:rPr>
            </w:pPr>
            <w:r w:rsidRPr="001F463D">
              <w:rPr>
                <w:rFonts w:ascii="Times New Roman" w:hAnsi="Times New Roman"/>
                <w:b/>
                <w:i/>
              </w:rPr>
              <w:t>3.3.3 Administratívne náklady</w:t>
            </w:r>
          </w:p>
          <w:p w:rsidR="001F463D" w:rsidRPr="001F463D" w:rsidRDefault="001F463D" w:rsidP="004A447A">
            <w:pPr>
              <w:rPr>
                <w:rFonts w:ascii="Times New Roman" w:hAnsi="Times New Roman"/>
                <w:i/>
              </w:rPr>
            </w:pPr>
            <w:r w:rsidRPr="001F463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1F463D" w:rsidRPr="001F463D" w:rsidTr="004A447A">
        <w:tc>
          <w:tcPr>
            <w:tcW w:w="9212" w:type="dxa"/>
          </w:tcPr>
          <w:p w:rsidR="001F463D" w:rsidRPr="001F463D" w:rsidRDefault="001F463D" w:rsidP="004A447A">
            <w:pPr>
              <w:rPr>
                <w:rFonts w:ascii="Times New Roman" w:hAnsi="Times New Roman"/>
                <w:i/>
              </w:rPr>
            </w:pPr>
            <w:r w:rsidRPr="001F463D">
              <w:rPr>
                <w:rFonts w:ascii="Times New Roman" w:hAnsi="Times New Roman"/>
                <w:i/>
              </w:rPr>
              <w:t>Nie, návrh zákona nezavádza nové informačné povinnosti.</w:t>
            </w:r>
          </w:p>
          <w:p w:rsidR="001F463D" w:rsidRPr="001F463D" w:rsidRDefault="001F463D" w:rsidP="004A447A">
            <w:pPr>
              <w:rPr>
                <w:rFonts w:ascii="Times New Roman" w:hAnsi="Times New Roman"/>
                <w:b/>
                <w:i/>
              </w:rPr>
            </w:pPr>
          </w:p>
        </w:tc>
      </w:tr>
      <w:tr w:rsidR="001F463D" w:rsidRPr="001F463D" w:rsidTr="004A447A">
        <w:trPr>
          <w:trHeight w:val="2318"/>
        </w:trPr>
        <w:tc>
          <w:tcPr>
            <w:tcW w:w="9212" w:type="dxa"/>
          </w:tcPr>
          <w:p w:rsidR="001F463D" w:rsidRPr="001F463D" w:rsidRDefault="001F463D" w:rsidP="004A447A">
            <w:pPr>
              <w:rPr>
                <w:rFonts w:ascii="Times New Roman" w:hAnsi="Times New Roman"/>
                <w:i/>
              </w:rPr>
            </w:pPr>
            <w:r w:rsidRPr="001F463D">
              <w:rPr>
                <w:rFonts w:ascii="Times New Roman" w:hAnsi="Times New Roman"/>
                <w:b/>
                <w:i/>
              </w:rPr>
              <w:t>3.3.4 Súhrnná tabuľka nákladov regulácie</w:t>
            </w:r>
          </w:p>
          <w:p w:rsidR="001F463D" w:rsidRPr="001F463D" w:rsidRDefault="001F463D" w:rsidP="004A447A">
            <w:pPr>
              <w:rPr>
                <w:rFonts w:ascii="Times New Roman" w:hAnsi="Times New Roman"/>
                <w:i/>
              </w:rPr>
            </w:pPr>
          </w:p>
          <w:tbl>
            <w:tblPr>
              <w:tblStyle w:val="Mriekatabuky"/>
              <w:tblW w:w="0" w:type="auto"/>
              <w:tblLook w:val="04A0" w:firstRow="1" w:lastRow="0" w:firstColumn="1" w:lastColumn="0" w:noHBand="0" w:noVBand="1"/>
            </w:tblPr>
            <w:tblGrid>
              <w:gridCol w:w="2949"/>
              <w:gridCol w:w="2940"/>
              <w:gridCol w:w="2945"/>
            </w:tblGrid>
            <w:tr w:rsidR="001F463D" w:rsidRPr="001F463D" w:rsidTr="004A447A">
              <w:tc>
                <w:tcPr>
                  <w:tcW w:w="2993"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Náklady na celé podnikateľské prostredie</w:t>
                  </w:r>
                </w:p>
              </w:tc>
            </w:tr>
            <w:tr w:rsidR="001F463D" w:rsidRPr="001F463D" w:rsidTr="004A447A">
              <w:tc>
                <w:tcPr>
                  <w:tcW w:w="2993"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rPr>
                      <w:rFonts w:ascii="Times New Roman" w:hAnsi="Times New Roman"/>
                      <w:i/>
                    </w:rPr>
                  </w:pPr>
                  <w:r w:rsidRPr="001F463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0</w:t>
                  </w:r>
                </w:p>
              </w:tc>
            </w:tr>
            <w:tr w:rsidR="001F463D" w:rsidRPr="001F463D" w:rsidTr="004A447A">
              <w:tc>
                <w:tcPr>
                  <w:tcW w:w="2993"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rPr>
                      <w:rFonts w:ascii="Times New Roman" w:hAnsi="Times New Roman"/>
                      <w:i/>
                    </w:rPr>
                  </w:pPr>
                  <w:r w:rsidRPr="001F463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0</w:t>
                  </w:r>
                </w:p>
              </w:tc>
            </w:tr>
            <w:tr w:rsidR="001F463D" w:rsidRPr="001F463D" w:rsidTr="004A447A">
              <w:tc>
                <w:tcPr>
                  <w:tcW w:w="2993"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rPr>
                      <w:rFonts w:ascii="Times New Roman" w:hAnsi="Times New Roman"/>
                      <w:i/>
                    </w:rPr>
                  </w:pPr>
                  <w:r w:rsidRPr="001F463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i/>
                    </w:rPr>
                  </w:pPr>
                  <w:r w:rsidRPr="001F463D">
                    <w:rPr>
                      <w:rFonts w:ascii="Times New Roman" w:hAnsi="Times New Roman"/>
                      <w:i/>
                    </w:rPr>
                    <w:t>0</w:t>
                  </w:r>
                </w:p>
              </w:tc>
            </w:tr>
            <w:tr w:rsidR="001F463D" w:rsidRPr="001F463D" w:rsidTr="004A447A">
              <w:tc>
                <w:tcPr>
                  <w:tcW w:w="2993"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rPr>
                      <w:rFonts w:ascii="Times New Roman" w:hAnsi="Times New Roman"/>
                      <w:b/>
                      <w:i/>
                    </w:rPr>
                  </w:pPr>
                  <w:r w:rsidRPr="001F463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b/>
                      <w:i/>
                    </w:rPr>
                  </w:pPr>
                  <w:r w:rsidRPr="001F463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cPr>
                <w:p w:rsidR="001F463D" w:rsidRPr="001F463D" w:rsidRDefault="001F463D" w:rsidP="004A447A">
                  <w:pPr>
                    <w:jc w:val="center"/>
                    <w:rPr>
                      <w:rFonts w:ascii="Times New Roman" w:hAnsi="Times New Roman"/>
                      <w:b/>
                      <w:i/>
                    </w:rPr>
                  </w:pPr>
                  <w:r w:rsidRPr="001F463D">
                    <w:rPr>
                      <w:rFonts w:ascii="Times New Roman" w:hAnsi="Times New Roman"/>
                      <w:b/>
                      <w:i/>
                    </w:rPr>
                    <w:t>0</w:t>
                  </w:r>
                </w:p>
              </w:tc>
            </w:tr>
          </w:tbl>
          <w:p w:rsidR="001F463D" w:rsidRPr="001F463D" w:rsidRDefault="001F463D" w:rsidP="004A447A">
            <w:pPr>
              <w:rPr>
                <w:rFonts w:ascii="Times New Roman" w:hAnsi="Times New Roman"/>
                <w:i/>
              </w:rPr>
            </w:pPr>
          </w:p>
        </w:tc>
      </w:tr>
      <w:tr w:rsidR="001F463D" w:rsidRPr="001F463D" w:rsidTr="004A447A">
        <w:tc>
          <w:tcPr>
            <w:tcW w:w="9212" w:type="dxa"/>
            <w:shd w:val="clear" w:color="auto" w:fill="D9D9D9" w:themeFill="background1" w:themeFillShade="D9"/>
          </w:tcPr>
          <w:p w:rsidR="001F463D" w:rsidRPr="001F463D" w:rsidRDefault="001F463D" w:rsidP="004A447A">
            <w:pPr>
              <w:rPr>
                <w:rFonts w:ascii="Times New Roman" w:hAnsi="Times New Roman"/>
                <w:b/>
                <w:sz w:val="24"/>
              </w:rPr>
            </w:pPr>
            <w:r w:rsidRPr="001F463D">
              <w:rPr>
                <w:rFonts w:ascii="Times New Roman" w:hAnsi="Times New Roman"/>
                <w:b/>
                <w:sz w:val="24"/>
              </w:rPr>
              <w:t>3.4 Konkurencieschopnosť a správanie sa podnikov na trhu</w:t>
            </w:r>
          </w:p>
          <w:p w:rsidR="001F463D" w:rsidRPr="001F463D" w:rsidRDefault="001F463D" w:rsidP="004A447A">
            <w:pPr>
              <w:rPr>
                <w:rFonts w:ascii="Times New Roman" w:hAnsi="Times New Roman"/>
              </w:rPr>
            </w:pPr>
            <w:r w:rsidRPr="001F463D">
              <w:rPr>
                <w:rFonts w:ascii="Times New Roman" w:hAnsi="Times New Roman"/>
                <w:b/>
                <w:sz w:val="24"/>
              </w:rPr>
              <w:t xml:space="preserve">       </w:t>
            </w:r>
            <w:r w:rsidRPr="001F463D">
              <w:rPr>
                <w:rFonts w:ascii="Times New Roman" w:hAnsi="Times New Roman"/>
                <w:sz w:val="24"/>
              </w:rPr>
              <w:t xml:space="preserve">- </w:t>
            </w:r>
            <w:r w:rsidRPr="001F463D">
              <w:rPr>
                <w:rFonts w:ascii="Times New Roman" w:hAnsi="Times New Roman"/>
                <w:b/>
                <w:sz w:val="24"/>
              </w:rPr>
              <w:t>z toho MSP</w:t>
            </w:r>
          </w:p>
        </w:tc>
      </w:tr>
      <w:tr w:rsidR="001F463D" w:rsidRPr="001F463D" w:rsidTr="004A447A">
        <w:tc>
          <w:tcPr>
            <w:tcW w:w="9212" w:type="dxa"/>
          </w:tcPr>
          <w:p w:rsidR="001F463D" w:rsidRPr="001F463D" w:rsidRDefault="001F463D" w:rsidP="004A447A">
            <w:pPr>
              <w:rPr>
                <w:rFonts w:ascii="Times New Roman" w:hAnsi="Times New Roman"/>
                <w:i/>
              </w:rPr>
            </w:pPr>
            <w:r w:rsidRPr="001F463D">
              <w:rPr>
                <w:rFonts w:ascii="Times New Roman" w:hAnsi="Times New Roman"/>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1F463D">
              <w:rPr>
                <w:rFonts w:ascii="Times New Roman" w:hAnsi="Times New Roman"/>
                <w:i/>
              </w:rPr>
              <w:t>mikro</w:t>
            </w:r>
            <w:proofErr w:type="spellEnd"/>
            <w:r w:rsidRPr="001F463D">
              <w:rPr>
                <w:rFonts w:ascii="Times New Roman" w:hAnsi="Times New Roman"/>
                <w:i/>
              </w:rPr>
              <w:t>, malé a stredné podniky tzv. MSP)? Ak áno, popíšte.</w:t>
            </w:r>
          </w:p>
          <w:p w:rsidR="001F463D" w:rsidRPr="001F463D" w:rsidRDefault="001F463D" w:rsidP="004A447A">
            <w:pPr>
              <w:rPr>
                <w:rFonts w:ascii="Times New Roman" w:hAnsi="Times New Roman"/>
                <w:i/>
              </w:rPr>
            </w:pPr>
            <w:r w:rsidRPr="001F463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1F463D" w:rsidRPr="001F463D" w:rsidRDefault="001F463D" w:rsidP="004A447A">
            <w:pPr>
              <w:rPr>
                <w:rFonts w:ascii="Times New Roman" w:hAnsi="Times New Roman"/>
                <w:i/>
              </w:rPr>
            </w:pPr>
            <w:r w:rsidRPr="001F463D">
              <w:rPr>
                <w:rFonts w:ascii="Times New Roman" w:hAnsi="Times New Roman"/>
                <w:i/>
              </w:rPr>
              <w:t>Ako ovplyvní cenu alebo dostupnosť základných zdrojov (suroviny, mechanizmy, pracovná sila, energie atď.)?</w:t>
            </w:r>
          </w:p>
          <w:p w:rsidR="001F463D" w:rsidRPr="001F463D" w:rsidRDefault="001F463D" w:rsidP="004A447A">
            <w:pPr>
              <w:rPr>
                <w:rFonts w:ascii="Times New Roman" w:hAnsi="Times New Roman"/>
                <w:i/>
              </w:rPr>
            </w:pPr>
            <w:r w:rsidRPr="001F463D">
              <w:rPr>
                <w:rFonts w:ascii="Times New Roman" w:hAnsi="Times New Roman"/>
                <w:i/>
              </w:rPr>
              <w:t>Ovplyvňuje prístup k financiám? Ak áno, ako?</w:t>
            </w:r>
          </w:p>
        </w:tc>
      </w:tr>
      <w:tr w:rsidR="001F463D" w:rsidRPr="001F463D" w:rsidTr="004A447A">
        <w:trPr>
          <w:trHeight w:val="1282"/>
        </w:trPr>
        <w:tc>
          <w:tcPr>
            <w:tcW w:w="9212" w:type="dxa"/>
          </w:tcPr>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Návrh zákona ovplyvňuje pozitívne konkurencieschopnosť subjektov, ktoré vyníma z pôsobnosti zákona.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Ide najmä o množinu subjektov, ktoré sú verejnými podnikmi alebo  fyzickými či právnickými osobami, ktoré vstupujú do zmluvných vzťahov s verejnými podnikmi v rámci ich bežného obchodného styku alebo hlavnej ekonomickej činnosti. Dôvodom vyňatia subjektov z režimu zákona je fakt, že verejné podniky pôsobia častokrát v rámci konkurenčného prostredia, kde povinnosť zápisu do registra partnerov verejného sektora môže spôsobovať nerovnaké postavenie verejných podnikov ako súťažiteľov na trhu. Okrem toho verejné podniky zaznamenali vážny problém s možným odlivom klientov, či záujemcov o ich tovary alebo služby, keďže konkurenčné podniky, ktoré nie sú verejnými podnikmi s poskytnutím tovarov alebo služieb pre klientov nespájajú povinnosť zápisu a teda ani zvýšené náklady pre tieto fyzické a právnické osoby.</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Z obdobných dôvodov návrh zákona vyníma z pôsobnosti aj „finančný sektor“ pri výkone činnosti, ktorá v podstate rovnako ako pri verejných podnikoch tvorí ich „</w:t>
            </w:r>
            <w:proofErr w:type="spellStart"/>
            <w:r w:rsidRPr="001F463D">
              <w:rPr>
                <w:rFonts w:ascii="Times New Roman" w:hAnsi="Times New Roman"/>
                <w:i/>
              </w:rPr>
              <w:t>core</w:t>
            </w:r>
            <w:proofErr w:type="spellEnd"/>
            <w:r w:rsidRPr="001F463D">
              <w:rPr>
                <w:rFonts w:ascii="Times New Roman" w:hAnsi="Times New Roman"/>
                <w:i/>
              </w:rPr>
              <w:t xml:space="preserve"> business“, resp. v prípade, kde </w:t>
            </w:r>
            <w:r w:rsidRPr="001F463D">
              <w:rPr>
                <w:rFonts w:ascii="Times New Roman" w:hAnsi="Times New Roman"/>
                <w:i/>
              </w:rPr>
              <w:lastRenderedPageBreak/>
              <w:t xml:space="preserve">tieto subjekty sú pri svojej činnosti regulované a dohliadané Národnou bankou Slovenska, Európskou centrálnou bankou alebo príslušným zahraničným orgánom dohľadu  ,pričom samotný dohľad nad týmito subjektami je v mnohých aspektoch prísnejší a rozsiahlejší ako ustanovuje režim tohto zákona a preto sa povinnosť zápisu pre tieto subjekty javí nadbytočná a zaťažujúca pri výkone ich činnosti.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Taktiež za účelom odbúrania administratívnej záťaže a posilnenia konkurenčného prostredia návrh zákona zavádza výnimku aj pre majiteľov finančných nástrojov, ktorí majú právo na výplatu určitých finančných nástrojov, v prípadoch, keď emisiu takýchto finančných nástrojov vykonali alebo sprostredkovali priamo banky, pobočky zahraničných bánk alebo obdobné finančné inštitúcie, prípadne pokiaľ tieto finančné nástroje sú obchodované na regulovanom trhu, alebo boli na tento trh prijaté do 6 mesiacov od ich vydania. Ponechaním uplatňovania povinnosti zápisu zároveň vzniká pre investorov do dlhových cenných papierov, ktorými sú nezriedka renomovaní inštitucionálni investori a nebankové finančné inštitúcie veľká administratívna záťaž. V rámci EÚ sa podobné registračné povinnosti neuplatňujú, čo v praxi znamená, že dlhové cenné papiere dotknutých subjektov budú neatraktívne a na domácich ako aj na medzinárodných finančných trhoch, budú ťažšie predateľné, resp. na zvýšenie dopytu po nich sa budú musieť zrejme ponúkať za atraktívnejší (vyšší) výnos pre investorov. Dlhové cenné papiere dotknutých subjektov sa tak dostanú do značnej nevýhody oproti cenným papierom iných slovenských a zahraničných subjektov, čo zároveň poškodzuje aj záujmy Slovenskej republiky, pretože skupinu dotknutých subjektov tvoria v súčasnosti rôzne strategické podniky pôsobiace v sektore dopravy, výstavby či energetiky v ktorých si zároveň štát ponechal majetkovú účasť.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rPr>
            </w:pPr>
            <w:r w:rsidRPr="001F463D">
              <w:rPr>
                <w:rFonts w:ascii="Times New Roman" w:hAnsi="Times New Roman"/>
                <w:i/>
              </w:rPr>
              <w:t xml:space="preserve">Pozitívny vplyv na konkurenčné prostredie možno očakávať i vyňatím fyzických a právnických osôb vstupujúcich do zmluvných vzťahov so Slovenskou záručnou a </w:t>
            </w:r>
            <w:r w:rsidRPr="001F463D">
              <w:rPr>
                <w:rFonts w:ascii="Times New Roman" w:hAnsi="Times New Roman"/>
              </w:rPr>
              <w:t xml:space="preserve"> </w:t>
            </w:r>
            <w:r w:rsidRPr="001F463D">
              <w:rPr>
                <w:rFonts w:ascii="Times New Roman" w:hAnsi="Times New Roman"/>
                <w:i/>
              </w:rPr>
              <w:t xml:space="preserve">rozvojovou bankou, a. s. pri výkone jej činnosti podľa zákona č. 483/2001 Z. z. o bankách a o zmene a doplnení niektorých zákonov v znení neskorších predpisov. Slovenská záručná a rozvojová banka, a. s. totiž rovnako ako predtým uvedené subjekty pôsobí na konkurenčnom trhu v rámci ktorého dochádza zo strany klienta pri výbere k hodnoteniu výšky nákladov na bankové služby, pričom povinná registrácia klientov stavia Slovenskú záručnú a rozvojovú banku, a. s do nevýhodnejšej pozície a to z dôvodu zvýšenia nákladov aj časovej náročnosti na poskytovanie jej produktov. Predmetná situácia sa pritom zvlášť citlivo dotýka malých a stredných podnikateľov, na podporu ktorých je banka zriadená. Tým, že klienti Slovenskej záručnej a rozvojovej banky, a. s.  sa v zmysle súčasnej právnej úpravy musia zapisovať do registra, čo znamená zvýšené náklady na poskytnuté úvery či iné finančné služby (napr. </w:t>
            </w:r>
            <w:proofErr w:type="spellStart"/>
            <w:r w:rsidRPr="001F463D">
              <w:rPr>
                <w:rFonts w:ascii="Times New Roman" w:hAnsi="Times New Roman"/>
                <w:i/>
              </w:rPr>
              <w:t>prefinancovanie</w:t>
            </w:r>
            <w:proofErr w:type="spellEnd"/>
            <w:r w:rsidRPr="001F463D">
              <w:rPr>
                <w:rFonts w:ascii="Times New Roman" w:hAnsi="Times New Roman"/>
                <w:i/>
              </w:rPr>
              <w:t xml:space="preserve"> priamych platieb), stávajú sa podmienky, za ktorých Slovenská záručná a rozvojová banka, a. s. tieto finančné služby poskytuje reálne menej výhodnými, čo je v rozpore s významom činnosti Slovenskej záručnej a rozvojovej banky, a. s. .Okrem uvedeného Slovenská záručná a rozvojová banka, a. s. za účelom zabezpečovania svojej likvidity, zhodnocovania svojich zdrojov a dodržiavania bankovej legislatívy musí vykonávať tzv. medzibankové obchody na finančných trhoch. Tieto obchody sa dojednávajú špecifickým spôsobom podľa individuálnych potrieb banky v danom čase a na dennej báze, podľa situácie na finančnom trhu, preto je nevyhnutné, aby banka mala neobmedzený prístup k finančnému trhu, nakoľko ide o promptné obchody, ktoré nie je možné vopred plánovať. Súčasná právna úprava pôsobí negatívne na konkurencieschopnosť Slovenskej záručnej a rozvojovej banky, a. s.  i jej hospodársky výsledok, čo zapríčiňuje odliv klientov, ktorí nemajú záujem o finančné produkty s ktorými sa spája povinnosť zápisu do registra. Preto sa navrhuje vyňatie fyzických a právnických osôb vstupujúcich do zmluvných vzťahov, ktoré vznikajú pri bankovej činnosti z povinnosti zápisu do registra partnerov verejného sektora. </w:t>
            </w:r>
          </w:p>
          <w:p w:rsidR="001F463D" w:rsidRPr="001F463D" w:rsidRDefault="001F463D" w:rsidP="004A447A">
            <w:pPr>
              <w:jc w:val="both"/>
              <w:rPr>
                <w:rFonts w:ascii="Times New Roman" w:hAnsi="Times New Roman"/>
              </w:rPr>
            </w:pPr>
          </w:p>
          <w:p w:rsidR="001F463D" w:rsidRPr="001F463D" w:rsidRDefault="001F463D" w:rsidP="004A447A">
            <w:pPr>
              <w:jc w:val="both"/>
              <w:rPr>
                <w:rFonts w:ascii="Times New Roman" w:hAnsi="Times New Roman"/>
                <w:i/>
              </w:rPr>
            </w:pPr>
            <w:r w:rsidRPr="001F463D">
              <w:rPr>
                <w:rFonts w:ascii="Times New Roman" w:hAnsi="Times New Roman"/>
                <w:i/>
              </w:rPr>
              <w:t xml:space="preserve">Z obdobných dôvodov vyníma návrh zákona z pôsobnosti i zmluvných partnerov Exportno-importnej banky Slovenskej republiky. Pri financovaní dovozných a vývozných úverov touto inštitúciou vzniká obdobná situácia, ako je popísaná v prípade klientov Slovenskej záručnej a rozvojovej banky, a. s. . Klienti, resp. žiadatelia o tieto úvery sú predovšetkým malí a strední podnikatelia, ktorých náklady na zápis do registra, dosahujú často až 50% - 100%  sumy poistného, V  dôsledku  toho  sa znižuje atraktívnosť poistenia pohľadávok vývozcu proti komerčným a politickým rizikám, v dôsledku čoho môžu vývozcovia prípadne upustiť od samotného poistenia a tým následne ohrozovať ich exportné i podnikateľské aktivity, pretože by sa tým vystavili neprimeranému podnikateľskému riziku. Taktiež je  </w:t>
            </w:r>
            <w:r w:rsidRPr="001F463D">
              <w:rPr>
                <w:rFonts w:ascii="Times New Roman" w:hAnsi="Times New Roman"/>
                <w:i/>
              </w:rPr>
              <w:lastRenderedPageBreak/>
              <w:t xml:space="preserve">potrebné uviesť, že klientami Exportno-importnej banky Slovenskej republiky sú okrem podnikateľov aj finančné inštitúcie (banky, zaisťovne) a zahraničné subjekty, pre ktoré registrácia v registri predstavuje neprimeranú a v prípade zahraničných subjektov aj ťažko realizovateľnú požiadavku, čo môže mať negatívny vplyv na samotné fungovanie Exportno-importnej banky Slovenskej republiky, najmä v prípade, ak uzavretie záväzkového vzťahu (napríklad so zahraničnou zaisťovňou) je prioritne v záujme Exportno-importnej banky Slovenskej republiky a nie v záujme subjektu, ktorý má registračnú povinnosť. </w:t>
            </w:r>
          </w:p>
          <w:p w:rsidR="001F463D" w:rsidRPr="001F463D" w:rsidRDefault="001F463D" w:rsidP="004A447A">
            <w:pPr>
              <w:jc w:val="both"/>
              <w:rPr>
                <w:rFonts w:ascii="Times New Roman" w:hAnsi="Times New Roman"/>
                <w:i/>
              </w:rPr>
            </w:pPr>
          </w:p>
          <w:p w:rsidR="001F463D" w:rsidRPr="001F463D" w:rsidRDefault="001F463D" w:rsidP="004A447A">
            <w:pPr>
              <w:jc w:val="both"/>
              <w:rPr>
                <w:rFonts w:ascii="Times New Roman" w:hAnsi="Times New Roman"/>
                <w:i/>
              </w:rPr>
            </w:pPr>
            <w:r w:rsidRPr="001F463D">
              <w:rPr>
                <w:rFonts w:ascii="Times New Roman" w:hAnsi="Times New Roman"/>
                <w:i/>
              </w:rPr>
              <w:t xml:space="preserve">K pozitívnym vplyvom na konkurenčné prostredie dochádza odstránením nie úplne vyhovujúcej právnej úpravy, ktorá v prípade bánk umožňovala, aby oprávnenou osobu bola aj pobočka zahraničnej banky so sídlom na území Slovenskej republiky, pričom v prípade ostatných oprávnených osôb sa táto možnosť nepripustila, i keď je zrejmé, že napríklad advokáciu môže na území Slovenskej republiky vykonávať aj cudzia advokátska kancelária tým, že na tu umiestni svoju organizačnú zložku. Navrhovaná právna úprava má za cieľ odstrániť disproporciu platnej právnu úpravy a znevýhodnenie uvedených subjektov na trhu tak, že sa umožní vykonávanie činnosti oprávnenej osoby aj zahraničným oprávnených osobám, ak vykonávajú činnosť na území Slovenskej republiky prostredníctvom organizačnej zložky. V tejto súvislosti je potrebné uviesť, že o organizačnej zložke možno hovoriť len v prípade advokátov, bánk, daňových poradcov a audítorov; notári organizačné zložky nevytvárajú. </w:t>
            </w:r>
          </w:p>
          <w:p w:rsidR="001F463D" w:rsidRPr="001F463D" w:rsidRDefault="001F463D" w:rsidP="004A447A">
            <w:pPr>
              <w:jc w:val="both"/>
              <w:rPr>
                <w:rFonts w:ascii="Times New Roman" w:hAnsi="Times New Roman"/>
                <w:i/>
                <w:sz w:val="24"/>
              </w:rPr>
            </w:pPr>
          </w:p>
          <w:p w:rsidR="001F463D" w:rsidRPr="001F463D" w:rsidRDefault="001F463D" w:rsidP="004A447A">
            <w:pPr>
              <w:rPr>
                <w:rFonts w:ascii="Times New Roman" w:hAnsi="Times New Roman"/>
                <w:i/>
              </w:rPr>
            </w:pPr>
          </w:p>
        </w:tc>
      </w:tr>
      <w:tr w:rsidR="001F463D" w:rsidRPr="001F463D" w:rsidTr="004A447A">
        <w:tc>
          <w:tcPr>
            <w:tcW w:w="9212" w:type="dxa"/>
            <w:shd w:val="clear" w:color="auto" w:fill="D9D9D9" w:themeFill="background1" w:themeFillShade="D9"/>
          </w:tcPr>
          <w:p w:rsidR="001F463D" w:rsidRPr="001F463D" w:rsidRDefault="001F463D" w:rsidP="004A447A">
            <w:pPr>
              <w:rPr>
                <w:rFonts w:ascii="Times New Roman" w:hAnsi="Times New Roman"/>
                <w:b/>
                <w:sz w:val="24"/>
              </w:rPr>
            </w:pPr>
            <w:r w:rsidRPr="001F463D">
              <w:rPr>
                <w:rFonts w:ascii="Times New Roman" w:hAnsi="Times New Roman"/>
                <w:b/>
                <w:sz w:val="24"/>
              </w:rPr>
              <w:lastRenderedPageBreak/>
              <w:t xml:space="preserve">3.5 Inovácie </w:t>
            </w:r>
          </w:p>
          <w:p w:rsidR="001F463D" w:rsidRPr="001F463D" w:rsidRDefault="001F463D" w:rsidP="004A447A">
            <w:pPr>
              <w:rPr>
                <w:rFonts w:ascii="Times New Roman" w:hAnsi="Times New Roman"/>
                <w:b/>
              </w:rPr>
            </w:pPr>
            <w:r w:rsidRPr="001F463D">
              <w:rPr>
                <w:rFonts w:ascii="Times New Roman" w:hAnsi="Times New Roman"/>
                <w:sz w:val="24"/>
              </w:rPr>
              <w:t xml:space="preserve">       - </w:t>
            </w:r>
            <w:r w:rsidRPr="001F463D">
              <w:rPr>
                <w:rFonts w:ascii="Times New Roman" w:hAnsi="Times New Roman"/>
                <w:b/>
                <w:sz w:val="24"/>
              </w:rPr>
              <w:t>z toho MSP</w:t>
            </w:r>
          </w:p>
        </w:tc>
      </w:tr>
      <w:tr w:rsidR="001F463D" w:rsidRPr="001F463D" w:rsidTr="004A447A">
        <w:tc>
          <w:tcPr>
            <w:tcW w:w="9212" w:type="dxa"/>
          </w:tcPr>
          <w:p w:rsidR="001F463D" w:rsidRPr="001F463D" w:rsidRDefault="001F463D" w:rsidP="004A447A">
            <w:pPr>
              <w:rPr>
                <w:rFonts w:ascii="Times New Roman" w:hAnsi="Times New Roman"/>
                <w:i/>
              </w:rPr>
            </w:pPr>
            <w:r w:rsidRPr="001F463D">
              <w:rPr>
                <w:rFonts w:ascii="Times New Roman" w:hAnsi="Times New Roman"/>
                <w:i/>
              </w:rPr>
              <w:t>Uveďte, ako podporuje navrhovaná zmena inovácie.</w:t>
            </w:r>
          </w:p>
          <w:p w:rsidR="001F463D" w:rsidRPr="001F463D" w:rsidRDefault="001F463D" w:rsidP="004A447A">
            <w:pPr>
              <w:rPr>
                <w:rFonts w:ascii="Times New Roman" w:hAnsi="Times New Roman"/>
                <w:i/>
              </w:rPr>
            </w:pPr>
            <w:r w:rsidRPr="001F463D">
              <w:rPr>
                <w:rFonts w:ascii="Times New Roman" w:hAnsi="Times New Roman"/>
                <w:i/>
              </w:rPr>
              <w:t>Zjednodušuje uvedenie alebo rozšírenie nových výrobných metód, technológií a výrobkov na trh?</w:t>
            </w:r>
          </w:p>
          <w:p w:rsidR="001F463D" w:rsidRPr="001F463D" w:rsidRDefault="001F463D" w:rsidP="004A447A">
            <w:pPr>
              <w:rPr>
                <w:rFonts w:ascii="Times New Roman" w:hAnsi="Times New Roman"/>
                <w:i/>
              </w:rPr>
            </w:pPr>
            <w:r w:rsidRPr="001F463D">
              <w:rPr>
                <w:rFonts w:ascii="Times New Roman" w:hAnsi="Times New Roman"/>
                <w:i/>
              </w:rPr>
              <w:t>Uveďte, ako vplýva navrhovaná zmena na jednotlivé práva duševného vlastníctva (napr. patenty, ochranné známky, autorské práva, vlastníctvo know-how).</w:t>
            </w:r>
          </w:p>
          <w:p w:rsidR="001F463D" w:rsidRPr="001F463D" w:rsidRDefault="001F463D" w:rsidP="004A447A">
            <w:pPr>
              <w:rPr>
                <w:rFonts w:ascii="Times New Roman" w:hAnsi="Times New Roman"/>
                <w:i/>
              </w:rPr>
            </w:pPr>
            <w:r w:rsidRPr="001F463D">
              <w:rPr>
                <w:rFonts w:ascii="Times New Roman" w:hAnsi="Times New Roman"/>
                <w:i/>
              </w:rPr>
              <w:t>Podporuje vyššiu efektivitu výroby/využívania zdrojov? Ak áno, ako?</w:t>
            </w:r>
          </w:p>
          <w:p w:rsidR="001F463D" w:rsidRPr="001F463D" w:rsidRDefault="001F463D" w:rsidP="004A447A">
            <w:pPr>
              <w:rPr>
                <w:rFonts w:ascii="Times New Roman" w:hAnsi="Times New Roman"/>
              </w:rPr>
            </w:pPr>
            <w:r w:rsidRPr="001F463D">
              <w:rPr>
                <w:rFonts w:ascii="Times New Roman" w:hAnsi="Times New Roman"/>
                <w:i/>
              </w:rPr>
              <w:t>Vytvorí zmena nové pracovné miesta pre zamestnancov výskumu a vývoja v SR?</w:t>
            </w:r>
          </w:p>
        </w:tc>
      </w:tr>
      <w:tr w:rsidR="001F463D" w:rsidRPr="001F463D" w:rsidTr="004A447A">
        <w:trPr>
          <w:trHeight w:val="1747"/>
        </w:trPr>
        <w:tc>
          <w:tcPr>
            <w:tcW w:w="9212" w:type="dxa"/>
          </w:tcPr>
          <w:p w:rsidR="001F463D" w:rsidRPr="001F463D" w:rsidRDefault="001F463D" w:rsidP="004A447A">
            <w:pPr>
              <w:rPr>
                <w:rFonts w:ascii="Times New Roman" w:hAnsi="Times New Roman"/>
                <w:i/>
              </w:rPr>
            </w:pPr>
            <w:r w:rsidRPr="001F463D">
              <w:rPr>
                <w:rFonts w:ascii="Times New Roman" w:hAnsi="Times New Roman"/>
                <w:i/>
              </w:rPr>
              <w:t xml:space="preserve">Návrh zákona nezakladá vplyvy v sledovanej oblasti. </w:t>
            </w:r>
          </w:p>
        </w:tc>
      </w:tr>
    </w:tbl>
    <w:p w:rsidR="001F463D" w:rsidRPr="001F463D" w:rsidRDefault="001F463D" w:rsidP="001F463D">
      <w:pPr>
        <w:rPr>
          <w:rFonts w:ascii="Times New Roman" w:hAnsi="Times New Roman"/>
        </w:rPr>
      </w:pPr>
    </w:p>
    <w:p w:rsidR="001F463D" w:rsidRPr="001F463D" w:rsidRDefault="001F463D" w:rsidP="001F463D">
      <w:pPr>
        <w:rPr>
          <w:rFonts w:ascii="Times New Roman" w:hAnsi="Times New Roman"/>
        </w:rPr>
      </w:pPr>
    </w:p>
    <w:p w:rsidR="001F463D" w:rsidRDefault="001F463D" w:rsidP="001F463D">
      <w:pPr>
        <w:rPr>
          <w:rFonts w:ascii="Times New Roman" w:hAnsi="Times New Roman"/>
        </w:rPr>
      </w:pPr>
    </w:p>
    <w:p w:rsidR="001F463D" w:rsidRDefault="001F463D" w:rsidP="001F463D">
      <w:pPr>
        <w:rPr>
          <w:rFonts w:ascii="Times New Roman" w:hAnsi="Times New Roman"/>
        </w:rPr>
      </w:pPr>
    </w:p>
    <w:p w:rsidR="001F463D" w:rsidRDefault="001F463D" w:rsidP="001F463D">
      <w:pPr>
        <w:rPr>
          <w:rFonts w:ascii="Times New Roman" w:hAnsi="Times New Roman"/>
        </w:rPr>
      </w:pPr>
    </w:p>
    <w:p w:rsidR="001F463D" w:rsidRPr="001F463D" w:rsidRDefault="001F463D" w:rsidP="001F463D">
      <w:pPr>
        <w:rPr>
          <w:rFonts w:ascii="Times New Roman" w:hAnsi="Times New Roman"/>
        </w:rPr>
      </w:pPr>
    </w:p>
    <w:p w:rsidR="001F463D" w:rsidRPr="001F463D" w:rsidRDefault="001F463D" w:rsidP="001F463D">
      <w:pPr>
        <w:rPr>
          <w:rFonts w:ascii="Times New Roman" w:hAnsi="Times New Roman"/>
        </w:rPr>
      </w:pPr>
    </w:p>
    <w:p w:rsidR="001F463D" w:rsidRPr="001F463D" w:rsidRDefault="001F463D" w:rsidP="001F463D">
      <w:pPr>
        <w:rPr>
          <w:rFonts w:ascii="Times New Roman" w:hAnsi="Times New Roman"/>
        </w:rPr>
      </w:pPr>
    </w:p>
    <w:p w:rsidR="001F463D" w:rsidRPr="001F463D" w:rsidRDefault="001F463D" w:rsidP="001F463D">
      <w:pPr>
        <w:rPr>
          <w:rFonts w:ascii="Times New Roman" w:hAnsi="Times New Roman"/>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1F463D" w:rsidRPr="001F463D" w:rsidTr="004A447A">
        <w:trPr>
          <w:trHeight w:val="20"/>
        </w:trPr>
        <w:tc>
          <w:tcPr>
            <w:tcW w:w="9371" w:type="dxa"/>
            <w:gridSpan w:val="6"/>
            <w:shd w:val="clear" w:color="auto" w:fill="BFBFBF"/>
            <w:vAlign w:val="center"/>
          </w:tcPr>
          <w:p w:rsidR="001F463D" w:rsidRPr="001F463D" w:rsidRDefault="001F463D" w:rsidP="004A447A">
            <w:pPr>
              <w:jc w:val="center"/>
              <w:rPr>
                <w:rFonts w:ascii="Times New Roman" w:hAnsi="Times New Roman"/>
                <w:b/>
                <w:bCs/>
                <w:sz w:val="20"/>
                <w:szCs w:val="20"/>
              </w:rPr>
            </w:pPr>
            <w:r w:rsidRPr="001F463D">
              <w:rPr>
                <w:rFonts w:ascii="Times New Roman" w:hAnsi="Times New Roman"/>
                <w:b/>
                <w:bCs/>
                <w:sz w:val="20"/>
                <w:szCs w:val="20"/>
              </w:rPr>
              <w:lastRenderedPageBreak/>
              <w:t>Analýza vplyvov na informatizáciu spoločnosti</w:t>
            </w:r>
          </w:p>
          <w:p w:rsidR="001F463D" w:rsidRPr="001F463D" w:rsidRDefault="001F463D" w:rsidP="004A447A">
            <w:pPr>
              <w:jc w:val="center"/>
              <w:rPr>
                <w:rFonts w:ascii="Times New Roman" w:hAnsi="Times New Roman"/>
                <w:b/>
                <w:i/>
                <w:iCs/>
                <w:sz w:val="20"/>
                <w:szCs w:val="20"/>
              </w:rPr>
            </w:pPr>
            <w:r w:rsidRPr="001F463D">
              <w:rPr>
                <w:rFonts w:ascii="Times New Roman" w:hAnsi="Times New Roman"/>
                <w:b/>
                <w:sz w:val="20"/>
                <w:szCs w:val="20"/>
              </w:rPr>
              <w:t>Budovanie základných pilierov informatizácie</w:t>
            </w:r>
          </w:p>
        </w:tc>
      </w:tr>
      <w:tr w:rsidR="001F463D" w:rsidRPr="001F463D" w:rsidTr="004A447A">
        <w:trPr>
          <w:trHeight w:val="681"/>
        </w:trPr>
        <w:tc>
          <w:tcPr>
            <w:tcW w:w="3956" w:type="dxa"/>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Obsah</w:t>
            </w:r>
          </w:p>
        </w:tc>
        <w:tc>
          <w:tcPr>
            <w:tcW w:w="1162" w:type="dxa"/>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A – nová služba</w:t>
            </w:r>
          </w:p>
          <w:p w:rsidR="001F463D" w:rsidRPr="001F463D" w:rsidRDefault="001F463D" w:rsidP="004A447A">
            <w:pPr>
              <w:jc w:val="center"/>
              <w:rPr>
                <w:rFonts w:ascii="Times New Roman" w:hAnsi="Times New Roman"/>
                <w:i/>
                <w:iCs/>
                <w:sz w:val="20"/>
                <w:szCs w:val="20"/>
              </w:rPr>
            </w:pPr>
            <w:r w:rsidRPr="001F463D">
              <w:rPr>
                <w:rFonts w:ascii="Times New Roman" w:hAnsi="Times New Roman"/>
                <w:b/>
                <w:sz w:val="20"/>
                <w:szCs w:val="20"/>
              </w:rPr>
              <w:t>B – zmena služby</w:t>
            </w:r>
          </w:p>
        </w:tc>
        <w:tc>
          <w:tcPr>
            <w:tcW w:w="1560" w:type="dxa"/>
            <w:shd w:val="clear" w:color="auto" w:fill="C0C0C0"/>
            <w:vAlign w:val="center"/>
          </w:tcPr>
          <w:p w:rsidR="001F463D" w:rsidRPr="001F463D" w:rsidRDefault="001F463D" w:rsidP="004A447A">
            <w:pPr>
              <w:jc w:val="center"/>
              <w:rPr>
                <w:rFonts w:ascii="Times New Roman" w:hAnsi="Times New Roman"/>
                <w:i/>
                <w:iCs/>
                <w:sz w:val="20"/>
                <w:szCs w:val="20"/>
              </w:rPr>
            </w:pPr>
          </w:p>
          <w:p w:rsidR="001F463D" w:rsidRPr="001F463D" w:rsidRDefault="001F463D" w:rsidP="004A447A">
            <w:pPr>
              <w:jc w:val="center"/>
              <w:rPr>
                <w:rFonts w:ascii="Times New Roman" w:hAnsi="Times New Roman"/>
                <w:sz w:val="20"/>
                <w:szCs w:val="20"/>
              </w:rPr>
            </w:pPr>
            <w:r w:rsidRPr="001F463D">
              <w:rPr>
                <w:rFonts w:ascii="Times New Roman" w:hAnsi="Times New Roman"/>
                <w:b/>
                <w:sz w:val="20"/>
                <w:szCs w:val="20"/>
              </w:rPr>
              <w:t>Kód služby</w:t>
            </w:r>
          </w:p>
        </w:tc>
        <w:tc>
          <w:tcPr>
            <w:tcW w:w="1701" w:type="dxa"/>
            <w:gridSpan w:val="2"/>
            <w:shd w:val="clear" w:color="auto" w:fill="C0C0C0"/>
            <w:vAlign w:val="center"/>
          </w:tcPr>
          <w:p w:rsidR="001F463D" w:rsidRPr="001F463D" w:rsidRDefault="001F463D" w:rsidP="004A447A">
            <w:pPr>
              <w:jc w:val="center"/>
              <w:rPr>
                <w:rFonts w:ascii="Times New Roman" w:hAnsi="Times New Roman"/>
                <w:b/>
                <w:sz w:val="20"/>
                <w:szCs w:val="20"/>
              </w:rPr>
            </w:pPr>
          </w:p>
          <w:p w:rsidR="001F463D" w:rsidRPr="001F463D" w:rsidRDefault="001F463D" w:rsidP="004A447A">
            <w:pPr>
              <w:jc w:val="center"/>
              <w:rPr>
                <w:rFonts w:ascii="Times New Roman" w:hAnsi="Times New Roman"/>
                <w:i/>
                <w:iCs/>
                <w:sz w:val="20"/>
                <w:szCs w:val="20"/>
              </w:rPr>
            </w:pPr>
            <w:r w:rsidRPr="001F463D">
              <w:rPr>
                <w:rFonts w:ascii="Times New Roman" w:hAnsi="Times New Roman"/>
                <w:b/>
                <w:sz w:val="20"/>
                <w:szCs w:val="20"/>
              </w:rPr>
              <w:t>Názov služby</w:t>
            </w:r>
          </w:p>
        </w:tc>
        <w:tc>
          <w:tcPr>
            <w:tcW w:w="992" w:type="dxa"/>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Úroveň elektronizácie služby</w:t>
            </w:r>
          </w:p>
          <w:p w:rsidR="001F463D" w:rsidRPr="001F463D" w:rsidRDefault="001F463D" w:rsidP="004A447A">
            <w:pPr>
              <w:jc w:val="center"/>
              <w:rPr>
                <w:rFonts w:ascii="Times New Roman" w:hAnsi="Times New Roman"/>
                <w:i/>
                <w:iCs/>
                <w:sz w:val="20"/>
                <w:szCs w:val="20"/>
              </w:rPr>
            </w:pPr>
            <w:r w:rsidRPr="001F463D">
              <w:rPr>
                <w:rFonts w:ascii="Times New Roman" w:hAnsi="Times New Roman"/>
                <w:b/>
                <w:sz w:val="20"/>
                <w:szCs w:val="20"/>
              </w:rPr>
              <w:t>(0 až 5)</w:t>
            </w:r>
          </w:p>
        </w:tc>
      </w:tr>
      <w:tr w:rsidR="001F463D" w:rsidRPr="001F463D" w:rsidTr="004A447A">
        <w:trPr>
          <w:trHeight w:val="20"/>
        </w:trPr>
        <w:tc>
          <w:tcPr>
            <w:tcW w:w="3956" w:type="dxa"/>
          </w:tcPr>
          <w:p w:rsidR="001F463D" w:rsidRPr="001F463D" w:rsidRDefault="001F463D" w:rsidP="004A447A">
            <w:pPr>
              <w:jc w:val="both"/>
              <w:rPr>
                <w:rFonts w:ascii="Times New Roman" w:hAnsi="Times New Roman"/>
                <w:sz w:val="20"/>
                <w:szCs w:val="20"/>
              </w:rPr>
            </w:pPr>
            <w:r w:rsidRPr="001F463D">
              <w:rPr>
                <w:rFonts w:ascii="Times New Roman" w:hAnsi="Times New Roman"/>
                <w:b/>
                <w:sz w:val="20"/>
                <w:szCs w:val="20"/>
              </w:rPr>
              <w:t>6.1.</w:t>
            </w:r>
            <w:r w:rsidRPr="001F463D">
              <w:rPr>
                <w:rFonts w:ascii="Times New Roman" w:hAnsi="Times New Roman"/>
                <w:sz w:val="20"/>
                <w:szCs w:val="20"/>
              </w:rPr>
              <w:t xml:space="preserve"> Predpokladá predložený návrh zmenu existujúcich elektronických služieb verejnej správy alebo vytvorenie nových služieb?</w:t>
            </w:r>
          </w:p>
          <w:p w:rsidR="001F463D" w:rsidRPr="001F463D" w:rsidRDefault="001F463D" w:rsidP="004A447A">
            <w:pPr>
              <w:spacing w:line="20" w:lineRule="atLeast"/>
              <w:jc w:val="both"/>
              <w:rPr>
                <w:rFonts w:ascii="Times New Roman" w:hAnsi="Times New Roman"/>
                <w:b/>
                <w:sz w:val="20"/>
                <w:szCs w:val="20"/>
              </w:rPr>
            </w:pPr>
            <w:r w:rsidRPr="001F463D">
              <w:rPr>
                <w:rFonts w:ascii="Times New Roman" w:hAnsi="Times New Roman"/>
                <w:i/>
                <w:iCs/>
                <w:sz w:val="20"/>
                <w:szCs w:val="20"/>
              </w:rPr>
              <w:t xml:space="preserve">(Ak áno, uveďte zmenu služby alebo vytvorenie novej služby, ďalej  jej kód, názov a úroveň elektronizácie podľa katalógu </w:t>
            </w:r>
            <w:proofErr w:type="spellStart"/>
            <w:r w:rsidRPr="001F463D">
              <w:rPr>
                <w:rFonts w:ascii="Times New Roman" w:hAnsi="Times New Roman"/>
                <w:i/>
                <w:iCs/>
                <w:sz w:val="20"/>
                <w:szCs w:val="20"/>
              </w:rPr>
              <w:t>eGovernment</w:t>
            </w:r>
            <w:proofErr w:type="spellEnd"/>
            <w:r w:rsidRPr="001F463D">
              <w:rPr>
                <w:rFonts w:ascii="Times New Roman" w:hAnsi="Times New Roman"/>
                <w:i/>
                <w:iCs/>
                <w:sz w:val="20"/>
                <w:szCs w:val="20"/>
              </w:rPr>
              <w:t xml:space="preserve"> služieb, ktorý je vedený v centrálnom </w:t>
            </w:r>
            <w:proofErr w:type="spellStart"/>
            <w:r w:rsidRPr="001F463D">
              <w:rPr>
                <w:rFonts w:ascii="Times New Roman" w:hAnsi="Times New Roman"/>
                <w:i/>
                <w:iCs/>
                <w:sz w:val="20"/>
                <w:szCs w:val="20"/>
              </w:rPr>
              <w:t>metainformačnom</w:t>
            </w:r>
            <w:proofErr w:type="spellEnd"/>
            <w:r w:rsidRPr="001F463D">
              <w:rPr>
                <w:rFonts w:ascii="Times New Roman" w:hAnsi="Times New Roman"/>
                <w:i/>
                <w:iCs/>
                <w:sz w:val="20"/>
                <w:szCs w:val="20"/>
              </w:rPr>
              <w:t xml:space="preserve"> systéme verejnej správy.)</w:t>
            </w:r>
            <w:r w:rsidRPr="001F463D">
              <w:rPr>
                <w:rFonts w:ascii="Times New Roman" w:hAnsi="Times New Roman"/>
                <w:sz w:val="20"/>
                <w:szCs w:val="20"/>
              </w:rPr>
              <w:t xml:space="preserve"> </w:t>
            </w:r>
          </w:p>
        </w:tc>
        <w:tc>
          <w:tcPr>
            <w:tcW w:w="1162" w:type="dxa"/>
            <w:vAlign w:val="center"/>
          </w:tcPr>
          <w:p w:rsidR="001F463D" w:rsidRPr="001F463D" w:rsidRDefault="001F463D" w:rsidP="004A447A">
            <w:pPr>
              <w:jc w:val="center"/>
              <w:rPr>
                <w:rFonts w:ascii="Times New Roman" w:hAnsi="Times New Roman"/>
                <w:i/>
                <w:sz w:val="20"/>
                <w:szCs w:val="20"/>
              </w:rPr>
            </w:pPr>
            <w:r w:rsidRPr="001F463D">
              <w:rPr>
                <w:rFonts w:ascii="Times New Roman" w:hAnsi="Times New Roman"/>
                <w:i/>
                <w:sz w:val="20"/>
                <w:szCs w:val="20"/>
              </w:rPr>
              <w:t>B</w:t>
            </w:r>
          </w:p>
        </w:tc>
        <w:tc>
          <w:tcPr>
            <w:tcW w:w="1560" w:type="dxa"/>
            <w:vAlign w:val="center"/>
          </w:tcPr>
          <w:p w:rsidR="001F463D" w:rsidRPr="001F463D" w:rsidRDefault="001F463D" w:rsidP="004A447A">
            <w:pPr>
              <w:jc w:val="center"/>
              <w:rPr>
                <w:rFonts w:ascii="Times New Roman" w:hAnsi="Times New Roman"/>
                <w:i/>
                <w:sz w:val="20"/>
                <w:szCs w:val="20"/>
              </w:rPr>
            </w:pPr>
            <w:r w:rsidRPr="001F463D">
              <w:rPr>
                <w:rFonts w:ascii="Times New Roman" w:hAnsi="Times New Roman"/>
                <w:i/>
                <w:sz w:val="20"/>
                <w:szCs w:val="20"/>
              </w:rPr>
              <w:t>as_53017</w:t>
            </w:r>
          </w:p>
        </w:tc>
        <w:tc>
          <w:tcPr>
            <w:tcW w:w="1701" w:type="dxa"/>
            <w:gridSpan w:val="2"/>
            <w:vAlign w:val="center"/>
          </w:tcPr>
          <w:p w:rsidR="001F463D" w:rsidRPr="001F463D" w:rsidRDefault="001F463D" w:rsidP="004A447A">
            <w:pPr>
              <w:jc w:val="center"/>
              <w:rPr>
                <w:rFonts w:ascii="Times New Roman" w:hAnsi="Times New Roman"/>
                <w:i/>
                <w:sz w:val="20"/>
                <w:szCs w:val="20"/>
              </w:rPr>
            </w:pPr>
            <w:r w:rsidRPr="001F463D">
              <w:rPr>
                <w:rFonts w:ascii="Times New Roman" w:hAnsi="Times New Roman"/>
                <w:i/>
                <w:sz w:val="20"/>
                <w:szCs w:val="20"/>
              </w:rPr>
              <w:t>Podanie návrhu registra partnerov verejného sektora</w:t>
            </w:r>
          </w:p>
        </w:tc>
        <w:tc>
          <w:tcPr>
            <w:tcW w:w="992" w:type="dxa"/>
            <w:vAlign w:val="center"/>
          </w:tcPr>
          <w:p w:rsidR="001F463D" w:rsidRPr="001F463D" w:rsidRDefault="001F463D" w:rsidP="004A447A">
            <w:pPr>
              <w:jc w:val="center"/>
              <w:rPr>
                <w:rFonts w:ascii="Times New Roman" w:hAnsi="Times New Roman"/>
                <w:i/>
                <w:sz w:val="20"/>
                <w:szCs w:val="20"/>
              </w:rPr>
            </w:pPr>
            <w:r w:rsidRPr="001F463D">
              <w:rPr>
                <w:rFonts w:ascii="Times New Roman" w:hAnsi="Times New Roman"/>
                <w:i/>
                <w:sz w:val="20"/>
                <w:szCs w:val="20"/>
              </w:rPr>
              <w:t>4</w:t>
            </w:r>
          </w:p>
        </w:tc>
      </w:tr>
      <w:tr w:rsidR="001F463D" w:rsidRPr="001F463D" w:rsidTr="004A447A">
        <w:trPr>
          <w:trHeight w:val="20"/>
        </w:trPr>
        <w:tc>
          <w:tcPr>
            <w:tcW w:w="3956" w:type="dxa"/>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Infraštruktúra</w:t>
            </w:r>
          </w:p>
        </w:tc>
        <w:tc>
          <w:tcPr>
            <w:tcW w:w="1162" w:type="dxa"/>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A – nový systém</w:t>
            </w:r>
          </w:p>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B – zmena systému</w:t>
            </w:r>
          </w:p>
        </w:tc>
        <w:tc>
          <w:tcPr>
            <w:tcW w:w="1560" w:type="dxa"/>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Kód systému</w:t>
            </w:r>
          </w:p>
        </w:tc>
        <w:tc>
          <w:tcPr>
            <w:tcW w:w="2693" w:type="dxa"/>
            <w:gridSpan w:val="3"/>
            <w:shd w:val="clear" w:color="auto" w:fill="C0C0C0"/>
            <w:vAlign w:val="center"/>
          </w:tcPr>
          <w:p w:rsidR="001F463D" w:rsidRPr="001F463D" w:rsidRDefault="001F463D" w:rsidP="004A447A">
            <w:pPr>
              <w:jc w:val="center"/>
              <w:rPr>
                <w:rFonts w:ascii="Times New Roman" w:hAnsi="Times New Roman"/>
                <w:b/>
                <w:sz w:val="20"/>
                <w:szCs w:val="20"/>
              </w:rPr>
            </w:pPr>
            <w:r w:rsidRPr="001F463D">
              <w:rPr>
                <w:rFonts w:ascii="Times New Roman" w:hAnsi="Times New Roman"/>
                <w:b/>
                <w:sz w:val="20"/>
                <w:szCs w:val="20"/>
              </w:rPr>
              <w:t>Názov systému</w:t>
            </w:r>
          </w:p>
        </w:tc>
      </w:tr>
      <w:tr w:rsidR="001F463D" w:rsidRPr="001F463D" w:rsidTr="004A447A">
        <w:trPr>
          <w:trHeight w:val="20"/>
        </w:trPr>
        <w:tc>
          <w:tcPr>
            <w:tcW w:w="3956" w:type="dxa"/>
          </w:tcPr>
          <w:p w:rsidR="001F463D" w:rsidRPr="001F463D" w:rsidRDefault="001F463D" w:rsidP="004A447A">
            <w:pPr>
              <w:jc w:val="both"/>
              <w:rPr>
                <w:rFonts w:ascii="Times New Roman" w:hAnsi="Times New Roman"/>
                <w:sz w:val="20"/>
                <w:szCs w:val="20"/>
              </w:rPr>
            </w:pPr>
            <w:r w:rsidRPr="001F463D">
              <w:rPr>
                <w:rFonts w:ascii="Times New Roman" w:hAnsi="Times New Roman"/>
                <w:b/>
                <w:sz w:val="20"/>
                <w:szCs w:val="20"/>
              </w:rPr>
              <w:t>6.2.</w:t>
            </w:r>
            <w:r w:rsidRPr="001F463D">
              <w:rPr>
                <w:rFonts w:ascii="Times New Roman" w:hAnsi="Times New Roman"/>
                <w:sz w:val="20"/>
                <w:szCs w:val="20"/>
              </w:rPr>
              <w:t xml:space="preserve"> Predpokladá predložený návrh zmenu existujúceho alebo vytvorenie nového informačného systému verejnej správy?</w:t>
            </w:r>
          </w:p>
          <w:p w:rsidR="001F463D" w:rsidRPr="001F463D" w:rsidRDefault="001F463D" w:rsidP="004A447A">
            <w:pPr>
              <w:spacing w:line="20" w:lineRule="atLeast"/>
              <w:jc w:val="both"/>
              <w:rPr>
                <w:rFonts w:ascii="Times New Roman" w:hAnsi="Times New Roman"/>
                <w:sz w:val="20"/>
                <w:szCs w:val="20"/>
              </w:rPr>
            </w:pPr>
            <w:r w:rsidRPr="001F463D">
              <w:rPr>
                <w:rFonts w:ascii="Times New Roman" w:hAnsi="Times New Roman"/>
                <w:i/>
                <w:iCs/>
                <w:sz w:val="20"/>
                <w:szCs w:val="20"/>
              </w:rPr>
              <w:t xml:space="preserve">(Ak áno, uveďte zmenu systému alebo vytvorenie nového systému, ďalej jeho kód a názov z centrálneho </w:t>
            </w:r>
            <w:proofErr w:type="spellStart"/>
            <w:r w:rsidRPr="001F463D">
              <w:rPr>
                <w:rFonts w:ascii="Times New Roman" w:hAnsi="Times New Roman"/>
                <w:i/>
                <w:iCs/>
                <w:sz w:val="20"/>
                <w:szCs w:val="20"/>
              </w:rPr>
              <w:t>metainformačného</w:t>
            </w:r>
            <w:proofErr w:type="spellEnd"/>
            <w:r w:rsidRPr="001F463D">
              <w:rPr>
                <w:rFonts w:ascii="Times New Roman" w:hAnsi="Times New Roman"/>
                <w:i/>
                <w:iCs/>
                <w:sz w:val="20"/>
                <w:szCs w:val="20"/>
              </w:rPr>
              <w:t xml:space="preserve"> systému verejnej správy.)</w:t>
            </w:r>
          </w:p>
        </w:tc>
        <w:tc>
          <w:tcPr>
            <w:tcW w:w="1162" w:type="dxa"/>
            <w:vAlign w:val="center"/>
          </w:tcPr>
          <w:p w:rsidR="001F463D" w:rsidRPr="001F463D" w:rsidRDefault="001F463D" w:rsidP="004A447A">
            <w:pPr>
              <w:jc w:val="center"/>
              <w:rPr>
                <w:rFonts w:ascii="Times New Roman" w:hAnsi="Times New Roman"/>
                <w:i/>
                <w:iCs/>
                <w:sz w:val="20"/>
                <w:szCs w:val="20"/>
              </w:rPr>
            </w:pPr>
            <w:r w:rsidRPr="001F463D">
              <w:rPr>
                <w:rFonts w:ascii="Times New Roman" w:hAnsi="Times New Roman"/>
                <w:i/>
                <w:iCs/>
                <w:sz w:val="20"/>
                <w:szCs w:val="20"/>
              </w:rPr>
              <w:t>B</w:t>
            </w:r>
          </w:p>
        </w:tc>
        <w:tc>
          <w:tcPr>
            <w:tcW w:w="1560" w:type="dxa"/>
            <w:vAlign w:val="center"/>
          </w:tcPr>
          <w:p w:rsidR="001F463D" w:rsidRPr="001F463D" w:rsidRDefault="001F463D" w:rsidP="004A447A">
            <w:pPr>
              <w:jc w:val="center"/>
              <w:rPr>
                <w:rFonts w:ascii="Times New Roman" w:hAnsi="Times New Roman"/>
                <w:i/>
                <w:iCs/>
                <w:sz w:val="20"/>
                <w:szCs w:val="20"/>
              </w:rPr>
            </w:pPr>
            <w:r w:rsidRPr="001F463D">
              <w:rPr>
                <w:rFonts w:ascii="Times New Roman" w:hAnsi="Times New Roman"/>
                <w:i/>
                <w:iCs/>
                <w:sz w:val="20"/>
                <w:szCs w:val="20"/>
              </w:rPr>
              <w:t>isvs_6376</w:t>
            </w:r>
          </w:p>
        </w:tc>
        <w:tc>
          <w:tcPr>
            <w:tcW w:w="2693" w:type="dxa"/>
            <w:gridSpan w:val="3"/>
            <w:vAlign w:val="center"/>
          </w:tcPr>
          <w:p w:rsidR="001F463D" w:rsidRPr="001F463D" w:rsidRDefault="001F463D" w:rsidP="004A447A">
            <w:pPr>
              <w:jc w:val="center"/>
              <w:rPr>
                <w:rFonts w:ascii="Times New Roman" w:hAnsi="Times New Roman"/>
                <w:i/>
                <w:iCs/>
                <w:sz w:val="20"/>
                <w:szCs w:val="20"/>
              </w:rPr>
            </w:pPr>
            <w:r w:rsidRPr="001F463D">
              <w:rPr>
                <w:rFonts w:ascii="Times New Roman" w:hAnsi="Times New Roman"/>
                <w:i/>
                <w:iCs/>
                <w:sz w:val="20"/>
                <w:szCs w:val="20"/>
              </w:rPr>
              <w:t>Register partnerov verejného sektora</w:t>
            </w:r>
          </w:p>
        </w:tc>
      </w:tr>
      <w:tr w:rsidR="001F463D" w:rsidRPr="001F463D" w:rsidTr="004A447A">
        <w:trPr>
          <w:trHeight w:val="20"/>
        </w:trPr>
        <w:tc>
          <w:tcPr>
            <w:tcW w:w="3956" w:type="dxa"/>
            <w:shd w:val="clear" w:color="auto" w:fill="BFBFBF"/>
            <w:vAlign w:val="center"/>
          </w:tcPr>
          <w:p w:rsidR="001F463D" w:rsidRPr="001F463D" w:rsidRDefault="001F463D" w:rsidP="004A447A">
            <w:pPr>
              <w:spacing w:line="20" w:lineRule="atLeast"/>
              <w:ind w:hanging="55"/>
              <w:jc w:val="center"/>
              <w:rPr>
                <w:rFonts w:ascii="Times New Roman" w:hAnsi="Times New Roman"/>
                <w:b/>
                <w:sz w:val="20"/>
                <w:szCs w:val="20"/>
              </w:rPr>
            </w:pPr>
            <w:r w:rsidRPr="001F463D">
              <w:rPr>
                <w:rFonts w:ascii="Times New Roman" w:hAnsi="Times New Roman"/>
                <w:b/>
                <w:sz w:val="20"/>
                <w:szCs w:val="20"/>
              </w:rPr>
              <w:t>Financovanie procesu informatizácie</w:t>
            </w:r>
          </w:p>
        </w:tc>
        <w:tc>
          <w:tcPr>
            <w:tcW w:w="1162" w:type="dxa"/>
            <w:shd w:val="clear" w:color="auto" w:fill="BFBFBF"/>
            <w:vAlign w:val="center"/>
          </w:tcPr>
          <w:p w:rsidR="001F463D" w:rsidRPr="001F463D" w:rsidRDefault="001F463D" w:rsidP="004A447A">
            <w:pPr>
              <w:jc w:val="center"/>
              <w:rPr>
                <w:rFonts w:ascii="Times New Roman" w:hAnsi="Times New Roman"/>
                <w:b/>
                <w:i/>
                <w:iCs/>
                <w:sz w:val="20"/>
                <w:szCs w:val="20"/>
              </w:rPr>
            </w:pPr>
            <w:r w:rsidRPr="001F463D">
              <w:rPr>
                <w:rFonts w:ascii="Times New Roman" w:hAnsi="Times New Roman"/>
                <w:b/>
                <w:sz w:val="20"/>
                <w:szCs w:val="20"/>
              </w:rPr>
              <w:t>Rezortná úroveň</w:t>
            </w:r>
          </w:p>
        </w:tc>
        <w:tc>
          <w:tcPr>
            <w:tcW w:w="2268" w:type="dxa"/>
            <w:gridSpan w:val="2"/>
            <w:shd w:val="clear" w:color="auto" w:fill="BFBFBF"/>
            <w:vAlign w:val="center"/>
          </w:tcPr>
          <w:p w:rsidR="001F463D" w:rsidRPr="001F463D" w:rsidRDefault="001F463D" w:rsidP="004A447A">
            <w:pPr>
              <w:jc w:val="center"/>
              <w:rPr>
                <w:rFonts w:ascii="Times New Roman" w:hAnsi="Times New Roman"/>
                <w:b/>
                <w:i/>
                <w:iCs/>
                <w:sz w:val="20"/>
                <w:szCs w:val="20"/>
              </w:rPr>
            </w:pPr>
            <w:r w:rsidRPr="001F463D">
              <w:rPr>
                <w:rFonts w:ascii="Times New Roman" w:hAnsi="Times New Roman"/>
                <w:b/>
                <w:sz w:val="20"/>
                <w:szCs w:val="20"/>
              </w:rPr>
              <w:t>Nadrezortná úroveň</w:t>
            </w:r>
          </w:p>
          <w:p w:rsidR="001F463D" w:rsidRPr="001F463D" w:rsidRDefault="001F463D" w:rsidP="004A447A">
            <w:pPr>
              <w:jc w:val="center"/>
              <w:rPr>
                <w:rFonts w:ascii="Times New Roman" w:hAnsi="Times New Roman"/>
                <w:b/>
                <w:sz w:val="20"/>
                <w:szCs w:val="20"/>
              </w:rPr>
            </w:pPr>
          </w:p>
        </w:tc>
        <w:tc>
          <w:tcPr>
            <w:tcW w:w="1985" w:type="dxa"/>
            <w:gridSpan w:val="2"/>
            <w:shd w:val="clear" w:color="auto" w:fill="BFBFBF"/>
            <w:vAlign w:val="center"/>
          </w:tcPr>
          <w:p w:rsidR="001F463D" w:rsidRPr="001F463D" w:rsidRDefault="001F463D" w:rsidP="004A447A">
            <w:pPr>
              <w:rPr>
                <w:rFonts w:ascii="Times New Roman" w:hAnsi="Times New Roman"/>
                <w:b/>
                <w:sz w:val="20"/>
                <w:szCs w:val="20"/>
              </w:rPr>
            </w:pPr>
            <w:r w:rsidRPr="001F463D">
              <w:rPr>
                <w:rFonts w:ascii="Times New Roman" w:hAnsi="Times New Roman"/>
                <w:b/>
                <w:sz w:val="20"/>
                <w:szCs w:val="20"/>
              </w:rPr>
              <w:t>A - z prostriedkov EÚ   B - z ďalších zdrojov financovania</w:t>
            </w:r>
          </w:p>
        </w:tc>
      </w:tr>
      <w:tr w:rsidR="001F463D" w:rsidRPr="001F463D" w:rsidTr="004A447A">
        <w:trPr>
          <w:trHeight w:val="20"/>
        </w:trPr>
        <w:tc>
          <w:tcPr>
            <w:tcW w:w="3956" w:type="dxa"/>
          </w:tcPr>
          <w:p w:rsidR="001F463D" w:rsidRPr="001F463D" w:rsidRDefault="001F463D" w:rsidP="004A447A">
            <w:pPr>
              <w:jc w:val="both"/>
              <w:rPr>
                <w:rFonts w:ascii="Times New Roman" w:hAnsi="Times New Roman"/>
                <w:sz w:val="20"/>
                <w:szCs w:val="20"/>
              </w:rPr>
            </w:pPr>
            <w:r w:rsidRPr="001F463D">
              <w:rPr>
                <w:rFonts w:ascii="Times New Roman" w:hAnsi="Times New Roman"/>
                <w:b/>
                <w:sz w:val="20"/>
                <w:szCs w:val="20"/>
              </w:rPr>
              <w:t>6.3.</w:t>
            </w:r>
            <w:r w:rsidRPr="001F463D">
              <w:rPr>
                <w:rFonts w:ascii="Times New Roman" w:hAnsi="Times New Roman"/>
                <w:sz w:val="20"/>
                <w:szCs w:val="20"/>
              </w:rPr>
              <w:t xml:space="preserve"> Vyžaduje si proces informatizácie  finančné investície?</w:t>
            </w:r>
          </w:p>
          <w:p w:rsidR="001F463D" w:rsidRPr="001F463D" w:rsidRDefault="001F463D" w:rsidP="004A447A">
            <w:pPr>
              <w:spacing w:line="20" w:lineRule="atLeast"/>
              <w:jc w:val="both"/>
              <w:rPr>
                <w:rFonts w:ascii="Times New Roman" w:hAnsi="Times New Roman"/>
                <w:sz w:val="20"/>
                <w:szCs w:val="20"/>
              </w:rPr>
            </w:pPr>
            <w:r w:rsidRPr="001F463D">
              <w:rPr>
                <w:rFonts w:ascii="Times New Roman" w:hAnsi="Times New Roman"/>
                <w:i/>
                <w:iCs/>
                <w:sz w:val="20"/>
                <w:szCs w:val="20"/>
              </w:rPr>
              <w:t>(Uveďte príslušnú úroveň financovania a kvantifikáciu finančných výdavkov uveďte  v analýze vplyvov na rozpočet verejnej správy.)</w:t>
            </w:r>
          </w:p>
        </w:tc>
        <w:tc>
          <w:tcPr>
            <w:tcW w:w="1162" w:type="dxa"/>
            <w:vAlign w:val="center"/>
          </w:tcPr>
          <w:p w:rsidR="001F463D" w:rsidRPr="001F463D" w:rsidRDefault="001F463D" w:rsidP="004A447A">
            <w:pPr>
              <w:jc w:val="center"/>
              <w:rPr>
                <w:rFonts w:ascii="Times New Roman" w:hAnsi="Times New Roman"/>
                <w:i/>
                <w:iCs/>
                <w:sz w:val="20"/>
                <w:szCs w:val="20"/>
              </w:rPr>
            </w:pPr>
            <w:r w:rsidRPr="001F463D">
              <w:rPr>
                <w:rFonts w:ascii="Times New Roman" w:hAnsi="Times New Roman"/>
                <w:i/>
                <w:iCs/>
                <w:sz w:val="20"/>
                <w:szCs w:val="20"/>
              </w:rPr>
              <w:t>B</w:t>
            </w:r>
          </w:p>
        </w:tc>
        <w:tc>
          <w:tcPr>
            <w:tcW w:w="2268" w:type="dxa"/>
            <w:gridSpan w:val="2"/>
            <w:vAlign w:val="center"/>
          </w:tcPr>
          <w:p w:rsidR="001F463D" w:rsidRPr="001F463D" w:rsidRDefault="001F463D" w:rsidP="004A447A">
            <w:pPr>
              <w:jc w:val="center"/>
              <w:rPr>
                <w:rFonts w:ascii="Times New Roman" w:hAnsi="Times New Roman"/>
                <w:i/>
                <w:iCs/>
                <w:sz w:val="20"/>
                <w:szCs w:val="20"/>
              </w:rPr>
            </w:pPr>
          </w:p>
        </w:tc>
        <w:tc>
          <w:tcPr>
            <w:tcW w:w="1985" w:type="dxa"/>
            <w:gridSpan w:val="2"/>
            <w:vAlign w:val="center"/>
          </w:tcPr>
          <w:p w:rsidR="001F463D" w:rsidRPr="001F463D" w:rsidRDefault="001F463D" w:rsidP="004A447A">
            <w:pPr>
              <w:jc w:val="center"/>
              <w:rPr>
                <w:rFonts w:ascii="Times New Roman" w:hAnsi="Times New Roman"/>
                <w:i/>
                <w:iCs/>
                <w:sz w:val="20"/>
                <w:szCs w:val="20"/>
              </w:rPr>
            </w:pPr>
          </w:p>
        </w:tc>
      </w:tr>
    </w:tbl>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Default="001F463D" w:rsidP="001F463D">
      <w:pPr>
        <w:spacing w:after="0" w:line="240" w:lineRule="auto"/>
        <w:jc w:val="center"/>
        <w:rPr>
          <w:rFonts w:ascii="Times New Roman" w:hAnsi="Times New Roman"/>
        </w:rPr>
      </w:pPr>
    </w:p>
    <w:p w:rsidR="001F463D" w:rsidRPr="001F463D" w:rsidRDefault="001F463D" w:rsidP="001F463D">
      <w:pPr>
        <w:pStyle w:val="Zkladntext"/>
        <w:jc w:val="center"/>
        <w:rPr>
          <w:rFonts w:ascii="Times New Roman" w:hAnsi="Times New Roman"/>
          <w:bCs w:val="0"/>
          <w:spacing w:val="30"/>
          <w:sz w:val="24"/>
          <w:szCs w:val="24"/>
        </w:rPr>
      </w:pPr>
      <w:r w:rsidRPr="001F463D">
        <w:rPr>
          <w:rFonts w:ascii="Times New Roman" w:hAnsi="Times New Roman"/>
          <w:bCs w:val="0"/>
          <w:spacing w:val="30"/>
          <w:sz w:val="24"/>
          <w:szCs w:val="24"/>
        </w:rPr>
        <w:lastRenderedPageBreak/>
        <w:t>DOLOŽKA ZLUČITEĽNOSTI</w:t>
      </w:r>
    </w:p>
    <w:p w:rsidR="001F463D" w:rsidRPr="001F463D" w:rsidRDefault="001F463D" w:rsidP="001F463D">
      <w:pPr>
        <w:pStyle w:val="Zkladntext"/>
        <w:jc w:val="center"/>
        <w:rPr>
          <w:rFonts w:ascii="Times New Roman" w:hAnsi="Times New Roman"/>
          <w:bCs w:val="0"/>
          <w:spacing w:val="30"/>
          <w:sz w:val="24"/>
          <w:szCs w:val="24"/>
        </w:rPr>
      </w:pPr>
      <w:r w:rsidRPr="001F463D">
        <w:rPr>
          <w:rFonts w:ascii="Times New Roman" w:hAnsi="Times New Roman"/>
          <w:bCs w:val="0"/>
          <w:spacing w:val="30"/>
          <w:sz w:val="24"/>
          <w:szCs w:val="24"/>
        </w:rPr>
        <w:t>návrhu právneho predpisu s právom Európskej únie</w:t>
      </w:r>
    </w:p>
    <w:p w:rsidR="001F463D" w:rsidRPr="0058486B" w:rsidRDefault="001F463D" w:rsidP="001F463D">
      <w:pPr>
        <w:pStyle w:val="Zkladntext"/>
        <w:jc w:val="center"/>
        <w:rPr>
          <w:b w:val="0"/>
        </w:rPr>
      </w:pPr>
    </w:p>
    <w:p w:rsidR="001F463D" w:rsidRPr="0058486B" w:rsidRDefault="001F463D" w:rsidP="001F463D">
      <w:pPr>
        <w:pStyle w:val="Zkladntext"/>
      </w:pPr>
    </w:p>
    <w:p w:rsidR="001F463D" w:rsidRDefault="001F463D" w:rsidP="001F463D">
      <w:pPr>
        <w:pStyle w:val="Zkladntext"/>
      </w:pPr>
      <w:r w:rsidRPr="001F463D">
        <w:rPr>
          <w:rFonts w:ascii="Times New Roman" w:hAnsi="Times New Roman"/>
          <w:bCs w:val="0"/>
          <w:sz w:val="24"/>
          <w:szCs w:val="24"/>
        </w:rPr>
        <w:t>1. Navrhovateľ zákona</w:t>
      </w:r>
      <w:r w:rsidRPr="0058486B">
        <w:t xml:space="preserve">: </w:t>
      </w:r>
      <w:r>
        <w:rPr>
          <w:rFonts w:ascii="Times New Roman" w:hAnsi="Times New Roman"/>
          <w:b w:val="0"/>
          <w:bCs w:val="0"/>
          <w:sz w:val="24"/>
          <w:szCs w:val="24"/>
        </w:rPr>
        <w:t>Vláda</w:t>
      </w:r>
      <w:r w:rsidRPr="001F463D">
        <w:rPr>
          <w:rFonts w:ascii="Times New Roman" w:hAnsi="Times New Roman"/>
          <w:b w:val="0"/>
          <w:bCs w:val="0"/>
          <w:sz w:val="24"/>
          <w:szCs w:val="24"/>
        </w:rPr>
        <w:t xml:space="preserve"> Slovenskej republiky</w:t>
      </w:r>
    </w:p>
    <w:p w:rsidR="001F463D" w:rsidRPr="0058486B" w:rsidRDefault="001F463D" w:rsidP="001F463D">
      <w:pPr>
        <w:pStyle w:val="Zkladntext"/>
      </w:pPr>
      <w:r w:rsidRPr="0058486B">
        <w:tab/>
      </w:r>
    </w:p>
    <w:p w:rsidR="001F463D" w:rsidRDefault="001F463D" w:rsidP="001F463D">
      <w:pPr>
        <w:pStyle w:val="Zkladntext"/>
        <w:jc w:val="both"/>
      </w:pPr>
      <w:r w:rsidRPr="001F463D">
        <w:rPr>
          <w:rFonts w:ascii="Times New Roman" w:hAnsi="Times New Roman"/>
          <w:bCs w:val="0"/>
          <w:sz w:val="24"/>
          <w:szCs w:val="24"/>
        </w:rPr>
        <w:t>2. Názov návrhu právneho predpisu:</w:t>
      </w:r>
      <w:r w:rsidRPr="0058486B">
        <w:t xml:space="preserve">  </w:t>
      </w:r>
      <w:r w:rsidRPr="001F463D">
        <w:rPr>
          <w:rFonts w:ascii="Times New Roman" w:hAnsi="Times New Roman"/>
          <w:b w:val="0"/>
          <w:bCs w:val="0"/>
          <w:sz w:val="24"/>
          <w:szCs w:val="24"/>
        </w:rPr>
        <w:t xml:space="preserve">Vládny návrh zákona, ktorým sa mení a dopĺňa zákon č. 315/2016 Z. z. o registri partnerov verejného sektora a o zmene a o doplnení niektorých zákonov v znení zákona č. 38/2017 Z. z. a ktorým sa menia a dopĺňajú niektoré zákony </w:t>
      </w:r>
    </w:p>
    <w:p w:rsidR="001F463D" w:rsidRPr="0058486B" w:rsidRDefault="001F463D" w:rsidP="001F463D">
      <w:pPr>
        <w:pStyle w:val="Zkladntext"/>
      </w:pPr>
      <w:r w:rsidRPr="0058486B">
        <w:tab/>
      </w:r>
    </w:p>
    <w:p w:rsidR="001F463D" w:rsidRPr="001F463D" w:rsidRDefault="001F463D" w:rsidP="001F463D">
      <w:pPr>
        <w:pStyle w:val="Zkladntext"/>
        <w:rPr>
          <w:rFonts w:ascii="Times New Roman" w:hAnsi="Times New Roman"/>
          <w:bCs w:val="0"/>
          <w:sz w:val="24"/>
          <w:szCs w:val="24"/>
        </w:rPr>
      </w:pPr>
      <w:r w:rsidRPr="001F463D">
        <w:rPr>
          <w:rFonts w:ascii="Times New Roman" w:hAnsi="Times New Roman"/>
          <w:bCs w:val="0"/>
          <w:sz w:val="24"/>
          <w:szCs w:val="24"/>
        </w:rPr>
        <w:t>3. Predmet návrhu zákona:</w:t>
      </w:r>
    </w:p>
    <w:p w:rsidR="001F463D" w:rsidRPr="0058486B" w:rsidRDefault="001F463D" w:rsidP="001F463D">
      <w:pPr>
        <w:pStyle w:val="Zkladntext"/>
      </w:pPr>
    </w:p>
    <w:p w:rsidR="001F463D" w:rsidRPr="001F463D" w:rsidRDefault="001F463D" w:rsidP="001F463D">
      <w:pPr>
        <w:pStyle w:val="Zkladntext"/>
        <w:numPr>
          <w:ilvl w:val="0"/>
          <w:numId w:val="9"/>
        </w:numPr>
        <w:jc w:val="both"/>
        <w:rPr>
          <w:rFonts w:ascii="Times New Roman" w:hAnsi="Times New Roman"/>
          <w:b w:val="0"/>
          <w:bCs w:val="0"/>
          <w:sz w:val="24"/>
          <w:szCs w:val="24"/>
        </w:rPr>
      </w:pPr>
      <w:r w:rsidRPr="001F463D">
        <w:rPr>
          <w:rFonts w:ascii="Times New Roman" w:hAnsi="Times New Roman"/>
          <w:b w:val="0"/>
          <w:bCs w:val="0"/>
          <w:sz w:val="24"/>
          <w:szCs w:val="24"/>
        </w:rPr>
        <w:t>nie je upravený v primárnom práve Európskej únie</w:t>
      </w:r>
    </w:p>
    <w:p w:rsidR="001F463D" w:rsidRPr="001F463D" w:rsidRDefault="001F463D" w:rsidP="001F463D">
      <w:pPr>
        <w:pStyle w:val="Zkladntext"/>
        <w:rPr>
          <w:rFonts w:ascii="Times New Roman" w:hAnsi="Times New Roman"/>
          <w:b w:val="0"/>
          <w:bCs w:val="0"/>
          <w:sz w:val="24"/>
          <w:szCs w:val="24"/>
        </w:rPr>
      </w:pPr>
    </w:p>
    <w:p w:rsidR="001F463D" w:rsidRPr="001F463D" w:rsidRDefault="001F463D" w:rsidP="001F463D">
      <w:pPr>
        <w:pStyle w:val="Zkladntext"/>
        <w:numPr>
          <w:ilvl w:val="0"/>
          <w:numId w:val="9"/>
        </w:numPr>
        <w:jc w:val="both"/>
        <w:rPr>
          <w:rFonts w:ascii="Times New Roman" w:hAnsi="Times New Roman"/>
          <w:b w:val="0"/>
          <w:bCs w:val="0"/>
          <w:sz w:val="24"/>
          <w:szCs w:val="24"/>
        </w:rPr>
      </w:pPr>
      <w:r w:rsidRPr="001F463D">
        <w:rPr>
          <w:rFonts w:ascii="Times New Roman" w:hAnsi="Times New Roman"/>
          <w:b w:val="0"/>
          <w:bCs w:val="0"/>
          <w:sz w:val="24"/>
          <w:szCs w:val="24"/>
        </w:rPr>
        <w:t>nie je upravený v sekundárnom práve Európskej únie</w:t>
      </w:r>
    </w:p>
    <w:p w:rsidR="001F463D" w:rsidRPr="001F463D" w:rsidRDefault="001F463D" w:rsidP="001F463D">
      <w:pPr>
        <w:pStyle w:val="Zkladntext"/>
        <w:ind w:left="720"/>
        <w:rPr>
          <w:rFonts w:ascii="Times New Roman" w:hAnsi="Times New Roman"/>
          <w:b w:val="0"/>
          <w:bCs w:val="0"/>
          <w:sz w:val="24"/>
          <w:szCs w:val="24"/>
        </w:rPr>
      </w:pPr>
    </w:p>
    <w:p w:rsidR="001F463D" w:rsidRPr="001F463D" w:rsidRDefault="001F463D" w:rsidP="001F463D">
      <w:pPr>
        <w:pStyle w:val="Zkladntext"/>
        <w:numPr>
          <w:ilvl w:val="0"/>
          <w:numId w:val="9"/>
        </w:numPr>
        <w:jc w:val="both"/>
        <w:rPr>
          <w:rFonts w:ascii="Times New Roman" w:hAnsi="Times New Roman"/>
          <w:b w:val="0"/>
          <w:bCs w:val="0"/>
          <w:sz w:val="24"/>
          <w:szCs w:val="24"/>
        </w:rPr>
      </w:pPr>
      <w:r w:rsidRPr="001F463D">
        <w:rPr>
          <w:rFonts w:ascii="Times New Roman" w:hAnsi="Times New Roman"/>
          <w:b w:val="0"/>
          <w:bCs w:val="0"/>
          <w:sz w:val="24"/>
          <w:szCs w:val="24"/>
        </w:rPr>
        <w:t>nie je upravený v judikatúre Súdneho dvora Európskej únie</w:t>
      </w:r>
    </w:p>
    <w:p w:rsidR="001F463D" w:rsidRPr="0058486B" w:rsidRDefault="001F463D" w:rsidP="001F463D">
      <w:pPr>
        <w:pStyle w:val="Zkladntext"/>
      </w:pPr>
      <w:r w:rsidRPr="0058486B">
        <w:tab/>
      </w:r>
    </w:p>
    <w:p w:rsidR="001F463D" w:rsidRPr="0058486B" w:rsidRDefault="001F463D" w:rsidP="001F463D">
      <w:pPr>
        <w:pStyle w:val="Zkladntext"/>
      </w:pPr>
    </w:p>
    <w:p w:rsidR="001F463D" w:rsidRDefault="001F463D" w:rsidP="001F463D">
      <w:pPr>
        <w:pStyle w:val="Zkladntext"/>
        <w:jc w:val="both"/>
        <w:rPr>
          <w:rFonts w:ascii="Times New Roman" w:hAnsi="Times New Roman"/>
          <w:bCs w:val="0"/>
          <w:sz w:val="24"/>
          <w:szCs w:val="24"/>
        </w:rPr>
      </w:pPr>
      <w:r w:rsidRPr="001F463D">
        <w:rPr>
          <w:rFonts w:ascii="Times New Roman" w:hAnsi="Times New Roman"/>
          <w:bCs w:val="0"/>
          <w:sz w:val="24"/>
          <w:szCs w:val="24"/>
        </w:rPr>
        <w:t>Vzhľadom na vnútroštátny charakter navrhovaného právneho predpisu je bezpredmetné vyjadrovať sa k bodom 4. a 5. doložky zlučiteľnosti.</w:t>
      </w: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Pr="00A26A39" w:rsidRDefault="00A26A39" w:rsidP="00A26A39">
      <w:pPr>
        <w:spacing w:after="0" w:line="240" w:lineRule="auto"/>
        <w:ind w:left="360"/>
        <w:jc w:val="both"/>
        <w:rPr>
          <w:rFonts w:ascii="Times New Roman" w:hAnsi="Times New Roman"/>
          <w:b/>
          <w:sz w:val="24"/>
        </w:rPr>
      </w:pPr>
      <w:r>
        <w:rPr>
          <w:rFonts w:ascii="Times New Roman" w:hAnsi="Times New Roman"/>
          <w:b/>
          <w:sz w:val="24"/>
        </w:rPr>
        <w:lastRenderedPageBreak/>
        <w:t xml:space="preserve">B. </w:t>
      </w:r>
      <w:r w:rsidRPr="00A26A39">
        <w:rPr>
          <w:rFonts w:ascii="Times New Roman" w:hAnsi="Times New Roman"/>
          <w:b/>
          <w:sz w:val="24"/>
        </w:rPr>
        <w:t xml:space="preserve">Osobitná časť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b/>
          <w:sz w:val="24"/>
          <w:u w:val="single"/>
        </w:rPr>
      </w:pPr>
      <w:r w:rsidRPr="001B3EA9">
        <w:rPr>
          <w:rFonts w:ascii="Times New Roman" w:hAnsi="Times New Roman"/>
          <w:b/>
          <w:sz w:val="24"/>
          <w:u w:val="single"/>
        </w:rPr>
        <w:t>K čl. I</w:t>
      </w:r>
      <w:r w:rsidRPr="001B3EA9">
        <w:rPr>
          <w:rFonts w:ascii="Times New Roman" w:hAnsi="Times New Roman"/>
          <w:b/>
          <w:sz w:val="24"/>
          <w:u w:val="single"/>
        </w:rPr>
        <w:tab/>
      </w:r>
    </w:p>
    <w:p w:rsidR="00A26A39" w:rsidRPr="001B3EA9" w:rsidRDefault="00A26A39" w:rsidP="00A26A39">
      <w:pPr>
        <w:spacing w:after="0" w:line="240" w:lineRule="auto"/>
        <w:jc w:val="both"/>
        <w:rPr>
          <w:rFonts w:ascii="Times New Roman" w:hAnsi="Times New Roman"/>
          <w:i/>
          <w:sz w:val="24"/>
        </w:rPr>
      </w:pPr>
      <w:r w:rsidRPr="001B3EA9">
        <w:rPr>
          <w:rFonts w:ascii="Times New Roman" w:hAnsi="Times New Roman"/>
          <w:i/>
          <w:sz w:val="24"/>
        </w:rPr>
        <w:t>(zákon č. 315/2016 Z. z.)</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bodom 1 až 9 (§ 2 ods. 1) všeobecne</w:t>
      </w: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 xml:space="preserve"> </w:t>
      </w: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 xml:space="preserve">Cieľom návrhu zákona je v tejto časti nanovo vymedziť pojem „partner verejného sektora“ a tým pádom aj okruh osôb, ktoré sa povinne zapisujú do registra partnerov verejného sektora postupom podľa tohto zákona. Predkladateľ vymedzuje partnera verejného sektora pozitívnym spôsobom (odsek 1) a negatívnym spôsobom (odseky 2, 3 a 5). Vzťah týchto ustanovení treba vnímať tak, že subjekt, ktorý inak spĺňa znaky partnera verejného sektora podľa odseku 1 nemá povinnosť zápisu do registra, ak mu svedčí niektorý z dôvodov podľa odsekov 2, 3 a 5. Upúšťa sa od doterajšieho prelínania pozitívneho a negatívneho vymedzenia partnera verejného sektora v odseku 1 [pozri pôvodnú dikciu </w:t>
      </w:r>
      <w:r w:rsidRPr="001B3EA9">
        <w:rPr>
          <w:rFonts w:ascii="Times New Roman" w:hAnsi="Times New Roman"/>
          <w:i/>
          <w:sz w:val="24"/>
        </w:rPr>
        <w:t>„...ktorá nie je subjektom verejnej správy...“</w:t>
      </w:r>
      <w:r w:rsidRPr="001B3EA9">
        <w:rPr>
          <w:rFonts w:ascii="Times New Roman" w:hAnsi="Times New Roman"/>
          <w:sz w:val="24"/>
        </w:rPr>
        <w:t xml:space="preserve"> v písmene a), resp. dikciu </w:t>
      </w:r>
      <w:r w:rsidRPr="001B3EA9">
        <w:rPr>
          <w:rFonts w:ascii="Times New Roman" w:hAnsi="Times New Roman"/>
          <w:i/>
          <w:sz w:val="24"/>
        </w:rPr>
        <w:t>„...okrem zmluvy...“</w:t>
      </w:r>
      <w:r w:rsidRPr="001B3EA9">
        <w:rPr>
          <w:rFonts w:ascii="Times New Roman" w:hAnsi="Times New Roman"/>
          <w:sz w:val="24"/>
        </w:rPr>
        <w:t xml:space="preserve"> v písmene d)], čo v aplikačnej praxi spôsobovalo výkladové nezrovnalosti.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Negatívne vymedzenie partnera verejného sektora v odsekoch 2, 3 a 5 je postavené tak ako doteraz na objeme transakcie bez ohľadu na účastníkov právneho vzťahu (</w:t>
      </w:r>
      <w:r w:rsidRPr="001B3EA9">
        <w:rPr>
          <w:rFonts w:ascii="Times New Roman" w:hAnsi="Times New Roman"/>
          <w:i/>
          <w:sz w:val="24"/>
        </w:rPr>
        <w:t xml:space="preserve">de </w:t>
      </w:r>
      <w:proofErr w:type="spellStart"/>
      <w:r w:rsidRPr="001B3EA9">
        <w:rPr>
          <w:rFonts w:ascii="Times New Roman" w:hAnsi="Times New Roman"/>
          <w:i/>
          <w:sz w:val="24"/>
        </w:rPr>
        <w:t>minimis</w:t>
      </w:r>
      <w:proofErr w:type="spellEnd"/>
      <w:r w:rsidRPr="001B3EA9">
        <w:rPr>
          <w:rFonts w:ascii="Times New Roman" w:hAnsi="Times New Roman"/>
          <w:sz w:val="24"/>
        </w:rPr>
        <w:t xml:space="preserve"> limity v odsekoch 2 a 3), na statuse osoby bez ohľadu na transakciu (napr. subjekt verejnej správy, subjekt neziskového sektora, cudzí štát a pod.) alebo na statuse osoby v spojení s transakciou (napr. banka, ak prijíma plnenie v rámci úverového vzťahu).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 xml:space="preserve">Doterajšie pozitívne vymedzenie partnera verejného sektora pozostávalo z niekoľkých definičných znakov. Tieto zostávajú v návrhu zákona nedotknuté.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1 (subjekt verejnej správy)</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V nadväznosti na vyššie uvedené dôvody sa výnimka pre subjekty verejnej správy presúva do odseku 5</w:t>
      </w:r>
      <w:r>
        <w:rPr>
          <w:rFonts w:ascii="Times New Roman" w:hAnsi="Times New Roman"/>
          <w:sz w:val="24"/>
        </w:rPr>
        <w:t>,</w:t>
      </w:r>
      <w:r w:rsidRPr="001B3EA9">
        <w:rPr>
          <w:rFonts w:ascii="Times New Roman" w:hAnsi="Times New Roman"/>
          <w:sz w:val="24"/>
        </w:rPr>
        <w:t xml:space="preserve"> kam systematicky patrí. Tiež v tomto bode dochádza k legislatívno-technickej úprave súvisiacej s vložením nového odseku 4 v § 2.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bodom 2 a 3 [§ 2 ods. 1 písm. a) prvý bod a druhý bod]</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 xml:space="preserve">V tomto prípade dochádza k trom zmenám ustanovenia. V prvom prípade sa pojem „európske štrukturálne a investičné fondy“ nahrádza pojmom „európske fondy“. Cieľom tejto právnej úpravy je vyriešenie otázky, či sa zákon vzťahuje aj na prostriedky z európskych fondov, ktoré nemajú charakter štrukturálnych a investičných fondov, a to tak, že právna úprava sa rozširuje na akékoľvek fondy Európskej únie. Na dosiahnutie tohto cieľa je najvhodnejším riešením vypustenie slov „štrukturálne a investičné“, ktoré zužovali doterajšiu právnu úpravu. </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rPr>
        <w:t xml:space="preserve">V praxi sa tiež stala spornou otázka posudzovania prijímania plnení z Európskeho pôdohospodárskeho záručného fondu. </w:t>
      </w:r>
      <w:r w:rsidRPr="001B3EA9">
        <w:rPr>
          <w:rFonts w:ascii="Times New Roman" w:hAnsi="Times New Roman"/>
          <w:sz w:val="24"/>
          <w:szCs w:val="24"/>
        </w:rPr>
        <w:t xml:space="preserve">Prijímanie plnení z tohto fondu nad rámec limitov uvedených v zákone však v zmysle navrhovanej právnej úpravy požíva výnimku z povinnosti zápisu do registra. Predkladateľ zvážil argumenty ohľadne potreby zabezpečenia  záujmov  Slovenskej republiky, ktorým je aj odstránenie  nízkej konkurencieschopnosti slovenského agropotravinárskeho priemyslu voči ostatným členským krajinám,  ktorá by mohla byť prehĺbená zavádzaním nových vnútroštátnych podmienok, ktoré by boli nad rámec požiadaviek Európskej únie. Na základe uvedenej výnimky sa teda povinnosť zápisu nevzťahuje na osoby prijímajúce tzv. priame platby. Pre úplnosť je potrebné dodať, že prijímanie plnení </w:t>
      </w:r>
      <w:r w:rsidRPr="001B3EA9">
        <w:rPr>
          <w:rFonts w:ascii="Times New Roman" w:hAnsi="Times New Roman"/>
          <w:sz w:val="24"/>
          <w:szCs w:val="24"/>
        </w:rPr>
        <w:lastRenderedPageBreak/>
        <w:t>z európskych fondov prostredníctvom iných orgánov, ako sú orgány verejnej moci v rámci Slovenskej republiky nezakladá povinnosť zápisu do registra partnerov verejného sektora.</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Ďalšou zmenou je zúženie  množiny verejného sektora v rámci právnických osôb len na právnické osoby zriadené zákonom alebo založené štátom, obcou, vyšším územným celkom, v ktorých majú tieto osoby samostatne alebo spoločne výlučnú</w:t>
      </w:r>
      <w:r>
        <w:rPr>
          <w:rFonts w:ascii="Times New Roman" w:hAnsi="Times New Roman"/>
          <w:sz w:val="24"/>
        </w:rPr>
        <w:t xml:space="preserve"> priamu alebo nepriamu majetkovú</w:t>
      </w:r>
      <w:r w:rsidRPr="001B3EA9">
        <w:rPr>
          <w:rFonts w:ascii="Times New Roman" w:hAnsi="Times New Roman"/>
          <w:sz w:val="24"/>
        </w:rPr>
        <w:t xml:space="preserve"> účasť a zároveň nahradením definície týchto osôb pojmom „verejný podnik“. Z právnických osôb zriadených zákonom zároveň návrh zákona vyníma komory zriadené zákonom.</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Okrem toho sa z ustanovenia § 2 ods. 1 písm. a) prvom bode vypúšťa plnenie formou investičnej pomoci, </w:t>
      </w:r>
      <w:r>
        <w:rPr>
          <w:rFonts w:ascii="Times New Roman" w:hAnsi="Times New Roman"/>
          <w:sz w:val="24"/>
        </w:rPr>
        <w:t>keďže</w:t>
      </w:r>
      <w:r w:rsidRPr="001B3EA9">
        <w:rPr>
          <w:rFonts w:ascii="Times New Roman" w:hAnsi="Times New Roman"/>
          <w:sz w:val="24"/>
        </w:rPr>
        <w:t xml:space="preserve"> sa javí v danom ustanovení nadbytočnou, pretože investičná pomoc je jednou z foriem štátnej pomoci. Uvedené vyplýva z § 1 ods. 2 zákona č. 57/2018 Z. z. o regionálnej investičnej pomoci a o zmene a doplnení niektorých zákonov.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4 [§ 2 ods. 1 písm. a) prvý, druhý a šiesty bod)]</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Na účely tohto zákona sa za právnickú osobu zriadenú zákonom nemajú považovať komory (samosprávne profesijné organizácie) zriadené zákonom (napríklad Slovenská advokátska komora, Slovenská poľnohospodárska a potravinárska komora a pod.). Tieto subjekty síce sú právnickými osobami zriadenými zákonom, avšak nie je vhodné ich považovať za súčasť verejného sektora na účely tohto zákona, pretože tieto záujmové organizácie nie sú financované „štátom“, ale z príspevkov svojich členov, ktorých združujú a ktorých záujmy  chránia a obhajujú a preto ani plnenia, ktoré by od uvedených komôr prijímali fyzické alebo právnické osoby nemajú charakter „verejných zdrojov“. Napriek tomu je podľa súčasnej právnej úpravy prijímateľ plnenia od komory nad limit ustanovený zákonom  považovaný v zmysle uvedenej definície za partnera verejného sektora a má povinnosť zápisu. Preto sa navrhuje vyňatie komôr zriadených zákonom z množiny „právnických osôb zriadených zákonom.“</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5 [§ 2 ods. 1 </w:t>
      </w:r>
      <w:r w:rsidRPr="001B3EA9">
        <w:rPr>
          <w:rFonts w:ascii="Times New Roman" w:hAnsi="Times New Roman"/>
          <w:sz w:val="24"/>
          <w:szCs w:val="24"/>
          <w:u w:val="single"/>
        </w:rPr>
        <w:t>písm. a) šiesty bod</w:t>
      </w:r>
      <w:r w:rsidRPr="001B3EA9">
        <w:rPr>
          <w:rFonts w:ascii="Times New Roman" w:hAnsi="Times New Roman"/>
          <w:sz w:val="24"/>
          <w:u w:val="single"/>
        </w:rPr>
        <w:t>)]</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u w:val="single"/>
        </w:rPr>
      </w:pPr>
      <w:r w:rsidRPr="001B3EA9">
        <w:rPr>
          <w:rFonts w:ascii="Times New Roman" w:hAnsi="Times New Roman"/>
          <w:sz w:val="24"/>
        </w:rPr>
        <w:t>Ide o precizovanie ustanovenia, podľa ktorého vzniká povinnosť zápisu do registra partnerov verejného sektora veriteľovi, ktorý nadobudol pohľadávku klasickou cesiou, ale aj tomu, komu má byť pohľadávka uhradená z iného titulu – ide napríklad o situáciu, kedy ručiteľ dlžníka uspokojí veriteľa v čoho dôsledku prejde na ručiteľa pohľadávka priamo zo zákona, prípadne môže ísť o prechod pohľadávok na dedičov na základe právoplatného skončenia dedičského konania.</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6 [§ 2 ods. 1 nové písm. a) bod 7] </w:t>
      </w:r>
    </w:p>
    <w:p w:rsidR="00A26A39" w:rsidRPr="001B3EA9" w:rsidRDefault="00A26A39" w:rsidP="00A26A39">
      <w:pPr>
        <w:spacing w:after="0" w:line="240" w:lineRule="auto"/>
        <w:ind w:firstLine="708"/>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Pri subdodávateľoch sa navrhuje precíznejšie vyjadriť povinnosť zápisu do registra partnerov verejného sektora, </w:t>
      </w:r>
      <w:r>
        <w:rPr>
          <w:rFonts w:ascii="Times New Roman" w:hAnsi="Times New Roman"/>
          <w:sz w:val="24"/>
        </w:rPr>
        <w:t>keďže</w:t>
      </w:r>
      <w:r w:rsidRPr="001B3EA9">
        <w:rPr>
          <w:rFonts w:ascii="Times New Roman" w:hAnsi="Times New Roman"/>
          <w:sz w:val="24"/>
        </w:rPr>
        <w:t xml:space="preserve"> zavedený </w:t>
      </w:r>
      <w:proofErr w:type="spellStart"/>
      <w:r w:rsidRPr="001B3EA9">
        <w:rPr>
          <w:rFonts w:ascii="Times New Roman" w:hAnsi="Times New Roman"/>
          <w:sz w:val="24"/>
        </w:rPr>
        <w:t>korektív</w:t>
      </w:r>
      <w:proofErr w:type="spellEnd"/>
      <w:r w:rsidRPr="001B3EA9">
        <w:rPr>
          <w:rFonts w:ascii="Times New Roman" w:hAnsi="Times New Roman"/>
          <w:sz w:val="24"/>
        </w:rPr>
        <w:t xml:space="preserve"> „vie alebo má vedieť“ sa javil príliš všeobecným a</w:t>
      </w:r>
      <w:r>
        <w:rPr>
          <w:rFonts w:ascii="Times New Roman" w:hAnsi="Times New Roman"/>
          <w:sz w:val="24"/>
        </w:rPr>
        <w:t xml:space="preserve"> v </w:t>
      </w:r>
      <w:r w:rsidRPr="001B3EA9">
        <w:rPr>
          <w:rFonts w:ascii="Times New Roman" w:hAnsi="Times New Roman"/>
          <w:sz w:val="24"/>
        </w:rPr>
        <w:t xml:space="preserve">praxi spôsoboval problémy. Podľa novo koncipovaného </w:t>
      </w:r>
      <w:proofErr w:type="spellStart"/>
      <w:r w:rsidRPr="001B3EA9">
        <w:rPr>
          <w:rFonts w:ascii="Times New Roman" w:hAnsi="Times New Roman"/>
          <w:sz w:val="24"/>
        </w:rPr>
        <w:t>korektívu</w:t>
      </w:r>
      <w:proofErr w:type="spellEnd"/>
      <w:r w:rsidRPr="001B3EA9">
        <w:rPr>
          <w:rFonts w:ascii="Times New Roman" w:hAnsi="Times New Roman"/>
          <w:sz w:val="24"/>
        </w:rPr>
        <w:t xml:space="preserve"> má subdodávateľ povinnosť zápisu vtedy</w:t>
      </w:r>
      <w:r>
        <w:rPr>
          <w:rFonts w:ascii="Times New Roman" w:hAnsi="Times New Roman"/>
          <w:sz w:val="24"/>
        </w:rPr>
        <w:t>,</w:t>
      </w:r>
      <w:r w:rsidRPr="001B3EA9">
        <w:rPr>
          <w:rFonts w:ascii="Times New Roman" w:hAnsi="Times New Roman"/>
          <w:sz w:val="24"/>
        </w:rPr>
        <w:t xml:space="preserve"> ak vie alebo so zreteľom na všetky okolnosti má vedieť, že plnenia, ktoré dodáva</w:t>
      </w:r>
      <w:r>
        <w:rPr>
          <w:rFonts w:ascii="Times New Roman" w:hAnsi="Times New Roman"/>
          <w:sz w:val="24"/>
        </w:rPr>
        <w:t>,</w:t>
      </w:r>
      <w:r w:rsidRPr="001B3EA9">
        <w:rPr>
          <w:rFonts w:ascii="Times New Roman" w:hAnsi="Times New Roman"/>
          <w:sz w:val="24"/>
        </w:rPr>
        <w:t xml:space="preserve"> sú určené partnerovi verejného sektora a</w:t>
      </w:r>
      <w:r>
        <w:rPr>
          <w:rFonts w:ascii="Times New Roman" w:hAnsi="Times New Roman"/>
          <w:sz w:val="24"/>
        </w:rPr>
        <w:t> </w:t>
      </w:r>
      <w:r w:rsidRPr="001B3EA9">
        <w:rPr>
          <w:rFonts w:ascii="Times New Roman" w:hAnsi="Times New Roman"/>
          <w:sz w:val="24"/>
        </w:rPr>
        <w:t>súvisia</w:t>
      </w:r>
      <w:r>
        <w:rPr>
          <w:rFonts w:ascii="Times New Roman" w:hAnsi="Times New Roman"/>
          <w:sz w:val="24"/>
        </w:rPr>
        <w:t>,</w:t>
      </w:r>
      <w:r w:rsidRPr="001B3EA9">
        <w:rPr>
          <w:rFonts w:ascii="Times New Roman" w:hAnsi="Times New Roman"/>
          <w:sz w:val="24"/>
        </w:rPr>
        <w:t xml:space="preserve"> a teda, že sa svojim plnením podieľa na uskutočňovaní verejnej zákazky. „So zreteľom na všetky okolnosti“ možno vykladať aj v svetle nasledujúcich príkladov, ktoré vychádzajú zo zverejnených  výkladových stanovísk ministerstva spravodlivosti:</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lastRenderedPageBreak/>
        <w:t xml:space="preserve">Subdodávateľ dodáva stavebný materiál na výstavbu diaľnic či obdobných projektov, ktorý pravidelne dováža na miesto, kde sa štátny projekt uskutočňuje. Tu sa prezumuje, že subdodávateľ musí o tejto skutočnosti vedieť a je teda jeho povinnosťou zapísať sa do registra.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Odlišnou situáciou bude napr. dodanie výpočtovej techniky subdodávateľom A subjektu B, ktorý následne dodá túto techniku ministerstvu. Je zrejmé, že subdodávateľ A v tomto prípade pravdepodobne nevie a nemusí vedieť, že jeho plnenie bude súvisieť so zmluvou uvedenou v § 2 zákona.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Medzi okolnosti prípadu treba radiť tiež možnosť dozvedieť sa o dodávke pre partnera verejného sektora prostredníctvom zmluvnej či inej dokumentácie (objednávky, faktúry), z ktorých vyplýva komu a na aký účel budú tovary a služby subdodávateľa poskytnuté.</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Pri subdodávateľoch tiež dochádza k oslobodeniu od viazania tohto pojmu na § 2 ods. 1 písm. a) piaty bod, čo v praxi znamená, že povinnosť zápisu nemá subdodávateľ tovarov a služieb pre partnera verejného sektora, ktorý je držiteľom tzv. „verejnej licencie“ (zdravotná poisťovňa, držiteľ povolenia na podnikanie v energetike, banského povolenia a pod.). Samozrejme, v prípade, ak subdodávateľ dodáva tovary a služby obstarávateľovi (ktorým je držiteľ uvedenej verejnej licencie) v režime verejného obstarávania, jeho povinnosť zápisu ostáva zachovaná v zmysle § 2 ods. 1 písm. a) tretieho bodu platného znenia zákona.</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7 (verejný podnik)</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 spojitosti so zaradením subjektov, ktorými sú (i) právnické osoby, ktoré sú úplne alebo z väčšej časti financované štátom, obcou, vyšším územným celkom, (ii) právnické osoby zriadené zákonom, ktoré sú kontrolované štátom, obcou, vyšším územným celkom alebo právnickou osobou zriadenou zákonom a (iii) právnické osoby, v ktorých štát, obec, vyšší územný celok alebo právnická osoba zriadená zákonom vymenúva alebo volí viac ako polovicu členov ich riadiaceho orgánu alebo kontrolného orgánu medzi subjekty verejného sektora, došlo k zmene tým spôsobom, že návrh zužuje množinu „verejný sektor“ len na právnické osoby zriadené zákonom alebo právnické osoby založené  štátom, obcou, vyšším územným celkom ak v tejto právnickej osobe má štát, obec či vyšší územný celok samostatne alebo spoločne výlučnú, teda 100% - </w:t>
      </w:r>
      <w:proofErr w:type="spellStart"/>
      <w:r w:rsidRPr="001B3EA9">
        <w:rPr>
          <w:rFonts w:ascii="Times New Roman" w:hAnsi="Times New Roman"/>
          <w:sz w:val="24"/>
        </w:rPr>
        <w:t>nú</w:t>
      </w:r>
      <w:proofErr w:type="spellEnd"/>
      <w:r>
        <w:rPr>
          <w:rFonts w:ascii="Times New Roman" w:hAnsi="Times New Roman"/>
          <w:sz w:val="24"/>
        </w:rPr>
        <w:t xml:space="preserve"> priamu alebo nepriamu</w:t>
      </w:r>
      <w:r w:rsidRPr="001B3EA9">
        <w:rPr>
          <w:rFonts w:ascii="Times New Roman" w:hAnsi="Times New Roman"/>
          <w:sz w:val="24"/>
        </w:rPr>
        <w:t xml:space="preserve"> majetkovú účasť. Pre tieto právnické osoby je charakteristické, že napriek tomu, že  sa  v právnych vzťahoch správajú ako subjekty súkromného práva, výlučným vlastníkom prostriedkov uvedených spoločností je verejný sektor. Návrh zákona zároveň uvedené subjekty podriaďuje pod novozavedený pojem – verejný podnik, pričom ide najmä o tzv. obecné podniky, resp. štátne obchodné spoločnosti.</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Uvedený konštrukt nie je v právnom poriadku novým, právnické osoby s výlučnou účasťou štátu alebo samosprávy sú v režime </w:t>
      </w:r>
      <w:r w:rsidRPr="001B3EA9">
        <w:rPr>
          <w:rFonts w:ascii="Times New Roman" w:hAnsi="Times New Roman"/>
          <w:sz w:val="24"/>
          <w:szCs w:val="24"/>
        </w:rPr>
        <w:t xml:space="preserve">zákona č. 211/2000 Z. z. o slobodnom prístupe k informáciám a o zmene a doplnení niektorých zákonov (zákon o slobode informácií) v znení neskorších  predpisov </w:t>
      </w:r>
      <w:r w:rsidRPr="001B3EA9">
        <w:rPr>
          <w:rFonts w:ascii="Times New Roman" w:hAnsi="Times New Roman"/>
          <w:sz w:val="24"/>
        </w:rPr>
        <w:t>(§ 5a ods.2) subjektami povinnými zverejňovať zmluvy a to z dôvodu, že finančné prostriedky s ktorými uvedené právnické osoby hospodária sú verejnými prostriedkami, čo bolo zároveň potvrdené aj súdnou judikatúrou a preto zaradenie týchto subjektov do množiny „verejný sektor“ má svoje opodstatnenie. Právnické osoby v ktorých štát vykonáva kontrolu, prípadne má menovacie práva vo vzťahu k členom riadiaceho alebo kontrolného orgánu alebo v ktorých štát nemá výlučnú majetkovú účasť</w:t>
      </w:r>
      <w:r>
        <w:rPr>
          <w:rFonts w:ascii="Times New Roman" w:hAnsi="Times New Roman"/>
          <w:sz w:val="24"/>
        </w:rPr>
        <w:t>,</w:t>
      </w:r>
      <w:r w:rsidRPr="001B3EA9">
        <w:rPr>
          <w:rFonts w:ascii="Times New Roman" w:hAnsi="Times New Roman"/>
          <w:sz w:val="24"/>
        </w:rPr>
        <w:t xml:space="preserve"> nie sú subjektami verejného sektora a teda fyzické a právnické osoby, ktoré uzatvárajú zmluvy s takýmito subjektami nie sú ani partnermi verejného sektora. Vyňatie uvedených subjektov z režimu zákona sa zdá vhodným z toho dôvodu, že tieto subjekty vykonávajú svoju činnosť v rámci </w:t>
      </w:r>
      <w:r w:rsidRPr="001B3EA9">
        <w:rPr>
          <w:rFonts w:ascii="Times New Roman" w:hAnsi="Times New Roman"/>
          <w:sz w:val="24"/>
        </w:rPr>
        <w:lastRenderedPageBreak/>
        <w:t>konkurenčného prostredia. V tomto prípade je zreteľné, že zákon, ktorý požaduje od ich obchodných partnerov registráciu v registri partnerov verejného sektora môže vyvolať dôvodnú obavu o narušenie konkurenčného prostredia, v ktorom sa verejné podniky pohybujú a že tovary a služby, ktoré tieto subjekty fyzickým alebo právnickým osobám v rámci zmluvných vzťahov poskytujú nemožno považovať za „verejné zdroje“.</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Taktiež je potrebné uviesť, že návrh zákona sa zmenou vnímania verejného sektora vracia k pôvodnému vládnemu návrhu zákona o registri partnerov verejného sektora a o zmene a doplnení niektorých zákonov tak, ako bol predložený do legislatívneho procesu v roku 2016. K následnému rozšíreniu pojmu verejný sektor došlo v rámci legislatívneho procesu v Národnej rade Slovenskej republiky, čo však predkladateľ vzhľadom na množstvo aplikačných problémov, ktoré sú spomínané aj v tejto dôvodovej správe nepovažoval za vhodné.</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 xml:space="preserve">Zmena v chápaní verejného sektora v kontexte verejných podnikov sa prejavuje aj tým spôsobom, že návrh zákona výslovne vylučuje to, aby verejný podnik bol sám v pozícii partnera verejného sektora, čím sa potvrdzuje zásada zákona, podľa ktorej vzťahy G2G nie sú zahrnuté do režimu zákona. Jediná výnimka je konštituovaná v prípade, ak verejný podnik vstupuje do verejného obstarávania ako súťažiteľ (pozri odôvodnenie k bodu 12). </w:t>
      </w:r>
    </w:p>
    <w:p w:rsidR="00A26A39" w:rsidRPr="001B3EA9" w:rsidRDefault="00A26A39" w:rsidP="00A26A39">
      <w:pPr>
        <w:spacing w:after="0" w:line="240" w:lineRule="auto"/>
        <w:ind w:firstLine="708"/>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8 [§ 2 ods. 1 písm. c)</w:t>
      </w:r>
      <w:r w:rsidRPr="001B3EA9">
        <w:rPr>
          <w:rFonts w:ascii="Times New Roman" w:hAnsi="Times New Roman"/>
          <w:sz w:val="24"/>
          <w:u w:val="single"/>
          <w:lang w:val="en-US"/>
        </w:rPr>
        <w:t>]</w:t>
      </w:r>
      <w:r w:rsidRPr="001B3EA9">
        <w:rPr>
          <w:rFonts w:ascii="Times New Roman" w:hAnsi="Times New Roman"/>
          <w:sz w:val="24"/>
          <w:u w:val="single"/>
        </w:rPr>
        <w:t xml:space="preserve">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 aplikačnej praxi vznikla nie úplne vyhovujúca právna úprava, ktorá v prípade bánk umožňovala, aby oprávnenou osobu bola aj pobočka zahraničnej banky so sídlom na území Slovenskej republiky, pričom v prípade ostatných oprávnených osôb sa táto možnosť nepripustila, i keď je zrejmé, že napríklad advokáciu môže na území Slovenskej republiky vykonávať aj </w:t>
      </w:r>
      <w:r>
        <w:rPr>
          <w:rFonts w:ascii="Times New Roman" w:hAnsi="Times New Roman"/>
          <w:sz w:val="24"/>
        </w:rPr>
        <w:t>zahraničná</w:t>
      </w:r>
      <w:r w:rsidRPr="001B3EA9">
        <w:rPr>
          <w:rFonts w:ascii="Times New Roman" w:hAnsi="Times New Roman"/>
          <w:sz w:val="24"/>
        </w:rPr>
        <w:t xml:space="preserve"> advokátska kancelária tým, že </w:t>
      </w:r>
      <w:r>
        <w:rPr>
          <w:rFonts w:ascii="Times New Roman" w:hAnsi="Times New Roman"/>
          <w:sz w:val="24"/>
        </w:rPr>
        <w:t>si</w:t>
      </w:r>
      <w:r w:rsidRPr="001B3EA9">
        <w:rPr>
          <w:rFonts w:ascii="Times New Roman" w:hAnsi="Times New Roman"/>
          <w:sz w:val="24"/>
        </w:rPr>
        <w:t xml:space="preserve"> tu umiestni svoju organizačnú zložku. Navrhovaná právna úprava má za cieľ odstrániť disproporciu platnej právnu úpravy tak, že sa umožní vykonávanie činnosti oprávnenej osoby aj zahraničným oprávnený</w:t>
      </w:r>
      <w:r>
        <w:rPr>
          <w:rFonts w:ascii="Times New Roman" w:hAnsi="Times New Roman"/>
          <w:sz w:val="24"/>
        </w:rPr>
        <w:t>m</w:t>
      </w:r>
      <w:r w:rsidRPr="001B3EA9">
        <w:rPr>
          <w:rFonts w:ascii="Times New Roman" w:hAnsi="Times New Roman"/>
          <w:sz w:val="24"/>
        </w:rPr>
        <w:t xml:space="preserve"> osobám, ak vykonávajú činnosť na území Slovenskej republiky prostredníctvom svojho podniku alebo  organizačnej zložky. V tejto súvislosti je potrebné uviesť, že o organizačnej zložke možno hovoriť len v prípade advokátov, bánk, daňových poradcov a audítorov; notári organizačné zložky nevytvárajú.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9 [§ 2 ods. 1 písm. e)]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Cieľom zmeny definičného vymedzenia zmluvy ktorej definícia je obsiahnutá v § 2 ods. 1 písm. e) je odstrániť z tejto definície výnimku (pozri dikciu </w:t>
      </w:r>
      <w:r w:rsidRPr="001B3EA9">
        <w:rPr>
          <w:rFonts w:ascii="Times New Roman" w:hAnsi="Times New Roman"/>
          <w:i/>
          <w:sz w:val="24"/>
        </w:rPr>
        <w:t>„...okrem zmluvy...“</w:t>
      </w:r>
      <w:r w:rsidRPr="001B3EA9">
        <w:rPr>
          <w:rFonts w:ascii="Times New Roman" w:hAnsi="Times New Roman"/>
          <w:sz w:val="24"/>
        </w:rPr>
        <w:t xml:space="preserve">), pretože negatívne vymedzuje partnera verejného sektora v ustanovení, kde to z hľadiska systematiky je nenáležité. Z vecného hľadiska však nedochádza k zmene zákonnej úpravy. Výnimka konštituovaná podľa doterajšieho znenia § 2 ods. 1 písm. d) sa len presúva do § 2 ods. 5 kam systematicky patrí. </w:t>
      </w:r>
    </w:p>
    <w:p w:rsidR="00A26A39" w:rsidRPr="001B3EA9" w:rsidRDefault="00A26A39" w:rsidP="00A26A39">
      <w:pPr>
        <w:spacing w:after="0" w:line="240" w:lineRule="auto"/>
        <w:ind w:firstLine="708"/>
        <w:jc w:val="both"/>
        <w:rPr>
          <w:rFonts w:ascii="Times New Roman" w:hAnsi="Times New Roman"/>
          <w:sz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Zmluvou sa na účely zákona naďalej rozumie nielen zmluva v ponímaní dvoj, alebo viacstranného právneho úkonu ale aj „iné právne úkony“. Ide predovšetkým o individuálne právne akty orgánu verejnej správy (najmä v podobe rozhodnutí), na základe ktorých vzniká právnickým či fyzickým osobám právo na plnenie (či už finančné</w:t>
      </w:r>
      <w:r>
        <w:rPr>
          <w:rFonts w:ascii="Times New Roman" w:hAnsi="Times New Roman"/>
          <w:sz w:val="24"/>
        </w:rPr>
        <w:t xml:space="preserve"> plnenie</w:t>
      </w:r>
      <w:r w:rsidRPr="001B3EA9">
        <w:rPr>
          <w:rFonts w:ascii="Times New Roman" w:hAnsi="Times New Roman"/>
          <w:sz w:val="24"/>
        </w:rPr>
        <w:t xml:space="preserve"> alebo plnenie vo forme majetku) s výnimkou rozhodnutí súdu či rozhodcovského orgánu. Iným právnym úkonom rozumieme tiež príklep na dražbe, ktorým (po zaplatení ceny dosiahnutej na dražbe) prechádza vlastnícke právo na vydražiteľa. Zákonné nároky, ktoré sa priznávajú fyzickým či právnickým osobám automaticky po splnení zákonných podmienok (napr. štátna prémia) nie </w:t>
      </w:r>
      <w:r w:rsidRPr="001B3EA9">
        <w:rPr>
          <w:rFonts w:ascii="Times New Roman" w:hAnsi="Times New Roman"/>
          <w:sz w:val="24"/>
        </w:rPr>
        <w:lastRenderedPageBreak/>
        <w:t xml:space="preserve">sú považované za iné právne úkony – právnym titulom je totiž v takýchto prípadoch zákon, ktorý nie je individuálnym, ale normatívnym právnym aktom. </w:t>
      </w:r>
    </w:p>
    <w:p w:rsidR="00A26A3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Pr>
          <w:rFonts w:ascii="Times New Roman" w:hAnsi="Times New Roman"/>
          <w:sz w:val="24"/>
        </w:rPr>
        <w:t>Z uvedeného vyplýva, že rovnako ako na zmluvy, tak aj na rozhodnutia a iné právne úkony sa vzťahujú primerane  následky v prípade nezapísania sa povinného subjektu do registra v zmysle § 15 ods. 2 súčasného znenia zákona, teda napríklad možnosť neplniť, čo ukladá rozhodnutie orgánu verejnej správy, napriek tomu, že bude právoplatné a vykonateľné.</w:t>
      </w:r>
    </w:p>
    <w:p w:rsidR="00A26A39" w:rsidRPr="001B3EA9" w:rsidRDefault="00A26A39" w:rsidP="00A26A39">
      <w:pPr>
        <w:spacing w:after="0" w:line="240" w:lineRule="auto"/>
        <w:ind w:firstLine="708"/>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 10 a 11 (§ 2 ods. 2 a 3)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Dochádza k precizovaniu ustanovení týkajúcich sa finančných limitov tým spôsobom, že návrh zákona v odseku 2 ustanovuje pravidlo pre posudzovanie jednorazových plnení, či už vo forme majetkového alebo finančného plnenia a odsek 3 sa vzťahuje na plnenia opakujúce sa a na plnenia poskytované partnerom verejného sektora po častiach. Na rozdiel od predchádzajúcej právnej úpravy sa  upúšťa od rozlišovania medzi plnením vo forme finančných prostriedkov (súčasný odsek 2) a majetkovým plnením (súčasný odsek 3), pretože oba spôsoby plnenia môžu byť tak jednorazové</w:t>
      </w:r>
      <w:r>
        <w:rPr>
          <w:rFonts w:ascii="Times New Roman" w:hAnsi="Times New Roman"/>
          <w:sz w:val="24"/>
        </w:rPr>
        <w:t>,</w:t>
      </w:r>
      <w:r w:rsidRPr="001B3EA9">
        <w:rPr>
          <w:rFonts w:ascii="Times New Roman" w:hAnsi="Times New Roman"/>
          <w:sz w:val="24"/>
        </w:rPr>
        <w:t xml:space="preserve"> ako aj opakujúce sa alebo čiastkové. Navrhovanými ustanoveniami tak dochádza k odstráneniu nedostatkov súčasnej právnej úpravy, zapríčinenej  absenciou limitu  v § 2 ods. 3 pre opakujúce sa majetkové plnenia.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Výška finančných limitov pri jednorazovom a opakujúcom sa (čiastkovom) plnení zostáva v oboch prípadoch zachovaná.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szCs w:val="24"/>
          <w:u w:val="single"/>
        </w:rPr>
      </w:pPr>
      <w:r w:rsidRPr="001B3EA9">
        <w:rPr>
          <w:rFonts w:ascii="Times New Roman" w:hAnsi="Times New Roman"/>
          <w:sz w:val="24"/>
          <w:szCs w:val="24"/>
          <w:u w:val="single"/>
        </w:rPr>
        <w:t>K </w:t>
      </w:r>
      <w:r w:rsidRPr="001B3EA9" w:rsidDel="00CD6239">
        <w:rPr>
          <w:rFonts w:ascii="Times New Roman" w:hAnsi="Times New Roman"/>
          <w:sz w:val="24"/>
          <w:szCs w:val="24"/>
          <w:u w:val="single"/>
        </w:rPr>
        <w:t xml:space="preserve"> </w:t>
      </w:r>
      <w:r w:rsidRPr="001B3EA9">
        <w:rPr>
          <w:rFonts w:ascii="Times New Roman" w:hAnsi="Times New Roman"/>
          <w:sz w:val="24"/>
          <w:szCs w:val="24"/>
          <w:u w:val="single"/>
        </w:rPr>
        <w:t>bod 11 (§ 2 ods. 4)</w:t>
      </w:r>
    </w:p>
    <w:p w:rsidR="00A26A39" w:rsidRPr="001B3EA9" w:rsidRDefault="00A26A39" w:rsidP="00A26A39">
      <w:pPr>
        <w:spacing w:after="0" w:line="240" w:lineRule="auto"/>
        <w:jc w:val="both"/>
        <w:rPr>
          <w:rFonts w:ascii="Times New Roman" w:hAnsi="Times New Roman"/>
          <w:sz w:val="24"/>
          <w:szCs w:val="24"/>
          <w:u w:val="single"/>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Aplikácia právnej úpravy priniesla so sebou niektoré otázky, ktoré síce možno riešiť výkladom, ale predkladateľ má za to, že ide o otázky zásadného významu, ktoré si zasluhujú normatívne ukotvenie. Na tento účel predkladateľ navrhuje zaviesť v § 2 nový ods. 4 , ktorý bude plniť funkciu výkladových pravidiel alebo zásad pri posudzovaní zmluvy resp. hodnoty plnenia uvedenej v tejto zmluve, od ktorej sa odvíja naplneni</w:t>
      </w:r>
      <w:r>
        <w:rPr>
          <w:rFonts w:ascii="Times New Roman" w:hAnsi="Times New Roman"/>
          <w:sz w:val="24"/>
          <w:szCs w:val="24"/>
        </w:rPr>
        <w:t>e</w:t>
      </w:r>
      <w:r w:rsidRPr="001B3EA9">
        <w:rPr>
          <w:rFonts w:ascii="Times New Roman" w:hAnsi="Times New Roman"/>
          <w:sz w:val="24"/>
          <w:szCs w:val="24"/>
        </w:rPr>
        <w:t xml:space="preserve"> kritéria </w:t>
      </w:r>
      <w:r w:rsidRPr="001B3EA9">
        <w:rPr>
          <w:rFonts w:ascii="Times New Roman" w:hAnsi="Times New Roman"/>
          <w:i/>
          <w:sz w:val="24"/>
          <w:szCs w:val="24"/>
        </w:rPr>
        <w:t xml:space="preserve">de </w:t>
      </w:r>
      <w:proofErr w:type="spellStart"/>
      <w:r w:rsidRPr="001B3EA9">
        <w:rPr>
          <w:rFonts w:ascii="Times New Roman" w:hAnsi="Times New Roman"/>
          <w:i/>
          <w:sz w:val="24"/>
          <w:szCs w:val="24"/>
        </w:rPr>
        <w:t>minimis</w:t>
      </w:r>
      <w:proofErr w:type="spellEnd"/>
      <w:r w:rsidRPr="001B3EA9">
        <w:rPr>
          <w:rFonts w:ascii="Times New Roman" w:hAnsi="Times New Roman"/>
          <w:i/>
          <w:sz w:val="24"/>
          <w:szCs w:val="24"/>
        </w:rPr>
        <w:t>,</w:t>
      </w:r>
      <w:r w:rsidRPr="001B3EA9">
        <w:rPr>
          <w:rFonts w:ascii="Times New Roman" w:hAnsi="Times New Roman"/>
          <w:sz w:val="24"/>
          <w:szCs w:val="24"/>
        </w:rPr>
        <w:t xml:space="preserve"> ktoré je jednou z podmienok pre zápis do registra partnerov verejného sektora. Uvedené pravidlá sa vzťahujú nielen na zmluvy s opakujúcim sa plnením, ale v zmysle § 2 ods. 2 sa primerane vzťahujú aj na zmluvy, ktoré charakterizuje plnenie jednorazové.</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a)</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Hodnotou </w:t>
      </w:r>
      <w:r>
        <w:rPr>
          <w:rFonts w:ascii="Times New Roman" w:hAnsi="Times New Roman"/>
          <w:sz w:val="24"/>
          <w:szCs w:val="24"/>
        </w:rPr>
        <w:t xml:space="preserve">plnenia zo </w:t>
      </w:r>
      <w:r w:rsidRPr="001B3EA9">
        <w:rPr>
          <w:rFonts w:ascii="Times New Roman" w:hAnsi="Times New Roman"/>
          <w:sz w:val="24"/>
          <w:szCs w:val="24"/>
        </w:rPr>
        <w:t xml:space="preserve">zmluvy sa rozumie súhrn všetkých plnení či už finančných alebo majetkových alebo ich kombinácia, pričom z hľadiska právnej istoty sa navrhuje vyjadriť, že uvedené sumy sa posudzujú vždy bez dane z pridanej hodnoty ak sa táto účtuje - teda ak je subjekt </w:t>
      </w:r>
      <w:r>
        <w:rPr>
          <w:rFonts w:ascii="Times New Roman" w:hAnsi="Times New Roman"/>
          <w:sz w:val="24"/>
          <w:szCs w:val="24"/>
        </w:rPr>
        <w:t>platiteľom</w:t>
      </w:r>
      <w:r w:rsidRPr="001B3EA9">
        <w:rPr>
          <w:rFonts w:ascii="Times New Roman" w:hAnsi="Times New Roman"/>
          <w:sz w:val="24"/>
          <w:szCs w:val="24"/>
        </w:rPr>
        <w:t xml:space="preserve"> dane z pridanej hodnoty podľa účtovných predpisov</w:t>
      </w:r>
      <w:r>
        <w:rPr>
          <w:rFonts w:ascii="Times New Roman" w:hAnsi="Times New Roman"/>
          <w:sz w:val="24"/>
          <w:szCs w:val="24"/>
        </w:rPr>
        <w:t xml:space="preserve"> </w:t>
      </w:r>
      <w:proofErr w:type="spellStart"/>
      <w:r>
        <w:rPr>
          <w:rFonts w:ascii="Times New Roman" w:hAnsi="Times New Roman"/>
          <w:sz w:val="24"/>
          <w:szCs w:val="24"/>
        </w:rPr>
        <w:t>nenavyšuje</w:t>
      </w:r>
      <w:proofErr w:type="spellEnd"/>
      <w:r>
        <w:rPr>
          <w:rFonts w:ascii="Times New Roman" w:hAnsi="Times New Roman"/>
          <w:sz w:val="24"/>
          <w:szCs w:val="24"/>
        </w:rPr>
        <w:t xml:space="preserve"> sa hodnota plnenia zo zmluvy o daň z pridanej hodnoty</w:t>
      </w:r>
      <w:r w:rsidRPr="001B3EA9">
        <w:rPr>
          <w:rFonts w:ascii="Times New Roman" w:hAnsi="Times New Roman"/>
          <w:sz w:val="24"/>
          <w:szCs w:val="24"/>
        </w:rPr>
        <w:t xml:space="preserve">. </w:t>
      </w:r>
    </w:p>
    <w:p w:rsidR="00A26A39" w:rsidRDefault="00A26A39" w:rsidP="00A26A39">
      <w:pPr>
        <w:spacing w:after="0" w:line="240" w:lineRule="auto"/>
        <w:jc w:val="both"/>
        <w:rPr>
          <w:rFonts w:ascii="Times New Roman" w:hAnsi="Times New Roman"/>
          <w:sz w:val="24"/>
          <w:szCs w:val="24"/>
        </w:rPr>
      </w:pPr>
    </w:p>
    <w:p w:rsidR="00A26A39" w:rsidRDefault="00A26A39" w:rsidP="00A26A39">
      <w:pPr>
        <w:spacing w:after="0" w:line="240" w:lineRule="auto"/>
        <w:jc w:val="both"/>
        <w:rPr>
          <w:rFonts w:ascii="Times New Roman" w:hAnsi="Times New Roman"/>
          <w:sz w:val="24"/>
          <w:szCs w:val="24"/>
        </w:rPr>
      </w:pPr>
    </w:p>
    <w:p w:rsidR="00A26A3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b)</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Problematiku viacerých subjektov, ktorých spája spoluvlastníctvo k nadobúdanému plneniu rieši navrhované pravidlo v písm. b). V praxi totiž vznikajú  situácie, kedy štát prevádza nehnuteľnosť do spoluvlastníctva pre viaceré fyzické či právnické osoby, prípadne sa stane </w:t>
      </w:r>
      <w:r w:rsidRPr="001B3EA9">
        <w:rPr>
          <w:rFonts w:ascii="Times New Roman" w:hAnsi="Times New Roman"/>
          <w:sz w:val="24"/>
          <w:szCs w:val="24"/>
        </w:rPr>
        <w:lastRenderedPageBreak/>
        <w:t>bezpodielovým spoluvlastníctvom manželov. Napriek tomu, že teória občianskeho práva sa pozerá na jednotlivé časti spoluvlastníctva ako na časti ideálne a nie reálne delené časti; na účely posudzovania povinnosti zápisu do registra je potrebné zisťovať, či pri rozdelení plnenia podľa spoluvlastníckych podielov by každý zo subjektov, ktoré tvoria zmluvnú stranu nadobudol plnenie prekračujúce finančné limity. Pokiaľ tomu tak nie je, povinnosť zápisu do registra partnerov verejného sektora nevzniká. V</w:t>
      </w:r>
      <w:r>
        <w:rPr>
          <w:rFonts w:ascii="Times New Roman" w:hAnsi="Times New Roman"/>
          <w:sz w:val="24"/>
          <w:szCs w:val="24"/>
        </w:rPr>
        <w:t> </w:t>
      </w:r>
      <w:r w:rsidRPr="001B3EA9">
        <w:rPr>
          <w:rFonts w:ascii="Times New Roman" w:hAnsi="Times New Roman"/>
          <w:sz w:val="24"/>
          <w:szCs w:val="24"/>
        </w:rPr>
        <w:t>prípade</w:t>
      </w:r>
      <w:r>
        <w:rPr>
          <w:rFonts w:ascii="Times New Roman" w:hAnsi="Times New Roman"/>
          <w:sz w:val="24"/>
          <w:szCs w:val="24"/>
        </w:rPr>
        <w:t xml:space="preserve">, ak veľkosť podielov nie je určená, alebo ich nemožno určiť </w:t>
      </w:r>
      <w:r w:rsidRPr="001B3EA9">
        <w:rPr>
          <w:rFonts w:ascii="Times New Roman" w:hAnsi="Times New Roman"/>
          <w:sz w:val="24"/>
          <w:szCs w:val="24"/>
        </w:rPr>
        <w:t>sa má za to, že podiely spoluvlastníkov sú rovnaké.</w:t>
      </w:r>
    </w:p>
    <w:p w:rsidR="00A26A39" w:rsidRPr="001B3EA9" w:rsidRDefault="00A26A39" w:rsidP="00A26A39">
      <w:pPr>
        <w:spacing w:after="0" w:line="240" w:lineRule="auto"/>
        <w:ind w:firstLine="708"/>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Odlišná situácia nastáva v prípade vlastníkov bytov a nebytových priestorov a pozemkových spoločenstiev, ktorých rovnako spája spoluvlastnícky vzťah, ale tieto subjekty sú vyňaté zo zákona podľa § 2 ods. 5 písm. m) a n)  </w:t>
      </w:r>
      <w:proofErr w:type="spellStart"/>
      <w:r w:rsidRPr="001B3EA9">
        <w:rPr>
          <w:rFonts w:ascii="Times New Roman" w:hAnsi="Times New Roman"/>
          <w:i/>
          <w:sz w:val="24"/>
          <w:szCs w:val="24"/>
        </w:rPr>
        <w:t>en</w:t>
      </w:r>
      <w:proofErr w:type="spellEnd"/>
      <w:r w:rsidRPr="001B3EA9">
        <w:rPr>
          <w:rFonts w:ascii="Times New Roman" w:hAnsi="Times New Roman"/>
          <w:i/>
          <w:sz w:val="24"/>
          <w:szCs w:val="24"/>
        </w:rPr>
        <w:t xml:space="preserve"> </w:t>
      </w:r>
      <w:proofErr w:type="spellStart"/>
      <w:r w:rsidRPr="001B3EA9">
        <w:rPr>
          <w:rFonts w:ascii="Times New Roman" w:hAnsi="Times New Roman"/>
          <w:i/>
          <w:sz w:val="24"/>
          <w:szCs w:val="24"/>
        </w:rPr>
        <w:t>bloc</w:t>
      </w:r>
      <w:proofErr w:type="spellEnd"/>
      <w:r w:rsidRPr="001B3EA9">
        <w:rPr>
          <w:rFonts w:ascii="Times New Roman" w:hAnsi="Times New Roman"/>
          <w:i/>
          <w:sz w:val="24"/>
          <w:szCs w:val="24"/>
        </w:rPr>
        <w:t>,</w:t>
      </w:r>
      <w:r w:rsidRPr="001B3EA9">
        <w:rPr>
          <w:rFonts w:ascii="Times New Roman" w:hAnsi="Times New Roman"/>
          <w:sz w:val="24"/>
          <w:szCs w:val="24"/>
        </w:rPr>
        <w:t xml:space="preserve"> to znamená, že v ich prípade k „rozpočítavaniu“ prijatého plnenia podľa podielov nedochádza.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c)</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 písm. c) sa potvrdzuje doterajší logický výklad právnej úpravy, že na účely posudzovania naplnenia finančných limitov podľa § 2 ods. 2 a 3 sa jednotlivé transakcie jedného partnera verejného sektora nesčítavajú. Uvedené možno demonštrovať na praktickom príklade: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Spoločnosť s ručením obmedzeným ma uzatvorené tri zmluvy, každú s iným subjektom verejnej správy. Každá zo zmlúv zakladá nárok na peňažné jednorazové plnenie vo výške 40 000 eur. Ani jedna zo zmlúv nezakladá povinnosť zápisu do registra keďže nie sú splnené finančné limity podľa § 2 ods. 2 a 3.</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Spoločnosť s ručením obmedzeným ma uzatvorené tri zmluvy, každú s iným subjektom verejnej správy, pričom prvá zo zmlúv zakladá jednorazové plnenie vo výške 120 000 eur, druhá vo výške 200 000 eur a tretia vo výške 50 000 eur. V tomto prípade sú v prvých dvoch situáciách splnené podmienky finančných limitov, a teda je daná povinnosť zápisu do registra.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Spoločnosť s ručením obmedzeným uzatvára tri zmluvy s rovnakým subjektom verejnej správy. Hodnota každej z uvedených zmlúv je 50 000 eur. V tomto prípade nevzniká povinnosť zápisu, plnenia z uvedených troch zmlúv sa na účely zákona nesčítavajú, napriek tomu, že ide o zmluvy uzavreté s tým istým subjektom verejnej správy, ale každá zmluva sa posudzuje samostatne.</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 xml:space="preserve">K písmenu d)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Uvedeným ustanovením sa rieši najmä problém vzniknutý v aplikačnej praxi v rámci uzavretých nájomných zmlúv, kedy štát je v pozícií prenajímateľa a fyzická alebo právnická osoba v postavení nájomcu. Častým nesprávnym výkladom zákona dochádzalo k určovaniu </w:t>
      </w:r>
      <w:r w:rsidRPr="001B3EA9">
        <w:rPr>
          <w:rFonts w:ascii="Times New Roman" w:hAnsi="Times New Roman"/>
          <w:i/>
          <w:sz w:val="24"/>
          <w:szCs w:val="24"/>
        </w:rPr>
        <w:t xml:space="preserve">de </w:t>
      </w:r>
      <w:proofErr w:type="spellStart"/>
      <w:r w:rsidRPr="001B3EA9">
        <w:rPr>
          <w:rFonts w:ascii="Times New Roman" w:hAnsi="Times New Roman"/>
          <w:i/>
          <w:sz w:val="24"/>
          <w:szCs w:val="24"/>
        </w:rPr>
        <w:t>minimis</w:t>
      </w:r>
      <w:proofErr w:type="spellEnd"/>
      <w:r w:rsidRPr="001B3EA9">
        <w:rPr>
          <w:rFonts w:ascii="Times New Roman" w:hAnsi="Times New Roman"/>
          <w:sz w:val="24"/>
          <w:szCs w:val="24"/>
        </w:rPr>
        <w:t xml:space="preserve"> hodnoty plnenia odvíjajúcej sa od hodnoty prenajímaného majetku, čo je však nesprávne. Preto sa navrhuje explicitne vyjadriť, že v prípade, ak štát poskytuje plnenie majúce majetkový charakter, posudzuje sa na účely naplnenia finančných limitov protihodnota poskytnutá fyzickou alebo právnickou osobou - teda v prípade nájomných zmlúv bude touto protihodnotou za užívanie majetku finančné plnenie v podobe nájomného. Zároveň na účely určenia hodnoty plnenia ostáva zachované výkladové pravidlo, že pokiaľ osobitný predpis (napríklad zákon č. 446/2001 Z. z. o majetku vyšších územných celkov v znení neskorších predpisov, zákon Národnej rady Slovenskej republiky č. 278/1993 Z. z. o správe majetku štátu v znení neskorších predpisov) určuje povinnosť vyhotovovať znalecký posudok pre určenie </w:t>
      </w:r>
      <w:r w:rsidRPr="001B3EA9">
        <w:rPr>
          <w:rFonts w:ascii="Times New Roman" w:hAnsi="Times New Roman"/>
          <w:sz w:val="24"/>
          <w:szCs w:val="24"/>
        </w:rPr>
        <w:lastRenderedPageBreak/>
        <w:t>všeobecnej hodnoty majetku, práv majetku, alebo iných majetkových práv, vychádza sa pri určení hodnoty zmluvy z tohto znaleckého posudku. V opačnom prípade sa vždy vychádza z hodnoty zmluvy určenej zmluvnými stranami a vyhotovenie znaleckého posudku nie je potrebné.</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e)</w:t>
      </w:r>
    </w:p>
    <w:p w:rsidR="00A26A39" w:rsidRPr="001B3EA9" w:rsidRDefault="00A26A39" w:rsidP="00A26A39">
      <w:pPr>
        <w:spacing w:after="0" w:line="240" w:lineRule="auto"/>
        <w:ind w:firstLine="708"/>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Opätovne sa nadväzuje na problém nájomných a iných zmlúv, predmetom ktorých je opakujúce sa plnenie, pri ktorých v rámci doterajšej právnej úpravy absentovalo vymedzenie</w:t>
      </w:r>
      <w:r>
        <w:rPr>
          <w:rFonts w:ascii="Times New Roman" w:hAnsi="Times New Roman"/>
          <w:sz w:val="24"/>
          <w:szCs w:val="24"/>
        </w:rPr>
        <w:t>,</w:t>
      </w:r>
      <w:r w:rsidRPr="001B3EA9">
        <w:rPr>
          <w:rFonts w:ascii="Times New Roman" w:hAnsi="Times New Roman"/>
          <w:sz w:val="24"/>
          <w:szCs w:val="24"/>
        </w:rPr>
        <w:t xml:space="preserve"> za aký čas treba posudzovať hodnoty plnenia, preto sa navrhuje vyjadriť, že toto plnenie sa posudzuje za celý čas trvania zmluvy, pričom ak zmluva predpokladá možnosť prolongácie, zavádza sa fikcia, že k nej dôjde.</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f)</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Zavádza sa účelová fikcia</w:t>
      </w:r>
      <w:r>
        <w:rPr>
          <w:rFonts w:ascii="Times New Roman" w:hAnsi="Times New Roman"/>
          <w:sz w:val="24"/>
          <w:szCs w:val="24"/>
        </w:rPr>
        <w:t>,</w:t>
      </w:r>
      <w:r w:rsidRPr="001B3EA9">
        <w:rPr>
          <w:rFonts w:ascii="Times New Roman" w:hAnsi="Times New Roman"/>
          <w:sz w:val="24"/>
          <w:szCs w:val="24"/>
        </w:rPr>
        <w:t xml:space="preserve"> že v prípade, ak obsah zmluvy predpokladá možnosť jednostranného predĺženia trvania zmluvy</w:t>
      </w:r>
      <w:r>
        <w:rPr>
          <w:rFonts w:ascii="Times New Roman" w:hAnsi="Times New Roman"/>
          <w:sz w:val="24"/>
          <w:szCs w:val="24"/>
        </w:rPr>
        <w:t>,</w:t>
      </w:r>
      <w:r w:rsidRPr="001B3EA9">
        <w:rPr>
          <w:rFonts w:ascii="Times New Roman" w:hAnsi="Times New Roman"/>
          <w:sz w:val="24"/>
          <w:szCs w:val="24"/>
        </w:rPr>
        <w:t xml:space="preserve"> k takémuto predĺženiu dôjde. </w:t>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 </w:t>
      </w: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g)</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Opätovne ide o zavedenie fikcie, pri ktorej sa má za to, že ak  zmluva obsahuje zákonné alebo iné dôvody na predčasné ukončenie zmluvy, teda v konečnom dôsledku i ukončenie čerpania plnenia predpokladaného zmluvou (napr. možnosť jednostranného odstúpenia, zrušenia zmluvy alebo výpovede...), k takýmto okolnostiam nedôjde.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h)</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Ďalšiu fikciou</w:t>
      </w:r>
      <w:r>
        <w:rPr>
          <w:rFonts w:ascii="Times New Roman" w:hAnsi="Times New Roman"/>
          <w:sz w:val="24"/>
          <w:szCs w:val="24"/>
        </w:rPr>
        <w:t>,</w:t>
      </w:r>
      <w:r w:rsidRPr="001B3EA9">
        <w:rPr>
          <w:rFonts w:ascii="Times New Roman" w:hAnsi="Times New Roman"/>
          <w:sz w:val="24"/>
          <w:szCs w:val="24"/>
        </w:rPr>
        <w:t xml:space="preserve"> v zmysle ktorej sa má zmluvný obsah vykladať</w:t>
      </w:r>
      <w:r>
        <w:rPr>
          <w:rFonts w:ascii="Times New Roman" w:hAnsi="Times New Roman"/>
          <w:sz w:val="24"/>
          <w:szCs w:val="24"/>
        </w:rPr>
        <w:t>,</w:t>
      </w:r>
      <w:r w:rsidRPr="001B3EA9">
        <w:rPr>
          <w:rFonts w:ascii="Times New Roman" w:hAnsi="Times New Roman"/>
          <w:sz w:val="24"/>
          <w:szCs w:val="24"/>
        </w:rPr>
        <w:t xml:space="preserve"> je, že v prípade, ak zmluva predpokladá navýšenie hodnoty plnenia (napríklad v dôsledku zmeny ceny jednotlivých komodít, zmeny kurzu meny v ktorej je zmluvná hodnota dohodnutá), k takémuto navýšeniu dôjde.</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i)</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Písmeno </w:t>
      </w:r>
      <w:r>
        <w:rPr>
          <w:rFonts w:ascii="Times New Roman" w:hAnsi="Times New Roman"/>
          <w:sz w:val="24"/>
          <w:szCs w:val="24"/>
        </w:rPr>
        <w:t>i</w:t>
      </w:r>
      <w:r w:rsidRPr="001B3EA9">
        <w:rPr>
          <w:rFonts w:ascii="Times New Roman" w:hAnsi="Times New Roman"/>
          <w:sz w:val="24"/>
          <w:szCs w:val="24"/>
        </w:rPr>
        <w:t>) reaguje na problematiku tzv. rámcových zmlúv, v ktorých je určená maximálna suma plnenia, pričom z uvedenej zmluvy nie je zrejmé, či táto bude skutočne poskytnutá v uvedenom rozsahu a jednotlivé plnenia sú poskytované na základe následne uzatváraných čiastkových zmlúv, v ktorých sa druh plnenia a jeho výška</w:t>
      </w:r>
      <w:r>
        <w:rPr>
          <w:rFonts w:ascii="Times New Roman" w:hAnsi="Times New Roman"/>
          <w:sz w:val="24"/>
          <w:szCs w:val="24"/>
        </w:rPr>
        <w:t>,</w:t>
      </w:r>
      <w:r w:rsidRPr="001B3EA9">
        <w:rPr>
          <w:rFonts w:ascii="Times New Roman" w:hAnsi="Times New Roman"/>
          <w:sz w:val="24"/>
          <w:szCs w:val="24"/>
        </w:rPr>
        <w:t xml:space="preserve"> ako aj parametre zákazky podrobne špecifikujú. Vychádzajúc z doterajšieho výkladu k uvedeným rámcovým zmluvám sa zavádza pravidlo, že samotné právo na poskytnutie plnenia, ktoré prekračuje </w:t>
      </w:r>
      <w:r w:rsidRPr="001B3EA9">
        <w:rPr>
          <w:rFonts w:ascii="Times New Roman" w:hAnsi="Times New Roman"/>
          <w:i/>
          <w:sz w:val="24"/>
          <w:szCs w:val="24"/>
        </w:rPr>
        <w:t xml:space="preserve">de </w:t>
      </w:r>
      <w:proofErr w:type="spellStart"/>
      <w:r w:rsidRPr="001B3EA9">
        <w:rPr>
          <w:rFonts w:ascii="Times New Roman" w:hAnsi="Times New Roman"/>
          <w:i/>
          <w:sz w:val="24"/>
          <w:szCs w:val="24"/>
        </w:rPr>
        <w:t>minimis</w:t>
      </w:r>
      <w:proofErr w:type="spellEnd"/>
      <w:r w:rsidRPr="001B3EA9">
        <w:rPr>
          <w:rFonts w:ascii="Times New Roman" w:hAnsi="Times New Roman"/>
          <w:sz w:val="24"/>
          <w:szCs w:val="24"/>
        </w:rPr>
        <w:t xml:space="preserve"> limity zakladá povinnosť zápisu do registra, bez ohľadu na to, či k vyčerpaniu tohto „rámca“ skutočne dôjde. Pokiaľ rámcovú zmluvu uzatvárajú na jednej strane so štátom viacerí účastníci zmluvy, má sa za to, že každý z týchto účastníkov je partnerom verejného sektora.</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j)</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Pr>
          <w:rFonts w:ascii="Times New Roman" w:hAnsi="Times New Roman"/>
          <w:sz w:val="24"/>
          <w:szCs w:val="24"/>
        </w:rPr>
        <w:t>Ďalšou</w:t>
      </w:r>
      <w:r w:rsidRPr="001B3EA9">
        <w:rPr>
          <w:rFonts w:ascii="Times New Roman" w:hAnsi="Times New Roman"/>
          <w:sz w:val="24"/>
          <w:szCs w:val="24"/>
        </w:rPr>
        <w:t xml:space="preserve"> fikciou, ktorú návrh v rámci výkladových pravidiel zavádza je fikcia, že pokiaľ je v zmluve určená hodnota plnenia, k poskytnutiu tejto dôjde, napriek možným korekciám alebo kráteniu plnenia v dôsledku porušenia zmluvných či zákonných povinností. Pri všetkých fikciách sa má za to, že k uvedeným skutočnostiam dôjde a v súlade s touto fikciou treba </w:t>
      </w:r>
      <w:r w:rsidRPr="001B3EA9">
        <w:rPr>
          <w:rFonts w:ascii="Times New Roman" w:hAnsi="Times New Roman"/>
          <w:sz w:val="24"/>
          <w:szCs w:val="24"/>
        </w:rPr>
        <w:lastRenderedPageBreak/>
        <w:t>postupovať pri vyhodnocovaní povinnosti zápisu do registra, prípadne pri ďalšom zotrvaní partnera verejného sektora v registri.</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k)</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Písmeno </w:t>
      </w:r>
      <w:r>
        <w:rPr>
          <w:rFonts w:ascii="Times New Roman" w:hAnsi="Times New Roman"/>
          <w:sz w:val="24"/>
          <w:szCs w:val="24"/>
        </w:rPr>
        <w:t>k</w:t>
      </w:r>
      <w:r w:rsidRPr="001B3EA9">
        <w:rPr>
          <w:rFonts w:ascii="Times New Roman" w:hAnsi="Times New Roman"/>
          <w:sz w:val="24"/>
          <w:szCs w:val="24"/>
        </w:rPr>
        <w:t xml:space="preserve">) návrhu reaguje na situáciu, kedy zmluva obsahuje možnosť uloženia zmluvných sankcií (napríklad možnosť zmluvnej pokuty, úrokov z omeškania ...). Pri takýchto zmluvách sa plnenia z uplatnených zmluvných sankcií na účely určenia </w:t>
      </w:r>
      <w:r w:rsidRPr="001B3EA9">
        <w:rPr>
          <w:rFonts w:ascii="Times New Roman" w:hAnsi="Times New Roman"/>
          <w:i/>
          <w:sz w:val="24"/>
          <w:szCs w:val="24"/>
        </w:rPr>
        <w:t xml:space="preserve">de </w:t>
      </w:r>
      <w:proofErr w:type="spellStart"/>
      <w:r w:rsidRPr="001B3EA9">
        <w:rPr>
          <w:rFonts w:ascii="Times New Roman" w:hAnsi="Times New Roman"/>
          <w:i/>
          <w:sz w:val="24"/>
          <w:szCs w:val="24"/>
        </w:rPr>
        <w:t>minimis</w:t>
      </w:r>
      <w:proofErr w:type="spellEnd"/>
      <w:r w:rsidRPr="001B3EA9">
        <w:rPr>
          <w:rFonts w:ascii="Times New Roman" w:hAnsi="Times New Roman"/>
          <w:sz w:val="24"/>
          <w:szCs w:val="24"/>
        </w:rPr>
        <w:t xml:space="preserve"> limitu neposudzujú. Sankcie, ktoré možno uložiť subjektom poberajúcim plnenia priamo zo zákona na základe rozhodnutia štátneho orgánu (napríklad z dôvodu dodatočného nesplnenia podmienok) sa zohľadnia.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l)</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ab/>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 písmene </w:t>
      </w:r>
      <w:r>
        <w:rPr>
          <w:rFonts w:ascii="Times New Roman" w:hAnsi="Times New Roman"/>
          <w:sz w:val="24"/>
          <w:szCs w:val="24"/>
        </w:rPr>
        <w:t>l</w:t>
      </w:r>
      <w:r w:rsidRPr="001B3EA9">
        <w:rPr>
          <w:rFonts w:ascii="Times New Roman" w:hAnsi="Times New Roman"/>
          <w:sz w:val="24"/>
          <w:szCs w:val="24"/>
        </w:rPr>
        <w:t xml:space="preserve">) sa zavádza pravidlo, ako posudzovať moment, ktorým vzniká povinnosť zápisu  do registra, pokiaľ v zmluve absentuje hodnota plnenia, alebo pokiaľ ak ide o zmluvu uzavretú na dobu neurčitú, kde vopred nemožno „vypočítať“, aká hodnota plnenia bude poskytnutá. V prvom prípade sa reaguje  na situáciu, že v niektorých zmluvných vzťahoch nie je možné vopred predpokladať, aká výška plnenia bude poskytnutá a táto závisí od vopred neistých skutočností. Takáto situácia v praxi nastáva napríklad pri zmluvách poskytovateľov zdravotnej starostlivosti so zdravotnou poisťovňou, ktorá sa zaväzuje poskytnúť plnenie, ktorého výška je závislá od poskytnutých úkonov zdravotnej starostlivosti (v prípade ak je zmluvnou stranou lekáreň od objemu predaných liekov či liečiv), pričom plnenie sa poskytuje viackrát do roka. V tomto prípade vzniká povinnosť zápisu  až (a zároveň najneskôr) pred poskytnutím plnenia, ktorým po sčítaní s ostatnými plneniami z uzavretej zmluvy dôjde k prekročeniu finančných limitov. Uvedené neplatí, ak pri vynaložení odbornej starostlivosti možno predpokladať, že táto hodnota plnenia bude prekročená. Odborná starostlivosť v demonštrovanom prípade znamená najmä zohľadnenie poskytovaných plnení za minulé roky, ktoré ak presiahli </w:t>
      </w:r>
      <w:r w:rsidRPr="001B3EA9">
        <w:rPr>
          <w:rFonts w:ascii="Times New Roman" w:hAnsi="Times New Roman"/>
          <w:i/>
          <w:sz w:val="24"/>
          <w:szCs w:val="24"/>
        </w:rPr>
        <w:t xml:space="preserve">de </w:t>
      </w:r>
      <w:proofErr w:type="spellStart"/>
      <w:r w:rsidRPr="001B3EA9">
        <w:rPr>
          <w:rFonts w:ascii="Times New Roman" w:hAnsi="Times New Roman"/>
          <w:i/>
          <w:sz w:val="24"/>
          <w:szCs w:val="24"/>
        </w:rPr>
        <w:t>minimis</w:t>
      </w:r>
      <w:proofErr w:type="spellEnd"/>
      <w:r w:rsidRPr="001B3EA9">
        <w:rPr>
          <w:rFonts w:ascii="Times New Roman" w:hAnsi="Times New Roman"/>
          <w:sz w:val="24"/>
          <w:szCs w:val="24"/>
        </w:rPr>
        <w:t xml:space="preserve"> limity a nepredpokladá sa zásadná zmena v činnosti daného subjektu, ktorá by mala vplyv na množstvo poskytovaných úkonov (alebo objem predaja a pod.), možno od subjektu spravodlivo požadovať, aby zápis zabezpečil už pri uzavretí takejto zmluvy bez ohľadu na finančné limity.</w:t>
      </w:r>
    </w:p>
    <w:p w:rsidR="00A26A39" w:rsidRPr="001B3EA9" w:rsidRDefault="00A26A39" w:rsidP="00A26A39">
      <w:pPr>
        <w:spacing w:after="0" w:line="240" w:lineRule="auto"/>
        <w:ind w:firstLine="708"/>
        <w:jc w:val="both"/>
        <w:rPr>
          <w:rFonts w:ascii="Times New Roman" w:hAnsi="Times New Roman"/>
          <w:sz w:val="24"/>
          <w:szCs w:val="24"/>
        </w:rPr>
      </w:pPr>
    </w:p>
    <w:p w:rsidR="00A26A3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Pri zmluvách na dobu neurčitú sa reaguje najmä na zmluvy, ktorých predmetom je opakujúce sa plnenie – ide o nájomné zmluvy, zmluvy predmetom ktorých je poskytnutie určitej opakovanej služby a pod. Rovnako ako pri zmluvách v ktorých hodnota plnenia závisí od vopred neznámej skutočnosti, plnenie pri zmluvách na dobu neurčitú závisí od doby trvania zmluvného vzťahu, ktorá je neistá. Preto povinnosť zápisu vznikne až pred poskytnutím toho plnenia, ktoré spolu s ostatnými poskytnutými plneniami prekračuje finančné limity. </w:t>
      </w:r>
    </w:p>
    <w:p w:rsidR="00A26A39" w:rsidRDefault="00A26A39" w:rsidP="00A26A39">
      <w:pPr>
        <w:spacing w:after="0" w:line="240" w:lineRule="auto"/>
        <w:ind w:firstLine="708"/>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m)</w:t>
      </w:r>
    </w:p>
    <w:p w:rsidR="00A26A39" w:rsidRPr="001B3EA9" w:rsidRDefault="00A26A39" w:rsidP="00A26A39">
      <w:pPr>
        <w:spacing w:after="0" w:line="240" w:lineRule="auto"/>
        <w:jc w:val="both"/>
        <w:rPr>
          <w:rFonts w:ascii="Times New Roman" w:hAnsi="Times New Roman"/>
          <w:sz w:val="24"/>
          <w:szCs w:val="24"/>
          <w:u w:val="single"/>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Ostáva zachované a explicitne sa vyjadruje doterajšie pravidlo, že pokiaľ ide o štátnu pomoc, ktorej výšku nemožno </w:t>
      </w:r>
      <w:r>
        <w:rPr>
          <w:rFonts w:ascii="Times New Roman" w:hAnsi="Times New Roman"/>
          <w:sz w:val="24"/>
          <w:szCs w:val="24"/>
        </w:rPr>
        <w:t xml:space="preserve">v čase jej poskytnutia </w:t>
      </w:r>
      <w:r w:rsidRPr="001B3EA9">
        <w:rPr>
          <w:rFonts w:ascii="Times New Roman" w:hAnsi="Times New Roman"/>
          <w:sz w:val="24"/>
          <w:szCs w:val="24"/>
        </w:rPr>
        <w:t>určiť, vzniká povinnosť zápisu do registra partnerov verejného sektora vždy bez ohľadu na to, či následne poskytnutá štátna pomoc prekročí finančné limity</w:t>
      </w:r>
      <w:r>
        <w:rPr>
          <w:rFonts w:ascii="Times New Roman" w:hAnsi="Times New Roman"/>
          <w:sz w:val="24"/>
          <w:szCs w:val="24"/>
        </w:rPr>
        <w:t xml:space="preserve"> alebo nie</w:t>
      </w:r>
      <w:r w:rsidRPr="001B3EA9">
        <w:rPr>
          <w:rFonts w:ascii="Times New Roman" w:hAnsi="Times New Roman"/>
          <w:sz w:val="24"/>
          <w:szCs w:val="24"/>
        </w:rPr>
        <w:t xml:space="preserve">. Uvedené pravidlo zároveň predstavuje výnimku z pravidla uvedeného v písmene l), ktoré sa pri týchto zmluvách nepoužije. </w:t>
      </w:r>
    </w:p>
    <w:p w:rsidR="00A26A39" w:rsidRPr="001B3EA9" w:rsidRDefault="00A26A39" w:rsidP="00A26A39">
      <w:pPr>
        <w:spacing w:after="0" w:line="240" w:lineRule="auto"/>
        <w:jc w:val="both"/>
        <w:rPr>
          <w:rFonts w:ascii="Times New Roman" w:hAnsi="Times New Roman"/>
          <w:sz w:val="24"/>
          <w:szCs w:val="24"/>
          <w:u w:val="single"/>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lastRenderedPageBreak/>
        <w:t xml:space="preserve">K písmenu n)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V písmene n) sa zavádza osobitné pravidlo pri zmluvách, ktorých predmetom je opakujúce sa plnenie a zmluvnými stranami tejto zmluvy sú poskytovateľ zdravotnej starostlivosti a zdravotná poisťovňa, ktorých vzťahy sa spravujú osobitným predpisom  ktorým je zákon č. 581/2004 Z. z. o zdravotných poisťovniach, dohľade nad zdravotnou starostlivosťou a o zmene a doplnení niektorých zákonov v znení neskorších predpisov (ďalej len „zákon č. 581/2004 Z. z. ). Pri uvedených subjektoch dochádza k uzatváraniu zmlúv majúcich charakter rámcových zmlúv, často na viacročné obdobie, predmetom ktorých je opakujúce sa plnenie, ktoré je však vyplácané v niektorých prípadoch viackrát ročne, pričom je závislé od neistých skutočností (ako je uvedené v odôvodnení k písm. m). Pri uvedených zmluvách je dôvodné zachovať posudzovanie hodnoty zmluvy vždy len v rámci konkrétneho kalendárneho roka, nie počas celej doby trvania zmluvy, ako je ustanovené v § 2 ods. 4 písm. e). Zásada uvedená v tomto písmene sa teda uplatní namiesto zásady v § 2 ods. 4 písm. e), avšak len v prípadoch, ak ide o zmluvu uzavretú podľa osobitného predpisu (zákon č. 581/2004 Z. z.)</w:t>
      </w:r>
    </w:p>
    <w:p w:rsidR="00A26A39" w:rsidRPr="001B3EA9" w:rsidRDefault="00A26A39" w:rsidP="00A26A39">
      <w:pPr>
        <w:spacing w:after="0" w:line="240" w:lineRule="auto"/>
        <w:jc w:val="both"/>
        <w:rPr>
          <w:rFonts w:ascii="Times New Roman" w:hAnsi="Times New Roman"/>
          <w:sz w:val="24"/>
          <w:szCs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bodom 12 až 15 (všeobecne)</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Ako vyplýva z predchádzajúceho textu, zámerom predkladateľa je systematicky oddeliť pojmové vymedzenie partnera verejného sektora a negatívne vymedzenie tohto pojmu. Na tento účel sa výnimky z definičného vymedzenia partnera verejného sektora sústreďujú do § 2 ods. 5. </w:t>
      </w:r>
    </w:p>
    <w:p w:rsidR="00A26A39" w:rsidRPr="001B3EA9" w:rsidRDefault="00A26A39" w:rsidP="00A26A39">
      <w:pPr>
        <w:spacing w:after="0" w:line="240" w:lineRule="auto"/>
        <w:ind w:firstLine="708"/>
        <w:jc w:val="both"/>
        <w:rPr>
          <w:rFonts w:ascii="Times New Roman" w:hAnsi="Times New Roman"/>
          <w:sz w:val="24"/>
          <w:szCs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szCs w:val="24"/>
        </w:rPr>
        <w:t>V rámci uvedeného ustanovenia ostáva zachovaná výnimka z povinnosti zápisu pre subjekty neziskového sektora (okrem prípadu ak vstupujú do verejného obstarávania alebo nadobúdajú majetok nad limity), pričom zákonodarca naďalej uvedené subjekty v zákone nevypočítava. V podmienkach Slovenskej republiky však medzi tieto subjekty patria najmä občianske združenia, neziskové organizácie poskytujúce všeobecne prospešné služby, nadácie, neinvestičné fondy, miestne akčné skupiny, ale aj cirkvi či náboženské spoločnosti, pričom „</w:t>
      </w:r>
      <w:proofErr w:type="spellStart"/>
      <w:r w:rsidRPr="001B3EA9">
        <w:rPr>
          <w:rFonts w:ascii="Times New Roman" w:hAnsi="Times New Roman"/>
          <w:sz w:val="24"/>
          <w:szCs w:val="24"/>
        </w:rPr>
        <w:t>neziskovosť</w:t>
      </w:r>
      <w:proofErr w:type="spellEnd"/>
      <w:r w:rsidRPr="001B3EA9">
        <w:rPr>
          <w:rFonts w:ascii="Times New Roman" w:hAnsi="Times New Roman"/>
          <w:sz w:val="24"/>
          <w:szCs w:val="24"/>
        </w:rPr>
        <w:t xml:space="preserve">“ uvedených subjektov sa musí prejavovať v ich činnosti v podobe zabezpečovania verejnoprospešných aktivít alebo služieb, prípadne zabezpečovania potrieb svojich členov, pričom i účel založenia týchto subjektov bol iný ako na „dosahovanie zisku“. </w:t>
      </w:r>
      <w:r w:rsidRPr="001B3EA9">
        <w:rPr>
          <w:rFonts w:ascii="Times New Roman" w:hAnsi="Times New Roman"/>
          <w:sz w:val="24"/>
        </w:rPr>
        <w:t xml:space="preserve">Zároveň, vzhľadom na nežiadúcu prax orgánov verejnej moci je potrebné na tomto mieste poukázať i na všeobecný zákaz orgánov verejnej moci požadovať od subjektov požívajúcich výnimku z povinnosti zápisu tieto údaje preukazovať (napr. na podklade čestných vyhlásení, výpisov, stanovísk od Ministerstva spravodlivosti alebo iných subjektov a pod.). Povinnosť zisťovať, či uvedený subjekt požíva výnimku z povinnosti zápisu do registra má orgán verejnej moci. </w:t>
      </w:r>
    </w:p>
    <w:p w:rsidR="00A26A3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12 [§ 2 ods. 5 písm. a) a b]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 prípade doplnenia nového písmena a) do § 2 ods. 5 nejde o novú právnu úpravu, ale ide len o presunutie subjektu verejného sektora priamo do výnimiek v § 2 ods. 5 zákona.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Rešpektujúc zásadu, že zákon nedopadá na vzťahy G2G sa navrhuje zaradiť verejné podniky medzi tie subjekty, ktoré nebudú mať postavenie partnera verejného sektora, hoci sú inak splnené parametre pozitívneho vymedzenia partnera verejného sektora podľa § 2 ods. 1 písm. a). Táto výnimka však nebude platiť pri transakciách, ktoré sú výsledkom verejného </w:t>
      </w:r>
      <w:r w:rsidRPr="001B3EA9">
        <w:rPr>
          <w:rFonts w:ascii="Times New Roman" w:hAnsi="Times New Roman"/>
          <w:sz w:val="24"/>
        </w:rPr>
        <w:lastRenderedPageBreak/>
        <w:t>obstarávania, a teda verejný podnik, ktorý bude uzatvárať zmluvu, ktorá je výsledkom verejného obstarávania bude mať povinnosť zápisu do registra partnerov verejného sektora.  Uvedený konštrukt sa zdá vhodným z toho dôvodu, že pokiaľ verejný podnik v postavení úspešného uchádzača uzatvára zmluvu s verejným obstarávateľom alebo obstarávateľom nemal by byť oproti ostatným úspešným uchádzačom uzatvárajúcom zmluvy oslobodený od povinnosti zápisu v zmysle § 11 ods. 1 zákona</w:t>
      </w:r>
      <w:r>
        <w:rPr>
          <w:rFonts w:ascii="Times New Roman" w:hAnsi="Times New Roman"/>
          <w:sz w:val="24"/>
        </w:rPr>
        <w:t xml:space="preserve"> č. 343/2015 Z. z.</w:t>
      </w:r>
      <w:r w:rsidRPr="001B3EA9">
        <w:rPr>
          <w:rFonts w:ascii="Times New Roman" w:hAnsi="Times New Roman"/>
          <w:sz w:val="24"/>
        </w:rPr>
        <w:t xml:space="preserve"> o verejnom obstarávaní </w:t>
      </w:r>
      <w:r>
        <w:rPr>
          <w:rFonts w:ascii="Times New Roman" w:hAnsi="Times New Roman"/>
          <w:sz w:val="24"/>
        </w:rPr>
        <w:t xml:space="preserve"> </w:t>
      </w:r>
      <w:r w:rsidRPr="001B3EA9">
        <w:rPr>
          <w:rFonts w:ascii="Times New Roman" w:hAnsi="Times New Roman"/>
          <w:sz w:val="24"/>
        </w:rPr>
        <w:t>a</w:t>
      </w:r>
      <w:r>
        <w:rPr>
          <w:rFonts w:ascii="Times New Roman" w:hAnsi="Times New Roman"/>
          <w:sz w:val="24"/>
        </w:rPr>
        <w:t> o zmene a doplnení niektorých zákonov v znení neskorších predpisov,</w:t>
      </w:r>
      <w:r w:rsidRPr="001B3EA9">
        <w:rPr>
          <w:rFonts w:ascii="Times New Roman" w:hAnsi="Times New Roman"/>
          <w:sz w:val="24"/>
        </w:rPr>
        <w:t xml:space="preserve"> teda nemal by mať výhodnejšie podmienky súťaže oproti ostatným súťažiteľom, resp. nižšie náklady spojené so súťažou vo verejnom obstarávaní.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13 [§ 2 ods. 5 písm. c)]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Uvedený odsek predstavuje legislatívno-technickú úpravu súvisiacu so zjednotením pojmov „všeobecná hodnota“, „hodnota“ a pojmom „suma“  jednotným pojmom „hodnota plnenia“ a tiež so skutočnosťou, že majetkové plnenie môže byť poskytované tak vo forme jednorazového plnenia (§ 2 ods. 2), ako aj vo forme opakujúceho sa (čiastkového) plnenia (§ 2 ods. 3).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14 [§ 2 ods. 5 písm. d)]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Cieľom uvedenej právnej úpravy je vyňať z pôsobnosti zákona „finančný sektor“ pri výkone činnosti, ktorá v podstate rovnako ako pri verejných podnikoch tvorí ich „</w:t>
      </w:r>
      <w:proofErr w:type="spellStart"/>
      <w:r w:rsidRPr="001B3EA9">
        <w:rPr>
          <w:rFonts w:ascii="Times New Roman" w:hAnsi="Times New Roman"/>
          <w:sz w:val="24"/>
        </w:rPr>
        <w:t>core</w:t>
      </w:r>
      <w:proofErr w:type="spellEnd"/>
      <w:r w:rsidRPr="001B3EA9">
        <w:rPr>
          <w:rFonts w:ascii="Times New Roman" w:hAnsi="Times New Roman"/>
          <w:sz w:val="24"/>
        </w:rPr>
        <w:t xml:space="preserve"> business“, resp. v prípade, kde tieto subjekty sú pri svojej činnosti regulované a dohliadané </w:t>
      </w:r>
      <w:r w:rsidRPr="001B3EA9">
        <w:rPr>
          <w:rFonts w:ascii="Times New Roman" w:hAnsi="Times New Roman"/>
          <w:sz w:val="24"/>
          <w:szCs w:val="24"/>
        </w:rPr>
        <w:t>Národnou bankou Slovenska, Európskou centrálnou bankou alebo príslušným zahraničným orgánom dohľadu</w:t>
      </w:r>
      <w:r>
        <w:rPr>
          <w:rFonts w:ascii="Times New Roman" w:hAnsi="Times New Roman"/>
          <w:sz w:val="24"/>
          <w:szCs w:val="24"/>
        </w:rPr>
        <w:t>,</w:t>
      </w:r>
      <w:r w:rsidRPr="001B3EA9">
        <w:rPr>
          <w:rFonts w:ascii="Times New Roman" w:hAnsi="Times New Roman"/>
          <w:sz w:val="24"/>
          <w:szCs w:val="24"/>
        </w:rPr>
        <w:t xml:space="preserve"> pričom samotný dohľad nad týmito subjektami je v mnohých aspektoch prísnejší a</w:t>
      </w:r>
      <w:r>
        <w:rPr>
          <w:rFonts w:ascii="Times New Roman" w:hAnsi="Times New Roman"/>
          <w:sz w:val="24"/>
          <w:szCs w:val="24"/>
        </w:rPr>
        <w:t> </w:t>
      </w:r>
      <w:r w:rsidRPr="001B3EA9">
        <w:rPr>
          <w:rFonts w:ascii="Times New Roman" w:hAnsi="Times New Roman"/>
          <w:sz w:val="24"/>
          <w:szCs w:val="24"/>
        </w:rPr>
        <w:t>rozsiahlejší</w:t>
      </w:r>
      <w:r>
        <w:rPr>
          <w:rFonts w:ascii="Times New Roman" w:hAnsi="Times New Roman"/>
          <w:sz w:val="24"/>
          <w:szCs w:val="24"/>
        </w:rPr>
        <w:t>,</w:t>
      </w:r>
      <w:r w:rsidRPr="001B3EA9">
        <w:rPr>
          <w:rFonts w:ascii="Times New Roman" w:hAnsi="Times New Roman"/>
          <w:sz w:val="24"/>
          <w:szCs w:val="24"/>
        </w:rPr>
        <w:t xml:space="preserve"> ako ustanovuje režim tohto zákona</w:t>
      </w:r>
      <w:r>
        <w:rPr>
          <w:rFonts w:ascii="Times New Roman" w:hAnsi="Times New Roman"/>
          <w:sz w:val="24"/>
          <w:szCs w:val="24"/>
        </w:rPr>
        <w:t>,</w:t>
      </w:r>
      <w:r w:rsidRPr="001B3EA9">
        <w:rPr>
          <w:rFonts w:ascii="Times New Roman" w:hAnsi="Times New Roman"/>
          <w:sz w:val="24"/>
          <w:szCs w:val="24"/>
        </w:rPr>
        <w:t xml:space="preserve"> a preto sa povinnosť zápisu pre tieto subjekty javí nadbytočná a zaťažujúca pri výkone ich činnosti.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szCs w:val="24"/>
          <w:u w:val="single"/>
        </w:rPr>
      </w:pPr>
      <w:r w:rsidRPr="001B3EA9">
        <w:rPr>
          <w:rFonts w:ascii="Times New Roman" w:hAnsi="Times New Roman"/>
          <w:sz w:val="24"/>
          <w:szCs w:val="24"/>
          <w:u w:val="single"/>
        </w:rPr>
        <w:t xml:space="preserve">K bodu 15 [§ 2 ods. 5 písm. h) až o)]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h)</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Navrhované doplnenie § 2 ods. 5 o nové písmeno h) vylúči z pôsobnosti zákona tie subjekty, ktoré vstupujú do zmluvných vzťahov s verejnými podnikmi v rámci bežného obchodného styku a hlavnej ekonomickej činnosti týchto verejných podnikov. Dôvodom pre túto právnu úpravu je zohľadnenie faktu, že verejné podniky pôsobia častokrát v rámci konkurenčného prostredia, kde povinnosť zápisu do registra partnerov verejného sektora môže spôsobovať nerovnaké postavenie súťažiteľov na trhu. V tomto prípade je dôležitým práve parameter bežného obchodného styku a hlavnej ekonomickej činnosti podniku. Pod pojmom „bežný obchodný styk“ v danom kontexte treba rozumieť s ohľadom na obsah uvedeného pojmu v rámci zákona o slobode informácií v znení neskorších  predpisov zmluvné vzťahy, ktoré vznikajú v rozsahu predmetu podnikania alebo činnosti verejného podniku  zapísanej v obchodnom registri alebo v inej úradnej evidencii s fyzickou osobou, ktorá nie je podnikateľom. V praxi ide o také zmluvy, na základe ktorých partner verejného sektora v pozícií dodávateľa poskytuje fyzickým osobám - spotrebiteľom na uspokojenie ich potrieb, resp. potrieb domácnosti tovary a služby.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písmenám i) a j)</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lastRenderedPageBreak/>
        <w:t xml:space="preserve">Návrh zákona zavádza výnimku pre majiteľov finančných nástrojov, ktorí majú právo na výplatu určitých finančných nástrojov, v prípadoch, keď emisiu takýchto finančných nástrojov vykonali alebo sprostredkovali priamo banky, pobočky zahraničných bánk alebo obdobné finančné inštitúcie, prípadne pokiaľ tieto finančné nástroje sú obchodované na regulovanom trhu, alebo boli na tento trh prijaté do 6 mesiacov od ich vydania.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Zavedenie uvedenej výnimky vychádza z dôvodov,  ktoré viedli zákonodarcu pre zavedenie oslobodenia od povinnosti zápisu pre banky či pobočky zahraničných bánk pri prijímaní plnení z úveru či pôžičky, rovnako ako z dôvodov pre zavedenie výnimky pre Agentúru pre riadenie dlhu a likvidity a Národnú banku Slovenska  pri novele zákona.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 súčasnosti nastavená právna úprava znamená pre subjekty, ktoré chcú získať dlhové  financovanie prostredníctvom emisie dlhopisov na finančných trhoch (ďalej len „dotknuté subjekty“) rovnakú prekážku v získaní tohto dlhového financovania, ako bola identifikovaná pri Agentúre pre riadenie dlhu a likvidity; zahraniční aj domáci majitelia takýchto dlhopisov (investori), ktorí budú mať právo na splatenie menovitej hodnoty a výplatu príslušného úrokového výnosu z dlhopisov, a ktorých môže byť veľké množstvo, formálne napĺňajú definičné znaky partnera verejného sektora a majú povinnosť zápisu do registra.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Dlhové financovanie prostredníctvom vydávania dlhopisov predstavuje progresívny a významný nástroj na získavanie nových zdrojov za komerčne a právne výhodných podmienok, ktoré v prípade financovania prostredníctvom bankových úverov často nie je možné dosiahnuť.</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Rovnaká povinnosť sa podľa zákona vzťahuje aj na majiteľov už existujúcich dlhopisov, ktoré boli do dnešného dňa dotknutými subjektmi vydané, a ktorí majú rovnako právo na výplatu úrokového výnosu a splatenie ich menovitej hodnoty.</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Porovnávajúc dlhové financovanie s poskytovaním úverov priamo bankou, ktorého následné splácanie požíva výnimku z povinnosti zápisu podľa § 2 ods. 5 písm. b) zákona možno konštatovať, že spôsob získavania finančných prostriedkov prostredníctvom emisií dlhopisov, keď poverené finančné inštitúcie priamo upíšu, alebo sprostredkujú upísanie alebo umiestenie dlhopisov vydávaných určitým subjektom, je po ekonomickej stránke analogický s poskytnutím úveru priamo bankou, líši sa len v právnej konštrukcii záväzku vrátiť dlžnú sumu spolu s príslušným úrokom, keď namiesto jednotlivo identifikovanej banky, ktorá je štandardne veriteľom celého záväzku pri úvere, sú pri vydaných dlhopisoch veriteľmi jednotliví majitelia dlhopisov. V zmysle § 2 ods. 5 písm. b) zákona partnerom verejného sektora nie je „banka a pobočka zahraničnej banky, ak prijíma finančné prostriedky“ ... „od právnickej osoby zriadenej zákonom ... na účely splnenia záväzku z úveru alebo pôžičky“. Vzhľadom na analogickosť s bežným bankovým úverovým financovaním neexistuje relevantný dôvod na to, aby sa zákon aplikoval aj na emisie dlhopisov dotknutými subjektmi.</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Ponechaním uplatňovania povinnosti zápisu zároveň vzniká pre investorov do dlhových cenných papierov, ktorými sú nezriedka renomovaní inštitucionálni investori a nebankové finančné inštitúcie veľká administratívna záťaž. V rámci </w:t>
      </w:r>
      <w:r>
        <w:rPr>
          <w:rFonts w:ascii="Times New Roman" w:hAnsi="Times New Roman"/>
          <w:sz w:val="24"/>
          <w:szCs w:val="24"/>
        </w:rPr>
        <w:t>Európskej únie</w:t>
      </w:r>
      <w:r w:rsidRPr="001B3EA9">
        <w:rPr>
          <w:rFonts w:ascii="Times New Roman" w:hAnsi="Times New Roman"/>
          <w:sz w:val="24"/>
          <w:szCs w:val="24"/>
        </w:rPr>
        <w:t xml:space="preserve"> sa podobné registračné povinnosti neuplatňujú, čo v praxi znamená, že dlhové cenné papiere dotknutých subjektov budú neatraktívne a na domácich</w:t>
      </w:r>
      <w:r>
        <w:rPr>
          <w:rFonts w:ascii="Times New Roman" w:hAnsi="Times New Roman"/>
          <w:sz w:val="24"/>
          <w:szCs w:val="24"/>
        </w:rPr>
        <w:t>,</w:t>
      </w:r>
      <w:r w:rsidRPr="001B3EA9">
        <w:rPr>
          <w:rFonts w:ascii="Times New Roman" w:hAnsi="Times New Roman"/>
          <w:sz w:val="24"/>
          <w:szCs w:val="24"/>
        </w:rPr>
        <w:t xml:space="preserve"> ako aj na medzinárodných finančných trhoch, budú ťažšie predateľné, resp. na zvýšenie dopytu po nich sa budú musieť zrejme ponúkať za atraktívnejší (vyšší) výnos pre investorov. Dlhové cenné papiere dotknutých subjektov sa tak dostanú do značnej nevýhody oproti cenným papierom iných slovenských a zahraničných subjektov, čo zároveň poškodzuje aj záujmy Slovenskej republiky, pretože skupinu dotknutých subjektov </w:t>
      </w:r>
      <w:r w:rsidRPr="001B3EA9">
        <w:rPr>
          <w:rFonts w:ascii="Times New Roman" w:hAnsi="Times New Roman"/>
          <w:sz w:val="24"/>
          <w:szCs w:val="24"/>
        </w:rPr>
        <w:lastRenderedPageBreak/>
        <w:t xml:space="preserve">tvoria v súčasnosti rôzne strategické podniky pôsobiace v sektore dopravy, výstavby či energetiky v ktorých si zároveň štát ponechal majetkovú účasť.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Naviac, emisie dlhových cenných papierov sú štandardne zabezpečované v spolupráci s finančnými inštitúciami za podmienok aktuálne prevládajúcich na (domácom aj medzinárodnom) finančnom trhu a tak, ako neexistoval verejný záujem na tom, aby tieto transakcie podliehali režimu verejného obstarávania, neexistuje legitímny záujem na tom, aby boli ako partneri verejného sektora registrovaní aranžéri predaja a následne majitelia takýchto dlhových cenných papierov, ktorí sa, na rozdiel od bežného bankového úverového financovania, môžu v priebehu životnosti týchto cenných papierov niekoľkokrát zmeniť.</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 zmysle vyššie uvedeného plynie záver, že ďalšie aplikovanie zákona na dlhopisy vydávané dotknutými subjektmi môže výrazným spôsobom skomplikovať ich dlhodobé financovanie a mať priamy dopad na ich činnosť a preto sa navrhuje, bez toho aby bol zmarený legitímny účel zákona, doplnenie uvedenej výnimky do negatívneho vymedzenia partnera verejného sektora.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k)</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Body 1 a 2</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V tomto prípade ide skôr o legislatívno-technickú zmenu, pričom nejde o novú právnu úpravu. Výnimka vytvorená zákonom č. 38/2017 Z. z., ktorým sa dopĺňa zákon č. 315/2016 Z. z. o registri partnerov verejného sektora a o zmene a doplnení niektorých zákonov zostáva zachovaná z hľadiska jej obsahu, dochádza však k zmene jej zaradenia v systematike zákona. To znamená, že transakcie vykonávané Agentúrou pre riadenie dlhu a likvidity a Národnou bankou Slovenska zostávajú naďalej vyňaté z režimu zákona, pričom z hľadiska úplnosti dochádza k zakotveniu, že vyňaté sú jednak zmluvy, do ktorých vstupujú fyzické a právnické osoby a druhým účastníkom je Agentúra pre riadenie dlhu a likvidity, ale aj iné transakcie vykonávané Agentúrou pre riadenie dlhu a likvidity podľa osobitného predpisu (pozri odôvodnenie k písm. k) bodu 6).</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 xml:space="preserve">Bod 3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Návrh zákona zavádza výnimku z povinnosti zápisu pre fyzické a právnické osoby, ktoré uzatvárajú zmluvu so Slovenskou záručnou a rozvojovou bankou, a. s. pri výkone jej činnosti podľa zákona č. 483/2001 Z. z. o bankách a o zmene a doplnení niektorých zákonov v znení neskorších predpisov</w:t>
      </w:r>
      <w:r>
        <w:rPr>
          <w:rFonts w:ascii="Times New Roman" w:hAnsi="Times New Roman"/>
          <w:sz w:val="24"/>
          <w:szCs w:val="24"/>
        </w:rPr>
        <w:t xml:space="preserve"> (ďalej len „zákon o bankách“)</w:t>
      </w:r>
      <w:r w:rsidRPr="001B3EA9">
        <w:rPr>
          <w:rFonts w:ascii="Times New Roman" w:hAnsi="Times New Roman"/>
          <w:sz w:val="24"/>
          <w:szCs w:val="24"/>
        </w:rPr>
        <w:t xml:space="preserve">.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Pre pochopenie zavedenia výnimky pre zmluvné vzťahy s uvedeným subjektom je potrebné pochopiť najmä význam Slovenskej záručnej a rozvojovej banky, a. s. na trhu, ktorým je v súlade s hospodárskou politikou podpora podnikania</w:t>
      </w:r>
      <w:r>
        <w:rPr>
          <w:rFonts w:ascii="Times New Roman" w:hAnsi="Times New Roman"/>
          <w:sz w:val="24"/>
          <w:szCs w:val="24"/>
        </w:rPr>
        <w:t>,</w:t>
      </w:r>
      <w:r w:rsidRPr="001B3EA9">
        <w:rPr>
          <w:rFonts w:ascii="Times New Roman" w:hAnsi="Times New Roman"/>
          <w:sz w:val="24"/>
          <w:szCs w:val="24"/>
        </w:rPr>
        <w:t xml:space="preserve"> predovšetkým malého a stredného podnikania poľnohospodárskych subjektov; financovanie miest a obcí a obnova bytových domov. Činnosť uvedeného subjektu vrátane uzatvárania rôznych typov kontraktov podlieha vysokej miere transparentnosti, ktorá je zabezpečená predovšetkým dodržiavaním právnych predpisov – najmä zákona o</w:t>
      </w:r>
      <w:r>
        <w:rPr>
          <w:rFonts w:ascii="Times New Roman" w:hAnsi="Times New Roman"/>
          <w:sz w:val="24"/>
          <w:szCs w:val="24"/>
        </w:rPr>
        <w:t> </w:t>
      </w:r>
      <w:r w:rsidRPr="001B3EA9">
        <w:rPr>
          <w:rFonts w:ascii="Times New Roman" w:hAnsi="Times New Roman"/>
          <w:sz w:val="24"/>
          <w:szCs w:val="24"/>
        </w:rPr>
        <w:t>bankách</w:t>
      </w:r>
      <w:r>
        <w:rPr>
          <w:rFonts w:ascii="Times New Roman" w:hAnsi="Times New Roman"/>
          <w:sz w:val="24"/>
          <w:szCs w:val="24"/>
        </w:rPr>
        <w:t>,</w:t>
      </w:r>
      <w:r w:rsidRPr="001B3EA9">
        <w:rPr>
          <w:rFonts w:ascii="Times New Roman" w:hAnsi="Times New Roman"/>
          <w:sz w:val="24"/>
          <w:szCs w:val="24"/>
        </w:rPr>
        <w:t xml:space="preserve"> Obchodným zákonníkom, zákonom č. 747/2004 Z. z. o dohľade nad finančným trhom v znení neskorších predpisov a pod., rovnako ako monitoringom zo strany Národnej banky Slovenska, Najvyššieho kontrolného úradu SR, Úradu pre verejné obstarávanie SR, Ministerstva financií SR, Finančnej spravodajskej jednotky a pod., pričom </w:t>
      </w:r>
      <w:r w:rsidRPr="001B3EA9">
        <w:rPr>
          <w:rFonts w:ascii="Times New Roman" w:hAnsi="Times New Roman"/>
          <w:sz w:val="24"/>
          <w:szCs w:val="24"/>
        </w:rPr>
        <w:lastRenderedPageBreak/>
        <w:t>uvedená skutočnosť prispieva k argumentácií pre vyňatie subjektov uzatvárajúcich zmluvy so Slovenskou záručnou a rozvojovou bankou, a. s. z režimu zákona.</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Ďalším podstatným dôvodom, pre ktorý sa navrhuje zúženie pôsobnosti zákona je najmä to, že je nutné zohľadniť postavenie Slovenskej záručnej a rozvojovej banky, a. s. ako banky na konkurenčnom trhu, v rámci ktorého dochádza zo strany klienta pri výbere k hodnoteniu výšky nákladov na bankové služby, pričom povinná registrácia klientov stavia Slovenskú záručnú a rozvojovú banku, a. s do nevýhodnejšej pozície a to z dôvodu zvýšenia nákladov aj časovej náročnosti na poskytovanie jej produktov. Predmetná situácia sa pritom zvlášť citlivo dotýka malých a stredných podnikateľov, na podporu ktorých je banka zriadená. Tým, že klienti Slovenskej záručnej a rozvojovej banky, a. s.  sa v zmysle súčasnej právnej úpravy musia zapisovať do registra, čo znamená zvýšené náklady na poskytnuté úvery či iné finančné služby (napr. </w:t>
      </w:r>
      <w:proofErr w:type="spellStart"/>
      <w:r w:rsidRPr="001B3EA9">
        <w:rPr>
          <w:rFonts w:ascii="Times New Roman" w:hAnsi="Times New Roman"/>
          <w:sz w:val="24"/>
          <w:szCs w:val="24"/>
        </w:rPr>
        <w:t>prefinancovanie</w:t>
      </w:r>
      <w:proofErr w:type="spellEnd"/>
      <w:r w:rsidRPr="001B3EA9">
        <w:rPr>
          <w:rFonts w:ascii="Times New Roman" w:hAnsi="Times New Roman"/>
          <w:sz w:val="24"/>
          <w:szCs w:val="24"/>
        </w:rPr>
        <w:t xml:space="preserve"> priamych platieb), stávajú sa podmienky, za ktorých Slovenská záručná a rozvojová banka, a. s. tieto finančné služby poskytuje reálne menej výhodnými, čo je v rozpore s významom činnosti Slovenskej záručnej a rozvojovej banky, a. s.</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Okrem uvedeného Slovenská záručná a rozvojová banka, a. s. za účelom zabezpečovania svojej likvidity, zhodnocovania svojich zdrojov a dodržiavania bankovej legislatívy musí vykonávať tzv. medzibankové obchody na finančných trhoch. Tieto obchody sa dojednávajú špecifickým spôsobom podľa individuálnych potrieb banky v danom čase a na dennej báze, podľa situácie na finančnom trhu, preto je nevyhnutné, aby banka mala neobmedzený prístup k finančnému trhu, </w:t>
      </w:r>
      <w:r>
        <w:rPr>
          <w:rFonts w:ascii="Times New Roman" w:hAnsi="Times New Roman"/>
          <w:sz w:val="24"/>
          <w:szCs w:val="24"/>
        </w:rPr>
        <w:t>keďže</w:t>
      </w:r>
      <w:r w:rsidRPr="001B3EA9">
        <w:rPr>
          <w:rFonts w:ascii="Times New Roman" w:hAnsi="Times New Roman"/>
          <w:sz w:val="24"/>
          <w:szCs w:val="24"/>
        </w:rPr>
        <w:t xml:space="preserve"> ide o promptné obchody, ktoré nie je možné vopred plánovať. Opätovne možno poukázať na analogickú výnimku pre Agentúru pre riadenie dlhu a likvidity, ktorú zaviedla novela zákona č. 38/2017 Z. z.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Vzhľadom na vyššie uvedené, pôsobí súčasná právna úprava negatívne na konkurencieschopnosť Slovenskej záručnej a rozvojovej banky, a. s. i jej hospodársky výsledok, čo zapríčiňuje odliv klientov, ktorí nemajú záujem o finančné produkty</w:t>
      </w:r>
      <w:r>
        <w:rPr>
          <w:rFonts w:ascii="Times New Roman" w:hAnsi="Times New Roman"/>
          <w:sz w:val="24"/>
          <w:szCs w:val="24"/>
        </w:rPr>
        <w:t>,</w:t>
      </w:r>
      <w:r w:rsidRPr="001B3EA9">
        <w:rPr>
          <w:rFonts w:ascii="Times New Roman" w:hAnsi="Times New Roman"/>
          <w:sz w:val="24"/>
          <w:szCs w:val="24"/>
        </w:rPr>
        <w:t xml:space="preserve"> s ktorými sa spája povinnosť zápisu do registra. Preto sa navrhuje vyňatie FO a PO vstupujúcich do zmluvných vzťahov, ktoré vznikajú pri bankovej činnosti z povinnosti zápisu do registra partnerov verejného sektora.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Bod 4</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Ďalšou výnimkou, ktorá sa ustanovuje pre kontrakty v rámci finančného trhu, sú zmluvné vzťahy, ktorých účastníkom je Exportno-importná banka Slovenskej republiky a ktoré vznikajú pri jej činnosti podľa zákona č. 80/1997 Z. z. o Exportno-importnej banke Slovenskej republiky v znení neskorších predpisov. Medzi základné úlohy Exportno-importnej banky Slovenskej republiky patrí podpora zahraničnoobchodných operácií vývozcov a dovozcov so zámerom zvýšiť konkurencieschopnosť tuzemských tovarov a služieb a podpora vzájomnej výmeny Slovenskej republiky so zahraničím. Za týmto účelom vykonáva banka najmä: financovanie vývozných a dovozných úverov, poisťovanie vývozných úverov a zaisťovanie vývozných úverov, poskytovanie záruk a iné činnosti špecifikované v zákone. Vo vzťahu k vymedzeným činnostiam vznikajú nasledovné argumenty pre vyňatie z režimu zákona:</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Pri financovaní vývozných úverov vzniká obdobná situácia, ako je popísaná v prípade klientov Slovenskej záručnej a rozvojovej banky, a. s. Klienti, resp. žiadatelia o tieto úvery sú predovšetkým malí a strední podnikatelia, ktorých náklady na zápis do registra, dosahujú často až 50</w:t>
      </w:r>
      <w:r>
        <w:rPr>
          <w:rFonts w:ascii="Times New Roman" w:hAnsi="Times New Roman"/>
          <w:sz w:val="24"/>
          <w:szCs w:val="24"/>
        </w:rPr>
        <w:t xml:space="preserve"> </w:t>
      </w:r>
      <w:r w:rsidRPr="001B3EA9">
        <w:rPr>
          <w:rFonts w:ascii="Times New Roman" w:hAnsi="Times New Roman"/>
          <w:sz w:val="24"/>
          <w:szCs w:val="24"/>
        </w:rPr>
        <w:t xml:space="preserve">% </w:t>
      </w:r>
      <w:r>
        <w:rPr>
          <w:rFonts w:ascii="Times New Roman" w:hAnsi="Times New Roman"/>
          <w:sz w:val="24"/>
          <w:szCs w:val="24"/>
        </w:rPr>
        <w:t>–</w:t>
      </w:r>
      <w:r w:rsidRPr="001B3EA9">
        <w:rPr>
          <w:rFonts w:ascii="Times New Roman" w:hAnsi="Times New Roman"/>
          <w:sz w:val="24"/>
          <w:szCs w:val="24"/>
        </w:rPr>
        <w:t xml:space="preserve"> 100</w:t>
      </w:r>
      <w:r>
        <w:rPr>
          <w:rFonts w:ascii="Times New Roman" w:hAnsi="Times New Roman"/>
          <w:sz w:val="24"/>
          <w:szCs w:val="24"/>
        </w:rPr>
        <w:t xml:space="preserve"> </w:t>
      </w:r>
      <w:r w:rsidRPr="001B3EA9">
        <w:rPr>
          <w:rFonts w:ascii="Times New Roman" w:hAnsi="Times New Roman"/>
          <w:sz w:val="24"/>
          <w:szCs w:val="24"/>
        </w:rPr>
        <w:t>% sumy poistného</w:t>
      </w:r>
      <w:r>
        <w:rPr>
          <w:rFonts w:ascii="Times New Roman" w:hAnsi="Times New Roman"/>
          <w:sz w:val="24"/>
          <w:szCs w:val="24"/>
        </w:rPr>
        <w:t>.</w:t>
      </w:r>
      <w:r w:rsidRPr="001B3EA9">
        <w:rPr>
          <w:rFonts w:ascii="Times New Roman" w:hAnsi="Times New Roman"/>
          <w:sz w:val="24"/>
          <w:szCs w:val="24"/>
        </w:rPr>
        <w:t xml:space="preserve"> V dôsledku  toho  sa znižuje atraktívnosť poistenia pohľadávok vývozcu </w:t>
      </w:r>
      <w:r>
        <w:rPr>
          <w:rFonts w:ascii="Times New Roman" w:hAnsi="Times New Roman"/>
          <w:sz w:val="24"/>
          <w:szCs w:val="24"/>
        </w:rPr>
        <w:t>o</w:t>
      </w:r>
      <w:r w:rsidRPr="001B3EA9">
        <w:rPr>
          <w:rFonts w:ascii="Times New Roman" w:hAnsi="Times New Roman"/>
          <w:sz w:val="24"/>
          <w:szCs w:val="24"/>
        </w:rPr>
        <w:t xml:space="preserve">proti komerčným a politickým rizikám, v dôsledku čoho môžu </w:t>
      </w:r>
      <w:r w:rsidRPr="001B3EA9">
        <w:rPr>
          <w:rFonts w:ascii="Times New Roman" w:hAnsi="Times New Roman"/>
          <w:sz w:val="24"/>
          <w:szCs w:val="24"/>
        </w:rPr>
        <w:lastRenderedPageBreak/>
        <w:t>vývozcovia prípadne upustiť od samotného poistenia a tým následne ohrozovať ich exportné i podnikateľské aktivity, pretože by sa tým vystavili neprimeranému podnikateľskému riziku.</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Taktiež je  potrebné uviesť, že klientami Exportno-importnej banky Slovenskej republiky sú okrem podnikateľov aj finančné inštitúcie (banky, zaisťovne) a zahraničné subjekty, pre ktoré registrácia v registri predstavuje neprimeranú a v prípade zahraničných subjektov aj ťažko realizovateľnú požiadavku, čo môže mať negatívny vplyv na samotné fungovanie Exportno-importnej banky Slovenskej republiky, najmä v prípade, ak uzavretie záväzkového vzťahu (napríklad so zahraničnou zaisťovňou) je prioritne v záujme Exportno-importnej banky Slovenskej republiky a nie v záujme subjektu, ktorý má registračnú povinnosť. Mimoriadne dôležité pre fungovanie Exportno-importnej banky Slovenskej republiky je jej postavenie v rámci zaisťovacích vzťahov, pričom vzhľadom na to, že v podmienkach Slovenskej republiky prakticky  trh zaisťovania vývozných úverov neexistuje, niet inej možnosti ako realizovať zabezpečovanie týchto zmluvných vzťahov so zahraničnými subjektami. Keďže vzhľadom na celkovú  poistnú angažovanosť zahraničných subjektov sa pre tieto subjekty javia zmluvné vzťahy s Exportno-importnou bankou Slovenskej republiky ako zanedbateľné, je nepravdepodobné, že splnia povinnosť zápisu do registra partnerov verejného sektora, bez ktorého však nemôže dôjsť k uzavretiu zmluvy. Následkom neuzavretia týchto druhov zmlúv je potom nemožnosť poskytovania poistenia krátkodobých vývozných dodávateľských úverov a/alebo poistenie krátkodobých pohľadávok vývozu, ktoré možno zaisťovať na medzinárodnom </w:t>
      </w:r>
      <w:proofErr w:type="spellStart"/>
      <w:r w:rsidRPr="001B3EA9">
        <w:rPr>
          <w:rFonts w:ascii="Times New Roman" w:hAnsi="Times New Roman"/>
          <w:sz w:val="24"/>
          <w:szCs w:val="24"/>
        </w:rPr>
        <w:t>zaisťovateľskom</w:t>
      </w:r>
      <w:proofErr w:type="spellEnd"/>
      <w:r w:rsidRPr="001B3EA9">
        <w:rPr>
          <w:rFonts w:ascii="Times New Roman" w:hAnsi="Times New Roman"/>
          <w:sz w:val="24"/>
          <w:szCs w:val="24"/>
        </w:rPr>
        <w:t xml:space="preserve"> trhu súkromného úverového poistenia.</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Vzhľadom na vyššie uvedené je preukázané, že ponechaním povinnosti registrácie pre  fyzické a právnické osoby vstupujúce do spomínaných zmluvných vzťahov je vážne ohrozená činnosť Exportno-importnej banky Slovenskej republiky, či už voči klientom alebo na medzinárodnom finančnom trhu, na čo sa reaguje zavedením uvedenej výnimky.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 xml:space="preserve">Bod 5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Poslednou výnimkou viažucou sa k poskytovaniu finančných služieb sú zmluvné vzťahy, ktorých účastníkom je Štátna pokladnica. Navrhuje sa ustanoviť výnimka pre Štátnu pokladnicu, ktorá môže v prípadoch potreby uzatvárať zmluvy alebo robiť právne úkony, na základe ktorých sa osoba, ktorá prijme finančné prostriedky v zmysle zákona alebo nadobudne majetok, práva k majetku alebo iné majetkové práva, v prípade, ak ide o poskytovanie finančných služieb alebo platobných služieb v pôsobnosti Štátnej pokladnice podľa zákona č. 291/2002 Z. z. o Štátnej pokladnici a o zmene a doplnení niektorých zákonov v znení neskorších predpisov (ďalej len „zákon č. 291/2002 Z. z. “), nepovažuje za partnera verejného sektora.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Na základe § 6 zákona č. 291/2002 Z. z. Štátna pokladnica zriaďuje účty Štátnej pokladnice v Európskej centrálnej banke, Národnej banke Slovenska, inej centrálnej banke, ktorá je súčasťou Európskeho systému centrálnych bánk, banke, pobočke zahraničnej banky alebo v zahraničnej banke, ktorá má sídlo na území členského štátu Európskej únie alebo iného zmluvného štátu Európskeho hospodárskeho priestoru a ktorá požíva výhody jedného bankového povolenia podľa práva Európskej únie. V zmysle § 21 ods. 1 a 2 zákona č. 291/2002 Z. z. na vykonávanie tuzemských prevodov a cezhraničných prevodov Štátnou pokladnicou na zmluvnom základe vedie Európska centrálna banka, Národná banka Slovenska, iná centrálna banka, ktorá je súčasťou Európskeho systému centrálnych bánk, banka alebo pobočka zahraničnej banky, alebo zahraničná banka so sídlom v členskom štáte pre Štátnu pokladnicu účty v eurách vrátane zúčtovacieho účtu na krytie a plnenie záväzkov z účasti v platobnom systéme podľa osobitných predpisov a účty v cudzích menách vrátane účtu prostriedkov </w:t>
      </w:r>
      <w:r w:rsidRPr="001B3EA9">
        <w:rPr>
          <w:rFonts w:ascii="Times New Roman" w:hAnsi="Times New Roman"/>
          <w:sz w:val="24"/>
          <w:szCs w:val="24"/>
        </w:rPr>
        <w:lastRenderedPageBreak/>
        <w:t xml:space="preserve">Európskych spoločenstiev, ktorých zostatky sa evidujú na jedinom účte. Na vykonávanie cezhraničných prevodov Štátnou pokladnicou na zmluvnom základe vedie Európska centrálna banka, Národná banka Slovenska, iná centrálna banka, ktorá je súčasťou Európskeho systému centrálnych bánk, banka, pobočka zahraničnej banky alebo zahraničná banka so sídlom v členskom štáte pre Štátnu pokladnicu účty v eurách a účty v cudzích menách, ktorých zostatky sa evidujú na jedinom účte. Práva, povinnosti a podmienky pri poskytovaní platobných služieb, ako aj účasť v platobných systémoch upravuje zákon č. 492/2009 Z. z. o platobných službách a o zmene a doplnení niektorých zákonov v znení neskorších predpisov podľa právne záväzných aktov Európskej únie, nariadení Európskeho parlamentu a Rady Európskej únie z dôvodu jednotného uplatňovania legislatívneho rámca v celej Európskej únii a tiež v záujme toho, aby sa predišlo odlišným prístupom k platobným službám v jednotlivých členských štátoch s cieľom ďalej rozvíjať spoločné </w:t>
      </w:r>
      <w:proofErr w:type="spellStart"/>
      <w:r w:rsidRPr="001B3EA9">
        <w:rPr>
          <w:rFonts w:ascii="Times New Roman" w:hAnsi="Times New Roman"/>
          <w:sz w:val="24"/>
          <w:szCs w:val="24"/>
        </w:rPr>
        <w:t>celoúniové</w:t>
      </w:r>
      <w:proofErr w:type="spellEnd"/>
      <w:r w:rsidRPr="001B3EA9">
        <w:rPr>
          <w:rFonts w:ascii="Times New Roman" w:hAnsi="Times New Roman"/>
          <w:sz w:val="24"/>
          <w:szCs w:val="24"/>
        </w:rPr>
        <w:t xml:space="preserve"> platobné služby a podporovať jednotnú oblasť platieb v eurách (Single Euro </w:t>
      </w:r>
      <w:proofErr w:type="spellStart"/>
      <w:r w:rsidRPr="001B3EA9">
        <w:rPr>
          <w:rFonts w:ascii="Times New Roman" w:hAnsi="Times New Roman"/>
          <w:sz w:val="24"/>
          <w:szCs w:val="24"/>
        </w:rPr>
        <w:t>Payments</w:t>
      </w:r>
      <w:proofErr w:type="spellEnd"/>
      <w:r w:rsidRPr="001B3EA9">
        <w:rPr>
          <w:rFonts w:ascii="Times New Roman" w:hAnsi="Times New Roman"/>
          <w:sz w:val="24"/>
          <w:szCs w:val="24"/>
        </w:rPr>
        <w:t xml:space="preserve"> </w:t>
      </w:r>
      <w:proofErr w:type="spellStart"/>
      <w:r w:rsidRPr="001B3EA9">
        <w:rPr>
          <w:rFonts w:ascii="Times New Roman" w:hAnsi="Times New Roman"/>
          <w:sz w:val="24"/>
          <w:szCs w:val="24"/>
        </w:rPr>
        <w:t>Area</w:t>
      </w:r>
      <w:proofErr w:type="spellEnd"/>
      <w:r w:rsidRPr="001B3EA9">
        <w:rPr>
          <w:rFonts w:ascii="Times New Roman" w:hAnsi="Times New Roman"/>
          <w:sz w:val="24"/>
          <w:szCs w:val="24"/>
        </w:rPr>
        <w:t xml:space="preserve"> – SEPA).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 prípade neustanovenia navrhnutej výnimky by vzhľadom na vyššie uvedené nemohla Štátna pokladnica plne vykonávať svoju pôsobnosť v zmysle zákona a hrozil by tým aj vznik škody veľkého rozsahu pre Slovenskú republiku.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Pre všetky navrhované body ustanovenia § 2 ods. 5 písm. k) ostáva spoločným to, že uvedená výnimka z povinnosti zápisu neplatí v prípade, ak sa uzatvára zmluva</w:t>
      </w:r>
      <w:r>
        <w:rPr>
          <w:rFonts w:ascii="Times New Roman" w:hAnsi="Times New Roman"/>
          <w:sz w:val="24"/>
          <w:szCs w:val="24"/>
        </w:rPr>
        <w:t>,</w:t>
      </w:r>
      <w:r w:rsidRPr="001B3EA9">
        <w:rPr>
          <w:rFonts w:ascii="Times New Roman" w:hAnsi="Times New Roman"/>
          <w:sz w:val="24"/>
          <w:szCs w:val="24"/>
        </w:rPr>
        <w:t xml:space="preserve"> ktorá je výsledkom verejného obstarávania.  K zavedeniu uvedeného obmedzenia platnosti výnimky dochádza z obdobného dôvodu, ako tomu je v prípade verejných podnikov (pozri odôvodnenie k bodu 12 [§ 2 ods. 5 písm. b)]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Bod 6</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Medzi výnimky z povinnosti zápisu sa naďalej radia transakcie Agentúry pre riadenie dlhu a likvidity pri výkone jej činnosti podľa osobitného predpisu, ktorým je </w:t>
      </w:r>
      <w:r w:rsidRPr="001B3EA9">
        <w:rPr>
          <w:rFonts w:ascii="Times New Roman" w:hAnsi="Times New Roman"/>
          <w:sz w:val="24"/>
          <w:szCs w:val="24"/>
          <w:shd w:val="clear" w:color="auto" w:fill="FAFAFA"/>
        </w:rPr>
        <w:t xml:space="preserve">zákon č. 291/2002 Z. z. . Uvedená výnimka pre </w:t>
      </w:r>
      <w:r w:rsidRPr="001B3EA9">
        <w:rPr>
          <w:rFonts w:ascii="Times New Roman" w:hAnsi="Times New Roman"/>
          <w:sz w:val="24"/>
          <w:szCs w:val="24"/>
        </w:rPr>
        <w:t xml:space="preserve">Agentúru pre riadenie dlhu a likvidity </w:t>
      </w:r>
      <w:r w:rsidRPr="001B3EA9">
        <w:rPr>
          <w:rFonts w:ascii="Times New Roman" w:hAnsi="Times New Roman"/>
          <w:sz w:val="24"/>
          <w:szCs w:val="24"/>
          <w:shd w:val="clear" w:color="auto" w:fill="FAFAFA"/>
        </w:rPr>
        <w:t xml:space="preserve"> bola zavedená už zákonom č. 38/2017 Z. z., ktorým sa dopĺňa zákon č. 315/2016 Z. z. o registri partnerov verejného sektora a o zmene a doplnení niektorých zákonov. Pre úplnosť treba dodať, že pre zmluvné vzťahy, ktorými účastníkom je Agentúra pre riadenie dlhu a likvidity ale aj Štátna pokladnica (bod 5), </w:t>
      </w:r>
      <w:r w:rsidRPr="001B3EA9">
        <w:rPr>
          <w:rFonts w:ascii="Times New Roman" w:hAnsi="Times New Roman"/>
          <w:sz w:val="24"/>
          <w:szCs w:val="24"/>
        </w:rPr>
        <w:t>Exportno-importná banka (bod 4) a Slovenská záručná a rozvojová banka, a. s. (bod 3) ostáva spoločným, že zmluvní partneri (resp. dodávatelia tovarov a služieb) v prípade, ak ide o zmluvu uzavretú v režime verejného obstarávania ostávajú naďalej povinnými zapísať sa do registra partnerov verejného sektora. Vyňatie zmluvných transakcií vyššie spomenutých subjektov sa týka len „</w:t>
      </w:r>
      <w:proofErr w:type="spellStart"/>
      <w:r w:rsidRPr="001B3EA9">
        <w:rPr>
          <w:rFonts w:ascii="Times New Roman" w:hAnsi="Times New Roman"/>
          <w:sz w:val="24"/>
          <w:szCs w:val="24"/>
        </w:rPr>
        <w:t>core</w:t>
      </w:r>
      <w:proofErr w:type="spellEnd"/>
      <w:r w:rsidRPr="001B3EA9">
        <w:rPr>
          <w:rFonts w:ascii="Times New Roman" w:hAnsi="Times New Roman"/>
          <w:sz w:val="24"/>
          <w:szCs w:val="24"/>
        </w:rPr>
        <w:t xml:space="preserve"> </w:t>
      </w:r>
      <w:proofErr w:type="spellStart"/>
      <w:r w:rsidRPr="001B3EA9">
        <w:rPr>
          <w:rFonts w:ascii="Times New Roman" w:hAnsi="Times New Roman"/>
          <w:sz w:val="24"/>
          <w:szCs w:val="24"/>
        </w:rPr>
        <w:t>bussines</w:t>
      </w:r>
      <w:proofErr w:type="spellEnd"/>
      <w:r w:rsidRPr="001B3EA9">
        <w:rPr>
          <w:rFonts w:ascii="Times New Roman" w:hAnsi="Times New Roman"/>
          <w:sz w:val="24"/>
          <w:szCs w:val="24"/>
        </w:rPr>
        <w:t>-u“ týchto finančných inštitúcií obdobne</w:t>
      </w:r>
      <w:r>
        <w:rPr>
          <w:rFonts w:ascii="Times New Roman" w:hAnsi="Times New Roman"/>
          <w:sz w:val="24"/>
          <w:szCs w:val="24"/>
        </w:rPr>
        <w:t>,</w:t>
      </w:r>
      <w:r w:rsidRPr="001B3EA9">
        <w:rPr>
          <w:rFonts w:ascii="Times New Roman" w:hAnsi="Times New Roman"/>
          <w:sz w:val="24"/>
          <w:szCs w:val="24"/>
        </w:rPr>
        <w:t xml:space="preserve"> ako je tomu v prípade verejných podnikov.</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 xml:space="preserve">Bod 7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Navrhuje sa vyňatie finančných sprostredkovateľov z režimu zákona v prípade, ak sú účastníkmi zmluvy uzatváranej na podklade osobitného predpisu, ktorým je zákon č. 323/2015 Z. z. o finančných nástrojoch financovaných z európskych štrukturálnych a investičných fondov a o zmene a doplnení niektorých zákonov v znení zákona č. 112/2018 Z. z. (ďalej len </w:t>
      </w:r>
      <w:r>
        <w:rPr>
          <w:rFonts w:ascii="Times New Roman" w:hAnsi="Times New Roman"/>
          <w:sz w:val="24"/>
          <w:szCs w:val="24"/>
        </w:rPr>
        <w:t>„</w:t>
      </w:r>
      <w:r w:rsidRPr="001B3EA9">
        <w:rPr>
          <w:rFonts w:ascii="Times New Roman" w:hAnsi="Times New Roman"/>
          <w:sz w:val="24"/>
          <w:szCs w:val="24"/>
        </w:rPr>
        <w:t>zákon č. 323/2015 Z. z.</w:t>
      </w:r>
      <w:r>
        <w:rPr>
          <w:rFonts w:ascii="Times New Roman" w:hAnsi="Times New Roman"/>
          <w:sz w:val="24"/>
          <w:szCs w:val="24"/>
        </w:rPr>
        <w:t>“</w:t>
      </w:r>
      <w:r w:rsidRPr="001B3EA9">
        <w:rPr>
          <w:rFonts w:ascii="Times New Roman" w:hAnsi="Times New Roman"/>
          <w:sz w:val="24"/>
          <w:szCs w:val="24"/>
        </w:rPr>
        <w:t>). Finančný sprostredkovateľ je právnickou osobou, ktorá je v zmysle uvedeného zákona poverená prijímateľom vykonaním finančných nástrojom na základe uzavretej zmluvy. Prijímateľ finančných nástrojov sa totiž podľa § 14 ods. 2 zákona č. 323/2015 Z. z. môže rozhodnúť, že finančné nástroje</w:t>
      </w:r>
      <w:r>
        <w:rPr>
          <w:rFonts w:ascii="Times New Roman" w:hAnsi="Times New Roman"/>
          <w:sz w:val="24"/>
          <w:szCs w:val="24"/>
        </w:rPr>
        <w:t>,</w:t>
      </w:r>
      <w:r w:rsidRPr="001B3EA9">
        <w:rPr>
          <w:rFonts w:ascii="Times New Roman" w:hAnsi="Times New Roman"/>
          <w:sz w:val="24"/>
          <w:szCs w:val="24"/>
        </w:rPr>
        <w:t xml:space="preserve"> na ktoré prijíma príspevok na základe zmluvy uzavretej s poskytovateľom príspevku, bude vykonávať priamo alebo prostredníctvom </w:t>
      </w:r>
      <w:r w:rsidRPr="001B3EA9">
        <w:rPr>
          <w:rFonts w:ascii="Times New Roman" w:hAnsi="Times New Roman"/>
          <w:sz w:val="24"/>
          <w:szCs w:val="24"/>
        </w:rPr>
        <w:lastRenderedPageBreak/>
        <w:t>finančného sprostredkovateľa. V prípade sprostredkovaného vykonávania finančných nástrojov poskytovateľ príspevku poskytuje tento príspevok na základe zmluvy priamo finančnému sprostredkovateľovi. Finančný sprostredkovateľ tak napriek tomu, že tieto prostriedky len sprostredkúva a vykonáva, sa v zmysle definície partnera verejného sektora môže po naplnení ostatných definičných znakov (najmä</w:t>
      </w:r>
      <w:r w:rsidRPr="001B3EA9">
        <w:rPr>
          <w:rFonts w:ascii="Times New Roman" w:hAnsi="Times New Roman"/>
          <w:i/>
          <w:sz w:val="24"/>
          <w:szCs w:val="24"/>
        </w:rPr>
        <w:t xml:space="preserve"> de </w:t>
      </w:r>
      <w:proofErr w:type="spellStart"/>
      <w:r w:rsidRPr="001B3EA9">
        <w:rPr>
          <w:rFonts w:ascii="Times New Roman" w:hAnsi="Times New Roman"/>
          <w:i/>
          <w:sz w:val="24"/>
          <w:szCs w:val="24"/>
        </w:rPr>
        <w:t>minimis</w:t>
      </w:r>
      <w:proofErr w:type="spellEnd"/>
      <w:r w:rsidRPr="001B3EA9">
        <w:rPr>
          <w:rFonts w:ascii="Times New Roman" w:hAnsi="Times New Roman"/>
          <w:i/>
          <w:sz w:val="24"/>
          <w:szCs w:val="24"/>
        </w:rPr>
        <w:t xml:space="preserve"> </w:t>
      </w:r>
      <w:r w:rsidRPr="001B3EA9">
        <w:rPr>
          <w:rFonts w:ascii="Times New Roman" w:hAnsi="Times New Roman"/>
          <w:sz w:val="24"/>
          <w:szCs w:val="24"/>
        </w:rPr>
        <w:t>limitov)  ocitnúť v pozícií partnera verejného sektora s povinnosťou zápisu do registra, pričom z hľadiska účelu zákona nie je vhodné ani dôvodné viazať povinnosť zápisu i na finančných sprostredkovateľov, ktorí uvedené prostriedky neprijímajú „na svoj účet“</w:t>
      </w:r>
      <w:r>
        <w:rPr>
          <w:rFonts w:ascii="Times New Roman" w:hAnsi="Times New Roman"/>
          <w:sz w:val="24"/>
          <w:szCs w:val="24"/>
        </w:rPr>
        <w:t>,</w:t>
      </w:r>
      <w:r w:rsidRPr="001B3EA9">
        <w:rPr>
          <w:rFonts w:ascii="Times New Roman" w:hAnsi="Times New Roman"/>
          <w:sz w:val="24"/>
          <w:szCs w:val="24"/>
        </w:rPr>
        <w:t xml:space="preserve"> ale „na účet prijímateľa“ – finančný sprostredkovateľ je totiž v zmysle § 14 ods. 4 zákona č. 323/2015 Z. z. povinný poskytnúť pri vykonaní finančných nástrojov finančné prostriedky konečnému prijímateľovi. </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 xml:space="preserve"> </w:t>
      </w: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l)</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 xml:space="preserve"> </w:t>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Navrhuje sa vyňatie z režimu zákona pre poskytovateľov zdravotnej starostlivosti v zahraničí, pokiaľ nejde o subjekt vykonávajúci na území Slovenskej republiky podnikateľskú činnosť. Títo poskytovatelia síce nemajú uzavretú zmluvu o poskytovaní zdravotnej starostlivosti so zdravotnou poisťovňou, ale podľa § 2 ods. 1 písm. a) bodu 1 zákona prijímajú plnenia zo zdravotného poistenia. Zavedenie uvedenej výnimky je legitímne z dôvodu, že odmietnutím zápisu zahraničného poskytovateľa zdravotnej starostlivosti do registra môže dôjsť k odmietnutiu preplatenia prostriedkov zo strany slovenskej zdravotnej poisťovne,  napr. v prípade plánovaného úkonu zdravotnej starostlivosti v zahraničí (rôzne druhy operácií), prípadne k odmietnutiu preplatenia samotným poistencom poskytnutých prostriedkov pre zahraničného poskytovateľa zdravotnej starostlivosti v prípade, ak v zahraničí dôjde k poskytnutiu neodkladnej zdravotnej starostlivosti, čo v konečnom dôsledku spôsobí nechcený negatívny dopad na život či zdravie poistencov, ktorým uvedené úkony zdravotnej starostlivosti nemusia byť poskytnuté, prípadne náklady na </w:t>
      </w:r>
      <w:proofErr w:type="spellStart"/>
      <w:r w:rsidRPr="001B3EA9">
        <w:rPr>
          <w:rFonts w:ascii="Times New Roman" w:hAnsi="Times New Roman"/>
          <w:sz w:val="24"/>
          <w:szCs w:val="24"/>
        </w:rPr>
        <w:t>ne</w:t>
      </w:r>
      <w:proofErr w:type="spellEnd"/>
      <w:r w:rsidRPr="001B3EA9">
        <w:rPr>
          <w:rFonts w:ascii="Times New Roman" w:hAnsi="Times New Roman"/>
          <w:sz w:val="24"/>
          <w:szCs w:val="24"/>
        </w:rPr>
        <w:t xml:space="preserve"> budú musieť vynaložiť z vlastných financií. Vo všeobecnosti však naďalej platí, že nezapísanie sa poskytovateľa zdravotnej starostlivosti nerobí neplatnú zmluvu medzi týmto subjektom a zdravotnou poisťovňou. Až moment  od uzavretia zmluvy so zdravotnou poisťovňou v kumulácií s presiahnutím finančných limitov  ustanovených zákonom robia poskytovateľa zdravotnej starostlivosti povinným zapísať sa do registra.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m)</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Partnerom verejného sektora v zmysle návrhu zákona nie sú vlastníci bytov a nebytových priestorov prijímajúci plnenia, ktorými dochádza k čerpaniu verejných zdrojov. Partnerom nie je ani spoločenstvo vlastníkov bytov a nebytových priestorov, ani</w:t>
      </w:r>
      <w:r>
        <w:rPr>
          <w:rFonts w:ascii="Times New Roman" w:hAnsi="Times New Roman"/>
          <w:sz w:val="24"/>
          <w:szCs w:val="24"/>
        </w:rPr>
        <w:t xml:space="preserve"> </w:t>
      </w:r>
      <w:r w:rsidRPr="001B3EA9">
        <w:rPr>
          <w:rFonts w:ascii="Times New Roman" w:hAnsi="Times New Roman"/>
          <w:sz w:val="24"/>
          <w:szCs w:val="24"/>
        </w:rPr>
        <w:t xml:space="preserve">správca konajúci v mene vlastníkov, pokiaľ uzatvárajú zmluvu, na základe ktorej dochádza k čerpaniu verejných zdrojov. Právne postavenie vlastníkov bytov a nebytových priestorov v zmysle zákona  č. 182/1993 Z. z. o vlastníctve bytov a nebytových priestorov v znení neskorších predpisov (ďalej len „zákon č. 182/1993 Z. z.“) je pritom špecifické. Nadobudnutím vlastníctva k bytu vlastník bytu zo zákona nadobúda tiež spoluvlastnícky podiel na spoločných častiach domu, na spoločných zariadeniach domu a na príslušenstve a spoluvlastnícky podiel na pozemku zastavanom domom a na priľahlom pozemku. Uvedené spoluvlastníctvo má na rozdiel od podielového spoluvlastníctva v zmysle Občianskeho zákonníka charakter „nerozlučnosti“. Vlastníctvo nie je možné oddeliť od spoluvlastníctva, prechádza na vlastníka spolu s predmetom vlastníctva. Ak  by  sa  vlastníci  dohodli  napríklad  na  odpredaji  niektorej  časti  domu  na  podnikateľské  účely,  ich  spoluvlastnícky  podiel  sa  zmenší,  avšak nikdy  nezanikne. Podľa zákona č.182/1993 Z. z. si na  správu  domu môžu vlastníci bytov a nebytových priestorov  zriadiť  spoločenstvo, alebo môžu uzavrieť zmluvu o výkone správy </w:t>
      </w:r>
      <w:r w:rsidRPr="001B3EA9">
        <w:rPr>
          <w:rFonts w:ascii="Times New Roman" w:hAnsi="Times New Roman"/>
          <w:sz w:val="24"/>
          <w:szCs w:val="24"/>
        </w:rPr>
        <w:lastRenderedPageBreak/>
        <w:t xml:space="preserve">s inou právnickou osobou alebo fyzickou osobou ako  správcom,  ktorým  môže  byť  predovšetkým  bytové  družstvo.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Na účely udržiavania či opráv spoločných bytového domu ponúka zákon                                                        č. 443/2010 Z. z.  o dotáciách na rozvoj bývania a o sociálnom bývaní v znení neskorších predpisov v súlade s ustanoveniami zákona č. 150/2013 Z. z.  o Štátnom fonde rozvoja bývania v znení neskorších predpisov, možnosť čerpania podpory na obnovu bytového domu, modernizáciou alebo rekonštrukciou spoločných častí bytového domu a spoločných zariadení bytového domu, prípadne na obstaranie bytového či nájomného bytu (v prípade existujúceho bytu) prístavbami či inými stavebnými úpravami. Žiadateľmi o túto podporu môže byť podľa § 7 ods. 1 písm. d) a e) tohto zákona spoločenstvo vlastníkov bytov a nebytových priestorov v bytovom dome alebo vlastníci bytov a nebytových priestorov v bytovom dome zastúpení správcom, ktorý vykonáva správu bytového domu na základe zmluvy o výkone správy uzatvorenej podľa zákona č. 182/1993 Z. z. </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Z uvedeného vyplýva, že pokiaľ vlastníci bytov a nebytových priestorov čerpajú uvedené prostriedky, zmluvnou stranou nie sú samotní vlastníci podľa podielov, ktorých výšku určuje zákon č. 182/1993 Z. z., ale zmluvnou stranou je spoločenstvo, prípadne správca zastupujúci vlastníkov bytov. Z hľadiska formálneho výkladu doterajších ustanovení zákona by povinnosť zápisu vznikala spoločenstvu ako celku, pričom ako koneční užívatelia výhod by sa museli zapisovať jednotliví vlastníci bytov a nebytových priestorov, napriek tomu, že samostatne neprijímajú plnenia, ktoré presahuje limity uvedené v zákone, rovnako ho neprijímajú ani vtedy, ak zmluvu uzatvára v ich mene správca. Cieľom zákonodarcu pri prijímaní zákona nebolo podrobovať povinnosti zápisu vlastníkov bytov a nebytových priestorov, ktorí samostatne nespĺňajú kritériá partnerov verejného sektora, preto sa navrhuje ich vyňatie z režimu zákona.</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n)</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Z vecného hľadiska sa z obdobného dôvodu ako v prípade vlastníkov bytov a nebytových priestorov navrhuje vyňatie z režimu zákona aj pre pozemkové spoločenstvá. Rovnako ako v prípade vlastníkov bytov totiž členovia pozemkových spoločenstiev tvoria z právneho hľadiska osobitný druh podielového spoluvlastníctva upravený zákonom č. 97/2013 Z. z. o pozemkových spoločenstvá  v znení neskorších predpisov (ďalej len „zákon č. 97/2013 Z. z.“).  Jediným rozdielom je, že v prípade vlastníkov bytov a nebytových priestorov je spoluvlastníctvo tvorené spoločnými časťami</w:t>
      </w:r>
      <w:r>
        <w:rPr>
          <w:rFonts w:ascii="Times New Roman" w:hAnsi="Times New Roman"/>
          <w:sz w:val="24"/>
          <w:szCs w:val="24"/>
        </w:rPr>
        <w:t>,</w:t>
      </w:r>
      <w:r w:rsidRPr="001B3EA9">
        <w:rPr>
          <w:rFonts w:ascii="Times New Roman" w:hAnsi="Times New Roman"/>
          <w:sz w:val="24"/>
          <w:szCs w:val="24"/>
        </w:rPr>
        <w:t xml:space="preserve"> zariadeniami a príslušenstvom k domu, kým v prípade členov pozemkových spoločenstiev je spoluvlastníctvo tvorené predmetom právneho vzťahu, ktorým je súbor pozemkov podliehajúci spoločnému právnemu režimu. V zmysle súčasnej právnej úpravy hovoríme o tzv. „spoločnej nehnuteľnosti“. Vlastníkmi (spoluvlastníkmi) tejto nehnuteľnosti sú však jednotliví členovia, nie spoločenstvo. Rovnako, ako v prípade spoločenstva vlastníkov bytov a nebytových priestorov toto spoluvlastníctvo  nemožno zrušiť a </w:t>
      </w:r>
      <w:proofErr w:type="spellStart"/>
      <w:r w:rsidRPr="001B3EA9">
        <w:rPr>
          <w:rFonts w:ascii="Times New Roman" w:hAnsi="Times New Roman"/>
          <w:sz w:val="24"/>
          <w:szCs w:val="24"/>
        </w:rPr>
        <w:t>vyporiadať</w:t>
      </w:r>
      <w:proofErr w:type="spellEnd"/>
      <w:r w:rsidRPr="001B3EA9">
        <w:rPr>
          <w:rFonts w:ascii="Times New Roman" w:hAnsi="Times New Roman"/>
          <w:sz w:val="24"/>
          <w:szCs w:val="24"/>
        </w:rPr>
        <w:t xml:space="preserve"> podľa všeobecných ustanovení o zrušení a </w:t>
      </w:r>
      <w:proofErr w:type="spellStart"/>
      <w:r w:rsidRPr="001B3EA9">
        <w:rPr>
          <w:rFonts w:ascii="Times New Roman" w:hAnsi="Times New Roman"/>
          <w:sz w:val="24"/>
          <w:szCs w:val="24"/>
        </w:rPr>
        <w:t>vyporiadaní</w:t>
      </w:r>
      <w:proofErr w:type="spellEnd"/>
      <w:r w:rsidRPr="001B3EA9">
        <w:rPr>
          <w:rFonts w:ascii="Times New Roman" w:hAnsi="Times New Roman"/>
          <w:sz w:val="24"/>
          <w:szCs w:val="24"/>
        </w:rPr>
        <w:t xml:space="preserve"> spoluvlastníctva. Zároveň, spoločná nehnuteľnosť je zásadne nedeliteľná. Avšak, v zmysle § 12 ods. 4 zákona č. 97/2013 Z. z. je </w:t>
      </w:r>
      <w:r w:rsidRPr="001B3EA9">
        <w:rPr>
          <w:rFonts w:ascii="Times New Roman" w:hAnsi="Times New Roman"/>
          <w:i/>
          <w:sz w:val="24"/>
          <w:szCs w:val="24"/>
        </w:rPr>
        <w:t>„pomer účasti člena spoločenstva podľa § 2 ods. 1 písm. d) na výkone práv a povinností vyplývajúcich z členstva v spoločenstve  vyjadrený podielom výmery nehnuteľnosti patriacej členovi spoločenstva na celkovej výmere spoločne obhospodarovaných nehnuteľností všetkých členov spoločenstva.“</w:t>
      </w:r>
      <w:r w:rsidRPr="001B3EA9">
        <w:rPr>
          <w:rFonts w:ascii="Times New Roman" w:hAnsi="Times New Roman"/>
          <w:sz w:val="24"/>
          <w:szCs w:val="24"/>
        </w:rPr>
        <w:t xml:space="preserve">  V prípade, ak pozemkové spoločenstvo prijíma od verejného sektora určité plnenie, je zmluvnou stranou ako jeden subjekt, plnenia nenadobúdajú jednotliví členovia spoločenstva podľa podielu, pričom ak by tomu tak aj bolo, je nepravdepodobné, že by plnenie bolo takej hodnoty, že po rozpočítaní </w:t>
      </w:r>
      <w:r w:rsidRPr="001B3EA9">
        <w:rPr>
          <w:rFonts w:ascii="Times New Roman" w:hAnsi="Times New Roman"/>
          <w:sz w:val="24"/>
          <w:szCs w:val="24"/>
        </w:rPr>
        <w:lastRenderedPageBreak/>
        <w:t xml:space="preserve">medzi jednotlivých členov pozemkového spoločenstva by hodnota tohto plnenia pre každého člena presiahla </w:t>
      </w:r>
      <w:r w:rsidRPr="001B3EA9">
        <w:rPr>
          <w:rFonts w:ascii="Times New Roman" w:hAnsi="Times New Roman"/>
          <w:i/>
          <w:sz w:val="24"/>
          <w:szCs w:val="24"/>
        </w:rPr>
        <w:t xml:space="preserve">de </w:t>
      </w:r>
      <w:proofErr w:type="spellStart"/>
      <w:r w:rsidRPr="001B3EA9">
        <w:rPr>
          <w:rFonts w:ascii="Times New Roman" w:hAnsi="Times New Roman"/>
          <w:i/>
          <w:sz w:val="24"/>
          <w:szCs w:val="24"/>
        </w:rPr>
        <w:t>minimis</w:t>
      </w:r>
      <w:proofErr w:type="spellEnd"/>
      <w:r w:rsidRPr="001B3EA9">
        <w:rPr>
          <w:rFonts w:ascii="Times New Roman" w:hAnsi="Times New Roman"/>
          <w:sz w:val="24"/>
          <w:szCs w:val="24"/>
        </w:rPr>
        <w:t xml:space="preserve"> limity. Z uvedených dôvodov je vhodné vyňať i pozemkové spoločenstvá z režimu zákona. </w:t>
      </w:r>
    </w:p>
    <w:p w:rsidR="00A26A39" w:rsidRPr="001B3EA9" w:rsidRDefault="00A26A39" w:rsidP="00A26A39">
      <w:pPr>
        <w:spacing w:after="0" w:line="240" w:lineRule="auto"/>
        <w:ind w:firstLine="708"/>
        <w:jc w:val="both"/>
        <w:rPr>
          <w:rFonts w:ascii="Times New Roman" w:hAnsi="Times New Roman"/>
          <w:sz w:val="24"/>
          <w:szCs w:val="24"/>
        </w:rPr>
      </w:pPr>
    </w:p>
    <w:p w:rsidR="00A26A39" w:rsidRPr="001B3EA9" w:rsidRDefault="00A26A39" w:rsidP="00A26A39">
      <w:pPr>
        <w:spacing w:after="0" w:line="240" w:lineRule="auto"/>
        <w:jc w:val="both"/>
        <w:rPr>
          <w:rFonts w:ascii="Times New Roman" w:hAnsi="Times New Roman"/>
          <w:i/>
          <w:sz w:val="24"/>
          <w:szCs w:val="24"/>
        </w:rPr>
      </w:pPr>
      <w:r w:rsidRPr="001B3EA9">
        <w:rPr>
          <w:rFonts w:ascii="Times New Roman" w:hAnsi="Times New Roman"/>
          <w:i/>
          <w:sz w:val="24"/>
          <w:szCs w:val="24"/>
        </w:rPr>
        <w:t>K písmenu o)</w:t>
      </w:r>
    </w:p>
    <w:p w:rsidR="00A26A39" w:rsidRPr="001B3EA9" w:rsidRDefault="00A26A39" w:rsidP="00A26A39">
      <w:pPr>
        <w:spacing w:after="0" w:line="240" w:lineRule="auto"/>
        <w:jc w:val="both"/>
        <w:rPr>
          <w:rFonts w:ascii="Times New Roman" w:hAnsi="Times New Roman"/>
          <w:sz w:val="24"/>
          <w:szCs w:val="24"/>
        </w:rPr>
      </w:pP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Vyjadruje sa doterajšie stanovisko Ministerstva spravodlivosti</w:t>
      </w:r>
      <w:r>
        <w:rPr>
          <w:rFonts w:ascii="Times New Roman" w:hAnsi="Times New Roman"/>
          <w:sz w:val="24"/>
          <w:szCs w:val="24"/>
        </w:rPr>
        <w:t xml:space="preserve"> SR</w:t>
      </w:r>
      <w:r w:rsidRPr="001B3EA9">
        <w:rPr>
          <w:rFonts w:ascii="Times New Roman" w:hAnsi="Times New Roman"/>
          <w:sz w:val="24"/>
          <w:szCs w:val="24"/>
        </w:rPr>
        <w:t>, že subjekty, ktorých zákonné nároky na plnenie od štátu vyplývajú z tzv. reštitučných predpisov nie sú partnermi verejného sektora. Reštituenti sú  považovaní za „pôvodných“ vlastníkov nehnuteľností (resp.  ide o ich  právnych nástupcov), ktorým zákonný nárok na vrátenie ich nehnuteľností vzniká priamo zo zákona, napriek tomu, že  k navráteniu majetku je potrebná zmluva uzavretá s povinnou osobou. Pokiaľ k jej uzavretiu nedôjde, rozhodne o uvedených nárokoch súd. Rovnako povinnosť zápisu nevzniká ani z toho dôvodu, že v danom prípade oprávnená osoba z reštitúcií nenadobudne iný (nový) „hospodársky prospech“ ako ten</w:t>
      </w:r>
      <w:r>
        <w:rPr>
          <w:rFonts w:ascii="Times New Roman" w:hAnsi="Times New Roman"/>
          <w:sz w:val="24"/>
          <w:szCs w:val="24"/>
        </w:rPr>
        <w:t>,</w:t>
      </w:r>
      <w:r w:rsidRPr="001B3EA9">
        <w:rPr>
          <w:rFonts w:ascii="Times New Roman" w:hAnsi="Times New Roman"/>
          <w:sz w:val="24"/>
          <w:szCs w:val="24"/>
        </w:rPr>
        <w:t xml:space="preserve"> ktorý jej patrí, resp. patril; inak povedané </w:t>
      </w:r>
      <w:proofErr w:type="spellStart"/>
      <w:r w:rsidRPr="001B3EA9">
        <w:rPr>
          <w:rFonts w:ascii="Times New Roman" w:hAnsi="Times New Roman"/>
          <w:sz w:val="24"/>
          <w:szCs w:val="24"/>
        </w:rPr>
        <w:t>nenavyšuje</w:t>
      </w:r>
      <w:proofErr w:type="spellEnd"/>
      <w:r w:rsidRPr="001B3EA9">
        <w:rPr>
          <w:rFonts w:ascii="Times New Roman" w:hAnsi="Times New Roman"/>
          <w:sz w:val="24"/>
          <w:szCs w:val="24"/>
        </w:rPr>
        <w:t xml:space="preserve"> svoje majetkové aktíva o nič viac ako o to, čo bolo jej pôvodným vlastníctvom. Preto nie je a nemôže byť úmyslom zákonodarcu podrobovať povinnosti zápisu uvedené subjekty.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16 (§ 3 ods. 2)</w:t>
      </w:r>
    </w:p>
    <w:p w:rsidR="00A26A39" w:rsidRPr="001B3EA9" w:rsidRDefault="00A26A39" w:rsidP="00A26A39">
      <w:pPr>
        <w:spacing w:after="0" w:line="240" w:lineRule="auto"/>
        <w:ind w:firstLine="708"/>
        <w:jc w:val="both"/>
        <w:rPr>
          <w:rFonts w:ascii="Times New Roman" w:hAnsi="Times New Roman"/>
          <w:sz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Navrhovanou právnou úpravou sa vyjadruje záväznosť údajov zapísaných v registri partnerov verejného sektora, a to nielen vo vzťahu k orgánom verejnej moci, ale aj pri bežných úkonoch (najmä uzatváranie zmlúv) v rámci obchodného styku partnera verejného sektora, kde rovnako nie je potrebné preukazovať zápis určitých údajov v registri. V praxi to znamená, že v komunikácii s orgánmi verejnej moci, ale aj v obchodnom styku nie je potrebné predkladať výpisy z registra partnerov verejného sektora na preukázanie splnenia podmienky zápisu, ale každý subjekt, ktorý posudzuje splnenie podmienky zápisu údajov v registri partnerov verejného sektora si túto skutočnosť musí overiť v registri vo vlastnej réžii bez toho, aby túto povinnosť prenášal na svojho partnera. Ak to dotknutý subjekt považuje za potrebné, môže si stiahnuť výpis z registra, tento vytlačiť a založiť do spisu; nejde však o zákonom vyžadovanú procedúru. Cieľom doplnenia právnej úpravy je teda zvýšiť mieru akceptovateľnosti registra partnerov verejného sektora ako zdroja údajov pre obchodné či iné transakcie.  </w:t>
      </w:r>
    </w:p>
    <w:p w:rsidR="004A5065" w:rsidRDefault="004A5065" w:rsidP="00A26A39">
      <w:pPr>
        <w:spacing w:after="0" w:line="240" w:lineRule="auto"/>
        <w:ind w:firstLine="708"/>
        <w:jc w:val="both"/>
        <w:rPr>
          <w:rFonts w:ascii="Times New Roman" w:hAnsi="Times New Roman"/>
          <w:sz w:val="24"/>
        </w:rPr>
      </w:pPr>
    </w:p>
    <w:p w:rsidR="004A5065" w:rsidRPr="001B3EA9" w:rsidRDefault="004A5065"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17 (§ 3 ods. 3)</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Vzhľadom na verejný charakter registra, ako aj jeho funkcionalitu overiť si zápis určitých údajov v čase sa upúšťa od vydávania potvrdení o tom, že určitý údaj v registri nie je zapísaný, z dôvodu nadbytočnosti. Register partnerov verejného sektora je vystavaný na princípe materiálnej publicity a údaje, ktoré majú záväzný charakter si môže každý subjekt zabezpečiť  jednoduchým stiahnutím si potvrdenia priamo z registra, rovnako tak tiež v podobe štruktúrovaných údajov, ktoré umožňujú ich ďalšie spracovanie (tzv. forma </w:t>
      </w:r>
      <w:proofErr w:type="spellStart"/>
      <w:r w:rsidRPr="001B3EA9">
        <w:rPr>
          <w:rFonts w:ascii="Times New Roman" w:hAnsi="Times New Roman"/>
          <w:sz w:val="24"/>
        </w:rPr>
        <w:t>Open</w:t>
      </w:r>
      <w:proofErr w:type="spellEnd"/>
      <w:r w:rsidRPr="001B3EA9">
        <w:rPr>
          <w:rFonts w:ascii="Times New Roman" w:hAnsi="Times New Roman"/>
          <w:sz w:val="24"/>
        </w:rPr>
        <w:t xml:space="preserve"> </w:t>
      </w:r>
      <w:proofErr w:type="spellStart"/>
      <w:r w:rsidRPr="001B3EA9">
        <w:rPr>
          <w:rFonts w:ascii="Times New Roman" w:hAnsi="Times New Roman"/>
          <w:sz w:val="24"/>
        </w:rPr>
        <w:t>data</w:t>
      </w:r>
      <w:proofErr w:type="spellEnd"/>
      <w:r w:rsidRPr="001B3EA9">
        <w:rPr>
          <w:rFonts w:ascii="Times New Roman" w:hAnsi="Times New Roman"/>
          <w:sz w:val="24"/>
        </w:rPr>
        <w:t xml:space="preserve">). Uvedená skutočnosť sa explicitne vyjadruje v návrhu zákona.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18 (§ 4 ods. 1)</w:t>
      </w:r>
    </w:p>
    <w:p w:rsidR="00A26A39" w:rsidRPr="001B3EA9" w:rsidRDefault="00A26A39" w:rsidP="00A26A39">
      <w:pPr>
        <w:spacing w:after="0" w:line="240" w:lineRule="auto"/>
        <w:jc w:val="both"/>
        <w:rPr>
          <w:rFonts w:ascii="Times New Roman" w:hAnsi="Times New Roman"/>
          <w:sz w:val="24"/>
          <w:szCs w:val="24"/>
        </w:rPr>
      </w:pPr>
      <w:r w:rsidRPr="001B3EA9">
        <w:rPr>
          <w:rFonts w:ascii="Times New Roman" w:hAnsi="Times New Roman"/>
          <w:sz w:val="24"/>
          <w:szCs w:val="24"/>
        </w:rPr>
        <w:t xml:space="preserve"> </w:t>
      </w:r>
    </w:p>
    <w:p w:rsidR="00A26A39" w:rsidRPr="001B3EA9" w:rsidRDefault="00A26A39" w:rsidP="00A26A39">
      <w:pPr>
        <w:spacing w:after="0" w:line="240" w:lineRule="auto"/>
        <w:ind w:firstLine="708"/>
        <w:jc w:val="both"/>
        <w:rPr>
          <w:rFonts w:ascii="Times New Roman" w:hAnsi="Times New Roman"/>
          <w:sz w:val="24"/>
          <w:szCs w:val="24"/>
        </w:rPr>
      </w:pPr>
      <w:r w:rsidRPr="001B3EA9">
        <w:rPr>
          <w:rFonts w:ascii="Times New Roman" w:hAnsi="Times New Roman"/>
          <w:sz w:val="24"/>
          <w:szCs w:val="24"/>
        </w:rPr>
        <w:t xml:space="preserve">Vzhľadom na nejednoznačnosť po aký časový úsek má partner verejného sektora povinnosť zotrvať zapísaný v registri a tento zápis aj udržiavať sa navrhuje vyjadriť pojem „trvanie zmluvy“. </w:t>
      </w:r>
      <w:r w:rsidRPr="001B3EA9">
        <w:rPr>
          <w:rFonts w:ascii="Times New Roman" w:hAnsi="Times New Roman"/>
          <w:sz w:val="24"/>
        </w:rPr>
        <w:t xml:space="preserve">Pojem trvanie zmluvy, ktoré podľa § 4 ods. 1 viaže partnera povinnosťou </w:t>
      </w:r>
      <w:r w:rsidRPr="001B3EA9">
        <w:rPr>
          <w:rFonts w:ascii="Times New Roman" w:hAnsi="Times New Roman"/>
          <w:sz w:val="24"/>
        </w:rPr>
        <w:lastRenderedPageBreak/>
        <w:t xml:space="preserve">zápisu sa vzťahuje na poskytovanie verejných zdrojov zo zmluvy či iného právneho úkonu.  Trvanie zmluvy je ohraničené začiatkom a koncom účinnosti zmluvy, pričom teória občianskeho práva rozoznáva rôzne druhy zániku zmluvy – t. j. zániku „trvania“ zmluvy. Najčastejším spôsobom je splnenie </w:t>
      </w:r>
      <w:r>
        <w:rPr>
          <w:rFonts w:ascii="Times New Roman" w:hAnsi="Times New Roman"/>
          <w:sz w:val="24"/>
        </w:rPr>
        <w:t>–</w:t>
      </w:r>
      <w:r w:rsidRPr="001B3EA9">
        <w:rPr>
          <w:rFonts w:ascii="Times New Roman" w:hAnsi="Times New Roman"/>
          <w:sz w:val="24"/>
        </w:rPr>
        <w:t xml:space="preserve"> najmä pri jednorazovom plnení (napr. odovzdanie diela pri zmluve o dielo), ďalej to môže byť ukončenie dohodou zmluvných strán, odstúpením od zmluvy, dodatočnou nemožnosťou plnenia či uplynutím času</w:t>
      </w:r>
      <w:r>
        <w:rPr>
          <w:rFonts w:ascii="Times New Roman" w:hAnsi="Times New Roman"/>
          <w:sz w:val="24"/>
        </w:rPr>
        <w:t>,</w:t>
      </w:r>
      <w:r w:rsidRPr="001B3EA9">
        <w:rPr>
          <w:rFonts w:ascii="Times New Roman" w:hAnsi="Times New Roman"/>
          <w:sz w:val="24"/>
        </w:rPr>
        <w:t xml:space="preserve"> na ktor</w:t>
      </w:r>
      <w:r>
        <w:rPr>
          <w:rFonts w:ascii="Times New Roman" w:hAnsi="Times New Roman"/>
          <w:sz w:val="24"/>
        </w:rPr>
        <w:t>ý</w:t>
      </w:r>
      <w:r w:rsidRPr="001B3EA9">
        <w:rPr>
          <w:rFonts w:ascii="Times New Roman" w:hAnsi="Times New Roman"/>
          <w:sz w:val="24"/>
        </w:rPr>
        <w:t xml:space="preserve"> bola zmluva uzatvorená (pri zmluvách na dobu určitú) atď. V praxi však môže nastať situácia, že zo zmluvy už nie je plnené (napr. skončilo čerpanie európskych fondov), avšak zmluva predpokladá jej ďalšie „trvanie“ dané  tzv. notifikačnými povinnosťami vo vzťahu k uskutočnenému projektu, prípad</w:t>
      </w:r>
      <w:r>
        <w:rPr>
          <w:rFonts w:ascii="Times New Roman" w:hAnsi="Times New Roman"/>
          <w:sz w:val="24"/>
        </w:rPr>
        <w:t>n</w:t>
      </w:r>
      <w:r w:rsidRPr="001B3EA9">
        <w:rPr>
          <w:rFonts w:ascii="Times New Roman" w:hAnsi="Times New Roman"/>
          <w:sz w:val="24"/>
        </w:rPr>
        <w:t>e trvá lehota na uplatnenie zodpovednosti za vady a pod. Takéto skutočnosti však už nezakladajú povinnosť zápisu a to práve z toho dôvodu, že trvanie zmluvy sa  na účely tohto zákona viaže práve na nadobúdanie verejných zdrojov. V prípade subjektov, ktoré sú držiteľmi verejných licencií, (kde niet zmluvy</w:t>
      </w:r>
      <w:r>
        <w:rPr>
          <w:rFonts w:ascii="Times New Roman" w:hAnsi="Times New Roman"/>
          <w:sz w:val="24"/>
        </w:rPr>
        <w:t>,</w:t>
      </w:r>
      <w:r w:rsidRPr="001B3EA9">
        <w:rPr>
          <w:rFonts w:ascii="Times New Roman" w:hAnsi="Times New Roman"/>
          <w:sz w:val="24"/>
        </w:rPr>
        <w:t xml:space="preserve"> na základe ktorej by  sa verejné prostriedky poskytovali) je logicky trvanie zápisu do registra viazané  na „trvanie ich postavenia“  na základe udelenej verejnej licencie podľa osobitného predpisu.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Začatie trvania zmluvy je pri „klasických“ zmluvách dané účinnosťou zmluvy, ktorá spravidla v podmienkach občianskeho práva nastáva momentom uzavretia zmluvy. V prípade rozhodnutí správnych orgánov, ktoré sú ako „iné právne akty“ považované v zmysle zákona rovnako za zmluvy</w:t>
      </w:r>
      <w:r>
        <w:rPr>
          <w:rFonts w:ascii="Times New Roman" w:hAnsi="Times New Roman"/>
          <w:sz w:val="24"/>
        </w:rPr>
        <w:t>,</w:t>
      </w:r>
      <w:r w:rsidRPr="001B3EA9">
        <w:rPr>
          <w:rFonts w:ascii="Times New Roman" w:hAnsi="Times New Roman"/>
          <w:sz w:val="24"/>
        </w:rPr>
        <w:t xml:space="preserve"> je moment začatia trvania viazaný na právoplatnosť rozhodnutia, ktorá spôsobuje právne následky vo vzťahu k adresátom rozhodnutia – možnosť domáhať sa plnenia priznaného rozhodnutím.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bodom 19 až 21 (§ 4 ods. 2 a 3)</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Vzhľadom na aplikačné problémy spôsobené tým, že právna úprava nerozlišovala fyzickú osobu „nepodnikateľa“ a fyzickú osobu – podnikateľa sa navrhuje výslovná právna úprava, ktorá bude typologicky rozlišovať tri typy partnerov verejného sektora, a to fyzické osoby (odsek 2), fyzické osoby podnikateľov (odsek 3) a právnické osoby (odsek 4). Z uvedeného dôvodu dochádza v odseku 2 k vypusteniu zapisovania identifikačného čísla organizácie, </w:t>
      </w:r>
      <w:r>
        <w:rPr>
          <w:rFonts w:ascii="Times New Roman" w:hAnsi="Times New Roman"/>
          <w:sz w:val="24"/>
        </w:rPr>
        <w:t>keďže</w:t>
      </w:r>
      <w:r w:rsidRPr="001B3EA9">
        <w:rPr>
          <w:rFonts w:ascii="Times New Roman" w:hAnsi="Times New Roman"/>
          <w:sz w:val="24"/>
        </w:rPr>
        <w:t xml:space="preserve"> tento údaj sa bude zapisovať už len pri fyzickej osobe – podnikateľovi v rámci navrhnutého nového odseku 3;  pri fyzickej osobe „nepodnikateľovi“, ktorého zápis upravuje odsek 1</w:t>
      </w:r>
      <w:r>
        <w:rPr>
          <w:rFonts w:ascii="Times New Roman" w:hAnsi="Times New Roman"/>
          <w:sz w:val="24"/>
        </w:rPr>
        <w:t>,</w:t>
      </w:r>
      <w:r w:rsidRPr="001B3EA9">
        <w:rPr>
          <w:rFonts w:ascii="Times New Roman" w:hAnsi="Times New Roman"/>
          <w:sz w:val="24"/>
        </w:rPr>
        <w:t xml:space="preserve"> sa zapisuje len dátum narodenia, </w:t>
      </w:r>
      <w:r>
        <w:rPr>
          <w:rFonts w:ascii="Times New Roman" w:hAnsi="Times New Roman"/>
          <w:sz w:val="24"/>
        </w:rPr>
        <w:t>keďže</w:t>
      </w:r>
      <w:r w:rsidRPr="001B3EA9">
        <w:rPr>
          <w:rFonts w:ascii="Times New Roman" w:hAnsi="Times New Roman"/>
          <w:sz w:val="24"/>
        </w:rPr>
        <w:t xml:space="preserve"> takýto subjekt identifikačným číslom organizácie nedisponuje. Rovnako v odseku 2 dochádza k vypusteniu zápisu „miesta podnikania“, ktoré sa zapisuje len pri fyzickej osobe – podnikateľovi.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 zákonnú úpravu bude v tomto prípade reagovať aj vykonávacia vyhláška, v ktorej bude potrebné zaviesť dva nové formuláre, a to formulár pre zápis údajov o fyzickej osobe – podnikateľovi a formulár pre zápis zmeny údajov o fyzickej osobe – podnikateľovi. Návrh vyhlášky je súčasťou predkladaného materiálu a bude predmetom samostatného legislatívneho procesu. </w:t>
      </w: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 xml:space="preserve"> </w:t>
      </w: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22 (§ 4 ods. 5)</w:t>
      </w:r>
    </w:p>
    <w:p w:rsidR="00A26A39" w:rsidRPr="001B3EA9" w:rsidRDefault="00A26A39" w:rsidP="00A26A39">
      <w:pPr>
        <w:spacing w:after="0" w:line="240" w:lineRule="auto"/>
        <w:jc w:val="both"/>
        <w:rPr>
          <w:rFonts w:ascii="Times New Roman" w:hAnsi="Times New Roman"/>
          <w:sz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Navrhuje sa zjednodušenie procedúry zápisu v prípade emitentov cenných papierov prijatých na obchodovanie na regulovanom trhu, ktorý podliehajú požiadavkám na uverejňovanie informácií podľa  osobitného predpisu, rovnocenného právneho predpisu členského štátu alebo rovnocenných medzinárodných noriem (ďalej v texte len „emitent“). </w:t>
      </w:r>
      <w:r>
        <w:rPr>
          <w:rFonts w:ascii="Times New Roman" w:hAnsi="Times New Roman"/>
          <w:sz w:val="24"/>
        </w:rPr>
        <w:t xml:space="preserve">V prvom rade ide o zjednodušenie pri zápise konečných užívateľov výhod pri týchto </w:t>
      </w:r>
      <w:r>
        <w:rPr>
          <w:rFonts w:ascii="Times New Roman" w:hAnsi="Times New Roman"/>
          <w:sz w:val="24"/>
        </w:rPr>
        <w:lastRenderedPageBreak/>
        <w:t>subjektoch, keďže podľa navrhovanej právnej úpravy sa v prípade emitentov namiesto konečných užívateľov výhod zapisuje len štatutárny orgán a členovia štatutárneho orgánu.</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K zjednodušeniu pri zápise týchto „fiktívnych konečných užívateľov výhod“ dochádza aj zavedením možnosti, aby oprávnená osoba uviedla namiesto údaju o trvalom pobyte člena </w:t>
      </w:r>
      <w:r>
        <w:rPr>
          <w:rFonts w:ascii="Times New Roman" w:hAnsi="Times New Roman"/>
          <w:sz w:val="24"/>
        </w:rPr>
        <w:t xml:space="preserve">štatutárneho orgánu </w:t>
      </w:r>
      <w:r w:rsidRPr="001B3EA9">
        <w:rPr>
          <w:rFonts w:ascii="Times New Roman" w:hAnsi="Times New Roman"/>
          <w:sz w:val="24"/>
        </w:rPr>
        <w:t>len údaj o sídle alebo mieste podnikania partnera verejného sektora. Tu na rozdiel od zápisu konečných užívateľov výhod, ktorí musia podľa navrhovaného § 4 ods. 5 preukázať dôvod, pre ktorý údaj o trvalom pobyte neuvádzajú, oprávnená osoba nezapísanie trvalého pobytu nezdôvodňuje a nemusí teda vyhotovovať a prikladať k návrhu na zápis ani čestné vyhlásenie obsahujúce tieto dôvody.</w:t>
      </w: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Okrem uvedeného dochádza tiež k vypusteniu nadbytočnej „výnimky z výnimky“ pre zápis emitentov cenných papierov v prípade, ak oprávnená osoba identifikuje v rámci emitenta cenných papierov fyzickú osobu s hospodárskym prospechom 25%. Uvedená výnimka v praxi znamenala, že oprávnená osoba napriek existencií výnimky musela rozkrývať vlastnícku štruktúru emitenta cenných papierov na účely zistenia uvedeného hospodárskeho prospechu a preto sa možnosť zapisovania vrcholového manažmentu pri emitentoch v konečnom dôsledku nestala zjednodušením postupu pre oprávnené osoby, ktorý zákonodarca pôvodne sledoval.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Predkladateľ bol v rámci pripomienkového konania konfrontovaný s požiadavkou na vylúčenie emitentov z režimu zákona ako takého. Predkladateľ po dôkladnom zvážení tejto možnosti zotrváva na pôvodnej právnej úprave, ktorá emitentov považuje za partnerov verejného sektora, pričom však – aj vďaka návrhu zákona – dochádza k zjednodušeniu procedúry identifikácie konečných užívateľov výhod v prípade emitentov.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23 (§ 4 ods. 6)</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V tomto prípade ide o právnu úpravu, ktorá vychádza z praktických skúseností pri zapisovaní údajov o konečných užívateľoch výhod. Vzhľadom na to, že sa v praxi vyskytujú prípady, kedy sú koneční užívatelia výhod – najmä v zahraničných jurisdikciách – v režime ochrany štátu (napr. policajná či iná obdobná ochrana), resp. údaje o ich bydlisku sú blokované napríklad z titulu dôvodnej obavy o ich život a zdravie, navrhuje sa umožniť zohľadniť tieto situácie. Na tento účel sa umožní namiesto adresy trvalého pobytu konečného užívateľa výhod uviesť údaj o sídle alebo mieste podnikania partnera verejného sektora. Okolnosti, ktoré zdôvodňujú skutočnosti, pre ktoré nebolo možné zapísať údaje o trvalom pobyte konečného užívateľa výhod</w:t>
      </w:r>
      <w:r>
        <w:rPr>
          <w:rFonts w:ascii="Times New Roman" w:hAnsi="Times New Roman"/>
          <w:sz w:val="24"/>
        </w:rPr>
        <w:t>,</w:t>
      </w:r>
      <w:r w:rsidRPr="001B3EA9">
        <w:rPr>
          <w:rFonts w:ascii="Times New Roman" w:hAnsi="Times New Roman"/>
          <w:sz w:val="24"/>
        </w:rPr>
        <w:t xml:space="preserve"> sa uvedú v čestnom vyhlásení oprávnenej osoby, ktorá tvorí prílohu návrhu na zápis údajov do registra, pričom uvedené čestné vyhlásenie bude neverejné. Tento záver vyplýva z vymedzenia verejne dostupných údajov podľa § 4, kde toto čestné vyhlásenie nefiguruje, a preto nebude toto vyhlásenie verejne dostupné.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24 (§ 4 ods. 7)</w:t>
      </w:r>
    </w:p>
    <w:p w:rsidR="00A26A39" w:rsidRPr="001B3EA9" w:rsidRDefault="00A26A39" w:rsidP="00A26A39">
      <w:pPr>
        <w:pStyle w:val="Odsekzoznamu"/>
        <w:widowControl w:val="0"/>
        <w:autoSpaceDE w:val="0"/>
        <w:autoSpaceDN w:val="0"/>
        <w:adjustRightInd w:val="0"/>
        <w:spacing w:after="0" w:line="240" w:lineRule="auto"/>
        <w:ind w:left="0" w:firstLine="708"/>
        <w:jc w:val="both"/>
        <w:rPr>
          <w:rFonts w:ascii="Times New Roman" w:hAnsi="Times New Roman"/>
          <w:sz w:val="24"/>
          <w:u w:val="single"/>
        </w:rPr>
      </w:pPr>
    </w:p>
    <w:p w:rsidR="00A26A39" w:rsidRPr="001B3EA9" w:rsidRDefault="00A26A39" w:rsidP="00A26A39">
      <w:pPr>
        <w:pStyle w:val="Odsekzoznamu"/>
        <w:widowControl w:val="0"/>
        <w:autoSpaceDE w:val="0"/>
        <w:autoSpaceDN w:val="0"/>
        <w:adjustRightInd w:val="0"/>
        <w:spacing w:after="0" w:line="240" w:lineRule="auto"/>
        <w:ind w:left="0" w:firstLine="708"/>
        <w:jc w:val="both"/>
        <w:rPr>
          <w:rFonts w:ascii="Times New Roman" w:hAnsi="Times New Roman"/>
          <w:sz w:val="24"/>
        </w:rPr>
      </w:pPr>
      <w:r w:rsidRPr="001B3EA9">
        <w:rPr>
          <w:rFonts w:ascii="Times New Roman" w:hAnsi="Times New Roman"/>
          <w:sz w:val="24"/>
        </w:rPr>
        <w:t xml:space="preserve">V záujme zavedenia širšej transparentnosti a možnosti zainteresovania sa verejnosti do začatých konaní o kvalifikovanom podnete podľa zákona sa zavádza povinnosť zverejňovať v registri dátumu začatia konania a spisovú značku konania o kvalifikovanom podnete. </w:t>
      </w:r>
    </w:p>
    <w:p w:rsidR="00A26A39" w:rsidRPr="001B3EA9" w:rsidRDefault="00A26A39" w:rsidP="00A26A39">
      <w:pPr>
        <w:pStyle w:val="Odsekzoznamu"/>
        <w:widowControl w:val="0"/>
        <w:autoSpaceDE w:val="0"/>
        <w:autoSpaceDN w:val="0"/>
        <w:adjustRightInd w:val="0"/>
        <w:spacing w:after="0" w:line="240" w:lineRule="auto"/>
        <w:ind w:left="0" w:firstLine="708"/>
        <w:jc w:val="both"/>
        <w:rPr>
          <w:rFonts w:ascii="Times New Roman" w:hAnsi="Times New Roman"/>
          <w:sz w:val="24"/>
        </w:rPr>
      </w:pPr>
    </w:p>
    <w:p w:rsidR="00A26A39" w:rsidRPr="001B3EA9" w:rsidRDefault="00A26A39" w:rsidP="00A26A39">
      <w:pPr>
        <w:pStyle w:val="Odsekzoznamu"/>
        <w:widowControl w:val="0"/>
        <w:autoSpaceDE w:val="0"/>
        <w:autoSpaceDN w:val="0"/>
        <w:adjustRightInd w:val="0"/>
        <w:spacing w:after="0" w:line="240" w:lineRule="auto"/>
        <w:ind w:left="0" w:firstLine="708"/>
        <w:jc w:val="both"/>
        <w:rPr>
          <w:rFonts w:ascii="Times New Roman" w:hAnsi="Times New Roman"/>
          <w:sz w:val="24"/>
        </w:rPr>
      </w:pPr>
      <w:r w:rsidRPr="001B3EA9">
        <w:rPr>
          <w:rFonts w:ascii="Times New Roman" w:hAnsi="Times New Roman"/>
          <w:sz w:val="24"/>
        </w:rPr>
        <w:t xml:space="preserve">V tomto bode dochádza tiež k legislatívno-technickej úprave súvisiacej s prečíslovaním odsekov v § 11 ktoré je spôsobené vložením nového odseku 4 za odsek 3.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szCs w:val="24"/>
          <w:u w:val="single"/>
        </w:rPr>
      </w:pPr>
      <w:r w:rsidRPr="001B3EA9">
        <w:rPr>
          <w:rFonts w:ascii="Times New Roman" w:hAnsi="Times New Roman"/>
          <w:sz w:val="24"/>
          <w:u w:val="single"/>
        </w:rPr>
        <w:t xml:space="preserve">K bodu 25 </w:t>
      </w:r>
      <w:r w:rsidRPr="001B3EA9">
        <w:rPr>
          <w:rFonts w:ascii="Times New Roman" w:hAnsi="Times New Roman"/>
          <w:sz w:val="24"/>
          <w:szCs w:val="24"/>
          <w:u w:val="single"/>
        </w:rPr>
        <w:t xml:space="preserve">§ 6 ods. 1 písm. e)]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pStyle w:val="Odsekzoznamu"/>
        <w:widowControl w:val="0"/>
        <w:autoSpaceDE w:val="0"/>
        <w:autoSpaceDN w:val="0"/>
        <w:adjustRightInd w:val="0"/>
        <w:spacing w:after="0" w:line="240" w:lineRule="auto"/>
        <w:ind w:left="0" w:firstLine="708"/>
        <w:jc w:val="both"/>
        <w:rPr>
          <w:rFonts w:ascii="Times New Roman" w:hAnsi="Times New Roman"/>
          <w:sz w:val="24"/>
        </w:rPr>
      </w:pPr>
      <w:r w:rsidRPr="001B3EA9">
        <w:rPr>
          <w:rFonts w:ascii="Times New Roman" w:hAnsi="Times New Roman"/>
          <w:sz w:val="24"/>
        </w:rPr>
        <w:t xml:space="preserve">V tomto prípade ide len o legislatívno-technickú úpravu súvisiacu s prečíslovaním odsekov v § 11 ktoré je spôsobené vložením nového odseku 4 za odsek 3.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26  [§ 6 ods. 1 písm. f) a g)]</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Navrhuje sa doplnenie skutočností, ktoré skúma registrujúci orgán v prípade podaného návrhu na zápis do registra.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V prvom rade sa reaguje na nežiadúcu prax oprávnených osôb, ktoré mnohokrát vo verifikačnom dokumente zverejnili okrem iných údajov aj rodné číslo konečného užívateľa výhod, napriek tomu, že uvedené zákon nevyžaduje a zároveň aj napriek tomu, že to právna úprava ochrany osobných údajov výslovne zakazuje. Keďže rodné číslo ako všeobecne použiteľný identifikátor požíva v zmysle § 2 zákona č. 18/2018 Z. z. o ochrane osobných údajov a o zmene a doplnení niektorých zákonov ochranu, je potrebné za účelom zamedzenia zverejnenia verifikačných dokumentov obsahujúcich rodné čísla podrobiť verifikačný dokument prieskumu zo strany registrujúceho orgánu. Ak bude verifikačný dokument obsahovať rodné číslo, registrujúci orgán vyhodnotí návrh na zápis (ktorého prílohou je verifikačný dokument) tak, že ho odmietne. Odmietnutie návrhu na zápis však nebráni tomu, aby oprávnená osoba odstránila nedostatok podania (</w:t>
      </w:r>
      <w:proofErr w:type="spellStart"/>
      <w:r w:rsidRPr="001B3EA9">
        <w:rPr>
          <w:rFonts w:ascii="Times New Roman" w:hAnsi="Times New Roman"/>
          <w:sz w:val="24"/>
        </w:rPr>
        <w:t>t.j</w:t>
      </w:r>
      <w:proofErr w:type="spellEnd"/>
      <w:r w:rsidRPr="001B3EA9">
        <w:rPr>
          <w:rFonts w:ascii="Times New Roman" w:hAnsi="Times New Roman"/>
          <w:sz w:val="24"/>
        </w:rPr>
        <w:t>. odstránila z verifikačného dokumentu rodné číslo) a návrh na zápis podala znovu. Predkladateľ v tomto prípade zvýrazňuje zodpovednosť oprávnenej osoby za to, že narába s osobnými údajmi v súlade s úpravou ochrany osobných údajov. Túto zodpovednosť oprávnenej osoby nemôže preberať registrujúci orgán. V praxi sa objavujú prípade kedy napríklad notári ako oprávnené osoby vytvárajú verifikačný dokument vo forme notárskej zápisnice. Okrem tohto, že tento postup nie je na účely registračného konania potrebný (zákon ho nevyžaduje, rovnako ide o zbytočné predraženie služieb oprávnenej osoby), tak generuje práve situácie, kedy notár ako oprávnená osoba uvádza vo verifikačnom dokumente rodné číslo, pretože ho rob</w:t>
      </w:r>
      <w:r>
        <w:rPr>
          <w:rFonts w:ascii="Times New Roman" w:hAnsi="Times New Roman"/>
          <w:sz w:val="24"/>
        </w:rPr>
        <w:t>í</w:t>
      </w:r>
      <w:r w:rsidRPr="001B3EA9">
        <w:rPr>
          <w:rFonts w:ascii="Times New Roman" w:hAnsi="Times New Roman"/>
          <w:sz w:val="24"/>
        </w:rPr>
        <w:t xml:space="preserve"> práve vo forme notárskej zápisnice, ktorá rodné číslo bežne obsahuje.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S touto zmenou súvisí doplnenie § 11 o nový odsek 7.</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Návrh zákona v tejto súvislosti reaguje na zavedenie nového následku výmazu  </w:t>
      </w:r>
      <w:r w:rsidRPr="001B3EA9">
        <w:rPr>
          <w:rFonts w:ascii="Times New Roman" w:hAnsi="Times New Roman"/>
          <w:i/>
          <w:sz w:val="24"/>
        </w:rPr>
        <w:t xml:space="preserve">ex </w:t>
      </w:r>
      <w:proofErr w:type="spellStart"/>
      <w:r w:rsidRPr="001B3EA9">
        <w:rPr>
          <w:rFonts w:ascii="Times New Roman" w:hAnsi="Times New Roman"/>
          <w:i/>
          <w:sz w:val="24"/>
        </w:rPr>
        <w:t>offo</w:t>
      </w:r>
      <w:proofErr w:type="spellEnd"/>
      <w:r w:rsidRPr="001B3EA9">
        <w:rPr>
          <w:rFonts w:ascii="Times New Roman" w:hAnsi="Times New Roman"/>
          <w:sz w:val="24"/>
        </w:rPr>
        <w:t xml:space="preserve"> podľa § 13a, ktorým je nemožnosť zapísať sa do registra po dobu dvoch rokov od právoplatnosti rozhodnutia o výmaze. V tejto súvislosti registrujúci orgán kontroluje, či partner verejného sektora nebol v posledných dvoch rokoch z registra vymazaný, pričom ak k výmazu v tomto období došlo, návrh na zápis do registra odmietne. </w:t>
      </w:r>
    </w:p>
    <w:p w:rsidR="00A26A3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K bodu 27 (§ 9 ods. 1)</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Za účelom odstránenia pochybností o tom, ktoré skutočnosti vyvolávajú zmenové konanie sa navrhuje vyjadriť, že zmena zapísaných údajov je potrebná v prípade zmeny osoby konečného užívateľa výhod, v prípade zmeny údajov zapísaných o tejto osobe (napríklad konečný užívateľ výhod zmení adresu trvalého pobytu).</w:t>
      </w:r>
    </w:p>
    <w:p w:rsidR="00A26A39" w:rsidRDefault="00A26A39" w:rsidP="00A26A39">
      <w:pPr>
        <w:spacing w:after="0" w:line="240" w:lineRule="auto"/>
        <w:jc w:val="both"/>
        <w:rPr>
          <w:rFonts w:ascii="Times New Roman" w:hAnsi="Times New Roman"/>
          <w:sz w:val="24"/>
          <w:u w:val="single"/>
        </w:rPr>
      </w:pPr>
    </w:p>
    <w:p w:rsidR="00A26A39" w:rsidRPr="00CD6239" w:rsidRDefault="00A26A39" w:rsidP="00A26A39">
      <w:pPr>
        <w:spacing w:after="0" w:line="240" w:lineRule="auto"/>
        <w:jc w:val="both"/>
        <w:rPr>
          <w:rFonts w:ascii="Times New Roman" w:hAnsi="Times New Roman"/>
          <w:sz w:val="24"/>
          <w:u w:val="single"/>
        </w:rPr>
      </w:pPr>
      <w:r>
        <w:rPr>
          <w:rFonts w:ascii="Times New Roman" w:hAnsi="Times New Roman"/>
          <w:sz w:val="24"/>
          <w:u w:val="single"/>
        </w:rPr>
        <w:t xml:space="preserve">K bodu 28 </w:t>
      </w:r>
      <w:r w:rsidRPr="00FE14BF">
        <w:rPr>
          <w:rFonts w:ascii="Times New Roman" w:hAnsi="Times New Roman"/>
          <w:sz w:val="24"/>
          <w:u w:val="single"/>
        </w:rPr>
        <w:t>[§ 11 ods. 2</w:t>
      </w:r>
      <w:r>
        <w:rPr>
          <w:rFonts w:ascii="Times New Roman" w:hAnsi="Times New Roman"/>
          <w:sz w:val="24"/>
          <w:u w:val="single"/>
        </w:rPr>
        <w:t xml:space="preserve"> písm. c)</w:t>
      </w:r>
      <w:r w:rsidRPr="00FE14BF">
        <w:rPr>
          <w:rFonts w:ascii="Times New Roman" w:hAnsi="Times New Roman"/>
          <w:sz w:val="24"/>
          <w:u w:val="single"/>
        </w:rPr>
        <w:t>]</w:t>
      </w:r>
    </w:p>
    <w:p w:rsidR="00A26A39" w:rsidRDefault="00A26A39" w:rsidP="00A26A39">
      <w:pPr>
        <w:spacing w:after="0" w:line="240" w:lineRule="auto"/>
        <w:jc w:val="both"/>
        <w:rPr>
          <w:rFonts w:ascii="Times New Roman" w:hAnsi="Times New Roman"/>
          <w:sz w:val="24"/>
          <w:u w:val="single"/>
        </w:rPr>
      </w:pPr>
    </w:p>
    <w:p w:rsidR="00A26A39" w:rsidRPr="009B5244" w:rsidRDefault="00A26A39" w:rsidP="00A26A39">
      <w:pPr>
        <w:spacing w:after="0" w:line="240" w:lineRule="auto"/>
        <w:ind w:firstLine="708"/>
        <w:jc w:val="both"/>
        <w:rPr>
          <w:rFonts w:ascii="Times New Roman" w:hAnsi="Times New Roman"/>
          <w:sz w:val="24"/>
        </w:rPr>
      </w:pPr>
      <w:r w:rsidRPr="009B5244">
        <w:rPr>
          <w:rFonts w:ascii="Times New Roman" w:hAnsi="Times New Roman"/>
          <w:sz w:val="24"/>
        </w:rPr>
        <w:lastRenderedPageBreak/>
        <w:t xml:space="preserve">Vzhľadom na to, že povinnosť overenia identifikácie konečného užívateľa výhod k 31. decembru kalendárneho roka je v určitých prípadoch negovaná právnou úpravou navrhovanou v novom odseku 8, navrhuje sa túto skutočnosť výslovne upraviť aj v § 11 ods. 2 písm. c).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29</w:t>
      </w:r>
      <w:r w:rsidRPr="001B3EA9">
        <w:rPr>
          <w:rFonts w:ascii="Times New Roman" w:hAnsi="Times New Roman"/>
          <w:sz w:val="24"/>
          <w:u w:val="single"/>
        </w:rPr>
        <w:t xml:space="preserve">  [(§ 11 ods. 2 písm. </w:t>
      </w:r>
      <w:r>
        <w:rPr>
          <w:rFonts w:ascii="Times New Roman" w:hAnsi="Times New Roman"/>
          <w:sz w:val="24"/>
          <w:u w:val="single"/>
        </w:rPr>
        <w:t>d</w:t>
      </w:r>
      <w:r w:rsidRPr="001B3EA9">
        <w:rPr>
          <w:rFonts w:ascii="Times New Roman" w:hAnsi="Times New Roman"/>
          <w:sz w:val="24"/>
          <w:u w:val="single"/>
        </w:rPr>
        <w:t>)]</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Vzhľadom na nejednoznačnosť v aplikačnej praxi sa navrhuje spresnenie vo vzťahu k verifikačnej udalosti – uzavretiu zmluvy, ktorá zakladá povinnosť overovať konečného užívateľa výhod tak, že ide vyslovene len o takú zmluvu, ktorej hodnota presahuje </w:t>
      </w:r>
      <w:r w:rsidRPr="001B3EA9">
        <w:rPr>
          <w:rFonts w:ascii="Times New Roman" w:hAnsi="Times New Roman"/>
          <w:i/>
          <w:sz w:val="24"/>
        </w:rPr>
        <w:t xml:space="preserve">de </w:t>
      </w:r>
      <w:proofErr w:type="spellStart"/>
      <w:r w:rsidRPr="001B3EA9">
        <w:rPr>
          <w:rFonts w:ascii="Times New Roman" w:hAnsi="Times New Roman"/>
          <w:i/>
          <w:sz w:val="24"/>
        </w:rPr>
        <w:t>minimis</w:t>
      </w:r>
      <w:proofErr w:type="spellEnd"/>
      <w:r w:rsidRPr="001B3EA9">
        <w:rPr>
          <w:rFonts w:ascii="Times New Roman" w:hAnsi="Times New Roman"/>
          <w:sz w:val="24"/>
        </w:rPr>
        <w:t xml:space="preserve"> limity ustanovené zákonom. Len pri takejto zmluve vzniká oprávnenej osobe povinnosť overovať identifikáciu konečného užívateľa výhod. Povinnosť overenia identifikácie v súvislosti s uzavretím novej zmluvy vzniká aj v prípade, že prvozápis partnera bol vykonaný v kratšej ako 6-mesačnej lehote, ktorá predstavuje výnimku z overenia podľa súčasného § 11 ods. 3.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30</w:t>
      </w:r>
      <w:r w:rsidRPr="001B3EA9">
        <w:rPr>
          <w:rFonts w:ascii="Times New Roman" w:hAnsi="Times New Roman"/>
          <w:sz w:val="24"/>
          <w:u w:val="single"/>
        </w:rPr>
        <w:t xml:space="preserve"> [§ 11 ods. 2 písm. </w:t>
      </w:r>
      <w:r>
        <w:rPr>
          <w:rFonts w:ascii="Times New Roman" w:hAnsi="Times New Roman"/>
          <w:sz w:val="24"/>
          <w:u w:val="single"/>
        </w:rPr>
        <w:t>d</w:t>
      </w:r>
      <w:r w:rsidRPr="001B3EA9">
        <w:rPr>
          <w:rFonts w:ascii="Times New Roman" w:hAnsi="Times New Roman"/>
          <w:sz w:val="24"/>
          <w:u w:val="single"/>
        </w:rPr>
        <w:t xml:space="preserve">) a </w:t>
      </w:r>
      <w:r>
        <w:rPr>
          <w:rFonts w:ascii="Times New Roman" w:hAnsi="Times New Roman"/>
          <w:sz w:val="24"/>
          <w:u w:val="single"/>
        </w:rPr>
        <w:t>e</w:t>
      </w:r>
      <w:r w:rsidRPr="001B3EA9">
        <w:rPr>
          <w:rFonts w:ascii="Times New Roman" w:hAnsi="Times New Roman"/>
          <w:sz w:val="24"/>
          <w:u w:val="single"/>
        </w:rPr>
        <w:t xml:space="preserve">)]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Navrhuje sa  upraviť lehotu</w:t>
      </w:r>
      <w:r>
        <w:rPr>
          <w:rFonts w:ascii="Times New Roman" w:hAnsi="Times New Roman"/>
          <w:sz w:val="24"/>
        </w:rPr>
        <w:t>,</w:t>
      </w:r>
      <w:r w:rsidRPr="001B3EA9">
        <w:rPr>
          <w:rFonts w:ascii="Times New Roman" w:hAnsi="Times New Roman"/>
          <w:sz w:val="24"/>
        </w:rPr>
        <w:t xml:space="preserve"> v rámci ktorej je oprávnená soba povinná identifikovať konečného užívateľa výhod, resp. overovať identifikáciu konečného užívateľa výhod. V praxi častokrát najmä pri verejných obstarávaniach nastávajú situácie, kedy jedna zmluvná strana nemá presnú vedomosť o momente uzatvorenia zmluvy a kým dôjde k podpisu zmluvy všetkými zmluvnými stranami ubehne často aj 10 dní. Rokovania a pripomienkové procesy  vedúce k uzavretiu zmluvy sú veľmi individuálne </w:t>
      </w:r>
      <w:r>
        <w:rPr>
          <w:rFonts w:ascii="Times New Roman" w:hAnsi="Times New Roman"/>
          <w:sz w:val="24"/>
        </w:rPr>
        <w:t>–</w:t>
      </w:r>
      <w:r w:rsidRPr="001B3EA9">
        <w:rPr>
          <w:rFonts w:ascii="Times New Roman" w:hAnsi="Times New Roman"/>
          <w:sz w:val="24"/>
        </w:rPr>
        <w:t xml:space="preserve"> sú situácie, keď sa zmluva podpíše v priebehu 3 dní, avšak častejšie sa stáva, že tento proces je časovo náročnejší. Oprávnené osoby častokrát poukazovali na krátkosť 5</w:t>
      </w:r>
      <w:r>
        <w:rPr>
          <w:rFonts w:ascii="Times New Roman" w:hAnsi="Times New Roman"/>
          <w:sz w:val="24"/>
        </w:rPr>
        <w:t>-</w:t>
      </w:r>
      <w:r w:rsidRPr="001B3EA9">
        <w:rPr>
          <w:rFonts w:ascii="Times New Roman" w:hAnsi="Times New Roman"/>
          <w:sz w:val="24"/>
        </w:rPr>
        <w:t>dňovej lehoty, zároveň však bolo potrebné zachovať potrebu aktuálnosti údajov o konečných užívateľo</w:t>
      </w:r>
      <w:r>
        <w:rPr>
          <w:rFonts w:ascii="Times New Roman" w:hAnsi="Times New Roman"/>
          <w:sz w:val="24"/>
        </w:rPr>
        <w:t>ch</w:t>
      </w:r>
      <w:r w:rsidRPr="001B3EA9">
        <w:rPr>
          <w:rFonts w:ascii="Times New Roman" w:hAnsi="Times New Roman"/>
          <w:sz w:val="24"/>
        </w:rPr>
        <w:t xml:space="preserve"> výhod. Z uvedeného dôvodu predkladateľ zvolil kompromisné riešenie v podobe 10</w:t>
      </w:r>
      <w:r>
        <w:rPr>
          <w:rFonts w:ascii="Times New Roman" w:hAnsi="Times New Roman"/>
          <w:sz w:val="24"/>
        </w:rPr>
        <w:t>-</w:t>
      </w:r>
      <w:r w:rsidRPr="001B3EA9">
        <w:rPr>
          <w:rFonts w:ascii="Times New Roman" w:hAnsi="Times New Roman"/>
          <w:sz w:val="24"/>
        </w:rPr>
        <w:t>dňovej lehoty a to tak pri uzavretí novej zmluvy (alebo jej zmene), ako aj pri plnení zo zmluvy nad limity ustanovené zákonom.</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31</w:t>
      </w:r>
      <w:r w:rsidRPr="001B3EA9">
        <w:rPr>
          <w:rFonts w:ascii="Times New Roman" w:hAnsi="Times New Roman"/>
          <w:sz w:val="24"/>
          <w:u w:val="single"/>
        </w:rPr>
        <w:t xml:space="preserve"> (§ 11 ods. 3)</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Ide o precizovanie 6-mesačnej výnimky z povinnosti zápisu tým spôsobom, že výnimka platí aj v prípade, ak bol konečný užívateľ výhod identifikovaný pri prvozápise partnera verejného sektora. Inak povedané, pokiaľ sa partner verejného sektora zapíše do registra (čím identifikuje konečného užívateľa výhod), platí pre neho rovnako 6-mesačná výnimka z povinnosti overovania identifikácie konečného užívateľa výhod.  Z uvedeného dôvodu sa k slovám „overenie identifikácie konečného užívateľa výhod“</w:t>
      </w:r>
      <w:r>
        <w:rPr>
          <w:rFonts w:ascii="Times New Roman" w:hAnsi="Times New Roman"/>
          <w:sz w:val="24"/>
        </w:rPr>
        <w:t>,</w:t>
      </w:r>
      <w:r w:rsidRPr="001B3EA9">
        <w:rPr>
          <w:rFonts w:ascii="Times New Roman" w:hAnsi="Times New Roman"/>
          <w:sz w:val="24"/>
        </w:rPr>
        <w:t xml:space="preserve"> ktoré sa viažu na verifikačné udalosti podľa § 11 ods. 2 písm. a) až e)</w:t>
      </w:r>
      <w:r>
        <w:rPr>
          <w:rFonts w:ascii="Times New Roman" w:hAnsi="Times New Roman"/>
          <w:sz w:val="24"/>
        </w:rPr>
        <w:t>,</w:t>
      </w:r>
      <w:r w:rsidRPr="001B3EA9">
        <w:rPr>
          <w:rFonts w:ascii="Times New Roman" w:hAnsi="Times New Roman"/>
          <w:sz w:val="24"/>
        </w:rPr>
        <w:t xml:space="preserve"> dopĺňajú slová  „identifikácia konečného užívateľa výhod“, ktorá sa viaže na prvozápis. V praxi sa teda potvrdzuje prax, kedy sa partner verejného sektora preventívne zapíše do registra (napríklad v nadväznosti na začaté verejné obstarávanie, zverejnenie projektovej výzvy a pod.), pričom ak do šiestich mesiacov od prvozápisu dôjde k tomu, že bude uzatvárať zmluvu nad určené zákonné limity, tak nebude musieť absolvovať overenie identifikácie konečného užívateľa výhod podľa § 11 ods. 2 písm. d), pretože aj na tohto partnera verejného sektora sa bude vzťahovať výnimka podľa § 11 ods. 3.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32</w:t>
      </w:r>
      <w:r w:rsidRPr="001B3EA9">
        <w:rPr>
          <w:rFonts w:ascii="Times New Roman" w:hAnsi="Times New Roman"/>
          <w:sz w:val="24"/>
          <w:u w:val="single"/>
        </w:rPr>
        <w:t xml:space="preserve"> (§ 11 ods. 4)</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Za účelom zjednodušenia postupu oprávnených osôb pri overovaní identifikácie konečného užívateľa výhod sa zakotvuje možnosť vykonať overenie konečného užívateľa výhod aj na dobrovoľnej báze, teda mimo verifikačných udalostí, ktoré sú ustanovené v  § 11 </w:t>
      </w:r>
      <w:r w:rsidRPr="001B3EA9">
        <w:rPr>
          <w:rFonts w:ascii="Times New Roman" w:hAnsi="Times New Roman"/>
          <w:sz w:val="24"/>
        </w:rPr>
        <w:lastRenderedPageBreak/>
        <w:t xml:space="preserve">ods. 2. Toto doplnenie právnej úpravy má svoj nepochybný význam pre zníženie administratívnej záťaže, pretože dopĺňaný odsek 4 v spojitosti s odsekom 3 bude v praxi znamenať to, že bude postačovať overenie identifikácie konečného užívateľ výhod dvakrát ročne. Samozrejme tým nie je dotknutá povinnosť iniciovať zmenové konanie keď počas plynutia šesťmesačnej lehoty podľa § 11 ods. 3 dôjde k zmene konečného užívateľa výhod.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33</w:t>
      </w:r>
      <w:r w:rsidRPr="001B3EA9">
        <w:rPr>
          <w:rFonts w:ascii="Times New Roman" w:hAnsi="Times New Roman"/>
          <w:sz w:val="24"/>
          <w:u w:val="single"/>
        </w:rPr>
        <w:t xml:space="preserve"> (§ 11 ods. 5)</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Ide o precizovanie ustanovenia, ktoré sa týka postupu identifikácie alebo overenia identifikácie konečného užívateľa, v rámci ktorého je potrebné vyjadriť, že ustanovenia zákona č. 297/2008 Z. z. sa na tento postup vzťahujú len primerane. Absolútne uplatňovanie zákona č. 297/2008 Z. z. v činnosti oprávnenej osoby spôsobuje v praxi problémy napríklad v tom, že podľa § 8 ods. 1 písm. a) zákona č. 297/2008 Z. z. sa overením identifikácie rozumie </w:t>
      </w:r>
      <w:r w:rsidRPr="001B3EA9">
        <w:rPr>
          <w:rFonts w:ascii="Times New Roman" w:hAnsi="Times New Roman"/>
          <w:i/>
          <w:sz w:val="24"/>
        </w:rPr>
        <w:t xml:space="preserve">„overenie údajov v doklade totožnosti fyzickej osoby, ak sú tam uvedené a overenie podoby s podobou v jej doklade totožnosti, ak sú tam uvedené, a overenie podoby osoby s podobou v jej doklade totožnosti za jej fyzickej prítomnosti alebo s použitím technických prostriedkov a postupov, ak povinná osoba po zohľadnení okolností vykonávania obchodu a bezpečnostných rizík používanej technológie vyhodnotí, že takýmito prostriedkami a postupmi je možné vykonať overenie identifikácie na úrovni, ktorá je z hľadiska dôveryhodnosti výsledku overenia obdobná overeniu za fyzickej prítomnosti ... .“ </w:t>
      </w:r>
      <w:r w:rsidRPr="001B3EA9">
        <w:rPr>
          <w:rFonts w:ascii="Times New Roman" w:hAnsi="Times New Roman"/>
          <w:sz w:val="24"/>
        </w:rPr>
        <w:t xml:space="preserve">V tomto prípade nie je účelné, aby overenie prebiehalo vždy za fyzickej prítomnosti konečného užívateľa výhod, prípadne za použitia technických prostriedkov, rovnako ako k overeniu identifikácie na účely tohto zákona možno využiť aj iný dôveryhodný doklad, ako je občiansky preukaz – ak ním možno preukázať uvedené údaje a preto sa uvedené ustanovenie pri postupe identifikácie alebo overovania identifikácie konečného užívateľa výhod podľa tohto zákona nevyužije.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bodom </w:t>
      </w:r>
      <w:r>
        <w:rPr>
          <w:rFonts w:ascii="Times New Roman" w:hAnsi="Times New Roman"/>
          <w:sz w:val="24"/>
          <w:u w:val="single"/>
        </w:rPr>
        <w:t>34</w:t>
      </w:r>
      <w:r w:rsidRPr="001B3EA9">
        <w:rPr>
          <w:rFonts w:ascii="Times New Roman" w:hAnsi="Times New Roman"/>
          <w:sz w:val="24"/>
          <w:u w:val="single"/>
        </w:rPr>
        <w:t xml:space="preserve"> až </w:t>
      </w:r>
      <w:r>
        <w:rPr>
          <w:rFonts w:ascii="Times New Roman" w:hAnsi="Times New Roman"/>
          <w:sz w:val="24"/>
          <w:u w:val="single"/>
        </w:rPr>
        <w:t>36</w:t>
      </w:r>
      <w:r w:rsidRPr="001B3EA9">
        <w:rPr>
          <w:rFonts w:ascii="Times New Roman" w:hAnsi="Times New Roman"/>
          <w:sz w:val="24"/>
          <w:u w:val="single"/>
        </w:rPr>
        <w:t xml:space="preserve"> (§ 11 ods. 5 a § 13 ods. 1)</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Ide o legislatívno-technické úpravy vnútorných odkazov v § 11 ods. 5 a § 13 ods. 1 vyvolané zavedením nového odseku 3 v § 4.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37</w:t>
      </w:r>
      <w:r w:rsidRPr="001B3EA9">
        <w:rPr>
          <w:rFonts w:ascii="Times New Roman" w:hAnsi="Times New Roman"/>
          <w:sz w:val="24"/>
          <w:u w:val="single"/>
        </w:rPr>
        <w:t xml:space="preserve"> (§ 11 ods. 7)</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Navrhuje sa vyjadriť, že verifikačný dokument nesmie obsahovať všeobecne použiteľný identifikátor, ktorý v zmysle zákona o osobných údajov požíva ochranu. Následkom uvedenia tohto údaja vo verifikačnom dokumente, a teda porušenia zákonnej povinnosti, je odmietnutie návrhu na zápisu. S touto zmenou súvisí zmena § 6 ods. 1.</w:t>
      </w:r>
    </w:p>
    <w:p w:rsidR="00A26A3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38</w:t>
      </w:r>
      <w:r w:rsidRPr="001B3EA9">
        <w:rPr>
          <w:rFonts w:ascii="Times New Roman" w:hAnsi="Times New Roman"/>
          <w:sz w:val="24"/>
          <w:u w:val="single"/>
        </w:rPr>
        <w:t xml:space="preserve"> (§ 11 ods. 8)</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Pr>
          <w:rFonts w:ascii="Times New Roman" w:hAnsi="Times New Roman"/>
          <w:sz w:val="24"/>
        </w:rPr>
        <w:t>Úpravou</w:t>
      </w:r>
      <w:r w:rsidRPr="001B3EA9">
        <w:rPr>
          <w:rFonts w:ascii="Times New Roman" w:hAnsi="Times New Roman"/>
          <w:sz w:val="24"/>
        </w:rPr>
        <w:t xml:space="preserve"> odseku 8 sa riešia aplikačné problémy, ktoré v praxi nastali v súvislosti s overením identifikácie konečného užívateľa výhod k 31. decembru príslušného kalendárneho roka podľa § 11 ods. 2 písm. c) platného znenia zákona.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Prvým bola nejednoznačnosť vo vzťahu k určeniu času, do ktorého treba registrujúcemu orgánu zaslať oznámenie o overení identifikácie konečného užívateľa výhod. Tu sa navrhuje zaviesť výslovnú lehotu na splnenie tejto povinnosti – do konca februára nasledujúceho roka. Taktiež sa má za to, že verejný sektor nemôže pozastaviť plnenie, ktoré má poskytnúť v priebehu januára a februára z dôvodu, že nie je splnená povinnosť overenia identifikácie, </w:t>
      </w:r>
      <w:r w:rsidRPr="001B3EA9">
        <w:rPr>
          <w:rFonts w:ascii="Times New Roman" w:hAnsi="Times New Roman"/>
          <w:sz w:val="24"/>
        </w:rPr>
        <w:lastRenderedPageBreak/>
        <w:t>pretože oprávnená osoba má prvé dva mesiace v roku na to, aby overenie bez tejto sankcie v podobe pozastavenia plnenia uskutočnila.</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Druhý aplikačný problém nastával v prípade, ak oprávnená osoba pri overovaní identifikácie konečného užívateľa výhod zistila, že tento sa zmenil a preto nebolo zrejmé, či postačuje v takejto situácií vykonať zmenové konanie, ktoré samo o sebe vyžaduje overenie identifikácie konečného užívateľa výhod, alebo je potrebné následne splniť si aj ďalšiu zákonnú povinnosť a teda zaslať súdu oznámenie o overení identifikácie k 31. decembru. V tejto súvislosti sa navrhuje ustanoviť, že splnenie povinnosti uskutočniť zmenové konanie do 28. februára nahrádza povinnosť zaslať súdu oznámenie o overení identifikácie konečného užívateľa výhod. Uvedené riešenie sa zdá vhodným aj z toho dôvodu, že v oznámení o overení identifikácie konečného užívateľa výhod oprávnená osoba vyhlasuje, že údaje o konečnom užívateľovi výhod sa k 31. 12. nezmenili, čo však v prípade, ak došlo k zmene konečného užívateľa výhod nezodpovedá skutočnosti.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Povinnosť podľa predchádzajúceho platí aj v prípade, ak dôjde k zmene osôb, ktoré sú zapísané namiesto konečných užívateľov výhod </w:t>
      </w:r>
      <w:r>
        <w:rPr>
          <w:rFonts w:ascii="Times New Roman" w:hAnsi="Times New Roman"/>
          <w:sz w:val="24"/>
        </w:rPr>
        <w:t>–</w:t>
      </w:r>
      <w:r w:rsidRPr="001B3EA9">
        <w:rPr>
          <w:rFonts w:ascii="Times New Roman" w:hAnsi="Times New Roman"/>
          <w:sz w:val="24"/>
        </w:rPr>
        <w:t xml:space="preserve"> teda osôb tvoriacich vrcholový manažment partnera verejného sektora treba prostredníctvom zmenového konania zmeny v týchto zapísaných údajoch  reflektovať.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 V súvislosti so zavedením možnosti tzv. dobrovoľnej verifikácie sa navrhuje doplniť, že povinnosť uskutočňovať zmenové konanie vzniká aj v prípade, keď uvedené zmeny oprávnená osoba identifikuje pri vykonávaní tohto druhu verifikácie.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bodom </w:t>
      </w:r>
      <w:r>
        <w:rPr>
          <w:rFonts w:ascii="Times New Roman" w:hAnsi="Times New Roman"/>
          <w:sz w:val="24"/>
          <w:u w:val="single"/>
        </w:rPr>
        <w:t>39</w:t>
      </w:r>
      <w:r w:rsidRPr="001B3EA9">
        <w:rPr>
          <w:rFonts w:ascii="Times New Roman" w:hAnsi="Times New Roman"/>
          <w:sz w:val="24"/>
          <w:u w:val="single"/>
        </w:rPr>
        <w:t xml:space="preserve"> a </w:t>
      </w:r>
      <w:r>
        <w:rPr>
          <w:rFonts w:ascii="Times New Roman" w:hAnsi="Times New Roman"/>
          <w:sz w:val="24"/>
          <w:u w:val="single"/>
        </w:rPr>
        <w:t>40</w:t>
      </w:r>
      <w:r w:rsidRPr="001B3EA9">
        <w:rPr>
          <w:rFonts w:ascii="Times New Roman" w:hAnsi="Times New Roman"/>
          <w:sz w:val="24"/>
          <w:u w:val="single"/>
        </w:rPr>
        <w:t xml:space="preserve"> (§ 11 ods. 9 a 10)</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Ide o legislatívno-technické úpravy, ktoré súvisia s vložením nových odsekov 4, 7 a 8 v § 11.</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41</w:t>
      </w:r>
      <w:r w:rsidRPr="001B3EA9">
        <w:rPr>
          <w:rFonts w:ascii="Times New Roman" w:hAnsi="Times New Roman"/>
          <w:sz w:val="24"/>
          <w:u w:val="single"/>
        </w:rPr>
        <w:t xml:space="preserve"> (§12 ods. 1)</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Navrhuje sa výslovné doplnenie ustanovenia § 12 ods. 1 na účely určenia okamihu, od ktorého registrujúci orgán posudzuje skutkový stav v rámci konania o kvalifikovanom podnete. Aj keď záver navrhovaný v doplnení § 12 ods. 1 platí už aj v súčasnosti, z dôvodu právnej istoty adresátov právnych noriem sa javí ako vhodné, aby došlo k jeho formálnemu vyjadreniu. V danej situácií sa javí spravodlivým, aby súd vychádzal zo skutkového stavu v čase začatia konania o kvalifikovanom podnete, dodatočné odstránenie porušení, alebo doplnenie údajov nemajú viesť k znemožneniu uloženia sankcie a zastaveniu konania; pripustenie takéhoto stavu by totiž mohlo viesť k špekulatívnemu konaniu partnerov verejného sektora, ktorí by takto mohli úmyselne už pri zápise do registra založiť protiprávny stav a tento udržiavať až do momentu oznámenia o začatí konania o kvalifikovanom podnete a následne zapísať pravdivé a úplne údaje a tak sa oslobodiť od uloženia sankcie.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42</w:t>
      </w:r>
      <w:r w:rsidRPr="001B3EA9">
        <w:rPr>
          <w:rFonts w:ascii="Times New Roman" w:hAnsi="Times New Roman"/>
          <w:sz w:val="24"/>
          <w:u w:val="single"/>
        </w:rPr>
        <w:t xml:space="preserve"> (§ 12 ods. 5)</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Ustanovenie o možnosti vypočutia účastníka konania aj mimo pojednávania sa navrhuje z § 12 ods. 6 vypustiť z dôvodu jeho včlenenia do nového § 16 ods. 6, ktorý pojednáva o možnosti vykonať aj tie dôkazy, ktoré účastník konania nenavrhol (pozri odôvodnenie k bodu 49).</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lastRenderedPageBreak/>
        <w:t xml:space="preserve">K bodu </w:t>
      </w:r>
      <w:r>
        <w:rPr>
          <w:rFonts w:ascii="Times New Roman" w:hAnsi="Times New Roman"/>
          <w:sz w:val="24"/>
          <w:u w:val="single"/>
        </w:rPr>
        <w:t>43</w:t>
      </w:r>
      <w:r w:rsidRPr="001B3EA9">
        <w:rPr>
          <w:rFonts w:ascii="Times New Roman" w:hAnsi="Times New Roman"/>
          <w:sz w:val="24"/>
          <w:u w:val="single"/>
        </w:rPr>
        <w:t xml:space="preserve"> (§12 ods. </w:t>
      </w:r>
      <w:r>
        <w:rPr>
          <w:rFonts w:ascii="Times New Roman" w:hAnsi="Times New Roman"/>
          <w:sz w:val="24"/>
          <w:u w:val="single"/>
        </w:rPr>
        <w:t>7</w:t>
      </w:r>
      <w:r w:rsidRPr="001B3EA9">
        <w:rPr>
          <w:rFonts w:ascii="Times New Roman" w:hAnsi="Times New Roman"/>
          <w:sz w:val="24"/>
          <w:u w:val="single"/>
        </w:rPr>
        <w:t>)</w:t>
      </w: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 § 12 ods. </w:t>
      </w:r>
      <w:r>
        <w:rPr>
          <w:rFonts w:ascii="Times New Roman" w:hAnsi="Times New Roman"/>
          <w:sz w:val="24"/>
        </w:rPr>
        <w:t>7</w:t>
      </w:r>
      <w:r w:rsidRPr="001B3EA9">
        <w:rPr>
          <w:rFonts w:ascii="Times New Roman" w:hAnsi="Times New Roman"/>
          <w:sz w:val="24"/>
        </w:rPr>
        <w:t xml:space="preserve"> sa zavádza tzv. „materiálny </w:t>
      </w:r>
      <w:proofErr w:type="spellStart"/>
      <w:r w:rsidRPr="001B3EA9">
        <w:rPr>
          <w:rFonts w:ascii="Times New Roman" w:hAnsi="Times New Roman"/>
          <w:sz w:val="24"/>
        </w:rPr>
        <w:t>korektív</w:t>
      </w:r>
      <w:proofErr w:type="spellEnd"/>
      <w:r w:rsidRPr="001B3EA9">
        <w:rPr>
          <w:rFonts w:ascii="Times New Roman" w:hAnsi="Times New Roman"/>
          <w:sz w:val="24"/>
        </w:rPr>
        <w:t>“, ktorý má chrániť účastníkov konania pred formalistickým rozhodovaním súdu o uloženej sankcií v prípade, ak síce došlo k porušeniu zákona, ale závažnosť takéhoto konania je nepatrná. V takom prípade súd síce vysloví „vinu“, ale neuloží sankciu za porušenie zákona (výmaz, pokuta). Nepatrnou závažnosťou sa rozumejú najmä zrejmé chyby či nesprávnosti v zápise konečného užívateľa výhod (napríklad odlišné súpisné alebo popisné číslo pri adrese trvalého pobytu, chyba v mene konečného užívateľa výhod a pod.) Nepatrnou závažnosťou však nemožno rozumieť také pochybenie v zápise konečného užívateľa výhod, kedy je tento subjekt určený nesprávne (napríklad namiesto konečného užívateľa X je zapísaný konečný užívateľ Y, prípadne je zapísaných viac alebo menej konečných užívateľov výhod ako v skutočnosti má byť</w:t>
      </w:r>
      <w:r>
        <w:rPr>
          <w:rFonts w:ascii="Times New Roman" w:hAnsi="Times New Roman"/>
          <w:sz w:val="24"/>
        </w:rPr>
        <w:t>)</w:t>
      </w:r>
      <w:r w:rsidRPr="001B3EA9">
        <w:rPr>
          <w:rFonts w:ascii="Times New Roman" w:hAnsi="Times New Roman"/>
          <w:sz w:val="24"/>
        </w:rPr>
        <w:t xml:space="preserve">. V takomto prípade materiálny </w:t>
      </w:r>
      <w:proofErr w:type="spellStart"/>
      <w:r w:rsidRPr="001B3EA9">
        <w:rPr>
          <w:rFonts w:ascii="Times New Roman" w:hAnsi="Times New Roman"/>
          <w:sz w:val="24"/>
        </w:rPr>
        <w:t>korektív</w:t>
      </w:r>
      <w:proofErr w:type="spellEnd"/>
      <w:r w:rsidRPr="001B3EA9">
        <w:rPr>
          <w:rFonts w:ascii="Times New Roman" w:hAnsi="Times New Roman"/>
          <w:sz w:val="24"/>
        </w:rPr>
        <w:t xml:space="preserve"> nemožno použiť.</w:t>
      </w:r>
    </w:p>
    <w:p w:rsidR="00A26A39" w:rsidRPr="001B3EA9" w:rsidRDefault="00A26A39" w:rsidP="00A26A39">
      <w:pPr>
        <w:spacing w:after="0" w:line="240" w:lineRule="auto"/>
        <w:ind w:firstLine="708"/>
        <w:jc w:val="both"/>
        <w:rPr>
          <w:rFonts w:ascii="Times New Roman" w:hAnsi="Times New Roman"/>
          <w:sz w:val="24"/>
        </w:rPr>
      </w:pPr>
    </w:p>
    <w:p w:rsidR="00A26A3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44</w:t>
      </w:r>
      <w:r w:rsidRPr="001B3EA9">
        <w:rPr>
          <w:rFonts w:ascii="Times New Roman" w:hAnsi="Times New Roman"/>
          <w:sz w:val="24"/>
          <w:u w:val="single"/>
        </w:rPr>
        <w:t>(§ 13 ods. 1</w:t>
      </w:r>
      <w:r>
        <w:rPr>
          <w:rFonts w:ascii="Times New Roman" w:hAnsi="Times New Roman"/>
          <w:sz w:val="24"/>
          <w:u w:val="single"/>
        </w:rPr>
        <w:t xml:space="preserve">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Pr>
          <w:rFonts w:ascii="Times New Roman" w:hAnsi="Times New Roman"/>
          <w:sz w:val="24"/>
        </w:rPr>
        <w:t>Ide o legislatívno-technickú úpravu spojenú s vložením nového odseku 3 v § 4.</w:t>
      </w:r>
    </w:p>
    <w:p w:rsidR="00A26A3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45</w:t>
      </w:r>
      <w:r w:rsidRPr="001B3EA9">
        <w:rPr>
          <w:rFonts w:ascii="Times New Roman" w:hAnsi="Times New Roman"/>
          <w:sz w:val="24"/>
          <w:u w:val="single"/>
        </w:rPr>
        <w:t xml:space="preserve"> </w:t>
      </w:r>
      <w:r>
        <w:rPr>
          <w:rFonts w:ascii="Times New Roman" w:hAnsi="Times New Roman"/>
          <w:sz w:val="24"/>
          <w:u w:val="single"/>
        </w:rPr>
        <w:t>[</w:t>
      </w:r>
      <w:r w:rsidRPr="001B3EA9">
        <w:rPr>
          <w:rFonts w:ascii="Times New Roman" w:hAnsi="Times New Roman"/>
          <w:sz w:val="24"/>
          <w:u w:val="single"/>
        </w:rPr>
        <w:t>(§ 13 ods. 1</w:t>
      </w:r>
      <w:r>
        <w:rPr>
          <w:rFonts w:ascii="Times New Roman" w:hAnsi="Times New Roman"/>
          <w:sz w:val="24"/>
          <w:u w:val="single"/>
        </w:rPr>
        <w:t xml:space="preserve"> písm. b</w:t>
      </w:r>
      <w:r w:rsidRPr="001B3EA9">
        <w:rPr>
          <w:rFonts w:ascii="Times New Roman" w:hAnsi="Times New Roman"/>
          <w:sz w:val="24"/>
          <w:u w:val="single"/>
        </w:rPr>
        <w:t>)</w:t>
      </w:r>
      <w:r>
        <w:rPr>
          <w:rFonts w:ascii="Times New Roman" w:hAnsi="Times New Roman"/>
          <w:sz w:val="24"/>
          <w:u w:val="single"/>
        </w:rPr>
        <w:t>]</w:t>
      </w:r>
    </w:p>
    <w:p w:rsidR="00A26A39" w:rsidRPr="001B3EA9" w:rsidRDefault="00A26A39" w:rsidP="00A26A39">
      <w:pPr>
        <w:spacing w:after="0" w:line="240" w:lineRule="auto"/>
        <w:jc w:val="both"/>
        <w:rPr>
          <w:rFonts w:ascii="Times New Roman" w:hAnsi="Times New Roman"/>
          <w:sz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V rámci ustanovenia o sankciách dochádza k určitému zmierneniu doteraz nastaveného mechanizmu  tým spôsobom, že registrujúci orgán  pri ukladaní pokuty členom štatutárneho orgánu musí dbať na to, že po sčítaní všetkých pokút uložených týmto členom nesmie dôjsť k prekročeniu hornej hranice 100.000 eur. Doterajšie ustanovenie bolo koncipované tým spôsobom, že pokutu do tejto výšky mohol dostať i každý jednotlivý člen štatutárneho orgánu samostatne, čo sa javilo k rozsahu porušenia povinnosti uloženej zákonom i vzhľadom na ostatné sankcie, ktoré v prípade uvedenia nepravdivých či neúplných údajov postihujú partnera verejného sektora v zmysle zákona neproporcionálnym. Zároveň sa navrhuje ustanoviť solidárna zodpovednosť členov štatutárneho orgánu za zaplatenie pokuty uloženej štatutárnemu orgánu.</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46</w:t>
      </w:r>
      <w:r w:rsidRPr="001B3EA9">
        <w:rPr>
          <w:rFonts w:ascii="Times New Roman" w:hAnsi="Times New Roman"/>
          <w:sz w:val="24"/>
          <w:u w:val="single"/>
        </w:rPr>
        <w:t xml:space="preserve"> (§ 13 ods. 3)</w:t>
      </w:r>
    </w:p>
    <w:p w:rsidR="00A26A39" w:rsidRPr="001B3EA9" w:rsidRDefault="00A26A39" w:rsidP="00A26A39">
      <w:pPr>
        <w:spacing w:after="0" w:line="240" w:lineRule="auto"/>
        <w:jc w:val="both"/>
        <w:rPr>
          <w:rFonts w:ascii="Times New Roman" w:hAnsi="Times New Roman"/>
          <w:sz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Ide o legislatívno-technickú úpravu súvisiacu s vložením nových odsekov 4,7 a 9 v          § 11.</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47</w:t>
      </w:r>
      <w:r w:rsidRPr="001B3EA9">
        <w:rPr>
          <w:rFonts w:ascii="Times New Roman" w:hAnsi="Times New Roman"/>
          <w:sz w:val="24"/>
          <w:u w:val="single"/>
        </w:rPr>
        <w:t xml:space="preserve"> (§ 13 ods. 7)</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Dochádza k zosúladeniu uvedeného ustanovenia s § 13 ods. 5, ktorý vzťah partnera verejného sektora a oprávnenej osoby z uloženej pokuty považuje za ručiteľský, nie za vzťah solidárnej zodpovednosti.</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48</w:t>
      </w:r>
      <w:r w:rsidRPr="001B3EA9">
        <w:rPr>
          <w:rFonts w:ascii="Times New Roman" w:hAnsi="Times New Roman"/>
          <w:sz w:val="24"/>
          <w:u w:val="single"/>
        </w:rPr>
        <w:t xml:space="preserve"> (nový § 13a)</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Navrhuje sa ustanoviť, že súčasne s momentom výmazu partnera verejného sektora z úradnej povinnosti vzniká partnerovi verejného sektora zákaz zapísať sa do registra partnerov verejného sektora po dobu dvoch rokov, ktorá sa počíta od právoplatnosti rozhodnutia registrujúceho orgánu o výmaze. V zmysle súčasnej právnej úpravy nič nebráni partnerovi verejného sektora, ktorý porušil svoje zákonné povinnosti, aby sa opätovne zapísal do registra </w:t>
      </w:r>
      <w:r w:rsidRPr="001B3EA9">
        <w:rPr>
          <w:rFonts w:ascii="Times New Roman" w:hAnsi="Times New Roman"/>
          <w:sz w:val="24"/>
        </w:rPr>
        <w:lastRenderedPageBreak/>
        <w:t>hoci i na druhý deň po výmaze, čo nedostatočne rešpektuje výchovný a prevenčný charakter, ktoré majú v zákone nastavené sankcie sledovať. Tento následok je preto legitímny. Skutočnosť, či partner verejného sektora nebol v posledných dvoch rokoch vymazaný z</w:t>
      </w:r>
      <w:r>
        <w:rPr>
          <w:rFonts w:ascii="Times New Roman" w:hAnsi="Times New Roman"/>
          <w:sz w:val="24"/>
        </w:rPr>
        <w:t> </w:t>
      </w:r>
      <w:r w:rsidRPr="001B3EA9">
        <w:rPr>
          <w:rFonts w:ascii="Times New Roman" w:hAnsi="Times New Roman"/>
          <w:sz w:val="24"/>
        </w:rPr>
        <w:t>registra</w:t>
      </w:r>
      <w:r>
        <w:rPr>
          <w:rFonts w:ascii="Times New Roman" w:hAnsi="Times New Roman"/>
          <w:sz w:val="24"/>
        </w:rPr>
        <w:t>,</w:t>
      </w:r>
      <w:r w:rsidRPr="001B3EA9">
        <w:rPr>
          <w:rFonts w:ascii="Times New Roman" w:hAnsi="Times New Roman"/>
          <w:sz w:val="24"/>
        </w:rPr>
        <w:t xml:space="preserve"> bude predmetom súdneho prieskumu pri podanom návrhu na zápis. Po uplynutí doby diskvalifikácie bude možn</w:t>
      </w:r>
      <w:r>
        <w:rPr>
          <w:rFonts w:ascii="Times New Roman" w:hAnsi="Times New Roman"/>
          <w:sz w:val="24"/>
        </w:rPr>
        <w:t>é</w:t>
      </w:r>
      <w:r w:rsidRPr="001B3EA9">
        <w:rPr>
          <w:rFonts w:ascii="Times New Roman" w:hAnsi="Times New Roman"/>
          <w:sz w:val="24"/>
        </w:rPr>
        <w:t xml:space="preserve">, aby sa partner verejného sektora znovu zapísal prostredníctvom oprávnenej osoby do registra.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49</w:t>
      </w:r>
      <w:r w:rsidRPr="001B3EA9">
        <w:rPr>
          <w:rFonts w:ascii="Times New Roman" w:hAnsi="Times New Roman"/>
          <w:sz w:val="24"/>
          <w:u w:val="single"/>
        </w:rPr>
        <w:t xml:space="preserve"> (§ 16 ods. 5)</w:t>
      </w:r>
    </w:p>
    <w:p w:rsidR="00A26A39" w:rsidRPr="001B3EA9" w:rsidRDefault="00A26A39" w:rsidP="00A26A39">
      <w:pPr>
        <w:spacing w:after="0" w:line="240" w:lineRule="auto"/>
        <w:jc w:val="both"/>
        <w:rPr>
          <w:rFonts w:ascii="Times New Roman" w:hAnsi="Times New Roman"/>
          <w:sz w:val="24"/>
        </w:rPr>
      </w:pPr>
    </w:p>
    <w:p w:rsidR="00A26A3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Podľa platnej právnej úpravy sa na konania uvedené v § 16 ods. 5 nepoužije čl. 6 Civilného </w:t>
      </w:r>
      <w:proofErr w:type="spellStart"/>
      <w:r w:rsidRPr="001B3EA9">
        <w:rPr>
          <w:rFonts w:ascii="Times New Roman" w:hAnsi="Times New Roman"/>
          <w:sz w:val="24"/>
        </w:rPr>
        <w:t>mimosporového</w:t>
      </w:r>
      <w:proofErr w:type="spellEnd"/>
      <w:r w:rsidRPr="001B3EA9">
        <w:rPr>
          <w:rFonts w:ascii="Times New Roman" w:hAnsi="Times New Roman"/>
          <w:sz w:val="24"/>
        </w:rPr>
        <w:t xml:space="preserve"> poriadku. </w:t>
      </w:r>
      <w:r>
        <w:rPr>
          <w:rFonts w:ascii="Times New Roman" w:hAnsi="Times New Roman"/>
          <w:sz w:val="24"/>
        </w:rPr>
        <w:t>Keďže</w:t>
      </w:r>
      <w:r w:rsidRPr="001B3EA9">
        <w:rPr>
          <w:rFonts w:ascii="Times New Roman" w:hAnsi="Times New Roman"/>
          <w:sz w:val="24"/>
        </w:rPr>
        <w:t xml:space="preserve"> § 35 a 36 sú reflexiou čl. 6 Civilného </w:t>
      </w:r>
      <w:proofErr w:type="spellStart"/>
      <w:r w:rsidRPr="001B3EA9">
        <w:rPr>
          <w:rFonts w:ascii="Times New Roman" w:hAnsi="Times New Roman"/>
          <w:sz w:val="24"/>
        </w:rPr>
        <w:t>mimosporového</w:t>
      </w:r>
      <w:proofErr w:type="spellEnd"/>
      <w:r w:rsidRPr="001B3EA9">
        <w:rPr>
          <w:rFonts w:ascii="Times New Roman" w:hAnsi="Times New Roman"/>
          <w:sz w:val="24"/>
        </w:rPr>
        <w:t xml:space="preserve"> poriadku, je namieste vylúčenie aj aplikácie cit. ustanovení. Ide teda o spresnenie právnej úpravy.  </w:t>
      </w:r>
    </w:p>
    <w:p w:rsidR="00A26A39" w:rsidRPr="001B3EA9" w:rsidRDefault="00A26A39" w:rsidP="00A26A39">
      <w:pPr>
        <w:spacing w:after="0" w:line="240" w:lineRule="auto"/>
        <w:jc w:val="both"/>
        <w:rPr>
          <w:rFonts w:ascii="Times New Roman" w:hAnsi="Times New Roman"/>
          <w:sz w:val="24"/>
          <w:u w:val="single"/>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50</w:t>
      </w:r>
      <w:r w:rsidRPr="001B3EA9">
        <w:rPr>
          <w:rFonts w:ascii="Times New Roman" w:hAnsi="Times New Roman"/>
          <w:sz w:val="24"/>
          <w:u w:val="single"/>
        </w:rPr>
        <w:t xml:space="preserve"> (§ 16 ods. 6 a 7)</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Navrhovaný odsek 6 predstavuje výnimku z ustanovenia § 16 ods. 5, ktoré uvádza, že na konanie sa nevzťahuje čl. 6 Civilného </w:t>
      </w:r>
      <w:proofErr w:type="spellStart"/>
      <w:r w:rsidRPr="001B3EA9">
        <w:rPr>
          <w:rFonts w:ascii="Times New Roman" w:hAnsi="Times New Roman"/>
          <w:sz w:val="24"/>
        </w:rPr>
        <w:t>mimosporového</w:t>
      </w:r>
      <w:proofErr w:type="spellEnd"/>
      <w:r w:rsidRPr="001B3EA9">
        <w:rPr>
          <w:rFonts w:ascii="Times New Roman" w:hAnsi="Times New Roman"/>
          <w:sz w:val="24"/>
        </w:rPr>
        <w:t xml:space="preserve"> poriadku, zakotvujúci vyšetrovaciu zásadu. Konanie o kvalifikovanom podnete a konanie o pokute teda ostávajú vystavané na princípe oficiality, avšak v prípade ak je to nevyhnutné na zistenie skutkových okolností, môže súd vykonať aj dôkazy, ktoré účastníci konania nenavrhli, pričom prichádza do úvahy najmä možnosť navrhnúť vypočutie účastníka konania, ak jeho výpoveď môže mať mimoriadny význam pre rozhodnutie alebo postup registrujúceho orgánu v konaní. Uvedený výkon dôkazov súdom prichádza do úvahy len ak ide o mimoriadne situácie, kedy princíp materiálnej pravdy dokáže prevážiť nad povinnosťou dôkazného bremena na strane účastníkov konania.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Možnosť súdu vykonať dôkazy, ktoré účastníci nenavrhli</w:t>
      </w:r>
      <w:r>
        <w:rPr>
          <w:rFonts w:ascii="Times New Roman" w:hAnsi="Times New Roman"/>
          <w:sz w:val="24"/>
        </w:rPr>
        <w:t>,</w:t>
      </w:r>
      <w:r w:rsidRPr="001B3EA9">
        <w:rPr>
          <w:rFonts w:ascii="Times New Roman" w:hAnsi="Times New Roman"/>
          <w:sz w:val="24"/>
        </w:rPr>
        <w:t xml:space="preserve"> sa zdá vhodnou aj z toho dôvodu, že v zmysle súčasnej právnej úpravy najmä v prípade, ak súd začne konanie o kvalifikovanom podnete z vlastnej iniciatívy, nemá možnosť tieto dôkazy za účelom zistenia skutočného stavu veci vykonať.</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V odseku 7 sa z dôvodu odstránenia pochybností pri zápise členov vrcholového manažmentu navrhuje vyjadriť, že ustanovenia zákona</w:t>
      </w:r>
      <w:r>
        <w:rPr>
          <w:rFonts w:ascii="Times New Roman" w:hAnsi="Times New Roman"/>
          <w:sz w:val="24"/>
        </w:rPr>
        <w:t>,</w:t>
      </w:r>
      <w:r w:rsidRPr="001B3EA9">
        <w:rPr>
          <w:rFonts w:ascii="Times New Roman" w:hAnsi="Times New Roman"/>
          <w:sz w:val="24"/>
        </w:rPr>
        <w:t xml:space="preserve"> ktoré sa týkajú konečných užívateľov výhod</w:t>
      </w:r>
      <w:r>
        <w:rPr>
          <w:rFonts w:ascii="Times New Roman" w:hAnsi="Times New Roman"/>
          <w:sz w:val="24"/>
        </w:rPr>
        <w:t>,</w:t>
      </w:r>
      <w:r w:rsidRPr="001B3EA9">
        <w:rPr>
          <w:rFonts w:ascii="Times New Roman" w:hAnsi="Times New Roman"/>
          <w:sz w:val="24"/>
        </w:rPr>
        <w:t xml:space="preserve"> sa vzťahujú aj na tieto osoby, teda na subjekty, ktoré sa zapisujú namiesto konečných užívateľov výhod. Ide napríklad o ustanovenia ktoré sa týkajú zmeny zapísaných údajov. Aj údaje o vrcholovom manažmente podliehajú v prípade zmeny povinnosti vykonať zmenové konanie.</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51</w:t>
      </w:r>
      <w:r w:rsidRPr="001B3EA9">
        <w:rPr>
          <w:rFonts w:ascii="Times New Roman" w:hAnsi="Times New Roman"/>
          <w:sz w:val="24"/>
          <w:u w:val="single"/>
        </w:rPr>
        <w:t xml:space="preserve"> [(§ 19 písm. c)]</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Navrhuje sa explicitne ustanoviť, že vzťah medzi klientom (ktorý je partnerom verejného sektora) a  advokátom (alebo inou oprávnenou osobou) vykonávajúcimi svoju činnosť podľa osobitných predpisov (napr. Notársky poriadok, zákon  č. 586/2003 Z. z. o advokácii a o zmene a doplnení zákona č. 455/1991 Zb. o živnostenskom podnikaní (živnostenský zákon) v znení neskorších predpisov ... ) nie je prekážkou pre výkon činnosti oprávnenej osoby. Podstatným v danom prípade je, že uvedené služby vykonávajú oprávnené osoby pre svojich klientov síce odplatne, avšak ich činnosť nie je vo vzťahu k partnerovi verejného sektora „závislou činnosťou“ – teda činnosťou vykonávanou na základe pracovnej zmluvy či dohody v zmysle pracovnoprávnych predpisov a vo vzťahu podriadenosti k partnerovi verejného sektora.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u w:val="single"/>
        </w:rPr>
      </w:pPr>
      <w:r w:rsidRPr="001B3EA9">
        <w:rPr>
          <w:rFonts w:ascii="Times New Roman" w:hAnsi="Times New Roman"/>
          <w:sz w:val="24"/>
          <w:u w:val="single"/>
        </w:rPr>
        <w:t xml:space="preserve">K bodu </w:t>
      </w:r>
      <w:r>
        <w:rPr>
          <w:rFonts w:ascii="Times New Roman" w:hAnsi="Times New Roman"/>
          <w:sz w:val="24"/>
          <w:u w:val="single"/>
        </w:rPr>
        <w:t>52</w:t>
      </w:r>
      <w:r w:rsidRPr="001B3EA9">
        <w:rPr>
          <w:rFonts w:ascii="Times New Roman" w:hAnsi="Times New Roman"/>
          <w:sz w:val="24"/>
          <w:u w:val="single"/>
        </w:rPr>
        <w:t xml:space="preserve"> (nový § 26)</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Navrhuje sa zakotviť prechodné ustanovenia súvisiace so zmenami zákona k 1. júlu 2019.</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 odseku 1 sa navrhuje vyjadriť, že akékoľvek konanie, ktoré bolo začaté podľa právnych predpisov účinných do 1. júla 2019 sa dokončí podľa týchto právnych predpisov a nová právna úprava sa neaplikuje, čím sa posilňuje právna istota subjektov vo vzťahu k začatým a právoplatne neukončeným konaniam.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  Ďalšie prechodné ustanovenie (§ 26 ods. 2) súvisí so zmenou pojmu „vrcholový manažment“ a so zmenou zapisovaných údajov pri emitentoch cenných papierov prijatých na obchodovanie na regulovanom trhu alebo spoločnosti, ktorú tento emitent priamo alebo nepriamo výlučne majetkovo ovláda alebo riadi. Výlučné právo ovládať alebo riadiť sa  naďalej vykladá tým spôsobom, že iná osoba, ako emitent cenných papierov nemá podiel na hlasovacích právach, prípadne majetkovú účasť na ovládanej spoločnosti. Výlučnosť práv teda znamená ovládanie spoločnosti emitentom v podiele 100%. Pri vyššie uvedených osobách (teda pri emitentoch a nimi ovládaných osobách) sa podľa novej právnej úpravy budú vždy zapisovať len subjekty, ktoré sú tzv. fiktívnymi konečnými užívateľmi výhod – členmi vrcholového manažmentu. Za vrcholový manažment sa považuje len štatutárny orgán a jeho členovia.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Preto pokiaľ partner verejného sektora - či už emitent cenných papierov, alebo partner verejného sektora, ktorý nedokázal určiť konečného užívateľa výhod podľa § 6a ods. 1 zákona č. 297/2008 Z. z.</w:t>
      </w:r>
      <w:r>
        <w:rPr>
          <w:rFonts w:ascii="Times New Roman" w:hAnsi="Times New Roman"/>
          <w:sz w:val="24"/>
        </w:rPr>
        <w:t>,</w:t>
      </w:r>
      <w:r w:rsidRPr="001B3EA9">
        <w:rPr>
          <w:rFonts w:ascii="Times New Roman" w:hAnsi="Times New Roman"/>
          <w:sz w:val="24"/>
        </w:rPr>
        <w:t xml:space="preserve"> a teda z toho dôvodu zapisuje „fiktívneho konečného užívateľa výhod“ – vrcholový manažment;  majú ponechané dostatočne dlhé prechodné obdobie, aby uvedené údaje zapísali, prípadne zosúladili právny stav spôsobom, ktorý požaduje nová právna úprava. Prechodné obdobie  preto trvá  6 mesiacov od nadobudnutia účinnosti návrhu zákona.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Posledný druh prechodných ustanovení je vyvolaný zakotvením zásad,  podľa ktorých sa posudzujú zmluvy (nový § 2 ods. 4). Ide napr. o nové posudzovanie zmlúv, predmetom ktorých je opakujúce sa plnenie, prípadne rámcových zmlúv uzatvorených na viac rokov, z ktorých aj po účinnosti návrhu zákona majú subjekty získavať plnenia od štátu. Spravodlivým sa v danom prípade javí riešenie, že takýto subjekt je partnerom verejného sektora a má povinnosť zápisu len vtedy, ak plnenie, ktoré má po nadobudnutí účinnosti zákona (teda po 1. júli 2019) prijať, presahuje finančné limity určené zákonom.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Príklad: Fyzická osoba uzavrela 1.5.2018 s ministerstvom nájomnú zmluvu na 5 rokov. Nájomné plnenie, ktoré má od štátu táto fyzická osoba prijať</w:t>
      </w:r>
      <w:r>
        <w:rPr>
          <w:rFonts w:ascii="Times New Roman" w:hAnsi="Times New Roman"/>
          <w:sz w:val="24"/>
        </w:rPr>
        <w:t>,</w:t>
      </w:r>
      <w:r w:rsidRPr="001B3EA9">
        <w:rPr>
          <w:rFonts w:ascii="Times New Roman" w:hAnsi="Times New Roman"/>
          <w:sz w:val="24"/>
        </w:rPr>
        <w:t xml:space="preserve"> činí ročne 50 000 €. Po účinnosti návrhu zákona bude zmluva trvať ešte 4 roky. Predmetom zmluvy je opakujúce sa plnenie a ide o zmluvu uzavretú na dobu určitú, čo znamená, že pri posudzovaní hodnoty zmluvy sa použije zásada podľa § 2 ods. 4 písm. e) a teda opakujúce plnenie sa sčítava počas celej doby trvania zmluvy. V našom prípade sa bude podľa prechodného ustanovenia v spojení s uvedenou zásadou posudzovať hodnota plnenia za ostávajúce 4 roky trvania zmluvy – teda 50 000 € x 4 roky – 200 000 €. Keďže limit pre opakujúce sa plnenia je nastavený na sumu 250 000 €</w:t>
      </w:r>
      <w:r>
        <w:rPr>
          <w:rFonts w:ascii="Times New Roman" w:hAnsi="Times New Roman"/>
          <w:sz w:val="24"/>
        </w:rPr>
        <w:t>,</w:t>
      </w:r>
      <w:r w:rsidRPr="001B3EA9">
        <w:rPr>
          <w:rFonts w:ascii="Times New Roman" w:hAnsi="Times New Roman"/>
          <w:sz w:val="24"/>
        </w:rPr>
        <w:t xml:space="preserve"> nevznikne v danom prípade povinnosť zápisu do registra. Subjekty, ktoré však identifikujú v zmysle predchádzajúceho svoju povinnosť zápisu do registra, majú ponechané polročné obdobie (t. j. do </w:t>
      </w:r>
      <w:r>
        <w:rPr>
          <w:rFonts w:ascii="Times New Roman" w:hAnsi="Times New Roman"/>
          <w:sz w:val="24"/>
          <w:szCs w:val="24"/>
          <w:lang w:eastAsia="sk-SK"/>
        </w:rPr>
        <w:t>31</w:t>
      </w:r>
      <w:r w:rsidRPr="00D24B7A">
        <w:rPr>
          <w:rFonts w:ascii="Times New Roman" w:hAnsi="Times New Roman"/>
          <w:sz w:val="24"/>
          <w:szCs w:val="24"/>
          <w:lang w:eastAsia="sk-SK"/>
        </w:rPr>
        <w:t xml:space="preserve">. </w:t>
      </w:r>
      <w:r>
        <w:rPr>
          <w:rFonts w:ascii="Times New Roman" w:hAnsi="Times New Roman"/>
          <w:sz w:val="24"/>
          <w:szCs w:val="24"/>
          <w:lang w:eastAsia="sk-SK"/>
        </w:rPr>
        <w:t>decembra</w:t>
      </w:r>
      <w:r w:rsidRPr="00D24B7A">
        <w:rPr>
          <w:rFonts w:ascii="Times New Roman" w:hAnsi="Times New Roman"/>
          <w:sz w:val="24"/>
          <w:szCs w:val="24"/>
          <w:lang w:eastAsia="sk-SK"/>
        </w:rPr>
        <w:t xml:space="preserve"> </w:t>
      </w:r>
      <w:r>
        <w:rPr>
          <w:rFonts w:ascii="Times New Roman" w:hAnsi="Times New Roman"/>
          <w:sz w:val="24"/>
          <w:szCs w:val="24"/>
          <w:lang w:eastAsia="sk-SK"/>
        </w:rPr>
        <w:t>2019</w:t>
      </w:r>
      <w:r w:rsidRPr="001B3EA9">
        <w:rPr>
          <w:rFonts w:ascii="Times New Roman" w:hAnsi="Times New Roman"/>
          <w:sz w:val="24"/>
        </w:rPr>
        <w:t>) na splnenie tejto povinnosti.</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lastRenderedPageBreak/>
        <w:t>Odsek 4 predstavuje osobitné pravidlo, že pokiaľ ide o zmluvu, z ktorej sa má po účinnosti zákona čerpať, avšak ide o zmluvu ktorá je uzavretá na dobu neurčitú alebo ktorej hodnotu plnenia vopred nemožno určiť (zmluvy, ktoré posudzujeme podľa § 2 ods.</w:t>
      </w:r>
      <w:r>
        <w:rPr>
          <w:rFonts w:ascii="Times New Roman" w:hAnsi="Times New Roman"/>
          <w:sz w:val="24"/>
        </w:rPr>
        <w:t xml:space="preserve"> </w:t>
      </w:r>
      <w:r w:rsidRPr="001B3EA9">
        <w:rPr>
          <w:rFonts w:ascii="Times New Roman" w:hAnsi="Times New Roman"/>
          <w:sz w:val="24"/>
        </w:rPr>
        <w:t xml:space="preserve">4 písm. l), povinnosť zápisu pre takéto subjekty vzniká v súlade so zásadou v § 2 ods. 4 písm. l) až pred poskytnutím toho plnenia, ktoré spolu s ostatnými plneniami prijatými po účinnosti návrhu zákona prekročí finančné limity. Teda v takomto prípade nie je zavedené striktné prechodné obdobie na splnenie povinnosti zápisu, ale povinnosť zápisu je závislá od poskytnutého plnenia, resp. od následnej dĺžky zmluvy uzavretej na dobu neurčitú. </w:t>
      </w:r>
    </w:p>
    <w:p w:rsidR="00A26A39" w:rsidRPr="001B3EA9" w:rsidRDefault="00A26A39" w:rsidP="00A26A39">
      <w:pPr>
        <w:spacing w:after="0" w:line="240" w:lineRule="auto"/>
        <w:ind w:firstLine="708"/>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Odsek 5 predstavuje následky, ktoré môžu nastúpiť v prípade, ak nedôjde k splneniu povinnosti podľa odsekov 3 a 4 . Ide jednak o možnosť (nie povinnosť) verejného sektora odstúpiť od zmluvy, alebo o možnosť nesplniť to, čo ukladá zmluva, dokiaľ povinnosť zápisu nie je splnená. Ide zároveň o rovnaké následky ako sú uvedené v platnom znení § 23 ods. 2 zákona, ktorý po nadobudnutí účinnosti zákona (t. j. po</w:t>
      </w:r>
      <w:r>
        <w:rPr>
          <w:rFonts w:ascii="Times New Roman" w:hAnsi="Times New Roman"/>
          <w:sz w:val="24"/>
        </w:rPr>
        <w:t xml:space="preserve"> 1. februári </w:t>
      </w:r>
      <w:r w:rsidRPr="001B3EA9">
        <w:rPr>
          <w:rFonts w:ascii="Times New Roman" w:hAnsi="Times New Roman"/>
          <w:sz w:val="24"/>
        </w:rPr>
        <w:t>2017)  podroboval povinnosti zápisu fyzické a právnické osoby, ktoré mali platne uzavreté zmluvy so štátom a rovnako plnenia, ktoré mali z týchto zmlúv čerpať, boli nad limity ustanovené zákonom.</w:t>
      </w:r>
    </w:p>
    <w:p w:rsidR="00A26A39" w:rsidRPr="001B3EA9" w:rsidRDefault="00A26A39" w:rsidP="00A26A39">
      <w:pPr>
        <w:spacing w:after="0" w:line="240" w:lineRule="auto"/>
        <w:jc w:val="both"/>
        <w:rPr>
          <w:rFonts w:ascii="Times New Roman" w:hAnsi="Times New Roman"/>
          <w:b/>
          <w:sz w:val="24"/>
          <w:u w:val="single"/>
        </w:rPr>
      </w:pPr>
    </w:p>
    <w:p w:rsidR="00A26A39" w:rsidRPr="001B3EA9" w:rsidRDefault="00A26A39" w:rsidP="00A26A39">
      <w:pPr>
        <w:spacing w:after="0" w:line="240" w:lineRule="auto"/>
        <w:jc w:val="both"/>
        <w:rPr>
          <w:rFonts w:ascii="Times New Roman" w:hAnsi="Times New Roman"/>
          <w:b/>
          <w:sz w:val="24"/>
          <w:u w:val="single"/>
        </w:rPr>
      </w:pPr>
      <w:r w:rsidRPr="001B3EA9">
        <w:rPr>
          <w:rFonts w:ascii="Times New Roman" w:hAnsi="Times New Roman"/>
          <w:b/>
          <w:sz w:val="24"/>
          <w:u w:val="single"/>
        </w:rPr>
        <w:t xml:space="preserve">K čl. II </w:t>
      </w:r>
    </w:p>
    <w:p w:rsidR="00A26A39" w:rsidRPr="001B3EA9" w:rsidRDefault="00A26A39" w:rsidP="00A26A39">
      <w:pPr>
        <w:spacing w:after="0" w:line="240" w:lineRule="auto"/>
        <w:jc w:val="both"/>
        <w:rPr>
          <w:rFonts w:ascii="Times New Roman" w:hAnsi="Times New Roman"/>
          <w:i/>
          <w:sz w:val="24"/>
        </w:rPr>
      </w:pPr>
      <w:r w:rsidRPr="001B3EA9">
        <w:rPr>
          <w:rFonts w:ascii="Times New Roman" w:hAnsi="Times New Roman"/>
          <w:i/>
          <w:sz w:val="24"/>
        </w:rPr>
        <w:t>(zákon č. 51/1988 Zb.)</w:t>
      </w:r>
    </w:p>
    <w:p w:rsidR="00A26A39" w:rsidRPr="001B3EA9" w:rsidRDefault="00A26A39" w:rsidP="00A26A39">
      <w:pPr>
        <w:spacing w:after="0" w:line="240" w:lineRule="auto"/>
        <w:jc w:val="both"/>
        <w:rPr>
          <w:rFonts w:ascii="Times New Roman" w:hAnsi="Times New Roman"/>
          <w:b/>
          <w:sz w:val="24"/>
        </w:rPr>
      </w:pPr>
    </w:p>
    <w:p w:rsidR="00A26A39" w:rsidRDefault="00A26A39" w:rsidP="00A26A39">
      <w:pPr>
        <w:spacing w:line="240" w:lineRule="auto"/>
        <w:ind w:firstLine="708"/>
        <w:jc w:val="both"/>
        <w:rPr>
          <w:rFonts w:ascii="Times New Roman" w:hAnsi="Times New Roman"/>
          <w:sz w:val="24"/>
          <w:szCs w:val="24"/>
          <w:lang w:eastAsia="sk-SK"/>
        </w:rPr>
      </w:pPr>
      <w:r w:rsidRPr="001B3EA9">
        <w:rPr>
          <w:rFonts w:ascii="Times New Roman" w:hAnsi="Times New Roman"/>
          <w:sz w:val="24"/>
        </w:rPr>
        <w:t>V zmysle súčasnej právnej úpravy zákona Slovenskej národnej rady č. 51/1988 Zb. o banskej činnosti, výbušninách a o štátnej banskej správe v znení neskorších predpisov (ďalej len „zákon č. 51/1988 Zb.“) možno vykonávať banskú činnosť viazanú na vydanie banského oprávnenia len vtedy, ak subjekt, ktorý žiada o vydanie tohto oprávnenia</w:t>
      </w:r>
      <w:r>
        <w:rPr>
          <w:rFonts w:ascii="Times New Roman" w:hAnsi="Times New Roman"/>
          <w:sz w:val="24"/>
        </w:rPr>
        <w:t>,</w:t>
      </w:r>
      <w:r w:rsidRPr="001B3EA9">
        <w:rPr>
          <w:rFonts w:ascii="Times New Roman" w:hAnsi="Times New Roman"/>
          <w:sz w:val="24"/>
        </w:rPr>
        <w:t xml:space="preserve"> je zapísaný v registri partnerov verejného sektora. Vzhľadom na charakter banskej činnosti, ktorou je v zmysle § 2 písm. h) zákona č. 51/1988 Zb. „</w:t>
      </w:r>
      <w:r w:rsidRPr="001B3EA9">
        <w:rPr>
          <w:rFonts w:ascii="Times New Roman" w:hAnsi="Times New Roman"/>
          <w:i/>
          <w:sz w:val="24"/>
          <w:szCs w:val="24"/>
          <w:lang w:eastAsia="sk-SK"/>
        </w:rPr>
        <w:t>sprístupňovanie banských diel a starých banských diel</w:t>
      </w:r>
      <w:r w:rsidRPr="00EE6D76">
        <w:rPr>
          <w:rFonts w:ascii="Times New Roman" w:hAnsi="Times New Roman"/>
          <w:i/>
          <w:color w:val="FFFFFF" w:themeColor="background1"/>
          <w:sz w:val="24"/>
          <w:szCs w:val="24"/>
          <w:u w:val="single"/>
          <w:vertAlign w:val="superscript"/>
          <w:lang w:eastAsia="sk-SK"/>
        </w:rPr>
        <w:t xml:space="preserve"> </w:t>
      </w:r>
      <w:r w:rsidRPr="001B3EA9">
        <w:rPr>
          <w:rFonts w:ascii="Times New Roman" w:hAnsi="Times New Roman"/>
          <w:i/>
          <w:sz w:val="24"/>
          <w:szCs w:val="24"/>
          <w:lang w:eastAsia="sk-SK"/>
        </w:rPr>
        <w:t>pre múzejné a iné účely a práce na ich udržiavaní v bezpečnom stave“</w:t>
      </w:r>
      <w:r>
        <w:rPr>
          <w:rFonts w:ascii="Times New Roman" w:hAnsi="Times New Roman"/>
          <w:sz w:val="24"/>
          <w:szCs w:val="24"/>
          <w:lang w:eastAsia="sk-SK"/>
        </w:rPr>
        <w:t>,</w:t>
      </w:r>
      <w:r w:rsidRPr="001B3EA9">
        <w:rPr>
          <w:rFonts w:ascii="Times New Roman" w:hAnsi="Times New Roman"/>
          <w:sz w:val="24"/>
          <w:szCs w:val="24"/>
          <w:lang w:eastAsia="sk-SK"/>
        </w:rPr>
        <w:t xml:space="preserve"> sa navrhuje vyňatie výkonu tohto druhu banskej činnosti z povinnosti zápisu do registra partnerov verejného sektora. V nadväznosti na uvedené, obvodný banský úrad nemôže začať konanie o zrušenie banského oprávnenia pokiaľ ide o držiteľa oprávnenia, ktorý vykonáva činnosť podľa § 2 písm. h) zákona. Pri ostatných druhoch banskej činnosti podľa § 2 zákona č. 51/1988 Zb. zostáva povinnosť zápisu do registra partnerov verejného sektora zachovaná.</w:t>
      </w:r>
    </w:p>
    <w:p w:rsidR="00A26A39" w:rsidRPr="001B3EA9" w:rsidRDefault="00A26A39" w:rsidP="00A26A39">
      <w:pPr>
        <w:spacing w:line="240" w:lineRule="auto"/>
        <w:ind w:firstLine="708"/>
        <w:jc w:val="both"/>
        <w:rPr>
          <w:rFonts w:ascii="Times New Roman" w:hAnsi="Times New Roman"/>
          <w:sz w:val="24"/>
          <w:szCs w:val="24"/>
          <w:lang w:eastAsia="sk-SK"/>
        </w:rPr>
      </w:pPr>
    </w:p>
    <w:p w:rsidR="00A26A39" w:rsidRPr="001B3EA9" w:rsidRDefault="00A26A39" w:rsidP="00A26A39">
      <w:pPr>
        <w:spacing w:after="0" w:line="240" w:lineRule="auto"/>
        <w:jc w:val="both"/>
        <w:rPr>
          <w:rFonts w:ascii="Times New Roman" w:hAnsi="Times New Roman"/>
          <w:b/>
          <w:sz w:val="24"/>
          <w:u w:val="single"/>
        </w:rPr>
      </w:pPr>
      <w:r w:rsidRPr="001B3EA9">
        <w:rPr>
          <w:rFonts w:ascii="Times New Roman" w:hAnsi="Times New Roman"/>
          <w:b/>
          <w:sz w:val="24"/>
          <w:u w:val="single"/>
        </w:rPr>
        <w:t>K čl. III až VI</w:t>
      </w:r>
    </w:p>
    <w:p w:rsidR="00A26A39" w:rsidRPr="001B3EA9" w:rsidRDefault="00A26A39" w:rsidP="00A26A39">
      <w:pPr>
        <w:spacing w:after="0" w:line="240" w:lineRule="auto"/>
        <w:jc w:val="both"/>
        <w:rPr>
          <w:rFonts w:ascii="Times New Roman" w:hAnsi="Times New Roman"/>
          <w:i/>
          <w:sz w:val="24"/>
        </w:rPr>
      </w:pPr>
      <w:r w:rsidRPr="001B3EA9">
        <w:rPr>
          <w:rFonts w:ascii="Times New Roman" w:hAnsi="Times New Roman"/>
          <w:i/>
          <w:sz w:val="24"/>
        </w:rPr>
        <w:t>(zákony týkajúce sa nakladania s majetkom štátu, obcí, vyšších územných celkov a verejnoprávnych inštitúcií)</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Povinnosť zápisu do registra partnerov verejného sektora sa rozširuje aj na užívateľov majetku verejného sektora. V prípade jednorazovo poskytnutého plnenia (typické pre nadobúdateľov majetku verejného sektora) ide o situácie, kedy partner verejného sektora je povinný štátu, obci, vyššiemu územnému celku alebo verejnoprávnej inštitúcii uhradiť sumu presahujúcu 100 000 eur. V prípade čiastkového plnenia alebo opakujúceho sa plnenia (typické pre užívateľov majetku verejného sektora, napríklad pre nájomcov, oprávnených z vecného bremena) ide o prípady, kedy partner verejného sektora je povinný uvedeným verejným subjektom uhradiť sumu presahujúcu 250 000 eur. V čl. I (v novom odseku 2 v § 4) sa jednoznačne sprecizoval spôsob výpočtu hodnoty zmluvy, kedy sa hodnota plnenia neurčuje všeobecnou hodnotou majetku, ale pri určení hodnôt majetku, práv k majetku alebo iných majetkových práv sa použije najmä finančnými prostriedkami vyjadrená hodnota, ktorú má partner verejného sektora poskytnúť verejnému sektoru. Rovnako sa zaviedli zásady, podľa </w:t>
      </w:r>
      <w:r w:rsidRPr="001B3EA9">
        <w:rPr>
          <w:rFonts w:ascii="Times New Roman" w:hAnsi="Times New Roman"/>
          <w:sz w:val="24"/>
        </w:rPr>
        <w:lastRenderedPageBreak/>
        <w:t>ktorých sa posudzujú zmluvy na dobu neurčitú, resp. zmluvy</w:t>
      </w:r>
      <w:r>
        <w:rPr>
          <w:rFonts w:ascii="Times New Roman" w:hAnsi="Times New Roman"/>
          <w:sz w:val="24"/>
        </w:rPr>
        <w:t>,</w:t>
      </w:r>
      <w:r w:rsidRPr="001B3EA9">
        <w:rPr>
          <w:rFonts w:ascii="Times New Roman" w:hAnsi="Times New Roman"/>
          <w:sz w:val="24"/>
        </w:rPr>
        <w:t xml:space="preserve"> predmetom ktorých je opakujúce sa plnenie.</w:t>
      </w:r>
    </w:p>
    <w:p w:rsidR="00A26A39" w:rsidRPr="001B3EA9" w:rsidRDefault="00A26A39" w:rsidP="00A26A39">
      <w:pPr>
        <w:spacing w:after="0" w:line="240" w:lineRule="auto"/>
        <w:jc w:val="both"/>
        <w:rPr>
          <w:rFonts w:ascii="Times New Roman" w:hAnsi="Times New Roman"/>
          <w:b/>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Zároveň sa pri všetkých osobitných predpisoch vyjadruje, že preukázanie splnenia podmienky zápisu do registra, (ktorá sa posudzuje ako iná právna skutočnosť, ktorá by mohla mať vplyv na rozhodnutie o povolení vkladu do katastra a teda i  pre nadobudnutie vlastníckeho práva) v rámci katastrálneho konania preukazuje príslušný prevodca majetku  podľa osobitných predpisov – teda ide o obec, vyšší územný celok, verejnoprávnu inštitúciu či správcu majetku štátu a to najmä predložením písomného potvrdenia o zápise partnera verejného sektora v registri katastrálnemu odboru príslušného okresného úradu.</w:t>
      </w:r>
    </w:p>
    <w:p w:rsidR="00A26A39" w:rsidRPr="001B3EA9" w:rsidRDefault="00A26A39" w:rsidP="00A26A39">
      <w:pPr>
        <w:spacing w:after="0" w:line="240" w:lineRule="auto"/>
        <w:jc w:val="both"/>
        <w:rPr>
          <w:rFonts w:ascii="Times New Roman" w:hAnsi="Times New Roman"/>
          <w:b/>
          <w:sz w:val="24"/>
          <w:u w:val="single"/>
        </w:rPr>
      </w:pPr>
    </w:p>
    <w:p w:rsidR="00A26A39" w:rsidRPr="001B3EA9" w:rsidRDefault="00A26A39" w:rsidP="00A26A39">
      <w:pPr>
        <w:spacing w:after="0" w:line="240" w:lineRule="auto"/>
        <w:jc w:val="both"/>
        <w:rPr>
          <w:rFonts w:ascii="Times New Roman" w:hAnsi="Times New Roman"/>
          <w:b/>
          <w:sz w:val="24"/>
          <w:u w:val="single"/>
        </w:rPr>
      </w:pPr>
      <w:r w:rsidRPr="001B3EA9">
        <w:rPr>
          <w:rFonts w:ascii="Times New Roman" w:hAnsi="Times New Roman"/>
          <w:b/>
          <w:sz w:val="24"/>
          <w:u w:val="single"/>
        </w:rPr>
        <w:t xml:space="preserve">K čl. VII  </w:t>
      </w:r>
    </w:p>
    <w:p w:rsidR="00A26A39" w:rsidRPr="001B3EA9" w:rsidRDefault="00A26A39" w:rsidP="00A26A39">
      <w:pPr>
        <w:spacing w:after="0" w:line="240" w:lineRule="auto"/>
        <w:jc w:val="both"/>
        <w:rPr>
          <w:rFonts w:ascii="Times New Roman" w:hAnsi="Times New Roman"/>
          <w:i/>
          <w:sz w:val="24"/>
        </w:rPr>
      </w:pPr>
      <w:r w:rsidRPr="001B3EA9">
        <w:rPr>
          <w:rFonts w:ascii="Times New Roman" w:hAnsi="Times New Roman"/>
          <w:i/>
          <w:sz w:val="24"/>
        </w:rPr>
        <w:t>(zákon č. 297/2008 Z. z.)</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Aplikačná prax poukazuje, že zotrvávanie na obsahovom vymedzení pojmu vrcholový manažment tak, ako definuje tento pojem § 6a ods. 2 zákona č. 297/2008 Z. z. nie je  ideálnym riešením, pretože pomerne široké vymedzenie tohto pojmu vedie situáciám, kedy sa do registra partnerov verejného sektora zapisuje niekoľko stoviek či tisícov fyzických osôb (napr. prokuristov). Z hľadiska udržania aktuálnosti zápisov tzv. fiktívneho konečného užívateľa výhod pri takomto počte evidovaných subjektov je neudržateľné a kladie ako na partnera verejného sektora, tak aj na oprávnenú osoby neprimerané požiadavky. Z tohto dôvodu sa preto navrhuje, aby za predpokladu, že je splnená podmienka pre zápis vrcholového manažmentu ako konečného užívateľa výhod, sa do registra zapisoval len štatutárny orgán (resp. členovia štatutárneho orgánu) partnera verejného sektora.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Navrhované riešenie je vhodné ustanoviť priamo v zákone č. 297/2008 Z. z., </w:t>
      </w:r>
      <w:r>
        <w:rPr>
          <w:rFonts w:ascii="Times New Roman" w:hAnsi="Times New Roman"/>
          <w:sz w:val="24"/>
        </w:rPr>
        <w:t>keďže</w:t>
      </w:r>
      <w:r w:rsidRPr="001B3EA9">
        <w:rPr>
          <w:rFonts w:ascii="Times New Roman" w:hAnsi="Times New Roman"/>
          <w:sz w:val="24"/>
        </w:rPr>
        <w:t xml:space="preserve"> i v zmysle § 3 ods. 3  zákona č. 400/2015 Z. z. o tvorbe právnych predpisov a o Zbierke zákonov Slovenskej republiky a o zmene a doplnení niektorých zákonov v znení zákona č. 310/2016 Z. z., nie je vhodné, aby totožný pojem mal v rámci viacerých právnych predpisov odlišný normatívny obsah a význam.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Obmedzenie množiny subjektov, ktoré sa považujú za vrcholový manažment zároveň nevyvoláva obavy pred nedostatočnou transpozíciou čl. 3 bod 12.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podľa ktorého pod pojmom vrcholový manažment je treba rozumieť </w:t>
      </w:r>
      <w:r w:rsidRPr="001B3EA9">
        <w:rPr>
          <w:rFonts w:ascii="Times New Roman" w:hAnsi="Times New Roman"/>
          <w:i/>
          <w:sz w:val="24"/>
        </w:rPr>
        <w:t>„pracovníka alebo zamestnanca s dostatočnými vedomosťami o vystavení inštitúcie riziku prania špinavých peňazí a financovania terorizmu, ktorý je na dostatočne vysokej riadiacej úrovni, aby prijímal rozhodnutia ovplyvňujúce vystavenie inštitúcie riziku a nepožaduje sa, aby vždy išlo o člena správnej rady“,</w:t>
      </w:r>
      <w:r w:rsidRPr="001B3EA9">
        <w:rPr>
          <w:rFonts w:ascii="Times New Roman" w:hAnsi="Times New Roman"/>
          <w:sz w:val="24"/>
        </w:rPr>
        <w:t xml:space="preserve"> pretože uvedené ustanovenie je formulované všeobecne, bez akéhokoľvek vymedzenia znakov, na základe ktorých by bolo možné určiť, o aké osoby v rámci organizačnej a riadiacej štruktúry subjektu má ísť.</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t xml:space="preserve">V rámci § 6a ods. 3 zákona č. 297/2008 Z. z. dochádza k posilneniu právnej istoty vo vzťahu k určeniu konania v zhode a konania spoločným postupom. Konanie v zhode je jednoznačne určené ako postup podľa § 66b) Obchodného zákonníka, v zmysle ktorého uvedené konanie treba vždy posudzovať.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ind w:firstLine="708"/>
        <w:jc w:val="both"/>
        <w:rPr>
          <w:rFonts w:ascii="Times New Roman" w:hAnsi="Times New Roman"/>
          <w:sz w:val="24"/>
        </w:rPr>
      </w:pPr>
      <w:r w:rsidRPr="001B3EA9">
        <w:rPr>
          <w:rFonts w:ascii="Times New Roman" w:hAnsi="Times New Roman"/>
          <w:sz w:val="24"/>
        </w:rPr>
        <w:lastRenderedPageBreak/>
        <w:t>Konanie spoločným postupom je koncipované v zmysle výkladového stanoviska Úradu pre verejné obstarávanie</w:t>
      </w:r>
      <w:r>
        <w:rPr>
          <w:rFonts w:ascii="Times New Roman" w:hAnsi="Times New Roman"/>
          <w:sz w:val="24"/>
        </w:rPr>
        <w:t xml:space="preserve"> SR</w:t>
      </w:r>
      <w:r w:rsidRPr="001B3EA9">
        <w:rPr>
          <w:rFonts w:ascii="Times New Roman" w:hAnsi="Times New Roman"/>
          <w:sz w:val="24"/>
        </w:rPr>
        <w:t xml:space="preserve"> k registru konečných užívateľov výhod (výkladové stanovisko č. 1/2016)</w:t>
      </w:r>
      <w:r>
        <w:rPr>
          <w:rFonts w:ascii="Times New Roman" w:hAnsi="Times New Roman"/>
          <w:sz w:val="24"/>
        </w:rPr>
        <w:t xml:space="preserve"> </w:t>
      </w:r>
      <w:r w:rsidRPr="001B3EA9">
        <w:rPr>
          <w:rFonts w:ascii="Times New Roman" w:hAnsi="Times New Roman"/>
          <w:sz w:val="24"/>
        </w:rPr>
        <w:t xml:space="preserve">tak, že ide o konanie fyzických osôb, ktoré síce samostatne nespĺňajú kritériá pre určenie konečného užívateľa výhod podľa § 6a ods. 1 zákona č. 297/2008 Z. z., avšak na základe napr. dohody alebo zmluvy o spoločnom postupe majú tieto  dve alebo viaceré osoby spoločné postavenie na podnikaní, riadení alebo kontrole právnickej osoby alebo fyzickej osoby (podnikateľa) v rozsahu ako fyzická osoba, ktorá kritériá pre konečného užívateľa výhod uvedené v § 6a ods. 1 spĺňa. Takýto spoločný postup dvoch alebo viacerých fyzických osôb má také účinky, akoby išlo o jednu fyzickú osobu konečného užívateľa výhod podľa § 6a ods. 1.   Uvedená situácia nastáva v prípade, ak napr. šesť fyzických osôb jednotlivo nespĺňajúcich kritériá konečného užívateľa výhod uvedené v § 6a ods. 1 zákona č. 297/2008 Z .z.,  avšak za podmienky existencie dohody o ich spoločnom postupe, vykonáva svoje hlasovacie právo v tejto právnickej osobe dohodnutým spôsobom, pričom celkový podiel týchto šiestich fyzických osôb (súčet všetkých ich priamych alebo nepriamych podielov) na hlasovacích právach v danej právnickej osobe je najmenej 25 %. Predmetný subjekt (partner verejného sektora) teda do registra zapíše aj týchto šesť fyzických osôb. Na rozdiel od spomínaného výkladového stanoviska sa však počet týchto spoločne konajúcich osôb neobmedzuje počtom 10, teda môže ísť aj o viac ako 10 spoločne konajúcich osôb. </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sz w:val="24"/>
        </w:rPr>
      </w:pPr>
      <w:r w:rsidRPr="001B3EA9">
        <w:rPr>
          <w:rFonts w:ascii="Times New Roman" w:hAnsi="Times New Roman"/>
          <w:sz w:val="24"/>
        </w:rPr>
        <w:tab/>
        <w:t xml:space="preserve">Zároveň sa vyjadruje vyvrátiteľná domnienka, že o takýto spoločný postup ide vždy vo vzťahu medzi blízkymi osobami, alebo medzi spoločne dlhodobo podnikajúcimi osobami a ich blízkymi osobami, pričom opak musí oprávnená osoba preukázať. V ostatných prípadoch je naopak dôkazné bremeno určenia konania spoločným postupom prenesené na oprávnenú osobu. Predmetná domnienka sa neuplatňuje v prípade, ak je obchodnou spoločnosťou emitent cenných papierov </w:t>
      </w:r>
      <w:r w:rsidRPr="001B3EA9">
        <w:rPr>
          <w:rFonts w:ascii="Times New Roman" w:hAnsi="Times New Roman"/>
          <w:sz w:val="24"/>
          <w:szCs w:val="24"/>
        </w:rPr>
        <w:t>prijatých na obchodovanie na regulovanom trhu podľa osobitného predpisu.</w:t>
      </w:r>
    </w:p>
    <w:p w:rsidR="00A26A39" w:rsidRPr="001B3EA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r w:rsidRPr="001B3EA9">
        <w:rPr>
          <w:rFonts w:ascii="Times New Roman" w:hAnsi="Times New Roman"/>
          <w:sz w:val="24"/>
        </w:rPr>
        <w:tab/>
        <w:t>Z hľadiska právnej istoty uvedené ustanovenie uvádza, ktoré osoby sa na účely zákona považujú za „spoločne dlhodobo podnikajúce“. Pojem blízka osoba sa vykladá v zmysle § 11</w:t>
      </w:r>
      <w:r>
        <w:rPr>
          <w:rFonts w:ascii="Times New Roman" w:hAnsi="Times New Roman"/>
          <w:sz w:val="24"/>
        </w:rPr>
        <w:t>6</w:t>
      </w:r>
      <w:r w:rsidRPr="001B3EA9">
        <w:rPr>
          <w:rFonts w:ascii="Times New Roman" w:hAnsi="Times New Roman"/>
          <w:sz w:val="24"/>
        </w:rPr>
        <w:t xml:space="preserve"> Občianskeho zákonníka, preto tento pojem netreba na účely zákona zavádzať. </w:t>
      </w:r>
    </w:p>
    <w:p w:rsidR="00A26A3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r>
        <w:rPr>
          <w:rFonts w:ascii="Times New Roman" w:hAnsi="Times New Roman"/>
          <w:sz w:val="24"/>
        </w:rPr>
        <w:tab/>
        <w:t xml:space="preserve">Okrem uvedeného v § 6a ods. 1 dochádza tiež k legislatívno-technickej úprave tým, že sa zavádza legislatívna skratka „členský štát“, ktorou rozumieme členský štát </w:t>
      </w:r>
      <w:r>
        <w:rPr>
          <w:rFonts w:ascii="Times New Roman" w:hAnsi="Times New Roman"/>
          <w:sz w:val="24"/>
          <w:szCs w:val="24"/>
        </w:rPr>
        <w:t>Európskej únie alebo iný štát</w:t>
      </w:r>
      <w:r w:rsidR="000C20EC">
        <w:rPr>
          <w:rFonts w:ascii="Times New Roman" w:hAnsi="Times New Roman"/>
          <w:sz w:val="24"/>
          <w:szCs w:val="24"/>
        </w:rPr>
        <w:t>, ktorý je zmluvnou stranou</w:t>
      </w:r>
      <w:r w:rsidRPr="00965AA8">
        <w:rPr>
          <w:rFonts w:ascii="Times New Roman" w:hAnsi="Times New Roman"/>
          <w:sz w:val="24"/>
          <w:szCs w:val="24"/>
        </w:rPr>
        <w:t xml:space="preserve"> Dohody o E</w:t>
      </w:r>
      <w:r>
        <w:rPr>
          <w:rFonts w:ascii="Times New Roman" w:hAnsi="Times New Roman"/>
          <w:sz w:val="24"/>
          <w:szCs w:val="24"/>
        </w:rPr>
        <w:t>urópskom hospodárskom priestore</w:t>
      </w:r>
      <w:r>
        <w:rPr>
          <w:rFonts w:ascii="Times New Roman" w:hAnsi="Times New Roman"/>
          <w:sz w:val="24"/>
        </w:rPr>
        <w:t>. Právny predpis v účinnom znení už predmetnú skratku zavádza, avšak až v ustanovení § 11 ods. 1 písm. a), čo je v rozpore s Legislatívnymi pravidlami vlády, podľa ktorých je potrebné legislatívnu skratku zaradiť na také miesto, kde sa skracované slová použijú prvýkrát. V nadväznosti na to tiež dochádza k vypusteniu zavedenia legislatívnej skratky v § 11 ods. 1 písm. a).</w:t>
      </w:r>
    </w:p>
    <w:p w:rsidR="00A26A39" w:rsidRPr="001B3EA9" w:rsidRDefault="00A26A39" w:rsidP="00A26A39">
      <w:pPr>
        <w:spacing w:after="0" w:line="240" w:lineRule="auto"/>
        <w:jc w:val="both"/>
        <w:rPr>
          <w:rFonts w:ascii="Times New Roman" w:hAnsi="Times New Roman"/>
          <w:sz w:val="24"/>
        </w:rPr>
      </w:pPr>
    </w:p>
    <w:p w:rsidR="00A26A39" w:rsidRPr="001B3EA9" w:rsidRDefault="00A26A39" w:rsidP="00A26A39">
      <w:pPr>
        <w:spacing w:after="0" w:line="240" w:lineRule="auto"/>
        <w:jc w:val="both"/>
        <w:rPr>
          <w:rFonts w:ascii="Times New Roman" w:hAnsi="Times New Roman"/>
          <w:b/>
          <w:sz w:val="24"/>
          <w:u w:val="single"/>
        </w:rPr>
      </w:pPr>
      <w:r w:rsidRPr="001B3EA9">
        <w:rPr>
          <w:rFonts w:ascii="Times New Roman" w:hAnsi="Times New Roman"/>
          <w:b/>
          <w:sz w:val="24"/>
          <w:u w:val="single"/>
        </w:rPr>
        <w:t xml:space="preserve">K čl. </w:t>
      </w:r>
      <w:r>
        <w:rPr>
          <w:rFonts w:ascii="Times New Roman" w:hAnsi="Times New Roman"/>
          <w:b/>
          <w:sz w:val="24"/>
          <w:u w:val="single"/>
        </w:rPr>
        <w:t>VIII</w:t>
      </w:r>
      <w:r w:rsidRPr="001B3EA9">
        <w:rPr>
          <w:rFonts w:ascii="Times New Roman" w:hAnsi="Times New Roman"/>
          <w:b/>
          <w:sz w:val="24"/>
          <w:u w:val="single"/>
        </w:rPr>
        <w:t xml:space="preserve"> </w:t>
      </w:r>
    </w:p>
    <w:p w:rsidR="00A26A39" w:rsidRPr="001B3EA9" w:rsidRDefault="00A26A39" w:rsidP="00A26A39">
      <w:pPr>
        <w:spacing w:after="0" w:line="240" w:lineRule="auto"/>
        <w:jc w:val="both"/>
        <w:rPr>
          <w:rFonts w:ascii="Times New Roman" w:hAnsi="Times New Roman"/>
          <w:i/>
          <w:sz w:val="24"/>
        </w:rPr>
      </w:pPr>
      <w:r w:rsidRPr="001B3EA9">
        <w:rPr>
          <w:rFonts w:ascii="Times New Roman" w:hAnsi="Times New Roman"/>
          <w:i/>
          <w:sz w:val="24"/>
        </w:rPr>
        <w:t>(účinnosť)</w:t>
      </w:r>
    </w:p>
    <w:p w:rsidR="00A26A39" w:rsidRPr="001B3EA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r>
        <w:rPr>
          <w:rFonts w:ascii="Times New Roman" w:hAnsi="Times New Roman"/>
          <w:sz w:val="24"/>
        </w:rPr>
        <w:tab/>
      </w:r>
      <w:r w:rsidRPr="00F5276F">
        <w:rPr>
          <w:rFonts w:ascii="Times New Roman" w:hAnsi="Times New Roman"/>
          <w:sz w:val="24"/>
        </w:rPr>
        <w:t>Účinnosť sa navrhuje od 1. júla 2019 s výnimkou čl. I bodov 19 až 21, bod</w:t>
      </w:r>
      <w:r>
        <w:rPr>
          <w:rFonts w:ascii="Times New Roman" w:hAnsi="Times New Roman"/>
          <w:sz w:val="24"/>
        </w:rPr>
        <w:t>ov</w:t>
      </w:r>
      <w:r w:rsidRPr="00F5276F">
        <w:rPr>
          <w:rFonts w:ascii="Times New Roman" w:hAnsi="Times New Roman"/>
          <w:sz w:val="24"/>
        </w:rPr>
        <w:t xml:space="preserve"> 24, 26, 32 a 4</w:t>
      </w:r>
      <w:r>
        <w:rPr>
          <w:rFonts w:ascii="Times New Roman" w:hAnsi="Times New Roman"/>
          <w:sz w:val="24"/>
        </w:rPr>
        <w:t>8</w:t>
      </w:r>
      <w:r w:rsidRPr="00F5276F">
        <w:rPr>
          <w:rFonts w:ascii="Times New Roman" w:hAnsi="Times New Roman"/>
          <w:sz w:val="24"/>
        </w:rPr>
        <w:t>, ktoré nadobúdajú účinnosť 1. septembra 2019. Delená účinnosť je nevyhnutná z dôvodu technickej implementácie dotknutých informačných systémov.</w:t>
      </w:r>
    </w:p>
    <w:p w:rsidR="00A26A3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r w:rsidRPr="00D05CB1">
        <w:rPr>
          <w:rFonts w:ascii="Times New Roman" w:hAnsi="Times New Roman"/>
          <w:sz w:val="24"/>
        </w:rPr>
        <w:t xml:space="preserve">V Bratislave, </w:t>
      </w:r>
      <w:r w:rsidR="002215AE">
        <w:rPr>
          <w:rFonts w:ascii="Times New Roman" w:hAnsi="Times New Roman"/>
          <w:sz w:val="24"/>
        </w:rPr>
        <w:t>24</w:t>
      </w:r>
      <w:r w:rsidRPr="00D05CB1">
        <w:rPr>
          <w:rFonts w:ascii="Times New Roman" w:hAnsi="Times New Roman"/>
          <w:sz w:val="24"/>
        </w:rPr>
        <w:t>. a</w:t>
      </w:r>
      <w:r>
        <w:rPr>
          <w:rFonts w:ascii="Times New Roman" w:hAnsi="Times New Roman"/>
          <w:sz w:val="24"/>
        </w:rPr>
        <w:t>príla</w:t>
      </w:r>
      <w:r w:rsidRPr="00D05CB1">
        <w:rPr>
          <w:rFonts w:ascii="Times New Roman" w:hAnsi="Times New Roman"/>
          <w:sz w:val="24"/>
        </w:rPr>
        <w:t xml:space="preserve"> 201</w:t>
      </w:r>
      <w:r>
        <w:rPr>
          <w:rFonts w:ascii="Times New Roman" w:hAnsi="Times New Roman"/>
          <w:sz w:val="24"/>
        </w:rPr>
        <w:t>9</w:t>
      </w:r>
    </w:p>
    <w:p w:rsidR="00A26A3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both"/>
        <w:rPr>
          <w:rFonts w:ascii="Times New Roman" w:hAnsi="Times New Roman"/>
          <w:sz w:val="24"/>
        </w:rPr>
      </w:pPr>
    </w:p>
    <w:p w:rsidR="00A26A39" w:rsidRDefault="00A26A39" w:rsidP="00A26A39">
      <w:pPr>
        <w:spacing w:after="0" w:line="240" w:lineRule="auto"/>
        <w:jc w:val="center"/>
        <w:rPr>
          <w:rFonts w:ascii="Times New Roman" w:hAnsi="Times New Roman"/>
          <w:b/>
          <w:sz w:val="24"/>
        </w:rPr>
      </w:pPr>
    </w:p>
    <w:p w:rsidR="00A26A39" w:rsidRPr="00D05CB1" w:rsidRDefault="00A26A39" w:rsidP="00A26A39">
      <w:pPr>
        <w:spacing w:after="0" w:line="240" w:lineRule="auto"/>
        <w:jc w:val="center"/>
        <w:rPr>
          <w:rFonts w:ascii="Times New Roman" w:hAnsi="Times New Roman"/>
          <w:b/>
          <w:sz w:val="24"/>
        </w:rPr>
      </w:pPr>
      <w:r w:rsidRPr="00D05CB1">
        <w:rPr>
          <w:rFonts w:ascii="Times New Roman" w:hAnsi="Times New Roman"/>
          <w:b/>
          <w:sz w:val="24"/>
        </w:rPr>
        <w:t xml:space="preserve">Peter </w:t>
      </w:r>
      <w:proofErr w:type="spellStart"/>
      <w:r w:rsidRPr="00D05CB1">
        <w:rPr>
          <w:rFonts w:ascii="Times New Roman" w:hAnsi="Times New Roman"/>
          <w:b/>
          <w:sz w:val="24"/>
        </w:rPr>
        <w:t>Pellegrini</w:t>
      </w:r>
      <w:proofErr w:type="spellEnd"/>
      <w:r w:rsidR="00DD3544">
        <w:rPr>
          <w:rFonts w:ascii="Times New Roman" w:hAnsi="Times New Roman"/>
          <w:b/>
          <w:sz w:val="24"/>
        </w:rPr>
        <w:t>, v. r.</w:t>
      </w:r>
    </w:p>
    <w:p w:rsidR="00A26A39" w:rsidRPr="00D05CB1" w:rsidRDefault="00A26A39" w:rsidP="00A26A39">
      <w:pPr>
        <w:spacing w:after="0" w:line="240" w:lineRule="auto"/>
        <w:jc w:val="center"/>
        <w:rPr>
          <w:rFonts w:ascii="Times New Roman" w:hAnsi="Times New Roman"/>
          <w:sz w:val="24"/>
        </w:rPr>
      </w:pPr>
      <w:r w:rsidRPr="00D05CB1">
        <w:rPr>
          <w:rFonts w:ascii="Times New Roman" w:hAnsi="Times New Roman"/>
          <w:sz w:val="24"/>
        </w:rPr>
        <w:t>predseda vlády Slovenskej republiky</w:t>
      </w:r>
    </w:p>
    <w:p w:rsidR="00A26A39" w:rsidRPr="00D05CB1" w:rsidRDefault="00A26A39" w:rsidP="00A26A39">
      <w:pPr>
        <w:spacing w:after="0" w:line="240" w:lineRule="auto"/>
        <w:jc w:val="center"/>
        <w:rPr>
          <w:rFonts w:ascii="Times New Roman" w:hAnsi="Times New Roman"/>
          <w:sz w:val="24"/>
        </w:rPr>
      </w:pPr>
    </w:p>
    <w:p w:rsidR="00A26A39" w:rsidRPr="00D05CB1" w:rsidRDefault="00A26A39" w:rsidP="00A26A39">
      <w:pPr>
        <w:spacing w:after="0" w:line="240" w:lineRule="auto"/>
        <w:jc w:val="center"/>
        <w:rPr>
          <w:rFonts w:ascii="Times New Roman" w:hAnsi="Times New Roman"/>
          <w:sz w:val="24"/>
        </w:rPr>
      </w:pPr>
    </w:p>
    <w:p w:rsidR="00A26A39" w:rsidRPr="00D05CB1" w:rsidRDefault="00A26A39" w:rsidP="00A26A39">
      <w:pPr>
        <w:spacing w:after="0" w:line="240" w:lineRule="auto"/>
        <w:jc w:val="center"/>
        <w:rPr>
          <w:rFonts w:ascii="Times New Roman" w:hAnsi="Times New Roman"/>
          <w:sz w:val="24"/>
        </w:rPr>
      </w:pPr>
    </w:p>
    <w:p w:rsidR="00A26A39" w:rsidRPr="00D05CB1" w:rsidRDefault="00A26A39" w:rsidP="00A26A39">
      <w:pPr>
        <w:spacing w:after="0" w:line="240" w:lineRule="auto"/>
        <w:jc w:val="center"/>
        <w:rPr>
          <w:rFonts w:ascii="Times New Roman" w:hAnsi="Times New Roman"/>
          <w:sz w:val="24"/>
        </w:rPr>
      </w:pPr>
    </w:p>
    <w:p w:rsidR="00A26A39" w:rsidRPr="00D05CB1" w:rsidRDefault="00A26A39" w:rsidP="00A26A39">
      <w:pPr>
        <w:spacing w:after="0" w:line="240" w:lineRule="auto"/>
        <w:jc w:val="center"/>
        <w:rPr>
          <w:rFonts w:ascii="Times New Roman" w:hAnsi="Times New Roman"/>
          <w:sz w:val="24"/>
        </w:rPr>
      </w:pPr>
    </w:p>
    <w:p w:rsidR="00A26A39" w:rsidRPr="00D05CB1" w:rsidRDefault="00A26A39" w:rsidP="00A26A39">
      <w:pPr>
        <w:spacing w:after="0" w:line="240" w:lineRule="auto"/>
        <w:jc w:val="center"/>
        <w:rPr>
          <w:rFonts w:ascii="Times New Roman" w:hAnsi="Times New Roman"/>
          <w:sz w:val="24"/>
        </w:rPr>
      </w:pPr>
    </w:p>
    <w:p w:rsidR="00A26A39" w:rsidRPr="00D05CB1" w:rsidRDefault="00A26A39" w:rsidP="00A26A39">
      <w:pPr>
        <w:spacing w:after="0" w:line="240" w:lineRule="auto"/>
        <w:jc w:val="center"/>
        <w:rPr>
          <w:rFonts w:ascii="Times New Roman" w:hAnsi="Times New Roman"/>
          <w:b/>
          <w:sz w:val="24"/>
        </w:rPr>
      </w:pPr>
      <w:r w:rsidRPr="00D05CB1">
        <w:rPr>
          <w:rFonts w:ascii="Times New Roman" w:hAnsi="Times New Roman"/>
          <w:b/>
          <w:sz w:val="24"/>
        </w:rPr>
        <w:t>Gábor Gál</w:t>
      </w:r>
      <w:r w:rsidR="00DD3544">
        <w:rPr>
          <w:rFonts w:ascii="Times New Roman" w:hAnsi="Times New Roman"/>
          <w:b/>
          <w:sz w:val="24"/>
        </w:rPr>
        <w:t>, v. r.</w:t>
      </w:r>
    </w:p>
    <w:p w:rsidR="00A26A39" w:rsidRPr="00D05CB1" w:rsidRDefault="00A26A39" w:rsidP="00A26A39">
      <w:pPr>
        <w:spacing w:after="0" w:line="240" w:lineRule="auto"/>
        <w:jc w:val="center"/>
        <w:rPr>
          <w:rFonts w:ascii="Times New Roman" w:hAnsi="Times New Roman"/>
          <w:sz w:val="24"/>
        </w:rPr>
      </w:pPr>
      <w:r w:rsidRPr="00D05CB1">
        <w:rPr>
          <w:rFonts w:ascii="Times New Roman" w:hAnsi="Times New Roman"/>
          <w:sz w:val="24"/>
        </w:rPr>
        <w:t>minister spravodlivosti</w:t>
      </w:r>
    </w:p>
    <w:p w:rsidR="00A26A39" w:rsidRPr="00BE58F3" w:rsidRDefault="00A26A39" w:rsidP="00A26A39">
      <w:pPr>
        <w:spacing w:after="0" w:line="240" w:lineRule="auto"/>
        <w:jc w:val="center"/>
        <w:rPr>
          <w:rFonts w:ascii="Times New Roman" w:hAnsi="Times New Roman"/>
          <w:sz w:val="24"/>
        </w:rPr>
      </w:pPr>
      <w:r w:rsidRPr="00D05CB1">
        <w:rPr>
          <w:rFonts w:ascii="Times New Roman" w:hAnsi="Times New Roman"/>
          <w:sz w:val="24"/>
        </w:rPr>
        <w:t>Slovenskej republiky</w:t>
      </w: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p w:rsidR="00A26A39" w:rsidRDefault="00A26A39" w:rsidP="001F463D">
      <w:pPr>
        <w:pStyle w:val="Zkladntext"/>
        <w:jc w:val="both"/>
        <w:rPr>
          <w:rFonts w:ascii="Times New Roman" w:hAnsi="Times New Roman"/>
          <w:bCs w:val="0"/>
          <w:sz w:val="24"/>
          <w:szCs w:val="24"/>
        </w:rPr>
      </w:pPr>
    </w:p>
    <w:sectPr w:rsidR="00A26A39" w:rsidSect="001F46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F1E" w:rsidRDefault="002E1F1E">
      <w:pPr>
        <w:spacing w:after="0" w:line="240" w:lineRule="auto"/>
      </w:pPr>
      <w:r>
        <w:separator/>
      </w:r>
    </w:p>
  </w:endnote>
  <w:endnote w:type="continuationSeparator" w:id="0">
    <w:p w:rsidR="002E1F1E" w:rsidRDefault="002E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F6" w:rsidRDefault="005666F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666F6" w:rsidRDefault="005666F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F6" w:rsidRDefault="005666F6">
    <w:pPr>
      <w:pStyle w:val="Pta"/>
      <w:jc w:val="right"/>
    </w:pPr>
    <w:r>
      <w:fldChar w:fldCharType="begin"/>
    </w:r>
    <w:r>
      <w:instrText>PAGE   \* MERGEFORMAT</w:instrText>
    </w:r>
    <w:r>
      <w:fldChar w:fldCharType="separate"/>
    </w:r>
    <w:r w:rsidR="00861593">
      <w:rPr>
        <w:noProof/>
      </w:rPr>
      <w:t>22</w:t>
    </w:r>
    <w:r>
      <w:fldChar w:fldCharType="end"/>
    </w:r>
  </w:p>
  <w:p w:rsidR="005666F6" w:rsidRDefault="005666F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F6" w:rsidRDefault="005666F6">
    <w:pPr>
      <w:pStyle w:val="Pta"/>
      <w:jc w:val="right"/>
    </w:pPr>
    <w:r>
      <w:fldChar w:fldCharType="begin"/>
    </w:r>
    <w:r>
      <w:instrText>PAGE   \* MERGEFORMAT</w:instrText>
    </w:r>
    <w:r>
      <w:fldChar w:fldCharType="separate"/>
    </w:r>
    <w:r>
      <w:rPr>
        <w:noProof/>
      </w:rPr>
      <w:t>0</w:t>
    </w:r>
    <w:r>
      <w:fldChar w:fldCharType="end"/>
    </w:r>
  </w:p>
  <w:p w:rsidR="005666F6" w:rsidRDefault="005666F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F1E" w:rsidRDefault="002E1F1E">
      <w:pPr>
        <w:spacing w:after="0" w:line="240" w:lineRule="auto"/>
      </w:pPr>
      <w:r>
        <w:separator/>
      </w:r>
    </w:p>
  </w:footnote>
  <w:footnote w:type="continuationSeparator" w:id="0">
    <w:p w:rsidR="002E1F1E" w:rsidRDefault="002E1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F6" w:rsidRDefault="005666F6" w:rsidP="005666F6">
    <w:pPr>
      <w:pStyle w:val="Hlavika"/>
      <w:jc w:val="right"/>
      <w:rPr>
        <w:sz w:val="24"/>
        <w:szCs w:val="24"/>
      </w:rPr>
    </w:pPr>
    <w:r>
      <w:rPr>
        <w:sz w:val="24"/>
        <w:szCs w:val="24"/>
      </w:rPr>
      <w:t>Príloha č. 2</w:t>
    </w:r>
  </w:p>
  <w:p w:rsidR="005666F6" w:rsidRPr="00EB59C8" w:rsidRDefault="005666F6" w:rsidP="005666F6">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F6" w:rsidRPr="000A15AE" w:rsidRDefault="005666F6" w:rsidP="005666F6">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57CB7"/>
    <w:multiLevelType w:val="hybridMultilevel"/>
    <w:tmpl w:val="FC7E221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310D1"/>
    <w:multiLevelType w:val="hybridMultilevel"/>
    <w:tmpl w:val="6E842E44"/>
    <w:lvl w:ilvl="0" w:tplc="A55A0126">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360E667B"/>
    <w:multiLevelType w:val="hybridMultilevel"/>
    <w:tmpl w:val="B106E3B6"/>
    <w:lvl w:ilvl="0" w:tplc="4D8C621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559"/>
    <w:multiLevelType w:val="hybridMultilevel"/>
    <w:tmpl w:val="263E7E0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14E3698"/>
    <w:multiLevelType w:val="hybridMultilevel"/>
    <w:tmpl w:val="BC0A822E"/>
    <w:lvl w:ilvl="0" w:tplc="0EFE8068">
      <w:numFmt w:val="bullet"/>
      <w:lvlText w:val="-"/>
      <w:lvlJc w:val="left"/>
      <w:pPr>
        <w:ind w:left="1065" w:hanging="705"/>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67602251"/>
    <w:multiLevelType w:val="hybridMultilevel"/>
    <w:tmpl w:val="7F66D404"/>
    <w:lvl w:ilvl="0" w:tplc="D2A0E23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8909E8"/>
    <w:multiLevelType w:val="hybridMultilevel"/>
    <w:tmpl w:val="FC7E221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D4F"/>
    <w:rsid w:val="00016788"/>
    <w:rsid w:val="00021154"/>
    <w:rsid w:val="00022F5C"/>
    <w:rsid w:val="00025B86"/>
    <w:rsid w:val="00033722"/>
    <w:rsid w:val="00035EB6"/>
    <w:rsid w:val="00037E6D"/>
    <w:rsid w:val="000433D1"/>
    <w:rsid w:val="0004372D"/>
    <w:rsid w:val="0005345F"/>
    <w:rsid w:val="00053957"/>
    <w:rsid w:val="00057135"/>
    <w:rsid w:val="00061C0C"/>
    <w:rsid w:val="00066F09"/>
    <w:rsid w:val="0007228E"/>
    <w:rsid w:val="000725D7"/>
    <w:rsid w:val="00072C3A"/>
    <w:rsid w:val="000756B8"/>
    <w:rsid w:val="000813B1"/>
    <w:rsid w:val="000A15AE"/>
    <w:rsid w:val="000C20EC"/>
    <w:rsid w:val="000D4747"/>
    <w:rsid w:val="000E0790"/>
    <w:rsid w:val="000F1888"/>
    <w:rsid w:val="000F21E9"/>
    <w:rsid w:val="001127A8"/>
    <w:rsid w:val="001354C5"/>
    <w:rsid w:val="00150CF0"/>
    <w:rsid w:val="00152726"/>
    <w:rsid w:val="00154F7D"/>
    <w:rsid w:val="00165979"/>
    <w:rsid w:val="00170D2B"/>
    <w:rsid w:val="001B3EA9"/>
    <w:rsid w:val="001D7459"/>
    <w:rsid w:val="001F0C20"/>
    <w:rsid w:val="001F463D"/>
    <w:rsid w:val="00200898"/>
    <w:rsid w:val="00201332"/>
    <w:rsid w:val="00212894"/>
    <w:rsid w:val="00216FD2"/>
    <w:rsid w:val="002215AE"/>
    <w:rsid w:val="00236580"/>
    <w:rsid w:val="00250C87"/>
    <w:rsid w:val="00253B6D"/>
    <w:rsid w:val="00262B1F"/>
    <w:rsid w:val="00283D97"/>
    <w:rsid w:val="0028419C"/>
    <w:rsid w:val="002E1F1E"/>
    <w:rsid w:val="002F63CB"/>
    <w:rsid w:val="00305723"/>
    <w:rsid w:val="0031688F"/>
    <w:rsid w:val="00317B90"/>
    <w:rsid w:val="0032608C"/>
    <w:rsid w:val="0034376C"/>
    <w:rsid w:val="00353680"/>
    <w:rsid w:val="003C09E2"/>
    <w:rsid w:val="003C4117"/>
    <w:rsid w:val="003E3660"/>
    <w:rsid w:val="00404106"/>
    <w:rsid w:val="0042254E"/>
    <w:rsid w:val="00487203"/>
    <w:rsid w:val="004A447A"/>
    <w:rsid w:val="004A5065"/>
    <w:rsid w:val="004B689C"/>
    <w:rsid w:val="004C0E31"/>
    <w:rsid w:val="004D10F1"/>
    <w:rsid w:val="004D4727"/>
    <w:rsid w:val="005005EC"/>
    <w:rsid w:val="00512CDD"/>
    <w:rsid w:val="0055285D"/>
    <w:rsid w:val="00563994"/>
    <w:rsid w:val="005666F6"/>
    <w:rsid w:val="0057328D"/>
    <w:rsid w:val="005804BB"/>
    <w:rsid w:val="0058486B"/>
    <w:rsid w:val="005B18F1"/>
    <w:rsid w:val="005C2412"/>
    <w:rsid w:val="005C3866"/>
    <w:rsid w:val="005D5D87"/>
    <w:rsid w:val="005D757F"/>
    <w:rsid w:val="005E0451"/>
    <w:rsid w:val="005F4E6A"/>
    <w:rsid w:val="005F59A9"/>
    <w:rsid w:val="00631FC4"/>
    <w:rsid w:val="00645267"/>
    <w:rsid w:val="00656EBF"/>
    <w:rsid w:val="00674D37"/>
    <w:rsid w:val="00692F9B"/>
    <w:rsid w:val="00693349"/>
    <w:rsid w:val="006A5981"/>
    <w:rsid w:val="006B04A1"/>
    <w:rsid w:val="006C1071"/>
    <w:rsid w:val="00707C38"/>
    <w:rsid w:val="007246BD"/>
    <w:rsid w:val="00725774"/>
    <w:rsid w:val="007273A1"/>
    <w:rsid w:val="00735FC9"/>
    <w:rsid w:val="007430C6"/>
    <w:rsid w:val="00745EF0"/>
    <w:rsid w:val="00754EC5"/>
    <w:rsid w:val="007704F5"/>
    <w:rsid w:val="0077200E"/>
    <w:rsid w:val="007758F6"/>
    <w:rsid w:val="0077799A"/>
    <w:rsid w:val="007850C0"/>
    <w:rsid w:val="007A3DB0"/>
    <w:rsid w:val="007D5748"/>
    <w:rsid w:val="007E77CC"/>
    <w:rsid w:val="00806872"/>
    <w:rsid w:val="00827799"/>
    <w:rsid w:val="00861593"/>
    <w:rsid w:val="00897363"/>
    <w:rsid w:val="008A387E"/>
    <w:rsid w:val="008B2D67"/>
    <w:rsid w:val="008B427A"/>
    <w:rsid w:val="008C3837"/>
    <w:rsid w:val="008D339D"/>
    <w:rsid w:val="008E2736"/>
    <w:rsid w:val="00903405"/>
    <w:rsid w:val="00921223"/>
    <w:rsid w:val="00965AA8"/>
    <w:rsid w:val="009706B7"/>
    <w:rsid w:val="00981164"/>
    <w:rsid w:val="009B1D8C"/>
    <w:rsid w:val="009B5244"/>
    <w:rsid w:val="009B6D92"/>
    <w:rsid w:val="009D01BA"/>
    <w:rsid w:val="009D6A69"/>
    <w:rsid w:val="009F5F6D"/>
    <w:rsid w:val="00A26A39"/>
    <w:rsid w:val="00A527BA"/>
    <w:rsid w:val="00A76000"/>
    <w:rsid w:val="00A83E65"/>
    <w:rsid w:val="00A841DC"/>
    <w:rsid w:val="00AA4556"/>
    <w:rsid w:val="00AB356F"/>
    <w:rsid w:val="00AB380E"/>
    <w:rsid w:val="00AB3A31"/>
    <w:rsid w:val="00AC15EE"/>
    <w:rsid w:val="00B06AAD"/>
    <w:rsid w:val="00B127E4"/>
    <w:rsid w:val="00B27A60"/>
    <w:rsid w:val="00B5535C"/>
    <w:rsid w:val="00B7054C"/>
    <w:rsid w:val="00B913DE"/>
    <w:rsid w:val="00B96AD4"/>
    <w:rsid w:val="00BC06DF"/>
    <w:rsid w:val="00BE58F3"/>
    <w:rsid w:val="00BF72A7"/>
    <w:rsid w:val="00C15212"/>
    <w:rsid w:val="00C42FB5"/>
    <w:rsid w:val="00C51FD4"/>
    <w:rsid w:val="00C60550"/>
    <w:rsid w:val="00C81755"/>
    <w:rsid w:val="00CA61FE"/>
    <w:rsid w:val="00CB3623"/>
    <w:rsid w:val="00CC2A03"/>
    <w:rsid w:val="00CD6239"/>
    <w:rsid w:val="00CE299A"/>
    <w:rsid w:val="00CF1BEB"/>
    <w:rsid w:val="00CF582D"/>
    <w:rsid w:val="00D019E8"/>
    <w:rsid w:val="00D01EF9"/>
    <w:rsid w:val="00D05CB1"/>
    <w:rsid w:val="00D2224C"/>
    <w:rsid w:val="00D24B7A"/>
    <w:rsid w:val="00D36ABD"/>
    <w:rsid w:val="00D43460"/>
    <w:rsid w:val="00D44B8D"/>
    <w:rsid w:val="00D61B2C"/>
    <w:rsid w:val="00D71609"/>
    <w:rsid w:val="00D774EB"/>
    <w:rsid w:val="00D9645A"/>
    <w:rsid w:val="00DA58EB"/>
    <w:rsid w:val="00DB251C"/>
    <w:rsid w:val="00DD3544"/>
    <w:rsid w:val="00DE3172"/>
    <w:rsid w:val="00DE5BF1"/>
    <w:rsid w:val="00DF4311"/>
    <w:rsid w:val="00E06CA5"/>
    <w:rsid w:val="00E07CE9"/>
    <w:rsid w:val="00E24EEC"/>
    <w:rsid w:val="00E51CF1"/>
    <w:rsid w:val="00E60C44"/>
    <w:rsid w:val="00E633FC"/>
    <w:rsid w:val="00E963A3"/>
    <w:rsid w:val="00EA1E90"/>
    <w:rsid w:val="00EB0F00"/>
    <w:rsid w:val="00EB1A7B"/>
    <w:rsid w:val="00EB59C8"/>
    <w:rsid w:val="00EE6D76"/>
    <w:rsid w:val="00F10917"/>
    <w:rsid w:val="00F165B5"/>
    <w:rsid w:val="00F25589"/>
    <w:rsid w:val="00F36E6A"/>
    <w:rsid w:val="00F40136"/>
    <w:rsid w:val="00F5276F"/>
    <w:rsid w:val="00F63923"/>
    <w:rsid w:val="00F77770"/>
    <w:rsid w:val="00F855F7"/>
    <w:rsid w:val="00F90A48"/>
    <w:rsid w:val="00F90D8E"/>
    <w:rsid w:val="00F94D86"/>
    <w:rsid w:val="00F97DC5"/>
    <w:rsid w:val="00FA1D5B"/>
    <w:rsid w:val="00FA39B6"/>
    <w:rsid w:val="00FE14BF"/>
    <w:rsid w:val="00FE26BC"/>
    <w:rsid w:val="00FE52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08FDC2-64FE-42FF-9D7B-D3F50ED7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paragraph" w:styleId="Zkladntext">
    <w:name w:val="Body Text"/>
    <w:basedOn w:val="Normlny"/>
    <w:link w:val="ZkladntextChar"/>
    <w:uiPriority w:val="99"/>
    <w:unhideWhenUsed/>
    <w:rsid w:val="000D4747"/>
    <w:pPr>
      <w:spacing w:after="0" w:line="240" w:lineRule="auto"/>
    </w:pPr>
    <w:rPr>
      <w:rFonts w:ascii="Arial" w:hAnsi="Arial"/>
      <w:b/>
      <w:bCs/>
      <w:sz w:val="20"/>
      <w:szCs w:val="20"/>
      <w:lang w:eastAsia="cs-CZ"/>
    </w:rPr>
  </w:style>
  <w:style w:type="character" w:customStyle="1" w:styleId="ZkladntextChar">
    <w:name w:val="Základný text Char"/>
    <w:basedOn w:val="Predvolenpsmoodseku"/>
    <w:link w:val="Zkladntext"/>
    <w:uiPriority w:val="99"/>
    <w:locked/>
    <w:rsid w:val="000D4747"/>
    <w:rPr>
      <w:rFonts w:ascii="Arial" w:hAnsi="Arial" w:cs="Times New Roman"/>
      <w:b/>
      <w:bCs/>
      <w:sz w:val="20"/>
      <w:szCs w:val="20"/>
      <w:lang w:val="x-none" w:eastAsia="cs-CZ"/>
    </w:rPr>
  </w:style>
  <w:style w:type="paragraph" w:styleId="Odsekzoznamu">
    <w:name w:val="List Paragraph"/>
    <w:basedOn w:val="Normlny"/>
    <w:uiPriority w:val="34"/>
    <w:qFormat/>
    <w:rsid w:val="00D43460"/>
    <w:pPr>
      <w:ind w:left="720"/>
      <w:contextualSpacing/>
    </w:pPr>
    <w:rPr>
      <w:rFonts w:ascii="Calibri" w:hAnsi="Calibri"/>
    </w:rPr>
  </w:style>
  <w:style w:type="table" w:styleId="Mriekatabuky">
    <w:name w:val="Table Grid"/>
    <w:basedOn w:val="Normlnatabuka"/>
    <w:uiPriority w:val="59"/>
    <w:rsid w:val="001F463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F463D"/>
    <w:rPr>
      <w:rFonts w:cs="Times New Roman"/>
      <w:color w:val="0000FF"/>
      <w:u w:val="single"/>
    </w:rPr>
  </w:style>
  <w:style w:type="paragraph" w:styleId="Normlnywebov">
    <w:name w:val="Normal (Web)"/>
    <w:basedOn w:val="Normlny"/>
    <w:uiPriority w:val="99"/>
    <w:rsid w:val="001F463D"/>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unhideWhenUsed/>
    <w:rsid w:val="00A26A39"/>
    <w:rPr>
      <w:rFonts w:cs="Times New Roman"/>
      <w:sz w:val="16"/>
      <w:szCs w:val="16"/>
    </w:rPr>
  </w:style>
  <w:style w:type="paragraph" w:styleId="Textkomentra">
    <w:name w:val="annotation text"/>
    <w:basedOn w:val="Normlny"/>
    <w:link w:val="TextkomentraChar"/>
    <w:uiPriority w:val="99"/>
    <w:unhideWhenUsed/>
    <w:rsid w:val="00A26A39"/>
    <w:pPr>
      <w:spacing w:after="160" w:line="240" w:lineRule="auto"/>
    </w:pPr>
    <w:rPr>
      <w:sz w:val="20"/>
      <w:szCs w:val="20"/>
    </w:rPr>
  </w:style>
  <w:style w:type="character" w:customStyle="1" w:styleId="TextkomentraChar">
    <w:name w:val="Text komentára Char"/>
    <w:basedOn w:val="Predvolenpsmoodseku"/>
    <w:link w:val="Textkomentra"/>
    <w:uiPriority w:val="99"/>
    <w:locked/>
    <w:rsid w:val="00A26A39"/>
    <w:rPr>
      <w:rFonts w:cs="Times New Roman"/>
      <w:sz w:val="20"/>
      <w:szCs w:val="20"/>
    </w:rPr>
  </w:style>
  <w:style w:type="paragraph" w:styleId="Predmetkomentra">
    <w:name w:val="annotation subject"/>
    <w:basedOn w:val="Textkomentra"/>
    <w:next w:val="Textkomentra"/>
    <w:link w:val="PredmetkomentraChar"/>
    <w:uiPriority w:val="99"/>
    <w:unhideWhenUsed/>
    <w:rsid w:val="00A26A39"/>
    <w:rPr>
      <w:b/>
      <w:bCs/>
    </w:rPr>
  </w:style>
  <w:style w:type="character" w:customStyle="1" w:styleId="PredmetkomentraChar">
    <w:name w:val="Predmet komentára Char"/>
    <w:basedOn w:val="TextkomentraChar"/>
    <w:link w:val="Predmetkomentra"/>
    <w:uiPriority w:val="99"/>
    <w:locked/>
    <w:rsid w:val="00A26A39"/>
    <w:rPr>
      <w:rFonts w:cs="Times New Roman"/>
      <w:b/>
      <w:bCs/>
      <w:sz w:val="20"/>
      <w:szCs w:val="20"/>
    </w:rPr>
  </w:style>
  <w:style w:type="paragraph" w:styleId="Textpoznmkypodiarou">
    <w:name w:val="footnote text"/>
    <w:basedOn w:val="Normlny"/>
    <w:link w:val="TextpoznmkypodiarouChar"/>
    <w:uiPriority w:val="99"/>
    <w:unhideWhenUsed/>
    <w:rsid w:val="00A26A3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A26A39"/>
    <w:rPr>
      <w:rFonts w:cs="Times New Roman"/>
      <w:sz w:val="20"/>
      <w:szCs w:val="20"/>
    </w:rPr>
  </w:style>
  <w:style w:type="character" w:styleId="Odkaznapoznmkupodiarou">
    <w:name w:val="footnote reference"/>
    <w:basedOn w:val="Predvolenpsmoodseku"/>
    <w:uiPriority w:val="99"/>
    <w:unhideWhenUsed/>
    <w:rsid w:val="00A26A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30594">
      <w:marLeft w:val="0"/>
      <w:marRight w:val="0"/>
      <w:marTop w:val="0"/>
      <w:marBottom w:val="0"/>
      <w:divBdr>
        <w:top w:val="none" w:sz="0" w:space="0" w:color="auto"/>
        <w:left w:val="none" w:sz="0" w:space="0" w:color="auto"/>
        <w:bottom w:val="none" w:sz="0" w:space="0" w:color="auto"/>
        <w:right w:val="none" w:sz="0" w:space="0" w:color="auto"/>
      </w:divBdr>
    </w:div>
    <w:div w:id="2077630595">
      <w:marLeft w:val="0"/>
      <w:marRight w:val="0"/>
      <w:marTop w:val="0"/>
      <w:marBottom w:val="0"/>
      <w:divBdr>
        <w:top w:val="none" w:sz="0" w:space="0" w:color="auto"/>
        <w:left w:val="none" w:sz="0" w:space="0" w:color="auto"/>
        <w:bottom w:val="none" w:sz="0" w:space="0" w:color="auto"/>
        <w:right w:val="none" w:sz="0" w:space="0" w:color="auto"/>
      </w:divBdr>
    </w:div>
    <w:div w:id="2077630596">
      <w:marLeft w:val="0"/>
      <w:marRight w:val="0"/>
      <w:marTop w:val="0"/>
      <w:marBottom w:val="0"/>
      <w:divBdr>
        <w:top w:val="none" w:sz="0" w:space="0" w:color="auto"/>
        <w:left w:val="none" w:sz="0" w:space="0" w:color="auto"/>
        <w:bottom w:val="none" w:sz="0" w:space="0" w:color="auto"/>
        <w:right w:val="none" w:sz="0" w:space="0" w:color="auto"/>
      </w:divBdr>
    </w:div>
    <w:div w:id="2077630597">
      <w:marLeft w:val="0"/>
      <w:marRight w:val="0"/>
      <w:marTop w:val="0"/>
      <w:marBottom w:val="0"/>
      <w:divBdr>
        <w:top w:val="none" w:sz="0" w:space="0" w:color="auto"/>
        <w:left w:val="none" w:sz="0" w:space="0" w:color="auto"/>
        <w:bottom w:val="none" w:sz="0" w:space="0" w:color="auto"/>
        <w:right w:val="none" w:sz="0" w:space="0" w:color="auto"/>
      </w:divBdr>
    </w:div>
    <w:div w:id="2077630598">
      <w:marLeft w:val="0"/>
      <w:marRight w:val="0"/>
      <w:marTop w:val="0"/>
      <w:marBottom w:val="0"/>
      <w:divBdr>
        <w:top w:val="none" w:sz="0" w:space="0" w:color="auto"/>
        <w:left w:val="none" w:sz="0" w:space="0" w:color="auto"/>
        <w:bottom w:val="none" w:sz="0" w:space="0" w:color="auto"/>
        <w:right w:val="none" w:sz="0" w:space="0" w:color="auto"/>
      </w:divBdr>
    </w:div>
    <w:div w:id="2077630599">
      <w:marLeft w:val="0"/>
      <w:marRight w:val="0"/>
      <w:marTop w:val="0"/>
      <w:marBottom w:val="0"/>
      <w:divBdr>
        <w:top w:val="none" w:sz="0" w:space="0" w:color="auto"/>
        <w:left w:val="none" w:sz="0" w:space="0" w:color="auto"/>
        <w:bottom w:val="none" w:sz="0" w:space="0" w:color="auto"/>
        <w:right w:val="none" w:sz="0" w:space="0" w:color="auto"/>
      </w:divBdr>
    </w:div>
    <w:div w:id="2077630600">
      <w:marLeft w:val="0"/>
      <w:marRight w:val="0"/>
      <w:marTop w:val="0"/>
      <w:marBottom w:val="0"/>
      <w:divBdr>
        <w:top w:val="none" w:sz="0" w:space="0" w:color="auto"/>
        <w:left w:val="none" w:sz="0" w:space="0" w:color="auto"/>
        <w:bottom w:val="none" w:sz="0" w:space="0" w:color="auto"/>
        <w:right w:val="none" w:sz="0" w:space="0" w:color="auto"/>
      </w:divBdr>
    </w:div>
    <w:div w:id="2077630601">
      <w:marLeft w:val="0"/>
      <w:marRight w:val="0"/>
      <w:marTop w:val="0"/>
      <w:marBottom w:val="0"/>
      <w:divBdr>
        <w:top w:val="none" w:sz="0" w:space="0" w:color="auto"/>
        <w:left w:val="none" w:sz="0" w:space="0" w:color="auto"/>
        <w:bottom w:val="none" w:sz="0" w:space="0" w:color="auto"/>
        <w:right w:val="none" w:sz="0" w:space="0" w:color="auto"/>
      </w:divBdr>
    </w:div>
    <w:div w:id="2077630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economy.gov.sk/podnikatelske-prostredie/lepsia-regulacia/regulacne-zatazenie/kalkulacka-nakladov-regula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B3F3AA-9ADD-462B-855F-E0F2DE18C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23553</Words>
  <Characters>134256</Characters>
  <Application>Microsoft Office Word</Application>
  <DocSecurity>0</DocSecurity>
  <Lines>1118</Lines>
  <Paragraphs>314</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157495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KARDOŠOVÁ Dominika</cp:lastModifiedBy>
  <cp:revision>4</cp:revision>
  <dcterms:created xsi:type="dcterms:W3CDTF">2019-04-24T07:08:00Z</dcterms:created>
  <dcterms:modified xsi:type="dcterms:W3CDTF">2019-04-24T09:55:00Z</dcterms:modified>
</cp:coreProperties>
</file>