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C3" w:rsidRPr="00962FCA" w:rsidRDefault="007528C3" w:rsidP="007528C3">
      <w:pPr>
        <w:jc w:val="center"/>
        <w:rPr>
          <w:b/>
          <w:spacing w:val="30"/>
        </w:rPr>
      </w:pPr>
      <w:bookmarkStart w:id="0" w:name="_GoBack"/>
      <w:bookmarkEnd w:id="0"/>
      <w:r w:rsidRPr="00962FCA">
        <w:rPr>
          <w:b/>
          <w:spacing w:val="30"/>
        </w:rPr>
        <w:t>DÔVODOVÁ SPRÁVA</w:t>
      </w:r>
    </w:p>
    <w:p w:rsidR="007528C3" w:rsidRPr="00962FCA" w:rsidRDefault="007528C3" w:rsidP="007528C3">
      <w:pPr>
        <w:ind w:firstLine="709"/>
        <w:jc w:val="both"/>
        <w:rPr>
          <w:b/>
        </w:rPr>
      </w:pPr>
    </w:p>
    <w:p w:rsidR="007528C3" w:rsidRPr="00962FCA" w:rsidRDefault="007528C3" w:rsidP="007528C3">
      <w:pPr>
        <w:jc w:val="both"/>
        <w:rPr>
          <w:b/>
        </w:rPr>
      </w:pPr>
      <w:r w:rsidRPr="00962FCA">
        <w:rPr>
          <w:b/>
        </w:rPr>
        <w:t xml:space="preserve">A. Všeobecná časť </w:t>
      </w:r>
    </w:p>
    <w:p w:rsidR="007528C3" w:rsidRPr="00962FCA" w:rsidRDefault="007528C3" w:rsidP="007528C3">
      <w:pPr>
        <w:ind w:firstLine="709"/>
        <w:jc w:val="both"/>
        <w:rPr>
          <w:b/>
        </w:rPr>
      </w:pPr>
    </w:p>
    <w:p w:rsidR="002C2578" w:rsidRDefault="00754B65" w:rsidP="002C2578">
      <w:pPr>
        <w:ind w:firstLine="709"/>
        <w:jc w:val="both"/>
      </w:pPr>
      <w:r>
        <w:t>Vláda</w:t>
      </w:r>
      <w:r w:rsidR="007528C3">
        <w:t xml:space="preserve"> Slovenskej republ</w:t>
      </w:r>
      <w:r w:rsidR="00446181">
        <w:t>iky predkladá na rokovanie Národnej rady</w:t>
      </w:r>
      <w:r w:rsidR="007528C3">
        <w:t xml:space="preserve"> Slovenskej republiky</w:t>
      </w:r>
      <w:r w:rsidR="00446181">
        <w:t xml:space="preserve"> vládny</w:t>
      </w:r>
      <w:r w:rsidR="007528C3">
        <w:t xml:space="preserve"> návrh zákona</w:t>
      </w:r>
      <w:r w:rsidR="002C2578">
        <w:t xml:space="preserve"> o</w:t>
      </w:r>
      <w:r w:rsidR="002C2578" w:rsidRPr="00083549">
        <w:t xml:space="preserve"> ukončení niektorých exekučných konaní a o zmene a doplnení niektorých zákonov (ďalej len „návrh zákona“) v súlade s Plánom legislatívnych úloh vlády Slovenskej republiky. </w:t>
      </w:r>
    </w:p>
    <w:p w:rsidR="002C2578" w:rsidRDefault="002C2578" w:rsidP="002C2578">
      <w:pPr>
        <w:ind w:firstLine="709"/>
        <w:jc w:val="both"/>
      </w:pPr>
    </w:p>
    <w:p w:rsidR="002C2578" w:rsidRPr="00083549" w:rsidRDefault="002C2578" w:rsidP="002C2578">
      <w:pPr>
        <w:ind w:firstLine="709"/>
        <w:jc w:val="both"/>
      </w:pPr>
      <w:r w:rsidRPr="00083549">
        <w:t>Návrh zákona bol vypracovaný na základe Programového vyhlásenia vlády Slovenskej republiky na roky 201</w:t>
      </w:r>
      <w:r w:rsidR="003F4775">
        <w:t>8</w:t>
      </w:r>
      <w:r w:rsidRPr="00083549">
        <w:t xml:space="preserve"> - 2020, v ktorom si vláda Slovenskej republiky určila za cieľ zabezpečiť rýchlejšiu a funkčnejšiu vymožiteľnosť právom chránených nárokov v exekučnom konaní a súčasne pomôcť občanom, ktorí sa najmä v dôsledku exekúcií ocitli v dlhovej pasci.</w:t>
      </w:r>
    </w:p>
    <w:p w:rsidR="002C2578" w:rsidRPr="00083549" w:rsidRDefault="002C2578" w:rsidP="002C2578">
      <w:pPr>
        <w:pStyle w:val="Normlnywebov"/>
        <w:spacing w:before="0" w:beforeAutospacing="0" w:after="0" w:afterAutospacing="0"/>
        <w:jc w:val="both"/>
      </w:pPr>
    </w:p>
    <w:p w:rsidR="002C2578" w:rsidRPr="00083549" w:rsidRDefault="002C2578" w:rsidP="002C2578">
      <w:pPr>
        <w:ind w:firstLine="708"/>
        <w:jc w:val="both"/>
        <w:rPr>
          <w:color w:val="000000"/>
        </w:rPr>
      </w:pPr>
      <w:r w:rsidRPr="00083549">
        <w:rPr>
          <w:color w:val="000000"/>
        </w:rPr>
        <w:t xml:space="preserve">Návrh zákona sa predkladá z dôvodu potreby efektívneho vyriešenia problému vedenia niektorých exekúcií, v ktorých nedochádza k exekvovaniu majetku povinného a ani  k zastaveniu exekúcie napriek tomu, že povinný je nemajetný. Významnú úlohu v tomto smere zohráva fakt, že značná časť právnej praxe presadzuje pravidlo, že zastaviť exekúciu ako nemajetnú možno len v prípade, ak s tým oprávnený súhlasí. Taktiež významnú úlohu zohráva aj úvaha, že každá osoba je entitou, ktorá potenciálne v budúcnosti môže nejaký majetok nadobudnúť. Akumulácia jednotlivých čiastkových skutočností spôsobujúcich tento problém dospel do štádia, že na súdoch Slovenskej republiky je v súčasnosti vedených cca 2,6 milióna  tzv. „starých“ exekúcií (exekučných konaní vedených podľa predpisov účinných do 31. marca 2017), pri ktorých oprávnený spravidla nenavrhne zastavenie exekúcie (nesúhlasí s jej zastavením) najmä z dôvodu rizika, že bude musieť znášať trovy exekúcie súdneho exekútora. Sumárnym pohľadom na danú problematiku je potrebné konštatovať, že vo výsledku sa značná časť kapacity rozhodovacej činnosti slovenských súdov upína k spravovaniu všetkých týchto „starých“ exekučných konaní. </w:t>
      </w:r>
    </w:p>
    <w:p w:rsidR="002C2578" w:rsidRPr="00083549" w:rsidRDefault="002C2578" w:rsidP="002C2578">
      <w:pPr>
        <w:pStyle w:val="Normlnywebov"/>
        <w:spacing w:before="0" w:beforeAutospacing="0" w:after="0" w:afterAutospacing="0"/>
        <w:jc w:val="both"/>
      </w:pPr>
    </w:p>
    <w:p w:rsidR="002C2578" w:rsidRPr="002C2578" w:rsidRDefault="002C2578" w:rsidP="002C2578">
      <w:pPr>
        <w:pStyle w:val="Default"/>
        <w:ind w:firstLine="708"/>
        <w:jc w:val="both"/>
        <w:rPr>
          <w:color w:val="auto"/>
        </w:rPr>
      </w:pPr>
      <w:r w:rsidRPr="00083549">
        <w:t xml:space="preserve">Ani zásadné zmeny v exekučných konaniach vykonané zákonom č. 2/2017 Z. z., ktorým sa mení a dopĺňa zákon Národnej rady Slovenskej republiky č. 233/1995 Z. z. o súdnych exekútoroch a exekučnej činnosti (Exekučný poriadok) a o zmene a doplnení ďalších zákonov v znení neskorších predpisov a ktorým sa menia a dopĺňajú niektoré zákony, neviedli k výraznej redukcii počtu tzv. starých exekúcií, keďže prechodné ustanovenia tejto právnej úpravy prijali pravidlo, podľa ktorého sa exekučné konania začaté pred 1. aprílom 2017 dokončia podľa predpisov účinných do 31. marca 2017. Ukončenie tzv. starých exekúcií by pri </w:t>
      </w:r>
      <w:r w:rsidRPr="002C2578">
        <w:rPr>
          <w:color w:val="auto"/>
        </w:rPr>
        <w:t xml:space="preserve">súčasnom tempe ukončovaní exekučných konaní trvalo viac ako 12 rokov. </w:t>
      </w:r>
    </w:p>
    <w:p w:rsidR="002C2578" w:rsidRPr="002C2578" w:rsidRDefault="002C2578" w:rsidP="002C2578">
      <w:pPr>
        <w:pStyle w:val="Default"/>
        <w:jc w:val="both"/>
        <w:rPr>
          <w:color w:val="auto"/>
        </w:rPr>
      </w:pPr>
    </w:p>
    <w:p w:rsidR="002C2578" w:rsidRPr="002C2578" w:rsidRDefault="002C2578" w:rsidP="002C2578">
      <w:pPr>
        <w:ind w:firstLine="708"/>
        <w:jc w:val="both"/>
      </w:pPr>
      <w:r w:rsidRPr="002C2578">
        <w:rPr>
          <w:rStyle w:val="Textzstupnhosymbolu"/>
          <w:color w:val="auto"/>
        </w:rPr>
        <w:t xml:space="preserve">Uvedené závery, so zdôraznením vážnosti situácie, potvrdzuje aj tím expertov organizácie CEPEJ (v tzv. Správe k stavu justície; dostupná na webovom sídle Ministerstva spravodlivosti Slovenskej republiky), ktorý konštatuje, že jeden z hlavných problémov slovenských súdov spočíva vo veľkom </w:t>
      </w:r>
      <w:r w:rsidRPr="002C2578">
        <w:t xml:space="preserve">počte nerozhodnutých exekučných vecí, ktorý </w:t>
      </w:r>
      <w:r w:rsidRPr="002C2578">
        <w:rPr>
          <w:rStyle w:val="Textzstupnhosymbolu"/>
          <w:color w:val="auto"/>
        </w:rPr>
        <w:t>je nevyhnutné riešiť mimoriadnym legislatívnym zásahom, aby sa celý proces odbremenia súdov od exekučných vecí urýchlil.</w:t>
      </w:r>
    </w:p>
    <w:p w:rsidR="002C2578" w:rsidRPr="002C2578" w:rsidRDefault="002C2578" w:rsidP="002C2578">
      <w:pPr>
        <w:jc w:val="both"/>
      </w:pPr>
    </w:p>
    <w:p w:rsidR="002C2578" w:rsidRPr="00083549" w:rsidRDefault="002C2578" w:rsidP="002C2578">
      <w:pPr>
        <w:ind w:firstLine="708"/>
        <w:jc w:val="both"/>
        <w:rPr>
          <w:color w:val="000000"/>
        </w:rPr>
      </w:pPr>
      <w:r w:rsidRPr="002C2578">
        <w:t>Najvýznamnejším cieľom návrhu zákona je preto zmeniť v tejto oblasti „pravidlá hry“ a odhaliť nemajetné</w:t>
      </w:r>
      <w:r w:rsidRPr="00083549">
        <w:rPr>
          <w:color w:val="000000"/>
        </w:rPr>
        <w:t xml:space="preserve"> exekúcie, ktoré majú byť z tohto dôvodu ukončené. Ambíciou návrhu zákona je preto zavedenie osobitného procesného mechanizmu zastavenia tzv. starých (nemajetných) exekúcií priamo zo zákona, pričom technické otázky súvisiace s ukončením exekučných konaní sa navrhuje zveriť súdnemu exekútorovi (koncepčne ide o obdobu riešenia už aplikovanú v exekučných konaniach začatých od 1. apríla 2017). Obdobný </w:t>
      </w:r>
      <w:r w:rsidRPr="00083549">
        <w:rPr>
          <w:color w:val="000000"/>
        </w:rPr>
        <w:lastRenderedPageBreak/>
        <w:t>procesný režim zastavenia tzv. starých (nemajetných) exekúcií sa navrhuje použiť aj na prípady dôvodov pre zastavenie exekúcie, ak oprávnený alebo povinný zanikol bez právneho nástupcu, zastavenie exekúcie navrhol oprávnený, či v prípadoch, ak z dôvodu účinkov vyhlásenia konkurzu na majetok povinného resp. oddlženia povinného nastal dôvod pre ich zastavenie. Návrh zákona súčasne dáva oprávnenému možnosť komerčnej úvahy, či je opodstatnené podať opätovný návrh na vykonanie exekúcie, avšak už podľa súčasne platných a účinných právnych predpisov. Navrhuje sa za zákonom ustanovených podmienok ponechať účinky úkonov súdneho exekútora smerujúcich k zabezpečeniu majetku podliehajúcemu starej exekúcii zachované.</w:t>
      </w:r>
    </w:p>
    <w:p w:rsidR="002C2578" w:rsidRPr="00083549" w:rsidRDefault="002C2578" w:rsidP="002C2578">
      <w:pPr>
        <w:pStyle w:val="Normlnywebov"/>
        <w:spacing w:before="0" w:beforeAutospacing="0" w:after="0" w:afterAutospacing="0"/>
        <w:jc w:val="both"/>
      </w:pPr>
    </w:p>
    <w:p w:rsidR="002C2578" w:rsidRPr="00083549" w:rsidRDefault="002C2578" w:rsidP="002C2578">
      <w:pPr>
        <w:pStyle w:val="Normlnywebov"/>
        <w:spacing w:before="0" w:beforeAutospacing="0" w:after="0" w:afterAutospacing="0"/>
        <w:ind w:firstLine="708"/>
        <w:jc w:val="both"/>
      </w:pPr>
      <w:r w:rsidRPr="00083549">
        <w:t>Účinnosť predkladaného návrhu zákona sa navrhuje od 1. januára 2020.</w:t>
      </w:r>
    </w:p>
    <w:p w:rsidR="002C2578" w:rsidRDefault="002C2578" w:rsidP="002C2578">
      <w:pPr>
        <w:pStyle w:val="Normlnywebov"/>
        <w:spacing w:before="0" w:beforeAutospacing="0" w:after="0" w:afterAutospacing="0"/>
        <w:jc w:val="both"/>
        <w:rPr>
          <w:color w:val="000000"/>
        </w:rPr>
      </w:pPr>
    </w:p>
    <w:p w:rsidR="00D57035" w:rsidRDefault="00D57035" w:rsidP="00D57035">
      <w:pPr>
        <w:pStyle w:val="Normlnywebov"/>
        <w:spacing w:before="0" w:beforeAutospacing="0" w:after="0" w:afterAutospacing="0"/>
        <w:ind w:firstLine="708"/>
        <w:jc w:val="both"/>
      </w:pPr>
      <w:r>
        <w:t>Návrh zákona predpokladá negatívny vplyv na rozpočet verejnej správy, negatívny a pozitívny vplyv na podnikateľské prostredie, negatívne a pozitívne sociálne vplyvy. Návrh zákona nezakladá vplyvy na životné prostredie, informatizáciu spoločnosti a na služby verejnej správy pre občana.</w:t>
      </w:r>
    </w:p>
    <w:p w:rsidR="00D57035" w:rsidRDefault="00D57035" w:rsidP="00D57035">
      <w:pPr>
        <w:pStyle w:val="Normlnywebov"/>
        <w:spacing w:before="0" w:beforeAutospacing="0" w:after="0" w:afterAutospacing="0"/>
        <w:jc w:val="both"/>
        <w:rPr>
          <w:color w:val="000000"/>
        </w:rPr>
      </w:pPr>
    </w:p>
    <w:p w:rsidR="002C2578" w:rsidRDefault="002C2578" w:rsidP="002C2578">
      <w:pPr>
        <w:pStyle w:val="Normlnywebov"/>
        <w:spacing w:before="0" w:beforeAutospacing="0" w:after="0" w:afterAutospacing="0"/>
        <w:ind w:firstLine="708"/>
        <w:jc w:val="both"/>
        <w:rPr>
          <w:color w:val="000000"/>
        </w:rPr>
      </w:pPr>
      <w:r w:rsidRPr="00083549">
        <w:rPr>
          <w:color w:val="000000"/>
        </w:rPr>
        <w:t>Návrh zákona je v súlade s Ústavou Slovenskej republiky, ústavnými zákonmi, nálezmi Ústavného súdu, medzinárodnými zmluvami, ktorými je Slovenská republika viazaná a zákonmi a súčasne je v súlade s právom Európskej únie.</w:t>
      </w:r>
    </w:p>
    <w:p w:rsidR="002C2578" w:rsidRDefault="002C2578" w:rsidP="002C2578">
      <w:pPr>
        <w:pStyle w:val="Normlnywebov"/>
        <w:spacing w:before="0" w:beforeAutospacing="0" w:after="0" w:afterAutospacing="0"/>
        <w:jc w:val="both"/>
        <w:rPr>
          <w:color w:val="000000"/>
        </w:rPr>
      </w:pPr>
    </w:p>
    <w:p w:rsidR="002C2578" w:rsidRDefault="002C2578" w:rsidP="002C2578">
      <w:pPr>
        <w:ind w:firstLine="708"/>
        <w:jc w:val="both"/>
      </w:pPr>
      <w:r w:rsidRPr="003B2BA1">
        <w:t xml:space="preserve">Návrh zákona nie je predmetom vnútrokomunitárneho pripomienkového konania. </w:t>
      </w:r>
    </w:p>
    <w:p w:rsidR="002C2578" w:rsidRDefault="002C2578" w:rsidP="002C2578">
      <w:pPr>
        <w:ind w:firstLine="708"/>
        <w:jc w:val="both"/>
      </w:pPr>
    </w:p>
    <w:p w:rsidR="002C2578" w:rsidRDefault="002C2578" w:rsidP="002C2578">
      <w:pPr>
        <w:ind w:firstLine="708"/>
        <w:jc w:val="both"/>
      </w:pPr>
      <w:r>
        <w:t xml:space="preserve">Materiál bol predmetom riadneho pripomienkového konania. Hospodárska a sociálna rada Slovenskej republiky prerokovala materiál dňa 15. apríla 2019. Legislatívna rada vlády Slovenskej republiky prerokovala materiál dňa 16. apríla 2019. </w:t>
      </w:r>
      <w:r w:rsidRPr="00915BB5">
        <w:t xml:space="preserve">Vláda Slovenskej republiky prerokovala a schválila návrh zákona </w:t>
      </w:r>
      <w:r w:rsidR="00D325FD">
        <w:t>24</w:t>
      </w:r>
      <w:r>
        <w:t>. apríla 2019</w:t>
      </w:r>
      <w:r w:rsidRPr="00204773">
        <w:t>.</w:t>
      </w:r>
    </w:p>
    <w:p w:rsidR="002C2578" w:rsidRPr="00962FCA" w:rsidRDefault="002C2578" w:rsidP="002C2578">
      <w:pPr>
        <w:autoSpaceDE w:val="0"/>
        <w:ind w:firstLine="708"/>
        <w:jc w:val="both"/>
        <w:rPr>
          <w:rFonts w:eastAsia="Times New Roman"/>
        </w:rPr>
      </w:pPr>
    </w:p>
    <w:p w:rsidR="007528C3" w:rsidRPr="00962FCA" w:rsidRDefault="00D57035" w:rsidP="00D57035">
      <w:pPr>
        <w:pStyle w:val="Normlnywebov"/>
        <w:spacing w:before="0" w:beforeAutospacing="0" w:after="0" w:afterAutospacing="0"/>
        <w:jc w:val="both"/>
      </w:pPr>
      <w:r>
        <w:tab/>
      </w:r>
    </w:p>
    <w:p w:rsidR="007528C3" w:rsidRPr="00962FCA" w:rsidRDefault="007528C3" w:rsidP="00915BB5">
      <w:pPr>
        <w:jc w:val="both"/>
      </w:pPr>
    </w:p>
    <w:p w:rsidR="007528C3" w:rsidRDefault="007528C3" w:rsidP="007528C3">
      <w:pPr>
        <w:spacing w:after="200" w:line="276" w:lineRule="auto"/>
        <w:rPr>
          <w:rFonts w:eastAsia="Times New Roman"/>
          <w:b/>
          <w:bCs/>
        </w:rPr>
      </w:pPr>
      <w:r>
        <w:rPr>
          <w:rFonts w:eastAsia="Times New Roman"/>
          <w:b/>
          <w:bCs/>
        </w:rPr>
        <w:br w:type="page"/>
      </w:r>
    </w:p>
    <w:p w:rsidR="002C2578" w:rsidRDefault="002C2578" w:rsidP="002C2578">
      <w:pPr>
        <w:pStyle w:val="Normlnywebov"/>
        <w:spacing w:before="0" w:beforeAutospacing="0" w:after="0" w:afterAutospacing="0"/>
        <w:jc w:val="center"/>
        <w:rPr>
          <w:b/>
          <w:bCs/>
          <w:sz w:val="28"/>
          <w:szCs w:val="28"/>
        </w:rPr>
      </w:pPr>
      <w:r w:rsidRPr="00C579E9">
        <w:rPr>
          <w:b/>
          <w:bCs/>
          <w:sz w:val="28"/>
          <w:szCs w:val="28"/>
        </w:rPr>
        <w:lastRenderedPageBreak/>
        <w:t>Doložka vybraných vplyvov</w:t>
      </w:r>
    </w:p>
    <w:p w:rsidR="002C2578" w:rsidRDefault="002C2578" w:rsidP="002C257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2C2578" w:rsidTr="00C346B1">
        <w:trPr>
          <w:jc w:val="center"/>
        </w:trPr>
        <w:tc>
          <w:tcPr>
            <w:tcW w:w="250" w:type="pct"/>
            <w:gridSpan w:val="2"/>
            <w:tcBorders>
              <w:top w:val="outset" w:sz="6" w:space="0" w:color="000000"/>
              <w:bottom w:val="outset" w:sz="6" w:space="0" w:color="000000"/>
            </w:tcBorders>
            <w:shd w:val="clear" w:color="auto" w:fill="E6E6E6"/>
            <w:hideMark/>
          </w:tcPr>
          <w:p w:rsidR="002C2578" w:rsidRDefault="002C2578" w:rsidP="00C346B1">
            <w:pPr>
              <w:rPr>
                <w:rFonts w:ascii="Times" w:hAnsi="Times" w:cs="Times"/>
                <w:b/>
                <w:bCs/>
                <w:sz w:val="22"/>
                <w:szCs w:val="22"/>
              </w:rPr>
            </w:pPr>
            <w:r>
              <w:rPr>
                <w:rFonts w:ascii="Times" w:hAnsi="Times" w:cs="Times"/>
                <w:b/>
                <w:bCs/>
                <w:sz w:val="22"/>
                <w:szCs w:val="22"/>
              </w:rPr>
              <w:t>  1.  Základné údaje</w:t>
            </w:r>
          </w:p>
        </w:tc>
      </w:tr>
      <w:tr w:rsidR="002C2578" w:rsidTr="00C346B1">
        <w:trPr>
          <w:trHeight w:val="450"/>
          <w:jc w:val="center"/>
        </w:trPr>
        <w:tc>
          <w:tcPr>
            <w:tcW w:w="250" w:type="pct"/>
            <w:gridSpan w:val="2"/>
            <w:tcBorders>
              <w:top w:val="outset" w:sz="6" w:space="0" w:color="000000"/>
              <w:bottom w:val="outset" w:sz="6" w:space="0" w:color="000000"/>
            </w:tcBorders>
            <w:shd w:val="clear" w:color="auto" w:fill="E6E6E6"/>
            <w:hideMark/>
          </w:tcPr>
          <w:p w:rsidR="002C2578" w:rsidRDefault="002C2578" w:rsidP="00C346B1">
            <w:pPr>
              <w:rPr>
                <w:rFonts w:ascii="Times" w:hAnsi="Times" w:cs="Times"/>
                <w:b/>
                <w:bCs/>
                <w:sz w:val="22"/>
                <w:szCs w:val="22"/>
              </w:rPr>
            </w:pPr>
            <w:r>
              <w:rPr>
                <w:rFonts w:ascii="Times" w:hAnsi="Times" w:cs="Times"/>
                <w:b/>
                <w:bCs/>
                <w:sz w:val="22"/>
                <w:szCs w:val="22"/>
              </w:rPr>
              <w:t>  Názov materiálu</w:t>
            </w:r>
          </w:p>
        </w:tc>
      </w:tr>
      <w:tr w:rsidR="002C2578" w:rsidTr="00C346B1">
        <w:trPr>
          <w:trHeight w:val="450"/>
          <w:jc w:val="center"/>
        </w:trPr>
        <w:tc>
          <w:tcPr>
            <w:tcW w:w="250" w:type="pct"/>
            <w:gridSpan w:val="2"/>
            <w:tcBorders>
              <w:top w:val="outset" w:sz="6" w:space="0" w:color="000000"/>
              <w:bottom w:val="outset" w:sz="6" w:space="0" w:color="000000"/>
            </w:tcBorders>
            <w:hideMark/>
          </w:tcPr>
          <w:p w:rsidR="002C2578" w:rsidRDefault="002C2578" w:rsidP="00C346B1">
            <w:pPr>
              <w:jc w:val="both"/>
              <w:rPr>
                <w:rFonts w:ascii="Times" w:hAnsi="Times" w:cs="Times"/>
                <w:sz w:val="20"/>
                <w:szCs w:val="20"/>
              </w:rPr>
            </w:pPr>
            <w:r>
              <w:rPr>
                <w:rFonts w:ascii="Times" w:hAnsi="Times" w:cs="Times"/>
                <w:sz w:val="20"/>
                <w:szCs w:val="20"/>
              </w:rPr>
              <w:t>Návrh zákona o ukončení niektorých exekučných konaní a o zmene a doplnení niektorých zákonov</w:t>
            </w:r>
          </w:p>
          <w:p w:rsidR="002C2578" w:rsidRDefault="002C2578" w:rsidP="00C346B1">
            <w:pPr>
              <w:jc w:val="both"/>
              <w:rPr>
                <w:rFonts w:ascii="Times" w:hAnsi="Times" w:cs="Times"/>
                <w:sz w:val="20"/>
                <w:szCs w:val="20"/>
              </w:rPr>
            </w:pPr>
          </w:p>
        </w:tc>
      </w:tr>
      <w:tr w:rsidR="002C2578" w:rsidTr="00C346B1">
        <w:trPr>
          <w:trHeight w:val="450"/>
          <w:jc w:val="center"/>
        </w:trPr>
        <w:tc>
          <w:tcPr>
            <w:tcW w:w="250" w:type="pct"/>
            <w:gridSpan w:val="2"/>
            <w:tcBorders>
              <w:top w:val="outset" w:sz="6" w:space="0" w:color="000000"/>
              <w:bottom w:val="outset" w:sz="6" w:space="0" w:color="000000"/>
            </w:tcBorders>
            <w:shd w:val="clear" w:color="auto" w:fill="E6E6E6"/>
            <w:hideMark/>
          </w:tcPr>
          <w:p w:rsidR="002C2578" w:rsidRDefault="002C2578" w:rsidP="00C346B1">
            <w:pPr>
              <w:rPr>
                <w:rFonts w:ascii="Times" w:hAnsi="Times" w:cs="Times"/>
                <w:b/>
                <w:bCs/>
                <w:sz w:val="22"/>
                <w:szCs w:val="22"/>
              </w:rPr>
            </w:pPr>
            <w:r>
              <w:rPr>
                <w:rFonts w:ascii="Times" w:hAnsi="Times" w:cs="Times"/>
                <w:b/>
                <w:bCs/>
                <w:sz w:val="22"/>
                <w:szCs w:val="22"/>
              </w:rPr>
              <w:t>  Predkladateľ (a spolupredkladateľ)</w:t>
            </w:r>
          </w:p>
        </w:tc>
      </w:tr>
      <w:tr w:rsidR="002C2578" w:rsidTr="00C346B1">
        <w:trPr>
          <w:trHeight w:val="450"/>
          <w:jc w:val="center"/>
        </w:trPr>
        <w:tc>
          <w:tcPr>
            <w:tcW w:w="250" w:type="pct"/>
            <w:gridSpan w:val="2"/>
            <w:tcBorders>
              <w:top w:val="outset" w:sz="6" w:space="0" w:color="000000"/>
              <w:bottom w:val="outset" w:sz="6" w:space="0" w:color="000000"/>
            </w:tcBorders>
            <w:hideMark/>
          </w:tcPr>
          <w:p w:rsidR="002C2578" w:rsidRDefault="002C2578" w:rsidP="00C346B1">
            <w:pPr>
              <w:rPr>
                <w:rFonts w:ascii="Times" w:hAnsi="Times" w:cs="Times"/>
                <w:sz w:val="20"/>
                <w:szCs w:val="20"/>
              </w:rPr>
            </w:pPr>
            <w:r>
              <w:rPr>
                <w:rFonts w:ascii="Times" w:hAnsi="Times" w:cs="Times"/>
                <w:sz w:val="20"/>
                <w:szCs w:val="20"/>
              </w:rPr>
              <w:t>Ministerstvo spravodlivosti Slovenskej republiky</w:t>
            </w:r>
          </w:p>
        </w:tc>
      </w:tr>
      <w:tr w:rsidR="002C2578" w:rsidTr="00C346B1">
        <w:trPr>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2C2578" w:rsidRDefault="002C2578" w:rsidP="00C346B1">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2C2578" w:rsidTr="00C346B1">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2C2578" w:rsidTr="00C346B1">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2C2578" w:rsidTr="00C346B1">
        <w:trPr>
          <w:trHeight w:val="675"/>
          <w:jc w:val="center"/>
        </w:trPr>
        <w:tc>
          <w:tcPr>
            <w:tcW w:w="0" w:type="auto"/>
            <w:gridSpan w:val="2"/>
            <w:tcBorders>
              <w:top w:val="outset" w:sz="6" w:space="0" w:color="000000"/>
              <w:bottom w:val="outset" w:sz="6" w:space="0" w:color="000000"/>
            </w:tcBorders>
            <w:hideMark/>
          </w:tcPr>
          <w:p w:rsidR="002C2578" w:rsidRDefault="002C2578" w:rsidP="00C346B1">
            <w:pPr>
              <w:rPr>
                <w:rFonts w:ascii="Times" w:hAnsi="Times" w:cs="Times"/>
                <w:sz w:val="20"/>
                <w:szCs w:val="20"/>
              </w:rPr>
            </w:pPr>
          </w:p>
        </w:tc>
      </w:tr>
      <w:tr w:rsidR="002C2578" w:rsidTr="00C346B1">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2C2578" w:rsidRDefault="002C2578" w:rsidP="00C346B1">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tcBorders>
            <w:hideMark/>
          </w:tcPr>
          <w:p w:rsidR="002C2578" w:rsidRDefault="002C2578" w:rsidP="00C346B1">
            <w:pPr>
              <w:rPr>
                <w:rFonts w:ascii="Times" w:hAnsi="Times" w:cs="Times"/>
                <w:sz w:val="20"/>
                <w:szCs w:val="20"/>
              </w:rPr>
            </w:pPr>
            <w:r>
              <w:rPr>
                <w:rFonts w:ascii="Times" w:hAnsi="Times" w:cs="Times"/>
                <w:sz w:val="20"/>
                <w:szCs w:val="20"/>
              </w:rPr>
              <w:t>Začiatok:    </w:t>
            </w:r>
            <w:r w:rsidRPr="00984ECD">
              <w:rPr>
                <w:rFonts w:ascii="Times" w:hAnsi="Times" w:cs="Times"/>
                <w:sz w:val="20"/>
                <w:szCs w:val="20"/>
              </w:rPr>
              <w:t xml:space="preserve"> </w:t>
            </w:r>
            <w:r>
              <w:rPr>
                <w:rFonts w:ascii="Times" w:hAnsi="Times" w:cs="Times"/>
                <w:sz w:val="20"/>
                <w:szCs w:val="20"/>
              </w:rPr>
              <w:t>október 2018</w:t>
            </w:r>
            <w:r>
              <w:rPr>
                <w:rFonts w:ascii="Times" w:hAnsi="Times" w:cs="Times"/>
                <w:sz w:val="20"/>
                <w:szCs w:val="20"/>
              </w:rPr>
              <w:br/>
              <w:t>Ukončenie:  október 2018</w:t>
            </w:r>
          </w:p>
        </w:tc>
      </w:tr>
      <w:tr w:rsidR="002C2578" w:rsidTr="00C346B1">
        <w:trPr>
          <w:trHeight w:val="564"/>
          <w:jc w:val="center"/>
        </w:trPr>
        <w:tc>
          <w:tcPr>
            <w:tcW w:w="3000" w:type="pct"/>
            <w:tcBorders>
              <w:top w:val="outset" w:sz="6" w:space="0" w:color="000000"/>
              <w:bottom w:val="outset" w:sz="6" w:space="0" w:color="000000"/>
              <w:right w:val="outset" w:sz="6" w:space="0" w:color="000000"/>
            </w:tcBorders>
            <w:shd w:val="clear" w:color="auto" w:fill="E6E6E6"/>
            <w:hideMark/>
          </w:tcPr>
          <w:p w:rsidR="002C2578" w:rsidRDefault="002C2578" w:rsidP="00C346B1">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tcBorders>
            <w:hideMark/>
          </w:tcPr>
          <w:p w:rsidR="002C2578" w:rsidRPr="003651EF" w:rsidRDefault="002C2578" w:rsidP="00C346B1">
            <w:pPr>
              <w:rPr>
                <w:rFonts w:ascii="Times" w:hAnsi="Times" w:cs="Times"/>
                <w:bCs/>
                <w:sz w:val="22"/>
                <w:szCs w:val="22"/>
              </w:rPr>
            </w:pPr>
            <w:r>
              <w:rPr>
                <w:rFonts w:ascii="Times" w:hAnsi="Times" w:cs="Times"/>
                <w:sz w:val="20"/>
                <w:szCs w:val="20"/>
              </w:rPr>
              <w:t>Začiatok:    </w:t>
            </w:r>
            <w:r w:rsidRPr="00984ECD">
              <w:rPr>
                <w:rFonts w:ascii="Times" w:hAnsi="Times" w:cs="Times"/>
                <w:sz w:val="20"/>
                <w:szCs w:val="20"/>
              </w:rPr>
              <w:t xml:space="preserve"> </w:t>
            </w:r>
            <w:r>
              <w:rPr>
                <w:rFonts w:ascii="Times" w:hAnsi="Times" w:cs="Times"/>
                <w:sz w:val="20"/>
                <w:szCs w:val="20"/>
              </w:rPr>
              <w:t xml:space="preserve"> 22.10.2018</w:t>
            </w:r>
            <w:r>
              <w:rPr>
                <w:rFonts w:ascii="Times" w:hAnsi="Times" w:cs="Times"/>
                <w:sz w:val="20"/>
                <w:szCs w:val="20"/>
              </w:rPr>
              <w:br/>
              <w:t>Ukončenie:  12.11.2018</w:t>
            </w:r>
          </w:p>
        </w:tc>
      </w:tr>
      <w:tr w:rsidR="002C2578" w:rsidTr="00C346B1">
        <w:trPr>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2C2578" w:rsidRDefault="002C2578" w:rsidP="00C346B1">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tcBorders>
            <w:hideMark/>
          </w:tcPr>
          <w:p w:rsidR="002C2578" w:rsidRDefault="002C2578" w:rsidP="00C346B1">
            <w:pPr>
              <w:rPr>
                <w:rFonts w:ascii="Times" w:hAnsi="Times" w:cs="Times"/>
                <w:b/>
                <w:bCs/>
                <w:sz w:val="22"/>
                <w:szCs w:val="22"/>
              </w:rPr>
            </w:pPr>
            <w:r>
              <w:rPr>
                <w:rFonts w:ascii="Times" w:hAnsi="Times" w:cs="Times"/>
                <w:sz w:val="20"/>
                <w:szCs w:val="20"/>
              </w:rPr>
              <w:t xml:space="preserve"> Apríl 2019</w:t>
            </w:r>
          </w:p>
        </w:tc>
      </w:tr>
    </w:tbl>
    <w:p w:rsidR="002C2578" w:rsidRDefault="002C2578" w:rsidP="002C2578">
      <w:pPr>
        <w:pStyle w:val="Normlnywebov"/>
        <w:spacing w:before="0" w:beforeAutospacing="0" w:after="0" w:afterAutospacing="0"/>
        <w:rPr>
          <w:bCs/>
          <w:sz w:val="22"/>
          <w:szCs w:val="22"/>
        </w:rPr>
      </w:pPr>
    </w:p>
    <w:p w:rsidR="002C2578" w:rsidRDefault="002C2578" w:rsidP="002C257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2C2578" w:rsidTr="00C346B1">
        <w:trPr>
          <w:jc w:val="center"/>
        </w:trPr>
        <w:tc>
          <w:tcPr>
            <w:tcW w:w="5000" w:type="pct"/>
            <w:tcBorders>
              <w:top w:val="outset" w:sz="6" w:space="0" w:color="000000"/>
              <w:bottom w:val="outset" w:sz="6" w:space="0" w:color="000000"/>
            </w:tcBorders>
            <w:shd w:val="clear" w:color="auto" w:fill="E6E6E6"/>
            <w:hideMark/>
          </w:tcPr>
          <w:p w:rsidR="002C2578" w:rsidRDefault="002C2578" w:rsidP="00C346B1">
            <w:pPr>
              <w:rPr>
                <w:rFonts w:ascii="Times" w:hAnsi="Times" w:cs="Times"/>
                <w:b/>
                <w:bCs/>
                <w:sz w:val="22"/>
                <w:szCs w:val="22"/>
              </w:rPr>
            </w:pPr>
            <w:r>
              <w:rPr>
                <w:rFonts w:ascii="Times" w:hAnsi="Times" w:cs="Times"/>
                <w:b/>
                <w:bCs/>
                <w:sz w:val="22"/>
                <w:szCs w:val="22"/>
              </w:rPr>
              <w:t>  2.  Definícia problému</w:t>
            </w:r>
          </w:p>
        </w:tc>
      </w:tr>
      <w:tr w:rsidR="002C2578" w:rsidTr="00C346B1">
        <w:trPr>
          <w:trHeight w:val="600"/>
          <w:jc w:val="center"/>
        </w:trPr>
        <w:tc>
          <w:tcPr>
            <w:tcW w:w="5000" w:type="pct"/>
            <w:tcBorders>
              <w:top w:val="outset" w:sz="6" w:space="0" w:color="000000"/>
              <w:bottom w:val="outset" w:sz="6" w:space="0" w:color="000000"/>
            </w:tcBorders>
            <w:hideMark/>
          </w:tcPr>
          <w:p w:rsidR="002C2578" w:rsidRDefault="002C2578" w:rsidP="00C346B1">
            <w:pPr>
              <w:pStyle w:val="Normlnywebov"/>
              <w:jc w:val="both"/>
              <w:rPr>
                <w:rFonts w:ascii="Times" w:hAnsi="Times" w:cs="Times"/>
                <w:sz w:val="20"/>
                <w:szCs w:val="20"/>
              </w:rPr>
            </w:pPr>
            <w:r>
              <w:rPr>
                <w:sz w:val="20"/>
                <w:szCs w:val="20"/>
              </w:rPr>
              <w:t>Z</w:t>
            </w:r>
            <w:r w:rsidRPr="009A09D4">
              <w:rPr>
                <w:sz w:val="20"/>
                <w:szCs w:val="20"/>
              </w:rPr>
              <w:t xml:space="preserve">ákonom č. 2/2017 Z. z., ktorým sa mení a dopĺňa zákon Národnej rady Slovenskej republiky č. 233/1995 Z. z. o súdnych exekútoroch a exekučnej činnosti (Exekučný poriadok) a o zmene a doplnení ďalších zákonov v znení neskorších predpisov a ktorým sa menia a dopĺňajú niektoré zákony, došlo s účinnosťou od 1. apríla 2017 k zásadným zmenám vo vedení exekučných konaní. Napriek týmto zásadným zmenám nedošlo k eliminovaniu problému tzv. starých exekúcií, t. j. exekúcií vedených podľa predpisov v znení účinnom do 31. marca 2017, ani k ich </w:t>
            </w:r>
            <w:r>
              <w:rPr>
                <w:sz w:val="20"/>
                <w:szCs w:val="20"/>
              </w:rPr>
              <w:t xml:space="preserve">výraznej </w:t>
            </w:r>
            <w:r w:rsidRPr="009A09D4">
              <w:rPr>
                <w:sz w:val="20"/>
                <w:szCs w:val="20"/>
              </w:rPr>
              <w:t>redukcii. Vysoký počet starých e</w:t>
            </w:r>
            <w:r>
              <w:rPr>
                <w:sz w:val="20"/>
                <w:szCs w:val="20"/>
              </w:rPr>
              <w:t xml:space="preserve">xekučných konaní </w:t>
            </w:r>
            <w:r w:rsidRPr="009A09D4">
              <w:rPr>
                <w:sz w:val="20"/>
                <w:szCs w:val="20"/>
              </w:rPr>
              <w:t>neúmerne zaťažuje slovenský súdny systém, čo má vplyv aj na rýchlosť a funkčnosť vymožiteľnosti právom chránených záujmov, a tento problém je nevyhnutné riešiť mimoriadnym legislatívnym zásahom.</w:t>
            </w:r>
            <w:r>
              <w:rPr>
                <w:sz w:val="20"/>
                <w:szCs w:val="20"/>
              </w:rPr>
              <w:t xml:space="preserve"> </w:t>
            </w:r>
          </w:p>
        </w:tc>
      </w:tr>
      <w:tr w:rsidR="002C2578" w:rsidTr="00C346B1">
        <w:trPr>
          <w:jc w:val="center"/>
        </w:trPr>
        <w:tc>
          <w:tcPr>
            <w:tcW w:w="5000" w:type="pct"/>
            <w:tcBorders>
              <w:top w:val="outset" w:sz="6" w:space="0" w:color="000000"/>
              <w:bottom w:val="outset" w:sz="6" w:space="0" w:color="000000"/>
            </w:tcBorders>
            <w:shd w:val="clear" w:color="auto" w:fill="E6E6E6"/>
            <w:hideMark/>
          </w:tcPr>
          <w:p w:rsidR="002C2578" w:rsidRDefault="002C2578" w:rsidP="00C346B1">
            <w:pPr>
              <w:rPr>
                <w:rFonts w:ascii="Times" w:hAnsi="Times" w:cs="Times"/>
                <w:b/>
                <w:bCs/>
                <w:sz w:val="22"/>
                <w:szCs w:val="22"/>
              </w:rPr>
            </w:pPr>
            <w:r>
              <w:rPr>
                <w:rFonts w:ascii="Times" w:hAnsi="Times" w:cs="Times"/>
                <w:b/>
                <w:bCs/>
                <w:sz w:val="22"/>
                <w:szCs w:val="22"/>
              </w:rPr>
              <w:t>  3.  Ciele a výsledný stav</w:t>
            </w:r>
          </w:p>
        </w:tc>
      </w:tr>
      <w:tr w:rsidR="002C2578" w:rsidTr="00C346B1">
        <w:trPr>
          <w:trHeight w:val="600"/>
          <w:jc w:val="center"/>
        </w:trPr>
        <w:tc>
          <w:tcPr>
            <w:tcW w:w="5000" w:type="pct"/>
            <w:tcBorders>
              <w:top w:val="outset" w:sz="6" w:space="0" w:color="000000"/>
              <w:bottom w:val="outset" w:sz="6" w:space="0" w:color="000000"/>
            </w:tcBorders>
            <w:hideMark/>
          </w:tcPr>
          <w:p w:rsidR="002C2578" w:rsidRDefault="002C2578" w:rsidP="00C346B1">
            <w:pPr>
              <w:jc w:val="both"/>
              <w:rPr>
                <w:rFonts w:ascii="Times" w:hAnsi="Times" w:cs="Times"/>
                <w:sz w:val="20"/>
                <w:szCs w:val="20"/>
              </w:rPr>
            </w:pPr>
            <w:r w:rsidRPr="00B976E2">
              <w:rPr>
                <w:rFonts w:ascii="Times" w:hAnsi="Times" w:cs="Times"/>
                <w:sz w:val="20"/>
                <w:szCs w:val="20"/>
              </w:rPr>
              <w:t xml:space="preserve">Cieľom návrhu zákona je zmeniť </w:t>
            </w:r>
            <w:r>
              <w:rPr>
                <w:rFonts w:ascii="Times" w:hAnsi="Times" w:cs="Times"/>
                <w:sz w:val="20"/>
                <w:szCs w:val="20"/>
              </w:rPr>
              <w:t xml:space="preserve">nastavenie súčasných procesných pravidiel zastavovania niektorých starých exekúcií  a ukončenia starých exekučných konaní a </w:t>
            </w:r>
            <w:r w:rsidRPr="00B976E2">
              <w:rPr>
                <w:rFonts w:ascii="Times" w:hAnsi="Times" w:cs="Times"/>
                <w:sz w:val="20"/>
                <w:szCs w:val="20"/>
              </w:rPr>
              <w:t>z</w:t>
            </w:r>
            <w:r>
              <w:rPr>
                <w:rFonts w:ascii="Times" w:hAnsi="Times" w:cs="Times"/>
                <w:sz w:val="20"/>
                <w:szCs w:val="20"/>
              </w:rPr>
              <w:t>aviesť osobitný</w:t>
            </w:r>
            <w:r w:rsidRPr="00B976E2">
              <w:rPr>
                <w:rFonts w:ascii="Times" w:hAnsi="Times" w:cs="Times"/>
                <w:sz w:val="20"/>
                <w:szCs w:val="20"/>
              </w:rPr>
              <w:t xml:space="preserve"> </w:t>
            </w:r>
            <w:r>
              <w:rPr>
                <w:rFonts w:ascii="Times" w:hAnsi="Times" w:cs="Times"/>
                <w:sz w:val="20"/>
                <w:szCs w:val="20"/>
              </w:rPr>
              <w:t>procesný</w:t>
            </w:r>
            <w:r w:rsidRPr="00B976E2">
              <w:rPr>
                <w:rFonts w:ascii="Times" w:hAnsi="Times" w:cs="Times"/>
                <w:sz w:val="20"/>
                <w:szCs w:val="20"/>
              </w:rPr>
              <w:t xml:space="preserve"> mechanizmu</w:t>
            </w:r>
            <w:r>
              <w:rPr>
                <w:rFonts w:ascii="Times" w:hAnsi="Times" w:cs="Times"/>
                <w:sz w:val="20"/>
                <w:szCs w:val="20"/>
              </w:rPr>
              <w:t>s</w:t>
            </w:r>
            <w:r w:rsidRPr="00B976E2">
              <w:rPr>
                <w:rFonts w:ascii="Times" w:hAnsi="Times" w:cs="Times"/>
                <w:sz w:val="20"/>
                <w:szCs w:val="20"/>
              </w:rPr>
              <w:t xml:space="preserve"> </w:t>
            </w:r>
            <w:r>
              <w:rPr>
                <w:rFonts w:ascii="Times" w:hAnsi="Times" w:cs="Times"/>
                <w:sz w:val="20"/>
                <w:szCs w:val="20"/>
              </w:rPr>
              <w:t xml:space="preserve">zastavenia </w:t>
            </w:r>
            <w:r w:rsidRPr="00B976E2">
              <w:rPr>
                <w:rFonts w:ascii="Times" w:hAnsi="Times" w:cs="Times"/>
                <w:sz w:val="20"/>
                <w:szCs w:val="20"/>
              </w:rPr>
              <w:t>tzv. starých (nemajetných) exekúcií priamo zo zákona, pričom technické otázky súvisiace s ukončením exekučných konaní sa navrh</w:t>
            </w:r>
            <w:r>
              <w:rPr>
                <w:rFonts w:ascii="Times" w:hAnsi="Times" w:cs="Times"/>
                <w:sz w:val="20"/>
                <w:szCs w:val="20"/>
              </w:rPr>
              <w:t>uje zveriť súdnemu exekútorovi</w:t>
            </w:r>
            <w:r w:rsidRPr="00B976E2">
              <w:rPr>
                <w:rFonts w:ascii="Times" w:hAnsi="Times" w:cs="Times"/>
                <w:sz w:val="20"/>
                <w:szCs w:val="20"/>
              </w:rPr>
              <w:t>. Obdobný procesný režim zastavenia tzv. starých (nemajetných) exekúcií sa navrhuje použiť aj na prípady</w:t>
            </w:r>
            <w:r>
              <w:rPr>
                <w:rFonts w:ascii="Times" w:hAnsi="Times" w:cs="Times"/>
                <w:sz w:val="20"/>
                <w:szCs w:val="20"/>
              </w:rPr>
              <w:t xml:space="preserve"> iných </w:t>
            </w:r>
            <w:r w:rsidRPr="00B976E2">
              <w:rPr>
                <w:rFonts w:ascii="Times" w:hAnsi="Times" w:cs="Times"/>
                <w:sz w:val="20"/>
                <w:szCs w:val="20"/>
              </w:rPr>
              <w:t>d</w:t>
            </w:r>
            <w:r>
              <w:rPr>
                <w:rFonts w:ascii="Times" w:hAnsi="Times" w:cs="Times"/>
                <w:sz w:val="20"/>
                <w:szCs w:val="20"/>
              </w:rPr>
              <w:t xml:space="preserve">ôvodov pre zastavenie exekúcie - </w:t>
            </w:r>
            <w:r w:rsidRPr="00B976E2">
              <w:rPr>
                <w:rFonts w:ascii="Times" w:hAnsi="Times" w:cs="Times"/>
                <w:sz w:val="20"/>
                <w:szCs w:val="20"/>
              </w:rPr>
              <w:t xml:space="preserve">ak oprávnený alebo povinný zanikol bez právneho nástupcu, </w:t>
            </w:r>
            <w:r>
              <w:rPr>
                <w:rFonts w:ascii="Times" w:hAnsi="Times" w:cs="Times"/>
                <w:sz w:val="20"/>
                <w:szCs w:val="20"/>
              </w:rPr>
              <w:t xml:space="preserve">alebo ak </w:t>
            </w:r>
            <w:r w:rsidRPr="00A823FA">
              <w:rPr>
                <w:rFonts w:ascii="Times" w:hAnsi="Times" w:cs="Times"/>
                <w:sz w:val="20"/>
                <w:szCs w:val="20"/>
              </w:rPr>
              <w:t>dedičské konanie po oprávnenom alebo povinnom bolo zastavené z dôvodu, že nezanechal žiadny majetok alebo zanechal len majetok nepatrnej hodnoty</w:t>
            </w:r>
            <w:r>
              <w:rPr>
                <w:rFonts w:ascii="Times" w:hAnsi="Times" w:cs="Times"/>
                <w:sz w:val="20"/>
                <w:szCs w:val="20"/>
              </w:rPr>
              <w:t xml:space="preserve">, ak </w:t>
            </w:r>
            <w:r w:rsidRPr="00B976E2">
              <w:rPr>
                <w:rFonts w:ascii="Times" w:hAnsi="Times" w:cs="Times"/>
                <w:sz w:val="20"/>
                <w:szCs w:val="20"/>
              </w:rPr>
              <w:t xml:space="preserve">zastavenie exekúcie navrhol oprávnený, či v prípadoch, ak z dôvodu účinkov vyhlásenia konkurzu na majetok povinného resp. oddlženia povinného nastal dôvod pre ich zastavenie. </w:t>
            </w:r>
            <w:r>
              <w:rPr>
                <w:rFonts w:ascii="Times" w:hAnsi="Times" w:cs="Times"/>
                <w:sz w:val="20"/>
                <w:szCs w:val="20"/>
              </w:rPr>
              <w:t>Navrhuje sa zavedenie možnosti oprávneného</w:t>
            </w:r>
            <w:r w:rsidRPr="00B976E2">
              <w:rPr>
                <w:rFonts w:ascii="Times" w:hAnsi="Times" w:cs="Times"/>
                <w:sz w:val="20"/>
                <w:szCs w:val="20"/>
              </w:rPr>
              <w:t xml:space="preserve"> podať opätovný návrh na vykonanie exekúcie</w:t>
            </w:r>
            <w:r>
              <w:rPr>
                <w:rFonts w:ascii="Times" w:hAnsi="Times" w:cs="Times"/>
                <w:sz w:val="20"/>
                <w:szCs w:val="20"/>
              </w:rPr>
              <w:t xml:space="preserve"> (na základe jeho komerčnej úvahy)</w:t>
            </w:r>
            <w:r w:rsidRPr="00B976E2">
              <w:rPr>
                <w:rFonts w:ascii="Times" w:hAnsi="Times" w:cs="Times"/>
                <w:sz w:val="20"/>
                <w:szCs w:val="20"/>
              </w:rPr>
              <w:t>, avšak už podľa súčasne platnýc</w:t>
            </w:r>
            <w:r>
              <w:rPr>
                <w:rFonts w:ascii="Times" w:hAnsi="Times" w:cs="Times"/>
                <w:sz w:val="20"/>
                <w:szCs w:val="20"/>
              </w:rPr>
              <w:t xml:space="preserve">h a účinných právnych predpisov; za zákonom ustanovených podmienok ostanú účinky úkonov smerujúcich k zabezpečeniu majetku podliehajúcemu starej exekúcii zachované.  </w:t>
            </w:r>
            <w:r w:rsidRPr="00B976E2">
              <w:rPr>
                <w:rFonts w:ascii="Times" w:hAnsi="Times" w:cs="Times"/>
                <w:sz w:val="20"/>
                <w:szCs w:val="20"/>
              </w:rPr>
              <w:t xml:space="preserve"> </w:t>
            </w:r>
          </w:p>
        </w:tc>
      </w:tr>
      <w:tr w:rsidR="002C2578" w:rsidTr="00C346B1">
        <w:trPr>
          <w:jc w:val="center"/>
        </w:trPr>
        <w:tc>
          <w:tcPr>
            <w:tcW w:w="5000" w:type="pct"/>
            <w:tcBorders>
              <w:top w:val="outset" w:sz="6" w:space="0" w:color="000000"/>
              <w:bottom w:val="outset" w:sz="6" w:space="0" w:color="000000"/>
            </w:tcBorders>
            <w:shd w:val="clear" w:color="auto" w:fill="E6E6E6"/>
            <w:hideMark/>
          </w:tcPr>
          <w:p w:rsidR="002C2578" w:rsidRDefault="002C2578" w:rsidP="00C346B1">
            <w:pPr>
              <w:rPr>
                <w:rFonts w:ascii="Times" w:hAnsi="Times" w:cs="Times"/>
                <w:b/>
                <w:bCs/>
                <w:sz w:val="22"/>
                <w:szCs w:val="22"/>
              </w:rPr>
            </w:pPr>
            <w:r>
              <w:rPr>
                <w:rFonts w:ascii="Times" w:hAnsi="Times" w:cs="Times"/>
                <w:b/>
                <w:bCs/>
                <w:sz w:val="22"/>
                <w:szCs w:val="22"/>
              </w:rPr>
              <w:t> </w:t>
            </w:r>
          </w:p>
          <w:p w:rsidR="002C2578" w:rsidRDefault="002C2578" w:rsidP="00C346B1">
            <w:pPr>
              <w:rPr>
                <w:rFonts w:ascii="Times" w:hAnsi="Times" w:cs="Times"/>
                <w:b/>
                <w:bCs/>
                <w:sz w:val="22"/>
                <w:szCs w:val="22"/>
              </w:rPr>
            </w:pPr>
          </w:p>
          <w:p w:rsidR="002C2578" w:rsidRDefault="002C2578" w:rsidP="00C346B1">
            <w:pPr>
              <w:rPr>
                <w:rFonts w:ascii="Times" w:hAnsi="Times" w:cs="Times"/>
                <w:b/>
                <w:bCs/>
                <w:sz w:val="22"/>
                <w:szCs w:val="22"/>
              </w:rPr>
            </w:pPr>
            <w:r>
              <w:rPr>
                <w:rFonts w:ascii="Times" w:hAnsi="Times" w:cs="Times"/>
                <w:b/>
                <w:bCs/>
                <w:sz w:val="22"/>
                <w:szCs w:val="22"/>
              </w:rPr>
              <w:t xml:space="preserve"> 4.  Dotknuté subjekty</w:t>
            </w:r>
          </w:p>
        </w:tc>
      </w:tr>
      <w:tr w:rsidR="002C2578" w:rsidTr="00C346B1">
        <w:trPr>
          <w:trHeight w:val="600"/>
          <w:jc w:val="center"/>
        </w:trPr>
        <w:tc>
          <w:tcPr>
            <w:tcW w:w="5000" w:type="pct"/>
            <w:tcBorders>
              <w:top w:val="outset" w:sz="6" w:space="0" w:color="000000"/>
              <w:bottom w:val="outset" w:sz="6" w:space="0" w:color="000000"/>
            </w:tcBorders>
            <w:hideMark/>
          </w:tcPr>
          <w:p w:rsidR="002C2578" w:rsidRDefault="002C2578" w:rsidP="00C346B1">
            <w:pPr>
              <w:rPr>
                <w:rFonts w:ascii="Times" w:hAnsi="Times" w:cs="Times"/>
                <w:sz w:val="20"/>
                <w:szCs w:val="20"/>
              </w:rPr>
            </w:pPr>
            <w:r>
              <w:rPr>
                <w:rFonts w:ascii="Times" w:hAnsi="Times" w:cs="Times"/>
                <w:sz w:val="20"/>
                <w:szCs w:val="20"/>
              </w:rPr>
              <w:t xml:space="preserve">Ministerstvo spravodlivosti Slovenskej republiky, súdy, súdni exekútori, fyzické osoby, právnické osoby. </w:t>
            </w:r>
          </w:p>
        </w:tc>
      </w:tr>
      <w:tr w:rsidR="002C2578" w:rsidTr="00C346B1">
        <w:trPr>
          <w:jc w:val="center"/>
        </w:trPr>
        <w:tc>
          <w:tcPr>
            <w:tcW w:w="5000" w:type="pct"/>
            <w:tcBorders>
              <w:top w:val="outset" w:sz="6" w:space="0" w:color="000000"/>
              <w:bottom w:val="outset" w:sz="6" w:space="0" w:color="000000"/>
            </w:tcBorders>
            <w:shd w:val="clear" w:color="auto" w:fill="E6E6E6"/>
            <w:hideMark/>
          </w:tcPr>
          <w:p w:rsidR="002C2578" w:rsidRDefault="002C2578" w:rsidP="00C346B1">
            <w:pPr>
              <w:rPr>
                <w:rFonts w:ascii="Times" w:hAnsi="Times" w:cs="Times"/>
                <w:b/>
                <w:bCs/>
                <w:sz w:val="22"/>
                <w:szCs w:val="22"/>
              </w:rPr>
            </w:pPr>
            <w:r>
              <w:rPr>
                <w:rFonts w:ascii="Times" w:hAnsi="Times" w:cs="Times"/>
                <w:b/>
                <w:bCs/>
                <w:sz w:val="22"/>
                <w:szCs w:val="22"/>
              </w:rPr>
              <w:t>  5.  Alternatívne riešenia</w:t>
            </w:r>
          </w:p>
        </w:tc>
      </w:tr>
      <w:tr w:rsidR="002C2578" w:rsidTr="00C346B1">
        <w:trPr>
          <w:trHeight w:val="600"/>
          <w:jc w:val="center"/>
        </w:trPr>
        <w:tc>
          <w:tcPr>
            <w:tcW w:w="5000" w:type="pct"/>
            <w:tcBorders>
              <w:top w:val="outset" w:sz="6" w:space="0" w:color="000000"/>
              <w:bottom w:val="outset" w:sz="6" w:space="0" w:color="000000"/>
            </w:tcBorders>
            <w:hideMark/>
          </w:tcPr>
          <w:p w:rsidR="002C2578" w:rsidRDefault="002C2578" w:rsidP="00C346B1">
            <w:pPr>
              <w:jc w:val="both"/>
              <w:rPr>
                <w:rFonts w:ascii="Times" w:hAnsi="Times" w:cs="Times"/>
                <w:sz w:val="20"/>
                <w:szCs w:val="20"/>
              </w:rPr>
            </w:pPr>
            <w:r>
              <w:rPr>
                <w:rFonts w:ascii="Times" w:hAnsi="Times" w:cs="Times"/>
                <w:sz w:val="20"/>
                <w:szCs w:val="20"/>
              </w:rPr>
              <w:t xml:space="preserve">Alternatívne riešenia boli posudzované v súvislosti s novelizáciou zákona </w:t>
            </w:r>
            <w:r w:rsidRPr="009A09D4">
              <w:rPr>
                <w:sz w:val="20"/>
                <w:szCs w:val="20"/>
              </w:rPr>
              <w:t>Národnej rady Slovenskej republiky č. 233/1995 Z. z. o súdnych exekútoroch a exekučnej činnosti (Exekučný poriadok) a o zmene a doplnení ďalších zákonov v znení neskorších predpisov</w:t>
            </w:r>
            <w:r>
              <w:rPr>
                <w:sz w:val="20"/>
                <w:szCs w:val="20"/>
              </w:rPr>
              <w:t xml:space="preserve">. Vzhľadom na skutočnosť, že v tomto prípade ide o riešenie konkrétnej </w:t>
            </w:r>
            <w:r>
              <w:rPr>
                <w:sz w:val="20"/>
                <w:szCs w:val="20"/>
              </w:rPr>
              <w:lastRenderedPageBreak/>
              <w:t>špecifickej otázky súvisiacej so zavedením osobitného procesného režimu zastavenia „starých exekúcií“ a ukončenia týchto „starých“ exekučných konaní javí sa ako vhodnejšie riešenie prijatie samostatného návrhu zákona, nakoľko ide o mimoriadny legislatívny zásah, ktorý sa týka len vymedzeného okruhu exekučných konaní.</w:t>
            </w:r>
          </w:p>
        </w:tc>
      </w:tr>
      <w:tr w:rsidR="002C2578" w:rsidTr="00C346B1">
        <w:trPr>
          <w:jc w:val="center"/>
        </w:trPr>
        <w:tc>
          <w:tcPr>
            <w:tcW w:w="5000" w:type="pct"/>
            <w:tcBorders>
              <w:top w:val="outset" w:sz="6" w:space="0" w:color="000000"/>
              <w:bottom w:val="outset" w:sz="6" w:space="0" w:color="000000"/>
            </w:tcBorders>
            <w:shd w:val="clear" w:color="auto" w:fill="E6E6E6"/>
            <w:hideMark/>
          </w:tcPr>
          <w:p w:rsidR="002C2578" w:rsidRDefault="002C2578" w:rsidP="00C346B1">
            <w:pPr>
              <w:rPr>
                <w:rFonts w:ascii="Times" w:hAnsi="Times" w:cs="Times"/>
                <w:b/>
                <w:bCs/>
                <w:sz w:val="22"/>
                <w:szCs w:val="22"/>
              </w:rPr>
            </w:pPr>
            <w:r>
              <w:rPr>
                <w:rFonts w:ascii="Times" w:hAnsi="Times" w:cs="Times"/>
                <w:b/>
                <w:bCs/>
                <w:sz w:val="22"/>
                <w:szCs w:val="22"/>
              </w:rPr>
              <w:lastRenderedPageBreak/>
              <w:t>  6.  Vykonávacie predpisy</w:t>
            </w:r>
          </w:p>
        </w:tc>
      </w:tr>
      <w:tr w:rsidR="002C2578" w:rsidTr="00C346B1">
        <w:trPr>
          <w:trHeight w:val="600"/>
          <w:jc w:val="center"/>
        </w:trPr>
        <w:tc>
          <w:tcPr>
            <w:tcW w:w="5000" w:type="pct"/>
            <w:tcBorders>
              <w:top w:val="outset" w:sz="6" w:space="0" w:color="000000"/>
              <w:bottom w:val="outset" w:sz="6" w:space="0" w:color="000000"/>
            </w:tcBorders>
            <w:hideMark/>
          </w:tcPr>
          <w:p w:rsidR="002C2578" w:rsidRDefault="002C2578" w:rsidP="00C346B1">
            <w:pPr>
              <w:rPr>
                <w:rFonts w:ascii="Times" w:hAnsi="Times" w:cs="Times"/>
                <w:sz w:val="20"/>
                <w:szCs w:val="20"/>
              </w:rPr>
            </w:pPr>
            <w:r w:rsidRPr="00984ECD">
              <w:rPr>
                <w:rFonts w:ascii="Times" w:hAnsi="Times" w:cs="Times"/>
                <w:sz w:val="20"/>
                <w:szCs w:val="20"/>
              </w:rPr>
              <w:t>Predpokladá sa prijatie/zmena vykonávacích predpisov?</w:t>
            </w:r>
            <w:r>
              <w:rPr>
                <w:rFonts w:ascii="Times" w:hAnsi="Times" w:cs="Times"/>
                <w:sz w:val="20"/>
                <w:szCs w:val="20"/>
              </w:rPr>
              <w:t xml:space="preserve">                </w:t>
            </w:r>
            <w:r w:rsidRPr="00984ECD">
              <w:rPr>
                <w:rFonts w:ascii="Wingdings 2" w:hAnsi="Wingdings 2" w:cs="Times"/>
                <w:sz w:val="28"/>
                <w:szCs w:val="28"/>
              </w:rPr>
              <w:t></w:t>
            </w:r>
            <w:r w:rsidR="00344223">
              <w:rPr>
                <w:rFonts w:ascii="Wingdings 2" w:hAnsi="Wingdings 2" w:cs="Times"/>
                <w:sz w:val="28"/>
                <w:szCs w:val="28"/>
              </w:rPr>
              <w:t></w:t>
            </w:r>
            <w:r>
              <w:rPr>
                <w:rFonts w:ascii="Times" w:hAnsi="Times" w:cs="Times"/>
                <w:sz w:val="20"/>
                <w:szCs w:val="20"/>
              </w:rPr>
              <w:t xml:space="preserve">  Áno       </w:t>
            </w:r>
            <w:r w:rsidR="00344223">
              <w:rPr>
                <w:rFonts w:ascii="Wingdings 2" w:hAnsi="Wingdings 2" w:cs="Times"/>
                <w:sz w:val="20"/>
                <w:szCs w:val="20"/>
              </w:rPr>
              <w:t></w:t>
            </w:r>
            <w:r>
              <w:rPr>
                <w:rFonts w:ascii="Times" w:hAnsi="Times" w:cs="Times"/>
                <w:sz w:val="20"/>
                <w:szCs w:val="20"/>
              </w:rPr>
              <w:t xml:space="preserve">   Nie   </w:t>
            </w:r>
          </w:p>
          <w:p w:rsidR="002C2578" w:rsidRDefault="002C2578" w:rsidP="00C346B1">
            <w:pPr>
              <w:jc w:val="both"/>
              <w:rPr>
                <w:rFonts w:ascii="Times" w:hAnsi="Times" w:cs="Times"/>
                <w:sz w:val="20"/>
                <w:szCs w:val="20"/>
              </w:rPr>
            </w:pPr>
          </w:p>
        </w:tc>
      </w:tr>
      <w:tr w:rsidR="002C2578" w:rsidTr="00C346B1">
        <w:trPr>
          <w:jc w:val="center"/>
        </w:trPr>
        <w:tc>
          <w:tcPr>
            <w:tcW w:w="5000" w:type="pct"/>
            <w:tcBorders>
              <w:top w:val="outset" w:sz="6" w:space="0" w:color="000000"/>
              <w:bottom w:val="outset" w:sz="6" w:space="0" w:color="000000"/>
            </w:tcBorders>
            <w:shd w:val="clear" w:color="auto" w:fill="E6E6E6"/>
            <w:hideMark/>
          </w:tcPr>
          <w:p w:rsidR="002C2578" w:rsidRDefault="002C2578" w:rsidP="00C346B1">
            <w:pPr>
              <w:rPr>
                <w:rFonts w:ascii="Times" w:hAnsi="Times" w:cs="Times"/>
                <w:b/>
                <w:bCs/>
                <w:sz w:val="22"/>
                <w:szCs w:val="22"/>
              </w:rPr>
            </w:pPr>
            <w:r>
              <w:rPr>
                <w:rFonts w:ascii="Times" w:hAnsi="Times" w:cs="Times"/>
                <w:b/>
                <w:bCs/>
                <w:sz w:val="22"/>
                <w:szCs w:val="22"/>
              </w:rPr>
              <w:t xml:space="preserve">  7.  Transpozícia práva EÚ </w:t>
            </w:r>
          </w:p>
        </w:tc>
      </w:tr>
      <w:tr w:rsidR="002C2578" w:rsidTr="00C346B1">
        <w:trPr>
          <w:trHeight w:val="600"/>
          <w:jc w:val="center"/>
        </w:trPr>
        <w:tc>
          <w:tcPr>
            <w:tcW w:w="5000" w:type="pct"/>
            <w:tcBorders>
              <w:top w:val="outset" w:sz="6" w:space="0" w:color="000000"/>
              <w:bottom w:val="outset" w:sz="6" w:space="0" w:color="000000"/>
            </w:tcBorders>
            <w:hideMark/>
          </w:tcPr>
          <w:p w:rsidR="002C2578" w:rsidRDefault="002C2578" w:rsidP="00C346B1">
            <w:pPr>
              <w:jc w:val="both"/>
              <w:rPr>
                <w:rFonts w:ascii="Times" w:hAnsi="Times" w:cs="Times"/>
                <w:sz w:val="20"/>
                <w:szCs w:val="20"/>
              </w:rPr>
            </w:pPr>
            <w:r>
              <w:rPr>
                <w:sz w:val="20"/>
                <w:szCs w:val="20"/>
              </w:rPr>
              <w:t>Nie.</w:t>
            </w:r>
          </w:p>
        </w:tc>
      </w:tr>
      <w:tr w:rsidR="002C2578" w:rsidTr="00C346B1">
        <w:trPr>
          <w:jc w:val="center"/>
        </w:trPr>
        <w:tc>
          <w:tcPr>
            <w:tcW w:w="5000" w:type="pct"/>
            <w:tcBorders>
              <w:top w:val="outset" w:sz="6" w:space="0" w:color="000000"/>
              <w:bottom w:val="outset" w:sz="6" w:space="0" w:color="000000"/>
            </w:tcBorders>
            <w:shd w:val="clear" w:color="auto" w:fill="E6E6E6"/>
            <w:hideMark/>
          </w:tcPr>
          <w:p w:rsidR="002C2578" w:rsidRDefault="002C2578" w:rsidP="00C346B1">
            <w:pPr>
              <w:rPr>
                <w:rFonts w:ascii="Times" w:hAnsi="Times" w:cs="Times"/>
                <w:b/>
                <w:bCs/>
                <w:sz w:val="22"/>
                <w:szCs w:val="22"/>
              </w:rPr>
            </w:pPr>
            <w:r>
              <w:rPr>
                <w:rFonts w:ascii="Times" w:hAnsi="Times" w:cs="Times"/>
                <w:b/>
                <w:bCs/>
                <w:sz w:val="22"/>
                <w:szCs w:val="22"/>
              </w:rPr>
              <w:t>  8.  Preskúmanie účelnosti**</w:t>
            </w:r>
          </w:p>
        </w:tc>
      </w:tr>
      <w:tr w:rsidR="002C2578" w:rsidTr="00C346B1">
        <w:trPr>
          <w:trHeight w:val="600"/>
          <w:jc w:val="center"/>
        </w:trPr>
        <w:tc>
          <w:tcPr>
            <w:tcW w:w="5000" w:type="pct"/>
            <w:tcBorders>
              <w:top w:val="outset" w:sz="6" w:space="0" w:color="000000"/>
              <w:bottom w:val="outset" w:sz="6" w:space="0" w:color="000000"/>
            </w:tcBorders>
            <w:hideMark/>
          </w:tcPr>
          <w:p w:rsidR="002C2578" w:rsidRPr="004B5CDB" w:rsidRDefault="002C2578" w:rsidP="00C346B1">
            <w:pPr>
              <w:rPr>
                <w:rFonts w:ascii="Times" w:hAnsi="Times" w:cs="Times"/>
                <w:sz w:val="20"/>
                <w:szCs w:val="20"/>
              </w:rPr>
            </w:pPr>
            <w:r w:rsidRPr="004B5CDB">
              <w:rPr>
                <w:rFonts w:ascii="Times" w:hAnsi="Times" w:cs="Times"/>
                <w:sz w:val="20"/>
                <w:szCs w:val="20"/>
              </w:rPr>
              <w:t>Preskúmanie účelnosti navrhovaného materiálu bude vykonávané priebežne po nadobudnutí účinnosti a jeho aplikácii.</w:t>
            </w:r>
          </w:p>
        </w:tc>
      </w:tr>
    </w:tbl>
    <w:p w:rsidR="002C2578" w:rsidRDefault="002C2578" w:rsidP="002C2578">
      <w:pPr>
        <w:pStyle w:val="Normlnywebov"/>
        <w:spacing w:before="0" w:beforeAutospacing="0" w:after="0" w:afterAutospacing="0"/>
        <w:rPr>
          <w:bCs/>
          <w:sz w:val="22"/>
          <w:szCs w:val="22"/>
        </w:rPr>
      </w:pPr>
    </w:p>
    <w:p w:rsidR="002C2578" w:rsidRPr="00543B8E" w:rsidRDefault="002C2578" w:rsidP="002C2578">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2C2578" w:rsidRDefault="002C2578" w:rsidP="002C2578">
      <w:pPr>
        <w:pStyle w:val="Normlnywebov"/>
        <w:spacing w:before="0" w:beforeAutospacing="0" w:after="0" w:afterAutospacing="0"/>
        <w:rPr>
          <w:sz w:val="20"/>
          <w:szCs w:val="20"/>
        </w:rPr>
      </w:pPr>
      <w:r w:rsidRPr="00543B8E">
        <w:rPr>
          <w:sz w:val="20"/>
          <w:szCs w:val="20"/>
        </w:rPr>
        <w:t>** nepovinné</w:t>
      </w:r>
    </w:p>
    <w:p w:rsidR="002C2578" w:rsidRDefault="002C2578" w:rsidP="002C257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2C2578" w:rsidTr="00C346B1">
        <w:trPr>
          <w:trHeight w:val="450"/>
          <w:jc w:val="center"/>
        </w:trPr>
        <w:tc>
          <w:tcPr>
            <w:tcW w:w="250" w:type="pct"/>
            <w:gridSpan w:val="4"/>
            <w:tcBorders>
              <w:top w:val="outset" w:sz="6" w:space="0" w:color="000000"/>
              <w:bottom w:val="outset" w:sz="6" w:space="0" w:color="000000"/>
            </w:tcBorders>
            <w:shd w:val="clear" w:color="auto" w:fill="E6E6E6"/>
            <w:hideMark/>
          </w:tcPr>
          <w:p w:rsidR="002C2578" w:rsidRDefault="002C2578" w:rsidP="00C346B1">
            <w:pPr>
              <w:rPr>
                <w:rFonts w:ascii="Times" w:hAnsi="Times" w:cs="Times"/>
                <w:b/>
                <w:bCs/>
                <w:sz w:val="20"/>
                <w:szCs w:val="20"/>
              </w:rPr>
            </w:pPr>
            <w:r>
              <w:rPr>
                <w:rFonts w:ascii="Times" w:hAnsi="Times" w:cs="Times"/>
                <w:b/>
                <w:bCs/>
                <w:sz w:val="20"/>
                <w:szCs w:val="20"/>
              </w:rPr>
              <w:t>  9.   Vplyvy navrhovaného materiálu</w:t>
            </w:r>
          </w:p>
        </w:tc>
      </w:tr>
      <w:tr w:rsidR="002C2578" w:rsidTr="00C346B1">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2C2578" w:rsidRDefault="002C2578" w:rsidP="00C346B1">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2C2578" w:rsidTr="00C346B1">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C2578" w:rsidRPr="00AD2B6E"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sidRPr="00AD2B6E">
              <w:rPr>
                <w:rFonts w:ascii="Times" w:hAnsi="Times" w:cs="Times"/>
                <w:sz w:val="20"/>
                <w:szCs w:val="20"/>
              </w:rPr>
              <w:t xml:space="preserve">   </w:t>
            </w:r>
            <w:r>
              <w:rPr>
                <w:rFonts w:ascii="Times" w:hAnsi="Times" w:cs="Times"/>
                <w:sz w:val="20"/>
                <w:szCs w:val="20"/>
              </w:rPr>
              <w:t xml:space="preserve"> </w:t>
            </w:r>
            <w:r w:rsidRPr="00AD2B6E">
              <w:rPr>
                <w:rFonts w:ascii="Times" w:hAnsi="Times" w:cs="Times"/>
                <w:sz w:val="20"/>
                <w:szCs w:val="20"/>
              </w:rPr>
              <w:t>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2C2578" w:rsidTr="00C346B1">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2C2578" w:rsidRDefault="002C2578" w:rsidP="00C346B1">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2C2578" w:rsidTr="00C346B1">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Negatívne</w:t>
            </w:r>
          </w:p>
        </w:tc>
      </w:tr>
      <w:tr w:rsidR="002C2578" w:rsidTr="00C346B1">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2C2578" w:rsidRDefault="002C2578" w:rsidP="00C346B1">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2C2578" w:rsidTr="00C346B1">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2C2578" w:rsidRDefault="002C2578" w:rsidP="00C346B1">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C2578" w:rsidTr="00C346B1">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2C2578" w:rsidRDefault="002C2578" w:rsidP="00C346B1">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Žiadne</w:t>
            </w:r>
          </w:p>
        </w:tc>
        <w:tc>
          <w:tcPr>
            <w:tcW w:w="1000" w:type="pct"/>
            <w:tcBorders>
              <w:top w:val="outset" w:sz="6" w:space="0" w:color="000000"/>
              <w:left w:val="outset" w:sz="6" w:space="0" w:color="000000"/>
              <w:bottom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C2578" w:rsidTr="00C346B1">
        <w:trPr>
          <w:trHeight w:val="675"/>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2C2578" w:rsidRDefault="002C2578" w:rsidP="00C346B1">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2C2578" w:rsidTr="00C346B1">
        <w:trPr>
          <w:trHeight w:val="150"/>
          <w:jc w:val="center"/>
        </w:trPr>
        <w:tc>
          <w:tcPr>
            <w:tcW w:w="0" w:type="auto"/>
            <w:vMerge/>
            <w:tcBorders>
              <w:top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Wingdings 2" w:hAnsi="Wingdings 2" w:cs="Times"/>
                <w:sz w:val="20"/>
                <w:szCs w:val="20"/>
              </w:rPr>
              <w:t></w:t>
            </w:r>
            <w:r>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2C2578" w:rsidRDefault="002C2578" w:rsidP="00C346B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2C2578" w:rsidRDefault="002C2578" w:rsidP="002C257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2C2578" w:rsidTr="00C346B1">
        <w:trPr>
          <w:jc w:val="center"/>
        </w:trPr>
        <w:tc>
          <w:tcPr>
            <w:tcW w:w="5000" w:type="pct"/>
            <w:tcBorders>
              <w:top w:val="outset" w:sz="6" w:space="0" w:color="000000"/>
              <w:bottom w:val="outset" w:sz="6" w:space="0" w:color="000000"/>
            </w:tcBorders>
            <w:shd w:val="clear" w:color="auto" w:fill="E6E6E6"/>
            <w:hideMark/>
          </w:tcPr>
          <w:p w:rsidR="002C2578" w:rsidRDefault="002C2578" w:rsidP="00C346B1">
            <w:pPr>
              <w:rPr>
                <w:rFonts w:ascii="Times" w:hAnsi="Times" w:cs="Times"/>
                <w:b/>
                <w:bCs/>
                <w:sz w:val="22"/>
                <w:szCs w:val="22"/>
              </w:rPr>
            </w:pPr>
            <w:r>
              <w:rPr>
                <w:rFonts w:ascii="Times" w:hAnsi="Times" w:cs="Times"/>
                <w:b/>
                <w:bCs/>
                <w:sz w:val="22"/>
                <w:szCs w:val="22"/>
              </w:rPr>
              <w:t>  10.  Poznámky</w:t>
            </w:r>
          </w:p>
        </w:tc>
      </w:tr>
      <w:tr w:rsidR="002C2578" w:rsidTr="00C346B1">
        <w:trPr>
          <w:trHeight w:val="600"/>
          <w:jc w:val="center"/>
        </w:trPr>
        <w:tc>
          <w:tcPr>
            <w:tcW w:w="5000" w:type="pct"/>
            <w:tcBorders>
              <w:top w:val="outset" w:sz="6" w:space="0" w:color="000000"/>
              <w:bottom w:val="outset" w:sz="6" w:space="0" w:color="000000"/>
            </w:tcBorders>
            <w:hideMark/>
          </w:tcPr>
          <w:p w:rsidR="002C2578" w:rsidRDefault="002C2578" w:rsidP="00C346B1">
            <w:pPr>
              <w:jc w:val="both"/>
              <w:rPr>
                <w:bCs/>
                <w:sz w:val="20"/>
                <w:szCs w:val="20"/>
              </w:rPr>
            </w:pPr>
            <w:r>
              <w:rPr>
                <w:bCs/>
                <w:sz w:val="20"/>
                <w:szCs w:val="20"/>
              </w:rPr>
              <w:t>Z dostupných informačných systémov (centrálny register exekúcií a súdny manažment) boli získané podrobné informácie o počte „starých exekúcií“. V centrálnom registri exekúcií je vedených celkovo cca 2,6 milióna starých exekúcií, pričom v súdnom manažmente je tento počet vyšší  (cca 3,2 milióna). Rozdiely v dostupných údajoch sú spôsobené najmä nedostatkom administratívnych síl na príslušných súdoch potrebných pre administratívne ukončenie exekučných (súdnych) spisov. Predkladateľ predpokladá, že rozdiel v počte starých exekúcií je spôsobený najmä tým, že súdni exekútori vrátili poverenia v starých exekúciách, avšak z kapacitných dôvodov nebolo možné túto skutočnosť zohľadniť v príslušných exekučných (súdnych) spisoch, ktoré neboli najmä administratívne ukončené (neboli vymazané z príslušného informačného systému), pričom reálne sú tieto exekúcie ukončené. V priebehu roka 2019 boli posilnené kapacity na vybraných súdoch.</w:t>
            </w:r>
          </w:p>
          <w:p w:rsidR="002C2578" w:rsidRDefault="002C2578" w:rsidP="00C346B1">
            <w:pPr>
              <w:jc w:val="both"/>
              <w:rPr>
                <w:bCs/>
                <w:sz w:val="20"/>
                <w:szCs w:val="20"/>
              </w:rPr>
            </w:pPr>
            <w:r>
              <w:rPr>
                <w:bCs/>
                <w:sz w:val="20"/>
                <w:szCs w:val="20"/>
              </w:rPr>
              <w:t xml:space="preserve">Predkladateľ na základe získaných údajov identifikoval vplyvy na rozpočet verejnej správy, keďže v súvislosti s navrhovanou právnou úpravou </w:t>
            </w:r>
            <w:r w:rsidRPr="00456621">
              <w:rPr>
                <w:bCs/>
                <w:sz w:val="20"/>
                <w:szCs w:val="20"/>
              </w:rPr>
              <w:t>(zastavenie starých exekúcií a ukončenie starých exekučných konaní) možno predpokladať zvýšené nároky na štátny rozpočet (úhrada paušálnych trov zastavenej starej exekúcie vedenej v prospech oprávneného, ktorým je štát, príp. orgán verejnej správy), resp. na rozpočet verejnej správy</w:t>
            </w:r>
            <w:r>
              <w:rPr>
                <w:bCs/>
                <w:sz w:val="20"/>
                <w:szCs w:val="20"/>
              </w:rPr>
              <w:t xml:space="preserve">. Pri vplyve na rozpočet verejnej správy nie je možné kvantifikovať vplyvy pre jednotlivé subjekty verejnej správy, nakoľko počet starých exekúcií pri týchto subjektoch osobitne nie je známy. </w:t>
            </w:r>
          </w:p>
          <w:p w:rsidR="002C2578" w:rsidRPr="00762D7D" w:rsidRDefault="002C2578" w:rsidP="00C346B1">
            <w:pPr>
              <w:tabs>
                <w:tab w:val="num" w:pos="1080"/>
              </w:tabs>
              <w:jc w:val="both"/>
              <w:rPr>
                <w:bCs/>
                <w:sz w:val="20"/>
                <w:szCs w:val="20"/>
              </w:rPr>
            </w:pPr>
            <w:r>
              <w:rPr>
                <w:bCs/>
                <w:sz w:val="20"/>
                <w:szCs w:val="20"/>
              </w:rPr>
              <w:t>Vzhľadom na to, že analýza vplyvov na rozpočet verejnej správy, na zamestnanosť vo verejnej správe a financovanie návrhu vychádza z údajov o počte starých exekúcií k januáru 2019 a vzhľadom na to, že tieto údaje majú klesajúcu tendenciu (počet starých exekúcií klesá) v závislosti od rôznych faktorov (zastavenie exekúcie z rôznych zákonných dôvodov, vymoženie  pohľadávky a pod.), údaje o vplyvoch na rozpočet verejnej správy sú údaje v </w:t>
            </w:r>
            <w:r w:rsidRPr="009F5CC1">
              <w:rPr>
                <w:bCs/>
                <w:sz w:val="20"/>
                <w:szCs w:val="20"/>
              </w:rPr>
              <w:t xml:space="preserve">maximálnej možnej výške. Východiskové údaje o počte starých exekúcií, v ktorých oprávneným je subjekt verejnej správy nezohľadňujú staré exekúcie, v ktorých nedôjde k zastaveniu ex lege (tzv. výnimky podľa § 2 ods. 2 návrhu zákona), nezohľadňujú vymožiteľnosť starých exekúcií, ktorú nie je možné </w:t>
            </w:r>
            <w:r w:rsidRPr="009F5CC1">
              <w:rPr>
                <w:bCs/>
                <w:sz w:val="20"/>
                <w:szCs w:val="20"/>
              </w:rPr>
              <w:lastRenderedPageBreak/>
              <w:t xml:space="preserve">reálne vyčísliť a kvantifikovať (predpokladá sa vymožiteľnosť na úrovni 10%) a taktiež údaje o počte starých exekúcií, ktoré budú právoplatne zastavené do nadobudnutia účinnosti návrhu zákona. Vzhľadom na uvedené je možné predpokladať nižšie výdavky verejnej správy v súvislosti s návrhom zákona v rozmedzí 10% až 25 % a viac, v závislosti od vzniku rôznorodých skutočností. </w:t>
            </w:r>
          </w:p>
        </w:tc>
      </w:tr>
      <w:tr w:rsidR="002C2578" w:rsidTr="00C346B1">
        <w:trPr>
          <w:jc w:val="center"/>
        </w:trPr>
        <w:tc>
          <w:tcPr>
            <w:tcW w:w="5000" w:type="pct"/>
            <w:tcBorders>
              <w:top w:val="outset" w:sz="6" w:space="0" w:color="000000"/>
              <w:bottom w:val="outset" w:sz="6" w:space="0" w:color="000000"/>
            </w:tcBorders>
            <w:shd w:val="clear" w:color="auto" w:fill="E6E6E6"/>
            <w:hideMark/>
          </w:tcPr>
          <w:p w:rsidR="002C2578" w:rsidRDefault="002C2578" w:rsidP="00C346B1">
            <w:pPr>
              <w:rPr>
                <w:rFonts w:ascii="Times" w:hAnsi="Times" w:cs="Times"/>
                <w:b/>
                <w:bCs/>
                <w:sz w:val="22"/>
                <w:szCs w:val="22"/>
              </w:rPr>
            </w:pPr>
            <w:r>
              <w:rPr>
                <w:rFonts w:ascii="Times" w:hAnsi="Times" w:cs="Times"/>
                <w:b/>
                <w:bCs/>
                <w:sz w:val="22"/>
                <w:szCs w:val="22"/>
              </w:rPr>
              <w:lastRenderedPageBreak/>
              <w:t>  11.  Kontakt na spracovateľa</w:t>
            </w:r>
          </w:p>
        </w:tc>
      </w:tr>
      <w:tr w:rsidR="002C2578" w:rsidTr="00C346B1">
        <w:trPr>
          <w:trHeight w:val="600"/>
          <w:jc w:val="center"/>
        </w:trPr>
        <w:tc>
          <w:tcPr>
            <w:tcW w:w="5000" w:type="pct"/>
            <w:tcBorders>
              <w:top w:val="outset" w:sz="6" w:space="0" w:color="000000"/>
              <w:bottom w:val="outset" w:sz="6" w:space="0" w:color="000000"/>
            </w:tcBorders>
            <w:hideMark/>
          </w:tcPr>
          <w:p w:rsidR="002C2578" w:rsidRPr="00984ECD" w:rsidRDefault="002C2578" w:rsidP="00C346B1">
            <w:pPr>
              <w:rPr>
                <w:noProof/>
                <w:sz w:val="20"/>
                <w:szCs w:val="20"/>
              </w:rPr>
            </w:pPr>
            <w:r w:rsidRPr="00984ECD">
              <w:rPr>
                <w:noProof/>
                <w:sz w:val="20"/>
                <w:szCs w:val="20"/>
              </w:rPr>
              <w:t xml:space="preserve">JUDr. </w:t>
            </w:r>
            <w:r>
              <w:rPr>
                <w:noProof/>
                <w:sz w:val="20"/>
                <w:szCs w:val="20"/>
              </w:rPr>
              <w:t>Alena Hambáleková</w:t>
            </w:r>
          </w:p>
          <w:p w:rsidR="002C2578" w:rsidRDefault="002C2578" w:rsidP="00C346B1">
            <w:pPr>
              <w:rPr>
                <w:noProof/>
                <w:sz w:val="20"/>
                <w:szCs w:val="20"/>
              </w:rPr>
            </w:pPr>
            <w:r>
              <w:rPr>
                <w:noProof/>
                <w:sz w:val="20"/>
                <w:szCs w:val="20"/>
              </w:rPr>
              <w:t>Sekcia legislatívy</w:t>
            </w:r>
          </w:p>
          <w:p w:rsidR="002C2578" w:rsidRPr="00984ECD" w:rsidRDefault="002C2578" w:rsidP="00C346B1">
            <w:pPr>
              <w:rPr>
                <w:noProof/>
                <w:sz w:val="20"/>
                <w:szCs w:val="20"/>
              </w:rPr>
            </w:pPr>
            <w:r>
              <w:rPr>
                <w:noProof/>
                <w:sz w:val="20"/>
                <w:szCs w:val="20"/>
              </w:rPr>
              <w:t>Odbor legislatívy občianskeho a obchodného práva</w:t>
            </w:r>
          </w:p>
          <w:p w:rsidR="002C2578" w:rsidRPr="00984ECD" w:rsidRDefault="002C2578" w:rsidP="00C346B1">
            <w:pPr>
              <w:rPr>
                <w:noProof/>
                <w:sz w:val="20"/>
                <w:szCs w:val="20"/>
              </w:rPr>
            </w:pPr>
            <w:r w:rsidRPr="00984ECD">
              <w:rPr>
                <w:noProof/>
                <w:sz w:val="20"/>
                <w:szCs w:val="20"/>
              </w:rPr>
              <w:t>Ministerstvo spravodlivosti Slovenskej republiky</w:t>
            </w:r>
          </w:p>
          <w:p w:rsidR="002C2578" w:rsidRPr="00984ECD" w:rsidRDefault="002C2578" w:rsidP="00C346B1">
            <w:pPr>
              <w:rPr>
                <w:noProof/>
                <w:sz w:val="20"/>
                <w:szCs w:val="20"/>
              </w:rPr>
            </w:pPr>
            <w:r>
              <w:rPr>
                <w:noProof/>
                <w:sz w:val="20"/>
                <w:szCs w:val="20"/>
              </w:rPr>
              <w:t>Tel.: 02/ 888 91 117</w:t>
            </w:r>
          </w:p>
          <w:p w:rsidR="002C2578" w:rsidRPr="00984ECD" w:rsidRDefault="002C2578" w:rsidP="00C346B1">
            <w:pPr>
              <w:rPr>
                <w:noProof/>
                <w:sz w:val="20"/>
                <w:szCs w:val="20"/>
              </w:rPr>
            </w:pPr>
            <w:r w:rsidRPr="00984ECD">
              <w:rPr>
                <w:noProof/>
                <w:sz w:val="20"/>
                <w:szCs w:val="20"/>
              </w:rPr>
              <w:t xml:space="preserve">Mail: </w:t>
            </w:r>
            <w:hyperlink r:id="rId8" w:history="1">
              <w:r w:rsidRPr="004F4EDA">
                <w:rPr>
                  <w:rStyle w:val="Hypertextovprepojenie"/>
                  <w:noProof/>
                  <w:sz w:val="20"/>
                  <w:szCs w:val="20"/>
                </w:rPr>
                <w:t>alena.hambalekova@justice.sk</w:t>
              </w:r>
            </w:hyperlink>
          </w:p>
          <w:p w:rsidR="002C2578" w:rsidRPr="00B44DE3" w:rsidRDefault="002C2578" w:rsidP="00C346B1">
            <w:pPr>
              <w:rPr>
                <w:rFonts w:ascii="Times" w:hAnsi="Times" w:cs="Times"/>
                <w:color w:val="FF0000"/>
                <w:sz w:val="20"/>
                <w:szCs w:val="20"/>
              </w:rPr>
            </w:pPr>
          </w:p>
        </w:tc>
      </w:tr>
      <w:tr w:rsidR="002C2578" w:rsidTr="00C346B1">
        <w:trPr>
          <w:jc w:val="center"/>
        </w:trPr>
        <w:tc>
          <w:tcPr>
            <w:tcW w:w="5000" w:type="pct"/>
            <w:tcBorders>
              <w:top w:val="outset" w:sz="6" w:space="0" w:color="000000"/>
              <w:bottom w:val="outset" w:sz="6" w:space="0" w:color="000000"/>
            </w:tcBorders>
            <w:shd w:val="clear" w:color="auto" w:fill="E6E6E6"/>
            <w:hideMark/>
          </w:tcPr>
          <w:p w:rsidR="002C2578" w:rsidRDefault="002C2578" w:rsidP="00C346B1">
            <w:pPr>
              <w:rPr>
                <w:rFonts w:ascii="Times" w:hAnsi="Times" w:cs="Times"/>
                <w:b/>
                <w:bCs/>
                <w:sz w:val="22"/>
                <w:szCs w:val="22"/>
              </w:rPr>
            </w:pPr>
            <w:r>
              <w:rPr>
                <w:rFonts w:ascii="Times" w:hAnsi="Times" w:cs="Times"/>
                <w:b/>
                <w:bCs/>
                <w:sz w:val="22"/>
                <w:szCs w:val="22"/>
              </w:rPr>
              <w:t>  12.  Zdroje</w:t>
            </w:r>
          </w:p>
        </w:tc>
      </w:tr>
      <w:tr w:rsidR="002C2578" w:rsidTr="00C346B1">
        <w:trPr>
          <w:trHeight w:val="600"/>
          <w:jc w:val="center"/>
        </w:trPr>
        <w:tc>
          <w:tcPr>
            <w:tcW w:w="5000" w:type="pct"/>
            <w:tcBorders>
              <w:top w:val="outset" w:sz="6" w:space="0" w:color="000000"/>
              <w:bottom w:val="outset" w:sz="6" w:space="0" w:color="000000"/>
            </w:tcBorders>
            <w:hideMark/>
          </w:tcPr>
          <w:p w:rsidR="002C2578" w:rsidRDefault="002C2578" w:rsidP="00C346B1">
            <w:pPr>
              <w:rPr>
                <w:rFonts w:ascii="Times" w:hAnsi="Times" w:cs="Times"/>
                <w:bCs/>
                <w:sz w:val="22"/>
                <w:szCs w:val="22"/>
              </w:rPr>
            </w:pPr>
            <w:r>
              <w:rPr>
                <w:rFonts w:ascii="Times" w:hAnsi="Times" w:cs="Times"/>
                <w:bCs/>
                <w:sz w:val="22"/>
                <w:szCs w:val="22"/>
              </w:rPr>
              <w:t>Centrálny register exekúcií</w:t>
            </w:r>
          </w:p>
          <w:p w:rsidR="002C2578" w:rsidRPr="008174E1" w:rsidRDefault="002C2578" w:rsidP="00C346B1">
            <w:pPr>
              <w:rPr>
                <w:rFonts w:ascii="Times" w:hAnsi="Times" w:cs="Times"/>
                <w:bCs/>
                <w:sz w:val="22"/>
                <w:szCs w:val="22"/>
              </w:rPr>
            </w:pPr>
            <w:r>
              <w:rPr>
                <w:rFonts w:ascii="Times" w:hAnsi="Times" w:cs="Times"/>
                <w:bCs/>
                <w:sz w:val="22"/>
                <w:szCs w:val="22"/>
              </w:rPr>
              <w:t>Súdny manažment</w:t>
            </w:r>
          </w:p>
        </w:tc>
      </w:tr>
      <w:tr w:rsidR="002C2578" w:rsidTr="00C346B1">
        <w:trPr>
          <w:jc w:val="center"/>
        </w:trPr>
        <w:tc>
          <w:tcPr>
            <w:tcW w:w="5000" w:type="pct"/>
            <w:tcBorders>
              <w:top w:val="outset" w:sz="6" w:space="0" w:color="000000"/>
              <w:bottom w:val="outset" w:sz="6" w:space="0" w:color="000000"/>
            </w:tcBorders>
            <w:shd w:val="clear" w:color="auto" w:fill="E6E6E6"/>
            <w:hideMark/>
          </w:tcPr>
          <w:p w:rsidR="002C2578" w:rsidRDefault="002C2578" w:rsidP="00C346B1">
            <w:pPr>
              <w:rPr>
                <w:rFonts w:ascii="Times" w:hAnsi="Times" w:cs="Times"/>
                <w:b/>
                <w:bCs/>
                <w:sz w:val="22"/>
                <w:szCs w:val="22"/>
              </w:rPr>
            </w:pPr>
            <w:r>
              <w:rPr>
                <w:rFonts w:ascii="Times" w:hAnsi="Times" w:cs="Times"/>
                <w:b/>
                <w:bCs/>
                <w:sz w:val="22"/>
                <w:szCs w:val="22"/>
              </w:rPr>
              <w:t>  13.  Stanovisko Komisie pre posudzovanie vybraných vplyvov z PPK</w:t>
            </w:r>
          </w:p>
        </w:tc>
      </w:tr>
      <w:tr w:rsidR="002C2578" w:rsidTr="00C346B1">
        <w:trPr>
          <w:trHeight w:val="1200"/>
          <w:jc w:val="center"/>
        </w:trPr>
        <w:tc>
          <w:tcPr>
            <w:tcW w:w="5000" w:type="pct"/>
            <w:tcBorders>
              <w:top w:val="outset" w:sz="6" w:space="0" w:color="000000"/>
              <w:bottom w:val="outset" w:sz="6" w:space="0" w:color="000000"/>
            </w:tcBorders>
            <w:hideMark/>
          </w:tcPr>
          <w:p w:rsidR="002C2578" w:rsidRPr="0012731E" w:rsidRDefault="002C2578" w:rsidP="00C346B1">
            <w:pPr>
              <w:tabs>
                <w:tab w:val="center" w:pos="6379"/>
              </w:tabs>
              <w:suppressAutoHyphens/>
              <w:spacing w:line="100" w:lineRule="atLeast"/>
              <w:ind w:right="-2"/>
              <w:jc w:val="both"/>
              <w:rPr>
                <w:sz w:val="20"/>
                <w:szCs w:val="20"/>
              </w:rPr>
            </w:pPr>
            <w:r w:rsidRPr="0012731E">
              <w:rPr>
                <w:sz w:val="20"/>
                <w:szCs w:val="20"/>
              </w:rPr>
              <w:t xml:space="preserve">Materiál bol predložený na predbežné pripomienkové konanie dňa 19.10.2018 a dňa 22.10.2018 na medzirezortné pripomienkové konanie. V rámci medzirezortného pripomienkového konania Ministerstvo hospodárstva Slovenskej republiky vznieslo zásadnú pripomienku, v ktorej uviedlo, že </w:t>
            </w:r>
            <w:r w:rsidRPr="0012731E">
              <w:rPr>
                <w:i/>
                <w:sz w:val="20"/>
                <w:szCs w:val="20"/>
              </w:rPr>
              <w:t>predkladateľ nedodržal ustanovený postup a materiál predložil do medzirezortného pripomienkového konania pred ukončením predbežného pripomienkového konania, a preto bolo predbežné pripomienkové konanie č. 235/2018 zrušené</w:t>
            </w:r>
            <w:r w:rsidRPr="0012731E">
              <w:rPr>
                <w:sz w:val="20"/>
                <w:szCs w:val="20"/>
              </w:rPr>
              <w:t>. Ďalej Ministerstvo hospodárstva Slovenskej republiky uviedlo, že požaduje predloženie materiálu na záverečné posúdenie vybraných vplyvov Stálej pracovnej komisii Legislatívnej rady vlády SR na posudzovanie vybraných vplyvov po medzirezortnom pripomienkovom konaní. Zásadnej pripomienke predkladateľ vyhovel a predložil materiál na záverečné posúdenie vybraných vplyvov Stálej pracovnej komisii Legislatívnej rady vlády SR na posudzovanie vybraných vplyvov.</w:t>
            </w:r>
          </w:p>
        </w:tc>
      </w:tr>
    </w:tbl>
    <w:p w:rsidR="002C2578" w:rsidRPr="00543B8E" w:rsidRDefault="002C2578" w:rsidP="002C2578">
      <w:pPr>
        <w:pStyle w:val="Normlnywebov"/>
        <w:spacing w:before="0" w:beforeAutospacing="0" w:after="0" w:afterAutospacing="0"/>
        <w:rPr>
          <w:bCs/>
          <w:sz w:val="20"/>
          <w:szCs w:val="20"/>
        </w:rPr>
      </w:pPr>
    </w:p>
    <w:p w:rsidR="002C2578" w:rsidRDefault="002C2578" w:rsidP="007528C3">
      <w:pPr>
        <w:jc w:val="center"/>
        <w:rPr>
          <w:b/>
          <w:bCs/>
          <w:spacing w:val="30"/>
        </w:rPr>
      </w:pPr>
    </w:p>
    <w:p w:rsidR="002C2578" w:rsidRDefault="002C2578" w:rsidP="007528C3">
      <w:pPr>
        <w:jc w:val="center"/>
        <w:rPr>
          <w:b/>
          <w:bCs/>
          <w:spacing w:val="30"/>
        </w:rPr>
      </w:pPr>
    </w:p>
    <w:p w:rsidR="002C2578" w:rsidRDefault="002C2578" w:rsidP="007528C3">
      <w:pPr>
        <w:jc w:val="center"/>
        <w:rPr>
          <w:b/>
          <w:bCs/>
          <w:spacing w:val="30"/>
        </w:rPr>
      </w:pPr>
    </w:p>
    <w:p w:rsidR="002C2578" w:rsidRDefault="002C2578" w:rsidP="007528C3">
      <w:pPr>
        <w:jc w:val="center"/>
        <w:rPr>
          <w:b/>
          <w:bCs/>
          <w:spacing w:val="30"/>
        </w:rPr>
      </w:pPr>
    </w:p>
    <w:p w:rsidR="002C2578" w:rsidRDefault="002C2578" w:rsidP="007528C3">
      <w:pPr>
        <w:jc w:val="center"/>
        <w:rPr>
          <w:b/>
          <w:bCs/>
          <w:spacing w:val="30"/>
        </w:rPr>
      </w:pPr>
    </w:p>
    <w:p w:rsidR="002C2578" w:rsidRDefault="002C2578" w:rsidP="007528C3">
      <w:pPr>
        <w:jc w:val="center"/>
        <w:rPr>
          <w:b/>
          <w:bCs/>
          <w:spacing w:val="30"/>
        </w:rPr>
      </w:pPr>
    </w:p>
    <w:p w:rsidR="002C2578" w:rsidRDefault="002C2578" w:rsidP="007528C3">
      <w:pPr>
        <w:jc w:val="center"/>
        <w:rPr>
          <w:b/>
          <w:bCs/>
          <w:spacing w:val="30"/>
        </w:rPr>
      </w:pPr>
    </w:p>
    <w:p w:rsidR="002C2578" w:rsidRDefault="002C2578" w:rsidP="007528C3">
      <w:pPr>
        <w:jc w:val="center"/>
        <w:rPr>
          <w:b/>
          <w:bCs/>
          <w:spacing w:val="30"/>
        </w:rPr>
      </w:pPr>
    </w:p>
    <w:p w:rsidR="002C2578" w:rsidRDefault="002C2578" w:rsidP="007528C3">
      <w:pPr>
        <w:jc w:val="center"/>
        <w:rPr>
          <w:b/>
          <w:bCs/>
          <w:spacing w:val="30"/>
        </w:rPr>
      </w:pPr>
    </w:p>
    <w:p w:rsidR="002C2578" w:rsidRDefault="002C2578" w:rsidP="007528C3">
      <w:pPr>
        <w:jc w:val="center"/>
        <w:rPr>
          <w:b/>
          <w:bCs/>
          <w:spacing w:val="30"/>
        </w:rPr>
      </w:pPr>
    </w:p>
    <w:p w:rsidR="002C2578" w:rsidRDefault="002C2578" w:rsidP="007528C3">
      <w:pPr>
        <w:jc w:val="center"/>
        <w:rPr>
          <w:b/>
          <w:bCs/>
          <w:spacing w:val="30"/>
        </w:rPr>
      </w:pPr>
    </w:p>
    <w:p w:rsidR="002C2578" w:rsidRDefault="002C2578" w:rsidP="007528C3">
      <w:pPr>
        <w:jc w:val="center"/>
        <w:rPr>
          <w:b/>
          <w:bCs/>
          <w:spacing w:val="30"/>
        </w:rPr>
      </w:pPr>
    </w:p>
    <w:p w:rsidR="002C2578" w:rsidRDefault="002C2578" w:rsidP="007528C3">
      <w:pPr>
        <w:jc w:val="center"/>
        <w:rPr>
          <w:b/>
          <w:bCs/>
          <w:spacing w:val="30"/>
        </w:rPr>
      </w:pPr>
    </w:p>
    <w:p w:rsidR="002C2578" w:rsidRDefault="002C2578" w:rsidP="007528C3">
      <w:pPr>
        <w:jc w:val="center"/>
        <w:rPr>
          <w:b/>
          <w:bCs/>
          <w:spacing w:val="30"/>
        </w:rPr>
      </w:pPr>
    </w:p>
    <w:p w:rsidR="002C2578" w:rsidRDefault="002C2578" w:rsidP="007528C3">
      <w:pPr>
        <w:jc w:val="center"/>
        <w:rPr>
          <w:b/>
          <w:bCs/>
          <w:spacing w:val="30"/>
        </w:rPr>
      </w:pPr>
    </w:p>
    <w:p w:rsidR="002C2578" w:rsidRDefault="002C2578" w:rsidP="007528C3">
      <w:pPr>
        <w:jc w:val="center"/>
        <w:rPr>
          <w:b/>
          <w:bCs/>
          <w:spacing w:val="30"/>
        </w:rPr>
      </w:pPr>
    </w:p>
    <w:p w:rsidR="002C2578" w:rsidRDefault="002C2578" w:rsidP="007528C3">
      <w:pPr>
        <w:jc w:val="center"/>
        <w:rPr>
          <w:b/>
          <w:bCs/>
          <w:spacing w:val="30"/>
        </w:rPr>
      </w:pPr>
    </w:p>
    <w:p w:rsidR="002C2578" w:rsidRDefault="002C2578" w:rsidP="007528C3">
      <w:pPr>
        <w:jc w:val="center"/>
        <w:rPr>
          <w:b/>
          <w:bCs/>
          <w:spacing w:val="30"/>
        </w:rPr>
      </w:pPr>
    </w:p>
    <w:p w:rsidR="002C2578" w:rsidRDefault="002C2578" w:rsidP="007528C3">
      <w:pPr>
        <w:jc w:val="center"/>
        <w:rPr>
          <w:b/>
          <w:bCs/>
          <w:spacing w:val="30"/>
        </w:rPr>
      </w:pPr>
    </w:p>
    <w:p w:rsidR="0051186A" w:rsidRDefault="0051186A" w:rsidP="007528C3">
      <w:pPr>
        <w:jc w:val="center"/>
        <w:rPr>
          <w:b/>
          <w:bCs/>
          <w:spacing w:val="30"/>
        </w:rPr>
      </w:pPr>
    </w:p>
    <w:p w:rsidR="002C2578" w:rsidRDefault="002C2578" w:rsidP="007528C3">
      <w:pPr>
        <w:jc w:val="center"/>
        <w:rPr>
          <w:b/>
          <w:bCs/>
          <w:spacing w:val="30"/>
        </w:rPr>
      </w:pPr>
    </w:p>
    <w:p w:rsidR="002C2578" w:rsidRDefault="002C2578" w:rsidP="007528C3">
      <w:pPr>
        <w:jc w:val="center"/>
        <w:rPr>
          <w:b/>
          <w:bCs/>
          <w:spacing w:val="30"/>
        </w:rPr>
      </w:pPr>
    </w:p>
    <w:p w:rsidR="002C2578" w:rsidRDefault="002C2578" w:rsidP="007528C3">
      <w:pPr>
        <w:jc w:val="center"/>
        <w:rPr>
          <w:b/>
          <w:bCs/>
          <w:spacing w:val="30"/>
        </w:rPr>
      </w:pPr>
    </w:p>
    <w:p w:rsidR="00344223" w:rsidRDefault="00344223" w:rsidP="007528C3">
      <w:pPr>
        <w:jc w:val="center"/>
        <w:rPr>
          <w:b/>
          <w:bCs/>
          <w:spacing w:val="30"/>
        </w:rPr>
      </w:pPr>
    </w:p>
    <w:p w:rsidR="00344223" w:rsidRDefault="00344223" w:rsidP="007528C3">
      <w:pPr>
        <w:jc w:val="center"/>
        <w:rPr>
          <w:b/>
          <w:bCs/>
          <w:spacing w:val="30"/>
        </w:rPr>
      </w:pPr>
    </w:p>
    <w:p w:rsidR="00344223" w:rsidRDefault="00344223" w:rsidP="007528C3">
      <w:pPr>
        <w:jc w:val="center"/>
        <w:rPr>
          <w:b/>
          <w:bCs/>
          <w:spacing w:val="30"/>
        </w:rPr>
      </w:pPr>
    </w:p>
    <w:p w:rsidR="002C2578" w:rsidRDefault="002C2578" w:rsidP="007528C3">
      <w:pPr>
        <w:jc w:val="center"/>
        <w:rPr>
          <w:b/>
          <w:bCs/>
          <w:spacing w:val="30"/>
        </w:rPr>
      </w:pPr>
    </w:p>
    <w:p w:rsidR="0051186A" w:rsidRPr="007D5748" w:rsidRDefault="0051186A" w:rsidP="0051186A">
      <w:pPr>
        <w:jc w:val="center"/>
        <w:rPr>
          <w:rFonts w:eastAsia="Times New Roman"/>
          <w:b/>
          <w:bCs/>
          <w:sz w:val="28"/>
          <w:szCs w:val="28"/>
        </w:rPr>
      </w:pPr>
      <w:r w:rsidRPr="007D5748">
        <w:rPr>
          <w:rFonts w:eastAsia="Times New Roman"/>
          <w:b/>
          <w:bCs/>
          <w:sz w:val="28"/>
          <w:szCs w:val="28"/>
        </w:rPr>
        <w:lastRenderedPageBreak/>
        <w:t>Analýza vplyvov na rozpočet verejnej správy,</w:t>
      </w:r>
    </w:p>
    <w:p w:rsidR="0051186A" w:rsidRPr="007D5748" w:rsidRDefault="0051186A" w:rsidP="0051186A">
      <w:pPr>
        <w:jc w:val="center"/>
        <w:rPr>
          <w:rFonts w:eastAsia="Times New Roman"/>
          <w:b/>
          <w:bCs/>
          <w:sz w:val="28"/>
          <w:szCs w:val="28"/>
        </w:rPr>
      </w:pPr>
      <w:r w:rsidRPr="007D5748">
        <w:rPr>
          <w:rFonts w:eastAsia="Times New Roman"/>
          <w:b/>
          <w:bCs/>
          <w:sz w:val="28"/>
          <w:szCs w:val="28"/>
        </w:rPr>
        <w:t>na zamestnanosť vo verejnej správe a financovanie návrhu</w:t>
      </w:r>
    </w:p>
    <w:p w:rsidR="0051186A" w:rsidRPr="00212894" w:rsidRDefault="0051186A" w:rsidP="0051186A">
      <w:pPr>
        <w:jc w:val="right"/>
        <w:rPr>
          <w:rFonts w:eastAsia="Times New Roman"/>
          <w:b/>
          <w:bCs/>
        </w:rPr>
      </w:pPr>
    </w:p>
    <w:p w:rsidR="0051186A" w:rsidRDefault="0051186A" w:rsidP="0051186A">
      <w:pPr>
        <w:rPr>
          <w:rFonts w:eastAsia="Times New Roman"/>
          <w:b/>
          <w:bCs/>
        </w:rPr>
      </w:pPr>
    </w:p>
    <w:p w:rsidR="0051186A" w:rsidRPr="00212894" w:rsidRDefault="0051186A" w:rsidP="0051186A">
      <w:pPr>
        <w:rPr>
          <w:rFonts w:eastAsia="Times New Roman"/>
          <w:b/>
          <w:bCs/>
        </w:rPr>
      </w:pPr>
      <w:r w:rsidRPr="00212894">
        <w:rPr>
          <w:rFonts w:eastAsia="Times New Roman"/>
          <w:b/>
          <w:bCs/>
        </w:rPr>
        <w:t>2.1 Zhrnutie vplyvov na rozpočet verejnej správy v návrhu</w:t>
      </w:r>
    </w:p>
    <w:p w:rsidR="0051186A" w:rsidRDefault="0051186A" w:rsidP="0051186A">
      <w:pPr>
        <w:jc w:val="right"/>
        <w:rPr>
          <w:rFonts w:eastAsia="Times New Roman"/>
          <w:sz w:val="20"/>
          <w:szCs w:val="20"/>
        </w:rPr>
      </w:pPr>
    </w:p>
    <w:p w:rsidR="0051186A" w:rsidRPr="007D5748" w:rsidRDefault="0051186A" w:rsidP="0051186A">
      <w:pPr>
        <w:jc w:val="right"/>
        <w:rPr>
          <w:rFonts w:eastAsia="Times New Roman"/>
          <w:sz w:val="20"/>
          <w:szCs w:val="20"/>
        </w:rPr>
      </w:pPr>
      <w:r w:rsidRPr="007D5748">
        <w:rPr>
          <w:rFonts w:eastAsia="Times New Roman"/>
          <w:sz w:val="20"/>
          <w:szCs w:val="20"/>
        </w:rPr>
        <w:t xml:space="preserve">Tabuľka č. 1 </w:t>
      </w:r>
    </w:p>
    <w:tbl>
      <w:tblPr>
        <w:tblW w:w="9382"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3"/>
        <w:gridCol w:w="1717"/>
        <w:gridCol w:w="1464"/>
        <w:gridCol w:w="1561"/>
        <w:gridCol w:w="1417"/>
      </w:tblGrid>
      <w:tr w:rsidR="0051186A" w:rsidRPr="007D5748" w:rsidTr="00563700">
        <w:trPr>
          <w:cantSplit/>
          <w:trHeight w:val="194"/>
          <w:jc w:val="center"/>
        </w:trPr>
        <w:tc>
          <w:tcPr>
            <w:tcW w:w="3223" w:type="dxa"/>
            <w:vMerge w:val="restart"/>
            <w:shd w:val="clear" w:color="auto" w:fill="BFBFBF" w:themeFill="background1" w:themeFillShade="BF"/>
            <w:vAlign w:val="center"/>
          </w:tcPr>
          <w:p w:rsidR="0051186A" w:rsidRPr="007D5748" w:rsidRDefault="0051186A" w:rsidP="00563700">
            <w:pPr>
              <w:jc w:val="center"/>
              <w:rPr>
                <w:rFonts w:eastAsia="Times New Roman"/>
                <w:b/>
                <w:bCs/>
              </w:rPr>
            </w:pPr>
            <w:bookmarkStart w:id="1" w:name="OLE_LINK1"/>
            <w:r w:rsidRPr="007D5748">
              <w:rPr>
                <w:rFonts w:eastAsia="Times New Roman"/>
                <w:b/>
                <w:bCs/>
              </w:rPr>
              <w:t>Vplyvy na rozpočet verejnej správy</w:t>
            </w:r>
          </w:p>
        </w:tc>
        <w:tc>
          <w:tcPr>
            <w:tcW w:w="6159" w:type="dxa"/>
            <w:gridSpan w:val="4"/>
            <w:shd w:val="clear" w:color="auto" w:fill="BFBFBF" w:themeFill="background1" w:themeFillShade="BF"/>
            <w:vAlign w:val="center"/>
          </w:tcPr>
          <w:p w:rsidR="0051186A" w:rsidRPr="007D5748" w:rsidRDefault="0051186A" w:rsidP="00563700">
            <w:pPr>
              <w:jc w:val="center"/>
              <w:rPr>
                <w:rFonts w:eastAsia="Times New Roman"/>
                <w:b/>
                <w:bCs/>
              </w:rPr>
            </w:pPr>
            <w:r w:rsidRPr="007D5748">
              <w:rPr>
                <w:rFonts w:eastAsia="Times New Roman"/>
                <w:b/>
                <w:bCs/>
              </w:rPr>
              <w:t>Vplyv na rozpočet verejnej správy (v eurách)</w:t>
            </w:r>
          </w:p>
        </w:tc>
      </w:tr>
      <w:tr w:rsidR="0051186A" w:rsidRPr="007D5748" w:rsidTr="00563700">
        <w:trPr>
          <w:cantSplit/>
          <w:trHeight w:val="70"/>
          <w:jc w:val="center"/>
        </w:trPr>
        <w:tc>
          <w:tcPr>
            <w:tcW w:w="3223" w:type="dxa"/>
            <w:vMerge/>
            <w:shd w:val="clear" w:color="auto" w:fill="BFBFBF" w:themeFill="background1" w:themeFillShade="BF"/>
            <w:vAlign w:val="center"/>
          </w:tcPr>
          <w:p w:rsidR="0051186A" w:rsidRPr="007D5748" w:rsidRDefault="0051186A" w:rsidP="00563700">
            <w:pPr>
              <w:jc w:val="center"/>
              <w:rPr>
                <w:rFonts w:eastAsia="Times New Roman"/>
                <w:b/>
                <w:bCs/>
              </w:rPr>
            </w:pPr>
          </w:p>
        </w:tc>
        <w:tc>
          <w:tcPr>
            <w:tcW w:w="1717" w:type="dxa"/>
            <w:shd w:val="clear" w:color="auto" w:fill="BFBFBF" w:themeFill="background1" w:themeFillShade="BF"/>
            <w:vAlign w:val="center"/>
          </w:tcPr>
          <w:p w:rsidR="0051186A" w:rsidRPr="007D5748" w:rsidRDefault="0051186A" w:rsidP="00563700">
            <w:pPr>
              <w:jc w:val="center"/>
              <w:rPr>
                <w:rFonts w:eastAsia="Times New Roman"/>
                <w:b/>
                <w:bCs/>
              </w:rPr>
            </w:pPr>
            <w:r>
              <w:rPr>
                <w:rFonts w:eastAsia="Times New Roman"/>
                <w:b/>
                <w:bCs/>
              </w:rPr>
              <w:t>2020</w:t>
            </w:r>
          </w:p>
        </w:tc>
        <w:tc>
          <w:tcPr>
            <w:tcW w:w="1464" w:type="dxa"/>
            <w:shd w:val="clear" w:color="auto" w:fill="BFBFBF" w:themeFill="background1" w:themeFillShade="BF"/>
            <w:vAlign w:val="center"/>
          </w:tcPr>
          <w:p w:rsidR="0051186A" w:rsidRPr="007D5748" w:rsidRDefault="0051186A" w:rsidP="00563700">
            <w:pPr>
              <w:jc w:val="center"/>
              <w:rPr>
                <w:rFonts w:eastAsia="Times New Roman"/>
                <w:b/>
                <w:bCs/>
              </w:rPr>
            </w:pPr>
            <w:r>
              <w:rPr>
                <w:rFonts w:eastAsia="Times New Roman"/>
                <w:b/>
                <w:bCs/>
              </w:rPr>
              <w:t>2021</w:t>
            </w:r>
          </w:p>
        </w:tc>
        <w:tc>
          <w:tcPr>
            <w:tcW w:w="1561" w:type="dxa"/>
            <w:shd w:val="clear" w:color="auto" w:fill="BFBFBF" w:themeFill="background1" w:themeFillShade="BF"/>
            <w:vAlign w:val="center"/>
          </w:tcPr>
          <w:p w:rsidR="0051186A" w:rsidRPr="007D5748" w:rsidRDefault="0051186A" w:rsidP="00563700">
            <w:pPr>
              <w:jc w:val="center"/>
              <w:rPr>
                <w:rFonts w:eastAsia="Times New Roman"/>
                <w:b/>
                <w:bCs/>
              </w:rPr>
            </w:pPr>
            <w:r>
              <w:rPr>
                <w:rFonts w:eastAsia="Times New Roman"/>
                <w:b/>
                <w:bCs/>
              </w:rPr>
              <w:t>2022</w:t>
            </w:r>
          </w:p>
        </w:tc>
        <w:tc>
          <w:tcPr>
            <w:tcW w:w="1417" w:type="dxa"/>
            <w:shd w:val="clear" w:color="auto" w:fill="BFBFBF" w:themeFill="background1" w:themeFillShade="BF"/>
            <w:vAlign w:val="center"/>
          </w:tcPr>
          <w:p w:rsidR="0051186A" w:rsidRPr="007D5748" w:rsidRDefault="0051186A" w:rsidP="00563700">
            <w:pPr>
              <w:jc w:val="center"/>
              <w:rPr>
                <w:rFonts w:eastAsia="Times New Roman"/>
                <w:b/>
                <w:bCs/>
              </w:rPr>
            </w:pPr>
            <w:r>
              <w:rPr>
                <w:rFonts w:eastAsia="Times New Roman"/>
                <w:b/>
                <w:bCs/>
              </w:rPr>
              <w:t>2023</w:t>
            </w:r>
          </w:p>
        </w:tc>
      </w:tr>
      <w:tr w:rsidR="0051186A" w:rsidRPr="007D5748" w:rsidTr="00563700">
        <w:trPr>
          <w:trHeight w:val="70"/>
          <w:jc w:val="center"/>
        </w:trPr>
        <w:tc>
          <w:tcPr>
            <w:tcW w:w="3223" w:type="dxa"/>
            <w:shd w:val="clear" w:color="auto" w:fill="C0C0C0"/>
            <w:noWrap/>
            <w:vAlign w:val="center"/>
          </w:tcPr>
          <w:p w:rsidR="0051186A" w:rsidRPr="007D5748" w:rsidRDefault="0051186A" w:rsidP="00563700">
            <w:pPr>
              <w:rPr>
                <w:rFonts w:eastAsia="Times New Roman"/>
              </w:rPr>
            </w:pPr>
            <w:r w:rsidRPr="007D5748">
              <w:rPr>
                <w:rFonts w:eastAsia="Times New Roman"/>
                <w:b/>
                <w:bCs/>
              </w:rPr>
              <w:t>Príjmy verejnej správy celkom</w:t>
            </w:r>
          </w:p>
        </w:tc>
        <w:tc>
          <w:tcPr>
            <w:tcW w:w="1717" w:type="dxa"/>
            <w:shd w:val="clear" w:color="auto" w:fill="C0C0C0"/>
            <w:vAlign w:val="center"/>
          </w:tcPr>
          <w:p w:rsidR="0051186A" w:rsidRPr="007D5748" w:rsidRDefault="0051186A" w:rsidP="00563700">
            <w:pPr>
              <w:jc w:val="right"/>
              <w:rPr>
                <w:rFonts w:eastAsia="Times New Roman"/>
                <w:b/>
                <w:bCs/>
              </w:rPr>
            </w:pPr>
            <w:r w:rsidRPr="007D5748">
              <w:rPr>
                <w:rFonts w:eastAsia="Times New Roman"/>
                <w:b/>
                <w:bCs/>
              </w:rPr>
              <w:t>0</w:t>
            </w:r>
          </w:p>
        </w:tc>
        <w:tc>
          <w:tcPr>
            <w:tcW w:w="1464" w:type="dxa"/>
            <w:shd w:val="clear" w:color="auto" w:fill="C0C0C0"/>
            <w:vAlign w:val="center"/>
          </w:tcPr>
          <w:p w:rsidR="0051186A" w:rsidRPr="007D5748" w:rsidRDefault="0051186A" w:rsidP="00563700">
            <w:pPr>
              <w:jc w:val="right"/>
              <w:rPr>
                <w:rFonts w:eastAsia="Times New Roman"/>
                <w:b/>
                <w:bCs/>
              </w:rPr>
            </w:pPr>
            <w:r w:rsidRPr="007D5748">
              <w:rPr>
                <w:rFonts w:eastAsia="Times New Roman"/>
                <w:b/>
                <w:bCs/>
              </w:rPr>
              <w:t>0</w:t>
            </w:r>
          </w:p>
        </w:tc>
        <w:tc>
          <w:tcPr>
            <w:tcW w:w="1561" w:type="dxa"/>
            <w:shd w:val="clear" w:color="auto" w:fill="C0C0C0"/>
            <w:vAlign w:val="center"/>
          </w:tcPr>
          <w:p w:rsidR="0051186A" w:rsidRPr="007D5748" w:rsidRDefault="0051186A" w:rsidP="00563700">
            <w:pPr>
              <w:jc w:val="right"/>
              <w:rPr>
                <w:rFonts w:eastAsia="Times New Roman"/>
                <w:b/>
                <w:bCs/>
              </w:rPr>
            </w:pPr>
            <w:r w:rsidRPr="007D5748">
              <w:rPr>
                <w:rFonts w:eastAsia="Times New Roman"/>
                <w:b/>
                <w:bCs/>
              </w:rPr>
              <w:t>0</w:t>
            </w:r>
          </w:p>
        </w:tc>
        <w:tc>
          <w:tcPr>
            <w:tcW w:w="1417" w:type="dxa"/>
            <w:shd w:val="clear" w:color="auto" w:fill="C0C0C0"/>
            <w:vAlign w:val="center"/>
          </w:tcPr>
          <w:p w:rsidR="0051186A" w:rsidRPr="007D5748" w:rsidRDefault="0051186A" w:rsidP="00563700">
            <w:pPr>
              <w:jc w:val="right"/>
              <w:rPr>
                <w:rFonts w:eastAsia="Times New Roman"/>
                <w:b/>
                <w:bCs/>
              </w:rPr>
            </w:pPr>
            <w:r w:rsidRPr="007D5748">
              <w:rPr>
                <w:rFonts w:eastAsia="Times New Roman"/>
                <w:b/>
                <w:bCs/>
              </w:rPr>
              <w:t>0</w:t>
            </w:r>
          </w:p>
        </w:tc>
      </w:tr>
      <w:tr w:rsidR="0051186A" w:rsidRPr="007D5748" w:rsidTr="00563700">
        <w:trPr>
          <w:trHeight w:val="132"/>
          <w:jc w:val="center"/>
        </w:trPr>
        <w:tc>
          <w:tcPr>
            <w:tcW w:w="3223" w:type="dxa"/>
            <w:noWrap/>
            <w:vAlign w:val="center"/>
          </w:tcPr>
          <w:p w:rsidR="0051186A" w:rsidRPr="007D5748" w:rsidRDefault="0051186A" w:rsidP="00563700">
            <w:pPr>
              <w:rPr>
                <w:rFonts w:eastAsia="Times New Roman"/>
              </w:rPr>
            </w:pPr>
            <w:r w:rsidRPr="007D5748">
              <w:rPr>
                <w:rFonts w:eastAsia="Times New Roman"/>
              </w:rPr>
              <w:t>v tom: za každý subjekt verejnej správy zvlášť</w:t>
            </w:r>
          </w:p>
        </w:tc>
        <w:tc>
          <w:tcPr>
            <w:tcW w:w="1717" w:type="dxa"/>
            <w:noWrap/>
            <w:vAlign w:val="center"/>
          </w:tcPr>
          <w:p w:rsidR="0051186A" w:rsidRPr="007D5748" w:rsidRDefault="0051186A" w:rsidP="00563700">
            <w:pPr>
              <w:jc w:val="right"/>
              <w:rPr>
                <w:rFonts w:eastAsia="Times New Roman"/>
              </w:rPr>
            </w:pPr>
            <w:r w:rsidRPr="007D5748">
              <w:rPr>
                <w:rFonts w:eastAsia="Times New Roman"/>
              </w:rPr>
              <w:t>0</w:t>
            </w:r>
          </w:p>
        </w:tc>
        <w:tc>
          <w:tcPr>
            <w:tcW w:w="1464" w:type="dxa"/>
            <w:noWrap/>
            <w:vAlign w:val="center"/>
          </w:tcPr>
          <w:p w:rsidR="0051186A" w:rsidRPr="007D5748" w:rsidRDefault="0051186A" w:rsidP="00563700">
            <w:pPr>
              <w:jc w:val="right"/>
              <w:rPr>
                <w:rFonts w:eastAsia="Times New Roman"/>
              </w:rPr>
            </w:pPr>
            <w:r w:rsidRPr="007D5748">
              <w:rPr>
                <w:rFonts w:eastAsia="Times New Roman"/>
              </w:rPr>
              <w:t>0</w:t>
            </w:r>
          </w:p>
        </w:tc>
        <w:tc>
          <w:tcPr>
            <w:tcW w:w="1561" w:type="dxa"/>
            <w:noWrap/>
            <w:vAlign w:val="center"/>
          </w:tcPr>
          <w:p w:rsidR="0051186A" w:rsidRPr="007D5748" w:rsidRDefault="0051186A" w:rsidP="00563700">
            <w:pPr>
              <w:jc w:val="right"/>
              <w:rPr>
                <w:rFonts w:eastAsia="Times New Roman"/>
              </w:rPr>
            </w:pPr>
            <w:r w:rsidRPr="007D5748">
              <w:rPr>
                <w:rFonts w:eastAsia="Times New Roman"/>
              </w:rPr>
              <w:t>0</w:t>
            </w:r>
          </w:p>
        </w:tc>
        <w:tc>
          <w:tcPr>
            <w:tcW w:w="1417" w:type="dxa"/>
            <w:noWrap/>
            <w:vAlign w:val="center"/>
          </w:tcPr>
          <w:p w:rsidR="0051186A" w:rsidRPr="007D5748" w:rsidRDefault="0051186A" w:rsidP="00563700">
            <w:pPr>
              <w:jc w:val="right"/>
              <w:rPr>
                <w:rFonts w:eastAsia="Times New Roman"/>
              </w:rPr>
            </w:pPr>
            <w:r w:rsidRPr="007D5748">
              <w:rPr>
                <w:rFonts w:eastAsia="Times New Roman"/>
              </w:rPr>
              <w:t>0</w:t>
            </w:r>
          </w:p>
        </w:tc>
      </w:tr>
      <w:tr w:rsidR="0051186A" w:rsidRPr="007D5748" w:rsidTr="00563700">
        <w:trPr>
          <w:trHeight w:val="70"/>
          <w:jc w:val="center"/>
        </w:trPr>
        <w:tc>
          <w:tcPr>
            <w:tcW w:w="3223" w:type="dxa"/>
            <w:noWrap/>
            <w:vAlign w:val="center"/>
          </w:tcPr>
          <w:p w:rsidR="0051186A" w:rsidRPr="007D5748" w:rsidRDefault="0051186A" w:rsidP="00563700">
            <w:pPr>
              <w:rPr>
                <w:rFonts w:eastAsia="Times New Roman"/>
                <w:b/>
                <w:bCs/>
                <w:i/>
                <w:iCs/>
              </w:rPr>
            </w:pPr>
            <w:r w:rsidRPr="007D5748">
              <w:rPr>
                <w:rFonts w:eastAsia="Times New Roman"/>
                <w:b/>
                <w:bCs/>
                <w:i/>
                <w:iCs/>
              </w:rPr>
              <w:t xml:space="preserve">z toho:  </w:t>
            </w:r>
          </w:p>
        </w:tc>
        <w:tc>
          <w:tcPr>
            <w:tcW w:w="1717" w:type="dxa"/>
            <w:noWrap/>
            <w:vAlign w:val="center"/>
          </w:tcPr>
          <w:p w:rsidR="0051186A" w:rsidRPr="007D5748" w:rsidRDefault="0051186A" w:rsidP="00563700">
            <w:pPr>
              <w:jc w:val="right"/>
              <w:rPr>
                <w:rFonts w:eastAsia="Times New Roman"/>
                <w:b/>
                <w:bCs/>
                <w:iCs/>
              </w:rPr>
            </w:pPr>
          </w:p>
        </w:tc>
        <w:tc>
          <w:tcPr>
            <w:tcW w:w="1464" w:type="dxa"/>
            <w:noWrap/>
            <w:vAlign w:val="center"/>
          </w:tcPr>
          <w:p w:rsidR="0051186A" w:rsidRPr="007D5748" w:rsidRDefault="0051186A" w:rsidP="00563700">
            <w:pPr>
              <w:jc w:val="right"/>
              <w:rPr>
                <w:rFonts w:eastAsia="Times New Roman"/>
                <w:b/>
                <w:bCs/>
                <w:iCs/>
              </w:rPr>
            </w:pPr>
          </w:p>
        </w:tc>
        <w:tc>
          <w:tcPr>
            <w:tcW w:w="1561" w:type="dxa"/>
            <w:noWrap/>
            <w:vAlign w:val="center"/>
          </w:tcPr>
          <w:p w:rsidR="0051186A" w:rsidRPr="007D5748" w:rsidRDefault="0051186A" w:rsidP="00563700">
            <w:pPr>
              <w:jc w:val="right"/>
              <w:rPr>
                <w:rFonts w:eastAsia="Times New Roman"/>
                <w:b/>
                <w:bCs/>
                <w:iCs/>
              </w:rPr>
            </w:pPr>
          </w:p>
        </w:tc>
        <w:tc>
          <w:tcPr>
            <w:tcW w:w="1417" w:type="dxa"/>
            <w:noWrap/>
            <w:vAlign w:val="center"/>
          </w:tcPr>
          <w:p w:rsidR="0051186A" w:rsidRPr="007D5748" w:rsidRDefault="0051186A" w:rsidP="00563700">
            <w:pPr>
              <w:jc w:val="right"/>
              <w:rPr>
                <w:rFonts w:eastAsia="Times New Roman"/>
                <w:b/>
                <w:bCs/>
                <w:iCs/>
              </w:rPr>
            </w:pPr>
          </w:p>
        </w:tc>
      </w:tr>
      <w:tr w:rsidR="0051186A" w:rsidRPr="007D5748" w:rsidTr="00563700">
        <w:trPr>
          <w:trHeight w:val="125"/>
          <w:jc w:val="center"/>
        </w:trPr>
        <w:tc>
          <w:tcPr>
            <w:tcW w:w="3223" w:type="dxa"/>
            <w:noWrap/>
            <w:vAlign w:val="center"/>
          </w:tcPr>
          <w:p w:rsidR="0051186A" w:rsidRPr="007D5748" w:rsidRDefault="0051186A" w:rsidP="00563700">
            <w:pPr>
              <w:rPr>
                <w:rFonts w:eastAsia="Times New Roman"/>
                <w:b/>
                <w:bCs/>
                <w:i/>
                <w:iCs/>
              </w:rPr>
            </w:pPr>
            <w:r w:rsidRPr="007D5748">
              <w:rPr>
                <w:rFonts w:eastAsia="Times New Roman"/>
                <w:b/>
                <w:bCs/>
                <w:i/>
                <w:iCs/>
              </w:rPr>
              <w:t>- vplyv na ŠR</w:t>
            </w:r>
          </w:p>
        </w:tc>
        <w:tc>
          <w:tcPr>
            <w:tcW w:w="17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64"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561"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r>
      <w:tr w:rsidR="0051186A" w:rsidRPr="007D5748" w:rsidTr="00563700">
        <w:trPr>
          <w:trHeight w:val="125"/>
          <w:jc w:val="center"/>
        </w:trPr>
        <w:tc>
          <w:tcPr>
            <w:tcW w:w="3223" w:type="dxa"/>
            <w:noWrap/>
            <w:vAlign w:val="center"/>
          </w:tcPr>
          <w:p w:rsidR="0051186A" w:rsidRPr="007D5748" w:rsidRDefault="0051186A" w:rsidP="00563700">
            <w:pPr>
              <w:rPr>
                <w:rFonts w:eastAsia="Times New Roman"/>
                <w:b/>
                <w:bCs/>
                <w:i/>
                <w:iCs/>
              </w:rPr>
            </w:pPr>
            <w:r>
              <w:rPr>
                <w:rFonts w:eastAsia="Times New Roman"/>
                <w:bCs/>
                <w:i/>
                <w:iCs/>
              </w:rPr>
              <w:t>Rozpočtové prostriedky</w:t>
            </w:r>
          </w:p>
        </w:tc>
        <w:tc>
          <w:tcPr>
            <w:tcW w:w="1717" w:type="dxa"/>
            <w:noWrap/>
            <w:vAlign w:val="center"/>
          </w:tcPr>
          <w:p w:rsidR="0051186A" w:rsidRPr="007D5748" w:rsidRDefault="0051186A" w:rsidP="00563700">
            <w:pPr>
              <w:jc w:val="right"/>
              <w:rPr>
                <w:rFonts w:eastAsia="Times New Roman"/>
                <w:b/>
                <w:bCs/>
                <w:iCs/>
              </w:rPr>
            </w:pPr>
            <w:r>
              <w:rPr>
                <w:rFonts w:eastAsia="Times New Roman"/>
                <w:b/>
                <w:bCs/>
                <w:iCs/>
              </w:rPr>
              <w:t>0</w:t>
            </w:r>
          </w:p>
        </w:tc>
        <w:tc>
          <w:tcPr>
            <w:tcW w:w="1464" w:type="dxa"/>
            <w:noWrap/>
            <w:vAlign w:val="center"/>
          </w:tcPr>
          <w:p w:rsidR="0051186A" w:rsidRPr="007D5748" w:rsidRDefault="0051186A" w:rsidP="00563700">
            <w:pPr>
              <w:jc w:val="right"/>
              <w:rPr>
                <w:rFonts w:eastAsia="Times New Roman"/>
                <w:b/>
                <w:bCs/>
                <w:iCs/>
              </w:rPr>
            </w:pPr>
            <w:r>
              <w:rPr>
                <w:rFonts w:eastAsia="Times New Roman"/>
                <w:b/>
                <w:bCs/>
                <w:iCs/>
              </w:rPr>
              <w:t>0</w:t>
            </w:r>
          </w:p>
        </w:tc>
        <w:tc>
          <w:tcPr>
            <w:tcW w:w="1561" w:type="dxa"/>
            <w:noWrap/>
            <w:vAlign w:val="center"/>
          </w:tcPr>
          <w:p w:rsidR="0051186A" w:rsidRPr="007D5748" w:rsidRDefault="0051186A" w:rsidP="00563700">
            <w:pPr>
              <w:jc w:val="right"/>
              <w:rPr>
                <w:rFonts w:eastAsia="Times New Roman"/>
                <w:b/>
                <w:bCs/>
                <w:iCs/>
              </w:rPr>
            </w:pPr>
            <w:r>
              <w:rPr>
                <w:rFonts w:eastAsia="Times New Roman"/>
                <w:b/>
                <w:bCs/>
                <w:iCs/>
              </w:rPr>
              <w:t>0</w:t>
            </w:r>
          </w:p>
        </w:tc>
        <w:tc>
          <w:tcPr>
            <w:tcW w:w="1417" w:type="dxa"/>
            <w:noWrap/>
            <w:vAlign w:val="center"/>
          </w:tcPr>
          <w:p w:rsidR="0051186A" w:rsidRPr="007D5748" w:rsidRDefault="0051186A" w:rsidP="00563700">
            <w:pPr>
              <w:jc w:val="right"/>
              <w:rPr>
                <w:rFonts w:eastAsia="Times New Roman"/>
                <w:b/>
                <w:bCs/>
                <w:iCs/>
              </w:rPr>
            </w:pPr>
            <w:r>
              <w:rPr>
                <w:rFonts w:eastAsia="Times New Roman"/>
                <w:b/>
                <w:bCs/>
                <w:iCs/>
              </w:rPr>
              <w:t>0</w:t>
            </w:r>
          </w:p>
        </w:tc>
      </w:tr>
      <w:tr w:rsidR="0051186A" w:rsidRPr="007D5748" w:rsidTr="00563700">
        <w:trPr>
          <w:trHeight w:val="125"/>
          <w:jc w:val="center"/>
        </w:trPr>
        <w:tc>
          <w:tcPr>
            <w:tcW w:w="3223" w:type="dxa"/>
            <w:noWrap/>
            <w:vAlign w:val="center"/>
          </w:tcPr>
          <w:p w:rsidR="0051186A" w:rsidRPr="007D5748" w:rsidRDefault="0051186A" w:rsidP="00563700">
            <w:pPr>
              <w:ind w:left="259"/>
              <w:rPr>
                <w:rFonts w:eastAsia="Times New Roman"/>
                <w:bCs/>
                <w:i/>
                <w:iCs/>
              </w:rPr>
            </w:pPr>
            <w:r w:rsidRPr="007D5748">
              <w:rPr>
                <w:rFonts w:eastAsia="Times New Roman"/>
                <w:bCs/>
                <w:i/>
                <w:iCs/>
              </w:rPr>
              <w:t>EÚ zdroje</w:t>
            </w:r>
          </w:p>
        </w:tc>
        <w:tc>
          <w:tcPr>
            <w:tcW w:w="1717" w:type="dxa"/>
            <w:noWrap/>
            <w:vAlign w:val="center"/>
          </w:tcPr>
          <w:p w:rsidR="0051186A" w:rsidRPr="007D5748" w:rsidRDefault="0051186A" w:rsidP="00563700">
            <w:pPr>
              <w:jc w:val="right"/>
              <w:rPr>
                <w:rFonts w:eastAsia="Times New Roman"/>
              </w:rPr>
            </w:pPr>
            <w:r w:rsidRPr="007D5748">
              <w:rPr>
                <w:rFonts w:eastAsia="Times New Roman"/>
              </w:rPr>
              <w:t>0</w:t>
            </w:r>
          </w:p>
        </w:tc>
        <w:tc>
          <w:tcPr>
            <w:tcW w:w="1464" w:type="dxa"/>
            <w:noWrap/>
            <w:vAlign w:val="center"/>
          </w:tcPr>
          <w:p w:rsidR="0051186A" w:rsidRPr="007D5748" w:rsidRDefault="0051186A" w:rsidP="00563700">
            <w:pPr>
              <w:jc w:val="right"/>
              <w:rPr>
                <w:rFonts w:eastAsia="Times New Roman"/>
              </w:rPr>
            </w:pPr>
            <w:r w:rsidRPr="007D5748">
              <w:rPr>
                <w:rFonts w:eastAsia="Times New Roman"/>
              </w:rPr>
              <w:t>0</w:t>
            </w:r>
          </w:p>
        </w:tc>
        <w:tc>
          <w:tcPr>
            <w:tcW w:w="1561" w:type="dxa"/>
            <w:noWrap/>
            <w:vAlign w:val="center"/>
          </w:tcPr>
          <w:p w:rsidR="0051186A" w:rsidRPr="007D5748" w:rsidRDefault="0051186A" w:rsidP="00563700">
            <w:pPr>
              <w:jc w:val="right"/>
              <w:rPr>
                <w:rFonts w:eastAsia="Times New Roman"/>
              </w:rPr>
            </w:pPr>
            <w:r w:rsidRPr="007D5748">
              <w:rPr>
                <w:rFonts w:eastAsia="Times New Roman"/>
              </w:rPr>
              <w:t>0</w:t>
            </w:r>
          </w:p>
        </w:tc>
        <w:tc>
          <w:tcPr>
            <w:tcW w:w="1417" w:type="dxa"/>
            <w:noWrap/>
            <w:vAlign w:val="center"/>
          </w:tcPr>
          <w:p w:rsidR="0051186A" w:rsidRPr="007D5748" w:rsidRDefault="0051186A" w:rsidP="00563700">
            <w:pPr>
              <w:jc w:val="right"/>
              <w:rPr>
                <w:rFonts w:eastAsia="Times New Roman"/>
              </w:rPr>
            </w:pPr>
            <w:r w:rsidRPr="007D5748">
              <w:rPr>
                <w:rFonts w:eastAsia="Times New Roman"/>
              </w:rPr>
              <w:t>0</w:t>
            </w:r>
          </w:p>
        </w:tc>
      </w:tr>
      <w:tr w:rsidR="0051186A" w:rsidRPr="007D5748" w:rsidTr="00563700">
        <w:trPr>
          <w:trHeight w:val="125"/>
          <w:jc w:val="center"/>
        </w:trPr>
        <w:tc>
          <w:tcPr>
            <w:tcW w:w="3223" w:type="dxa"/>
            <w:noWrap/>
            <w:vAlign w:val="center"/>
          </w:tcPr>
          <w:p w:rsidR="0051186A" w:rsidRPr="007D5748" w:rsidRDefault="0051186A" w:rsidP="00563700">
            <w:pPr>
              <w:rPr>
                <w:rFonts w:eastAsia="Times New Roman"/>
                <w:b/>
                <w:bCs/>
                <w:i/>
                <w:iCs/>
              </w:rPr>
            </w:pPr>
            <w:r w:rsidRPr="007D5748">
              <w:rPr>
                <w:rFonts w:eastAsia="Times New Roman"/>
                <w:b/>
                <w:bCs/>
                <w:i/>
                <w:iCs/>
              </w:rPr>
              <w:t>- vplyv na obce</w:t>
            </w:r>
          </w:p>
        </w:tc>
        <w:tc>
          <w:tcPr>
            <w:tcW w:w="17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64"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561"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r>
      <w:tr w:rsidR="0051186A" w:rsidRPr="007D5748" w:rsidTr="00563700">
        <w:trPr>
          <w:trHeight w:val="125"/>
          <w:jc w:val="center"/>
        </w:trPr>
        <w:tc>
          <w:tcPr>
            <w:tcW w:w="3223" w:type="dxa"/>
            <w:noWrap/>
            <w:vAlign w:val="center"/>
          </w:tcPr>
          <w:p w:rsidR="0051186A" w:rsidRPr="007D5748" w:rsidRDefault="0051186A" w:rsidP="00563700">
            <w:pPr>
              <w:rPr>
                <w:rFonts w:eastAsia="Times New Roman"/>
                <w:b/>
                <w:bCs/>
                <w:i/>
                <w:iCs/>
              </w:rPr>
            </w:pPr>
            <w:r w:rsidRPr="007D5748">
              <w:rPr>
                <w:rFonts w:eastAsia="Times New Roman"/>
                <w:b/>
                <w:bCs/>
                <w:i/>
                <w:iCs/>
              </w:rPr>
              <w:t>- vplyv na vyššie územné celky</w:t>
            </w:r>
          </w:p>
        </w:tc>
        <w:tc>
          <w:tcPr>
            <w:tcW w:w="17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64"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561"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r>
      <w:tr w:rsidR="0051186A" w:rsidRPr="007D5748" w:rsidTr="00563700">
        <w:trPr>
          <w:trHeight w:val="125"/>
          <w:jc w:val="center"/>
        </w:trPr>
        <w:tc>
          <w:tcPr>
            <w:tcW w:w="3223" w:type="dxa"/>
            <w:noWrap/>
            <w:vAlign w:val="center"/>
          </w:tcPr>
          <w:p w:rsidR="0051186A" w:rsidRPr="007D5748" w:rsidRDefault="0051186A" w:rsidP="00563700">
            <w:pPr>
              <w:rPr>
                <w:rFonts w:eastAsia="Times New Roman"/>
                <w:b/>
                <w:bCs/>
                <w:i/>
                <w:iCs/>
              </w:rPr>
            </w:pPr>
            <w:r w:rsidRPr="007D5748">
              <w:rPr>
                <w:rFonts w:eastAsia="Times New Roman"/>
                <w:b/>
                <w:bCs/>
                <w:i/>
                <w:iCs/>
              </w:rPr>
              <w:t>- vplyv na ostatné subjekty verejnej správy</w:t>
            </w:r>
          </w:p>
        </w:tc>
        <w:tc>
          <w:tcPr>
            <w:tcW w:w="17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64"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561"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r>
      <w:tr w:rsidR="0051186A" w:rsidRPr="007D5748" w:rsidTr="00563700">
        <w:trPr>
          <w:trHeight w:val="125"/>
          <w:jc w:val="center"/>
        </w:trPr>
        <w:tc>
          <w:tcPr>
            <w:tcW w:w="3223" w:type="dxa"/>
            <w:shd w:val="clear" w:color="auto" w:fill="C0C0C0"/>
            <w:noWrap/>
            <w:vAlign w:val="center"/>
          </w:tcPr>
          <w:p w:rsidR="0051186A" w:rsidRPr="007D5748" w:rsidRDefault="0051186A" w:rsidP="00563700">
            <w:pPr>
              <w:rPr>
                <w:rFonts w:eastAsia="Times New Roman"/>
                <w:b/>
                <w:bCs/>
              </w:rPr>
            </w:pPr>
            <w:r w:rsidRPr="007D5748">
              <w:rPr>
                <w:rFonts w:eastAsia="Times New Roman"/>
                <w:b/>
                <w:bCs/>
              </w:rPr>
              <w:t>Výdavky verejnej správy celkom</w:t>
            </w:r>
          </w:p>
        </w:tc>
        <w:tc>
          <w:tcPr>
            <w:tcW w:w="1717" w:type="dxa"/>
            <w:noWrap/>
            <w:vAlign w:val="center"/>
          </w:tcPr>
          <w:p w:rsidR="0051186A" w:rsidRPr="001316B6" w:rsidRDefault="0051186A" w:rsidP="00563700">
            <w:pPr>
              <w:jc w:val="right"/>
              <w:rPr>
                <w:rFonts w:eastAsia="Times New Roman"/>
                <w:b/>
                <w:bCs/>
              </w:rPr>
            </w:pPr>
            <w:r w:rsidRPr="001316B6">
              <w:rPr>
                <w:rFonts w:eastAsia="Times New Roman"/>
                <w:b/>
                <w:bCs/>
              </w:rPr>
              <w:t xml:space="preserve">34 237 910 </w:t>
            </w:r>
          </w:p>
        </w:tc>
        <w:tc>
          <w:tcPr>
            <w:tcW w:w="1464" w:type="dxa"/>
            <w:noWrap/>
            <w:vAlign w:val="center"/>
          </w:tcPr>
          <w:p w:rsidR="0051186A" w:rsidRPr="001316B6" w:rsidRDefault="0051186A" w:rsidP="00563700">
            <w:pPr>
              <w:jc w:val="right"/>
              <w:rPr>
                <w:rFonts w:eastAsia="Times New Roman"/>
                <w:b/>
                <w:bCs/>
              </w:rPr>
            </w:pPr>
            <w:r w:rsidRPr="001316B6">
              <w:rPr>
                <w:rFonts w:eastAsia="Times New Roman"/>
                <w:b/>
                <w:bCs/>
              </w:rPr>
              <w:t>4 216 555</w:t>
            </w:r>
          </w:p>
        </w:tc>
        <w:tc>
          <w:tcPr>
            <w:tcW w:w="1561" w:type="dxa"/>
            <w:noWrap/>
            <w:vAlign w:val="center"/>
          </w:tcPr>
          <w:p w:rsidR="0051186A" w:rsidRPr="001316B6" w:rsidRDefault="0051186A" w:rsidP="00563700">
            <w:pPr>
              <w:jc w:val="right"/>
              <w:rPr>
                <w:rFonts w:eastAsia="Times New Roman"/>
                <w:b/>
                <w:bCs/>
              </w:rPr>
            </w:pPr>
            <w:r w:rsidRPr="001316B6">
              <w:rPr>
                <w:rFonts w:eastAsia="Times New Roman"/>
                <w:b/>
                <w:bCs/>
              </w:rPr>
              <w:t>3 290 385</w:t>
            </w:r>
          </w:p>
        </w:tc>
        <w:tc>
          <w:tcPr>
            <w:tcW w:w="1417" w:type="dxa"/>
            <w:noWrap/>
            <w:vAlign w:val="center"/>
          </w:tcPr>
          <w:p w:rsidR="0051186A" w:rsidRPr="001316B6" w:rsidRDefault="0051186A" w:rsidP="00563700">
            <w:pPr>
              <w:jc w:val="right"/>
              <w:rPr>
                <w:rFonts w:eastAsia="Times New Roman"/>
                <w:b/>
                <w:bCs/>
              </w:rPr>
            </w:pPr>
            <w:r w:rsidRPr="001316B6">
              <w:rPr>
                <w:rFonts w:eastAsia="Times New Roman"/>
                <w:b/>
                <w:bCs/>
              </w:rPr>
              <w:t xml:space="preserve">1 427 790   </w:t>
            </w:r>
          </w:p>
        </w:tc>
      </w:tr>
      <w:tr w:rsidR="0051186A" w:rsidRPr="007D5748" w:rsidTr="00563700">
        <w:trPr>
          <w:trHeight w:val="70"/>
          <w:jc w:val="center"/>
        </w:trPr>
        <w:tc>
          <w:tcPr>
            <w:tcW w:w="3223" w:type="dxa"/>
            <w:noWrap/>
            <w:vAlign w:val="center"/>
          </w:tcPr>
          <w:p w:rsidR="0051186A" w:rsidRPr="007D5748" w:rsidRDefault="0051186A" w:rsidP="00563700">
            <w:pPr>
              <w:rPr>
                <w:rFonts w:eastAsia="Times New Roman"/>
              </w:rPr>
            </w:pPr>
            <w:r w:rsidRPr="007D5748">
              <w:rPr>
                <w:rFonts w:eastAsia="Times New Roman"/>
              </w:rPr>
              <w:t>v tom: za každý subjekt verejnej správy / program zvlášť</w:t>
            </w:r>
          </w:p>
        </w:tc>
        <w:tc>
          <w:tcPr>
            <w:tcW w:w="1717" w:type="dxa"/>
            <w:noWrap/>
            <w:vAlign w:val="center"/>
          </w:tcPr>
          <w:p w:rsidR="0051186A" w:rsidRPr="001316B6" w:rsidRDefault="0051186A" w:rsidP="00563700">
            <w:pPr>
              <w:jc w:val="right"/>
              <w:rPr>
                <w:rFonts w:eastAsia="Times New Roman"/>
              </w:rPr>
            </w:pPr>
            <w:r w:rsidRPr="001316B6">
              <w:rPr>
                <w:rFonts w:eastAsia="Times New Roman"/>
              </w:rPr>
              <w:t>0</w:t>
            </w:r>
          </w:p>
        </w:tc>
        <w:tc>
          <w:tcPr>
            <w:tcW w:w="1464" w:type="dxa"/>
            <w:noWrap/>
            <w:vAlign w:val="center"/>
          </w:tcPr>
          <w:p w:rsidR="0051186A" w:rsidRPr="001316B6" w:rsidRDefault="0051186A" w:rsidP="00563700">
            <w:pPr>
              <w:jc w:val="right"/>
              <w:rPr>
                <w:rFonts w:eastAsia="Times New Roman"/>
              </w:rPr>
            </w:pPr>
            <w:r w:rsidRPr="001316B6">
              <w:rPr>
                <w:rFonts w:eastAsia="Times New Roman"/>
              </w:rPr>
              <w:t>0</w:t>
            </w:r>
          </w:p>
        </w:tc>
        <w:tc>
          <w:tcPr>
            <w:tcW w:w="1561" w:type="dxa"/>
            <w:noWrap/>
            <w:vAlign w:val="center"/>
          </w:tcPr>
          <w:p w:rsidR="0051186A" w:rsidRPr="001316B6" w:rsidRDefault="0051186A" w:rsidP="00563700">
            <w:pPr>
              <w:jc w:val="right"/>
              <w:rPr>
                <w:rFonts w:eastAsia="Times New Roman"/>
              </w:rPr>
            </w:pPr>
            <w:r w:rsidRPr="001316B6">
              <w:rPr>
                <w:rFonts w:eastAsia="Times New Roman"/>
              </w:rPr>
              <w:t>0</w:t>
            </w:r>
          </w:p>
        </w:tc>
        <w:tc>
          <w:tcPr>
            <w:tcW w:w="1417" w:type="dxa"/>
            <w:noWrap/>
            <w:vAlign w:val="center"/>
          </w:tcPr>
          <w:p w:rsidR="0051186A" w:rsidRPr="001316B6" w:rsidRDefault="0051186A" w:rsidP="00563700">
            <w:pPr>
              <w:jc w:val="right"/>
              <w:rPr>
                <w:rFonts w:eastAsia="Times New Roman"/>
              </w:rPr>
            </w:pPr>
            <w:r w:rsidRPr="001316B6">
              <w:rPr>
                <w:rFonts w:eastAsia="Times New Roman"/>
              </w:rPr>
              <w:t>0</w:t>
            </w:r>
          </w:p>
        </w:tc>
      </w:tr>
      <w:tr w:rsidR="0051186A" w:rsidRPr="007D5748" w:rsidTr="00563700">
        <w:trPr>
          <w:trHeight w:val="70"/>
          <w:jc w:val="center"/>
        </w:trPr>
        <w:tc>
          <w:tcPr>
            <w:tcW w:w="3223" w:type="dxa"/>
            <w:noWrap/>
            <w:vAlign w:val="center"/>
          </w:tcPr>
          <w:p w:rsidR="0051186A" w:rsidRPr="007D5748" w:rsidRDefault="0051186A" w:rsidP="00563700">
            <w:pPr>
              <w:rPr>
                <w:rFonts w:eastAsia="Times New Roman"/>
                <w:b/>
                <w:bCs/>
                <w:i/>
                <w:iCs/>
              </w:rPr>
            </w:pPr>
            <w:r w:rsidRPr="007D5748">
              <w:rPr>
                <w:rFonts w:eastAsia="Times New Roman"/>
                <w:b/>
                <w:bCs/>
                <w:i/>
                <w:iCs/>
              </w:rPr>
              <w:t xml:space="preserve">z toho: </w:t>
            </w:r>
          </w:p>
        </w:tc>
        <w:tc>
          <w:tcPr>
            <w:tcW w:w="1717" w:type="dxa"/>
            <w:noWrap/>
            <w:vAlign w:val="center"/>
          </w:tcPr>
          <w:p w:rsidR="0051186A" w:rsidRPr="001316B6" w:rsidRDefault="0051186A" w:rsidP="00563700">
            <w:pPr>
              <w:jc w:val="right"/>
              <w:rPr>
                <w:rFonts w:eastAsia="Times New Roman"/>
                <w:b/>
                <w:bCs/>
                <w:iCs/>
              </w:rPr>
            </w:pPr>
          </w:p>
        </w:tc>
        <w:tc>
          <w:tcPr>
            <w:tcW w:w="1464" w:type="dxa"/>
            <w:noWrap/>
            <w:vAlign w:val="center"/>
          </w:tcPr>
          <w:p w:rsidR="0051186A" w:rsidRPr="001316B6" w:rsidRDefault="0051186A" w:rsidP="00563700">
            <w:pPr>
              <w:jc w:val="right"/>
              <w:rPr>
                <w:rFonts w:eastAsia="Times New Roman"/>
                <w:b/>
                <w:bCs/>
                <w:iCs/>
              </w:rPr>
            </w:pPr>
          </w:p>
        </w:tc>
        <w:tc>
          <w:tcPr>
            <w:tcW w:w="1561" w:type="dxa"/>
            <w:noWrap/>
            <w:vAlign w:val="center"/>
          </w:tcPr>
          <w:p w:rsidR="0051186A" w:rsidRPr="001316B6" w:rsidRDefault="0051186A" w:rsidP="00563700">
            <w:pPr>
              <w:jc w:val="right"/>
              <w:rPr>
                <w:rFonts w:eastAsia="Times New Roman"/>
                <w:b/>
                <w:bCs/>
                <w:iCs/>
              </w:rPr>
            </w:pPr>
          </w:p>
        </w:tc>
        <w:tc>
          <w:tcPr>
            <w:tcW w:w="1417" w:type="dxa"/>
            <w:noWrap/>
            <w:vAlign w:val="center"/>
          </w:tcPr>
          <w:p w:rsidR="0051186A" w:rsidRPr="001316B6" w:rsidRDefault="0051186A" w:rsidP="00563700">
            <w:pPr>
              <w:jc w:val="right"/>
              <w:rPr>
                <w:rFonts w:eastAsia="Times New Roman"/>
                <w:b/>
                <w:bCs/>
                <w:iCs/>
              </w:rPr>
            </w:pPr>
          </w:p>
        </w:tc>
      </w:tr>
      <w:tr w:rsidR="0051186A" w:rsidRPr="007D5748" w:rsidTr="00563700">
        <w:trPr>
          <w:trHeight w:val="70"/>
          <w:jc w:val="center"/>
        </w:trPr>
        <w:tc>
          <w:tcPr>
            <w:tcW w:w="3223" w:type="dxa"/>
            <w:noWrap/>
            <w:vAlign w:val="center"/>
          </w:tcPr>
          <w:p w:rsidR="0051186A" w:rsidRPr="007D5748" w:rsidRDefault="0051186A" w:rsidP="00563700">
            <w:pPr>
              <w:rPr>
                <w:rFonts w:eastAsia="Times New Roman"/>
                <w:b/>
                <w:bCs/>
                <w:i/>
                <w:iCs/>
              </w:rPr>
            </w:pPr>
            <w:r w:rsidRPr="007D5748">
              <w:rPr>
                <w:rFonts w:eastAsia="Times New Roman"/>
                <w:b/>
                <w:bCs/>
                <w:i/>
                <w:iCs/>
              </w:rPr>
              <w:t>- vplyv na ŠR</w:t>
            </w:r>
          </w:p>
        </w:tc>
        <w:tc>
          <w:tcPr>
            <w:tcW w:w="1717" w:type="dxa"/>
            <w:noWrap/>
            <w:vAlign w:val="center"/>
          </w:tcPr>
          <w:p w:rsidR="0051186A" w:rsidRPr="001316B6" w:rsidRDefault="0051186A" w:rsidP="00563700">
            <w:pPr>
              <w:jc w:val="right"/>
              <w:rPr>
                <w:rFonts w:eastAsia="Times New Roman"/>
                <w:b/>
                <w:bCs/>
              </w:rPr>
            </w:pPr>
            <w:r w:rsidRPr="001316B6">
              <w:rPr>
                <w:rFonts w:eastAsia="Times New Roman"/>
                <w:b/>
                <w:bCs/>
              </w:rPr>
              <w:t>34 237 910</w:t>
            </w:r>
          </w:p>
        </w:tc>
        <w:tc>
          <w:tcPr>
            <w:tcW w:w="1464" w:type="dxa"/>
            <w:noWrap/>
            <w:vAlign w:val="center"/>
          </w:tcPr>
          <w:p w:rsidR="0051186A" w:rsidRPr="001316B6" w:rsidRDefault="0051186A" w:rsidP="00563700">
            <w:pPr>
              <w:jc w:val="right"/>
              <w:rPr>
                <w:rFonts w:eastAsia="Times New Roman"/>
                <w:b/>
                <w:bCs/>
                <w:iCs/>
              </w:rPr>
            </w:pPr>
            <w:r w:rsidRPr="001316B6">
              <w:rPr>
                <w:rFonts w:eastAsia="Times New Roman"/>
                <w:b/>
                <w:bCs/>
              </w:rPr>
              <w:t>4 216 555</w:t>
            </w:r>
          </w:p>
        </w:tc>
        <w:tc>
          <w:tcPr>
            <w:tcW w:w="1561" w:type="dxa"/>
            <w:noWrap/>
            <w:vAlign w:val="center"/>
          </w:tcPr>
          <w:p w:rsidR="0051186A" w:rsidRPr="001316B6" w:rsidRDefault="0051186A" w:rsidP="00563700">
            <w:pPr>
              <w:jc w:val="right"/>
              <w:rPr>
                <w:rFonts w:eastAsia="Times New Roman"/>
                <w:b/>
                <w:bCs/>
                <w:iCs/>
              </w:rPr>
            </w:pPr>
            <w:r w:rsidRPr="001316B6">
              <w:rPr>
                <w:rFonts w:eastAsia="Times New Roman"/>
                <w:b/>
                <w:bCs/>
              </w:rPr>
              <w:t>3 290 385</w:t>
            </w:r>
          </w:p>
        </w:tc>
        <w:tc>
          <w:tcPr>
            <w:tcW w:w="1417" w:type="dxa"/>
            <w:noWrap/>
            <w:vAlign w:val="center"/>
          </w:tcPr>
          <w:p w:rsidR="0051186A" w:rsidRPr="001316B6" w:rsidRDefault="0051186A" w:rsidP="00563700">
            <w:pPr>
              <w:jc w:val="right"/>
              <w:rPr>
                <w:rFonts w:eastAsia="Times New Roman"/>
                <w:b/>
                <w:bCs/>
                <w:iCs/>
              </w:rPr>
            </w:pPr>
            <w:r w:rsidRPr="001316B6">
              <w:rPr>
                <w:rFonts w:eastAsia="Times New Roman"/>
                <w:b/>
                <w:bCs/>
              </w:rPr>
              <w:t xml:space="preserve">1 427 790   </w:t>
            </w:r>
          </w:p>
        </w:tc>
      </w:tr>
      <w:tr w:rsidR="0051186A" w:rsidRPr="007D5748" w:rsidTr="00563700">
        <w:trPr>
          <w:trHeight w:val="70"/>
          <w:jc w:val="center"/>
        </w:trPr>
        <w:tc>
          <w:tcPr>
            <w:tcW w:w="3223" w:type="dxa"/>
            <w:noWrap/>
            <w:vAlign w:val="center"/>
          </w:tcPr>
          <w:p w:rsidR="0051186A" w:rsidRPr="007D5748" w:rsidRDefault="0051186A" w:rsidP="00563700">
            <w:pPr>
              <w:ind w:left="259"/>
              <w:rPr>
                <w:rFonts w:eastAsia="Times New Roman"/>
                <w:b/>
                <w:bCs/>
                <w:i/>
                <w:iCs/>
              </w:rPr>
            </w:pPr>
            <w:r>
              <w:rPr>
                <w:rFonts w:eastAsia="Times New Roman"/>
                <w:bCs/>
                <w:i/>
                <w:iCs/>
              </w:rPr>
              <w:t>Rozpočtové prostriedky</w:t>
            </w:r>
          </w:p>
        </w:tc>
        <w:tc>
          <w:tcPr>
            <w:tcW w:w="1717" w:type="dxa"/>
            <w:noWrap/>
            <w:vAlign w:val="center"/>
          </w:tcPr>
          <w:p w:rsidR="0051186A" w:rsidRPr="001316B6" w:rsidRDefault="0051186A" w:rsidP="00563700">
            <w:pPr>
              <w:jc w:val="right"/>
              <w:rPr>
                <w:rFonts w:eastAsia="Times New Roman"/>
                <w:bCs/>
                <w:iCs/>
              </w:rPr>
            </w:pPr>
            <w:r w:rsidRPr="001316B6">
              <w:rPr>
                <w:rFonts w:eastAsia="Times New Roman"/>
                <w:b/>
                <w:bCs/>
              </w:rPr>
              <w:t>34 237 910</w:t>
            </w:r>
          </w:p>
        </w:tc>
        <w:tc>
          <w:tcPr>
            <w:tcW w:w="1464" w:type="dxa"/>
            <w:noWrap/>
            <w:vAlign w:val="center"/>
          </w:tcPr>
          <w:p w:rsidR="0051186A" w:rsidRPr="001316B6" w:rsidRDefault="0051186A" w:rsidP="00563700">
            <w:pPr>
              <w:jc w:val="right"/>
              <w:rPr>
                <w:rFonts w:eastAsia="Times New Roman"/>
                <w:bCs/>
                <w:iCs/>
              </w:rPr>
            </w:pPr>
            <w:r w:rsidRPr="001316B6">
              <w:rPr>
                <w:rFonts w:eastAsia="Times New Roman"/>
                <w:b/>
                <w:bCs/>
              </w:rPr>
              <w:t>4 216 555</w:t>
            </w:r>
          </w:p>
        </w:tc>
        <w:tc>
          <w:tcPr>
            <w:tcW w:w="1561" w:type="dxa"/>
            <w:noWrap/>
            <w:vAlign w:val="center"/>
          </w:tcPr>
          <w:p w:rsidR="0051186A" w:rsidRPr="001316B6" w:rsidRDefault="0051186A" w:rsidP="00563700">
            <w:pPr>
              <w:jc w:val="right"/>
              <w:rPr>
                <w:rFonts w:eastAsia="Times New Roman"/>
                <w:bCs/>
                <w:iCs/>
              </w:rPr>
            </w:pPr>
            <w:r w:rsidRPr="001316B6">
              <w:rPr>
                <w:rFonts w:eastAsia="Times New Roman"/>
                <w:b/>
                <w:bCs/>
              </w:rPr>
              <w:t>3 290 385</w:t>
            </w:r>
          </w:p>
        </w:tc>
        <w:tc>
          <w:tcPr>
            <w:tcW w:w="1417" w:type="dxa"/>
            <w:noWrap/>
            <w:vAlign w:val="center"/>
          </w:tcPr>
          <w:p w:rsidR="0051186A" w:rsidRPr="001316B6" w:rsidRDefault="0051186A" w:rsidP="00563700">
            <w:pPr>
              <w:jc w:val="right"/>
              <w:rPr>
                <w:rFonts w:eastAsia="Times New Roman"/>
                <w:bCs/>
                <w:iCs/>
              </w:rPr>
            </w:pPr>
            <w:r w:rsidRPr="001316B6">
              <w:rPr>
                <w:rFonts w:eastAsia="Times New Roman"/>
                <w:b/>
                <w:bCs/>
              </w:rPr>
              <w:t xml:space="preserve">1 427 790   </w:t>
            </w:r>
          </w:p>
        </w:tc>
      </w:tr>
      <w:tr w:rsidR="0051186A" w:rsidRPr="007D5748" w:rsidTr="00563700">
        <w:trPr>
          <w:trHeight w:val="70"/>
          <w:jc w:val="center"/>
        </w:trPr>
        <w:tc>
          <w:tcPr>
            <w:tcW w:w="3223" w:type="dxa"/>
            <w:noWrap/>
            <w:vAlign w:val="center"/>
          </w:tcPr>
          <w:p w:rsidR="0051186A" w:rsidRPr="007D5748" w:rsidRDefault="0051186A" w:rsidP="00563700">
            <w:pPr>
              <w:rPr>
                <w:rFonts w:eastAsia="Times New Roman"/>
                <w:bCs/>
                <w:i/>
                <w:iCs/>
              </w:rPr>
            </w:pPr>
            <w:r w:rsidRPr="007D5748">
              <w:rPr>
                <w:rFonts w:eastAsia="Times New Roman"/>
                <w:bCs/>
                <w:i/>
                <w:iCs/>
              </w:rPr>
              <w:t xml:space="preserve">    EÚ zdroje</w:t>
            </w:r>
          </w:p>
        </w:tc>
        <w:tc>
          <w:tcPr>
            <w:tcW w:w="1717" w:type="dxa"/>
            <w:noWrap/>
            <w:vAlign w:val="center"/>
          </w:tcPr>
          <w:p w:rsidR="0051186A" w:rsidRPr="001316B6" w:rsidRDefault="0051186A" w:rsidP="00563700">
            <w:pPr>
              <w:jc w:val="right"/>
              <w:rPr>
                <w:rFonts w:eastAsia="Times New Roman"/>
              </w:rPr>
            </w:pPr>
            <w:r w:rsidRPr="001316B6">
              <w:rPr>
                <w:rFonts w:eastAsia="Times New Roman"/>
              </w:rPr>
              <w:t>0</w:t>
            </w:r>
          </w:p>
        </w:tc>
        <w:tc>
          <w:tcPr>
            <w:tcW w:w="1464" w:type="dxa"/>
            <w:noWrap/>
            <w:vAlign w:val="center"/>
          </w:tcPr>
          <w:p w:rsidR="0051186A" w:rsidRPr="001316B6" w:rsidRDefault="0051186A" w:rsidP="00563700">
            <w:pPr>
              <w:jc w:val="right"/>
              <w:rPr>
                <w:rFonts w:eastAsia="Times New Roman"/>
              </w:rPr>
            </w:pPr>
            <w:r w:rsidRPr="001316B6">
              <w:rPr>
                <w:rFonts w:eastAsia="Times New Roman"/>
              </w:rPr>
              <w:t>0</w:t>
            </w:r>
          </w:p>
        </w:tc>
        <w:tc>
          <w:tcPr>
            <w:tcW w:w="1561" w:type="dxa"/>
            <w:noWrap/>
            <w:vAlign w:val="center"/>
          </w:tcPr>
          <w:p w:rsidR="0051186A" w:rsidRPr="001316B6" w:rsidRDefault="0051186A" w:rsidP="00563700">
            <w:pPr>
              <w:jc w:val="right"/>
              <w:rPr>
                <w:rFonts w:eastAsia="Times New Roman"/>
              </w:rPr>
            </w:pPr>
            <w:r w:rsidRPr="001316B6">
              <w:rPr>
                <w:rFonts w:eastAsia="Times New Roman"/>
              </w:rPr>
              <w:t>0</w:t>
            </w:r>
          </w:p>
        </w:tc>
        <w:tc>
          <w:tcPr>
            <w:tcW w:w="1417" w:type="dxa"/>
            <w:noWrap/>
            <w:vAlign w:val="center"/>
          </w:tcPr>
          <w:p w:rsidR="0051186A" w:rsidRPr="001316B6" w:rsidRDefault="0051186A" w:rsidP="00563700">
            <w:pPr>
              <w:jc w:val="right"/>
              <w:rPr>
                <w:rFonts w:eastAsia="Times New Roman"/>
              </w:rPr>
            </w:pPr>
            <w:r w:rsidRPr="001316B6">
              <w:rPr>
                <w:rFonts w:eastAsia="Times New Roman"/>
              </w:rPr>
              <w:t>0</w:t>
            </w:r>
          </w:p>
        </w:tc>
      </w:tr>
      <w:tr w:rsidR="0051186A" w:rsidRPr="007D5748" w:rsidTr="00563700">
        <w:trPr>
          <w:trHeight w:val="70"/>
          <w:jc w:val="center"/>
        </w:trPr>
        <w:tc>
          <w:tcPr>
            <w:tcW w:w="3223" w:type="dxa"/>
            <w:noWrap/>
            <w:vAlign w:val="center"/>
          </w:tcPr>
          <w:p w:rsidR="0051186A" w:rsidRPr="007D5748" w:rsidRDefault="0051186A" w:rsidP="00563700">
            <w:pPr>
              <w:rPr>
                <w:rFonts w:eastAsia="Times New Roman"/>
                <w:bCs/>
                <w:i/>
                <w:iCs/>
              </w:rPr>
            </w:pPr>
            <w:r w:rsidRPr="007D5748">
              <w:rPr>
                <w:rFonts w:eastAsia="Times New Roman"/>
                <w:bCs/>
                <w:i/>
                <w:iCs/>
              </w:rPr>
              <w:t xml:space="preserve">    spolufinancovanie</w:t>
            </w:r>
          </w:p>
        </w:tc>
        <w:tc>
          <w:tcPr>
            <w:tcW w:w="1717" w:type="dxa"/>
            <w:noWrap/>
            <w:vAlign w:val="center"/>
          </w:tcPr>
          <w:p w:rsidR="0051186A" w:rsidRPr="007D5748" w:rsidRDefault="0051186A" w:rsidP="00563700">
            <w:pPr>
              <w:jc w:val="right"/>
              <w:rPr>
                <w:rFonts w:eastAsia="Times New Roman"/>
              </w:rPr>
            </w:pPr>
            <w:r w:rsidRPr="007D5748">
              <w:rPr>
                <w:rFonts w:eastAsia="Times New Roman"/>
              </w:rPr>
              <w:t>0</w:t>
            </w:r>
          </w:p>
        </w:tc>
        <w:tc>
          <w:tcPr>
            <w:tcW w:w="1464" w:type="dxa"/>
            <w:noWrap/>
            <w:vAlign w:val="center"/>
          </w:tcPr>
          <w:p w:rsidR="0051186A" w:rsidRPr="007D5748" w:rsidRDefault="0051186A" w:rsidP="00563700">
            <w:pPr>
              <w:jc w:val="right"/>
              <w:rPr>
                <w:rFonts w:eastAsia="Times New Roman"/>
              </w:rPr>
            </w:pPr>
            <w:r w:rsidRPr="007D5748">
              <w:rPr>
                <w:rFonts w:eastAsia="Times New Roman"/>
              </w:rPr>
              <w:t>0</w:t>
            </w:r>
          </w:p>
        </w:tc>
        <w:tc>
          <w:tcPr>
            <w:tcW w:w="1561" w:type="dxa"/>
            <w:noWrap/>
            <w:vAlign w:val="center"/>
          </w:tcPr>
          <w:p w:rsidR="0051186A" w:rsidRPr="007D5748" w:rsidRDefault="0051186A" w:rsidP="00563700">
            <w:pPr>
              <w:jc w:val="right"/>
              <w:rPr>
                <w:rFonts w:eastAsia="Times New Roman"/>
              </w:rPr>
            </w:pPr>
            <w:r w:rsidRPr="007D5748">
              <w:rPr>
                <w:rFonts w:eastAsia="Times New Roman"/>
              </w:rPr>
              <w:t>0</w:t>
            </w:r>
          </w:p>
        </w:tc>
        <w:tc>
          <w:tcPr>
            <w:tcW w:w="1417" w:type="dxa"/>
            <w:noWrap/>
            <w:vAlign w:val="center"/>
          </w:tcPr>
          <w:p w:rsidR="0051186A" w:rsidRPr="007D5748" w:rsidRDefault="0051186A" w:rsidP="00563700">
            <w:pPr>
              <w:jc w:val="right"/>
              <w:rPr>
                <w:rFonts w:eastAsia="Times New Roman"/>
              </w:rPr>
            </w:pPr>
            <w:r w:rsidRPr="007D5748">
              <w:rPr>
                <w:rFonts w:eastAsia="Times New Roman"/>
              </w:rPr>
              <w:t>0</w:t>
            </w:r>
          </w:p>
        </w:tc>
      </w:tr>
      <w:tr w:rsidR="0051186A" w:rsidRPr="007D5748" w:rsidTr="00563700">
        <w:trPr>
          <w:trHeight w:val="125"/>
          <w:jc w:val="center"/>
        </w:trPr>
        <w:tc>
          <w:tcPr>
            <w:tcW w:w="3223" w:type="dxa"/>
            <w:noWrap/>
            <w:vAlign w:val="center"/>
          </w:tcPr>
          <w:p w:rsidR="0051186A" w:rsidRPr="007D5748" w:rsidRDefault="0051186A" w:rsidP="00563700">
            <w:pPr>
              <w:rPr>
                <w:rFonts w:eastAsia="Times New Roman"/>
                <w:b/>
                <w:bCs/>
                <w:i/>
                <w:iCs/>
              </w:rPr>
            </w:pPr>
            <w:r w:rsidRPr="007D5748">
              <w:rPr>
                <w:rFonts w:eastAsia="Times New Roman"/>
                <w:b/>
                <w:bCs/>
                <w:i/>
                <w:iCs/>
              </w:rPr>
              <w:t>- vplyv na obce</w:t>
            </w:r>
          </w:p>
        </w:tc>
        <w:tc>
          <w:tcPr>
            <w:tcW w:w="17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64"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561"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r>
      <w:tr w:rsidR="0051186A" w:rsidRPr="007D5748" w:rsidTr="00563700">
        <w:trPr>
          <w:trHeight w:val="125"/>
          <w:jc w:val="center"/>
        </w:trPr>
        <w:tc>
          <w:tcPr>
            <w:tcW w:w="3223" w:type="dxa"/>
            <w:noWrap/>
            <w:vAlign w:val="center"/>
          </w:tcPr>
          <w:p w:rsidR="0051186A" w:rsidRPr="007D5748" w:rsidRDefault="0051186A" w:rsidP="00563700">
            <w:pPr>
              <w:rPr>
                <w:rFonts w:eastAsia="Times New Roman"/>
                <w:b/>
                <w:bCs/>
                <w:i/>
                <w:iCs/>
              </w:rPr>
            </w:pPr>
            <w:r w:rsidRPr="007D5748">
              <w:rPr>
                <w:rFonts w:eastAsia="Times New Roman"/>
                <w:b/>
                <w:bCs/>
                <w:i/>
                <w:iCs/>
              </w:rPr>
              <w:t>- vplyv na vyššie územné celky</w:t>
            </w:r>
          </w:p>
        </w:tc>
        <w:tc>
          <w:tcPr>
            <w:tcW w:w="17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64"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561"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r>
      <w:tr w:rsidR="0051186A" w:rsidRPr="007D5748" w:rsidTr="00563700">
        <w:trPr>
          <w:trHeight w:val="70"/>
          <w:jc w:val="center"/>
        </w:trPr>
        <w:tc>
          <w:tcPr>
            <w:tcW w:w="3223" w:type="dxa"/>
            <w:noWrap/>
            <w:vAlign w:val="center"/>
          </w:tcPr>
          <w:p w:rsidR="0051186A" w:rsidRPr="007D5748" w:rsidRDefault="0051186A" w:rsidP="00563700">
            <w:pPr>
              <w:rPr>
                <w:rFonts w:eastAsia="Times New Roman"/>
                <w:b/>
                <w:bCs/>
              </w:rPr>
            </w:pPr>
            <w:r w:rsidRPr="007D5748">
              <w:rPr>
                <w:rFonts w:eastAsia="Times New Roman"/>
                <w:b/>
                <w:bCs/>
                <w:i/>
                <w:iCs/>
              </w:rPr>
              <w:t>- vplyv na ostatné subjekty verejnej správy</w:t>
            </w:r>
          </w:p>
        </w:tc>
        <w:tc>
          <w:tcPr>
            <w:tcW w:w="17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64"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561"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r>
      <w:tr w:rsidR="0051186A" w:rsidRPr="007D5748" w:rsidTr="00563700">
        <w:trPr>
          <w:trHeight w:val="70"/>
          <w:jc w:val="center"/>
        </w:trPr>
        <w:tc>
          <w:tcPr>
            <w:tcW w:w="3223" w:type="dxa"/>
            <w:shd w:val="clear" w:color="auto" w:fill="BFBFBF" w:themeFill="background1" w:themeFillShade="BF"/>
            <w:noWrap/>
            <w:vAlign w:val="center"/>
          </w:tcPr>
          <w:p w:rsidR="0051186A" w:rsidRPr="007D5748" w:rsidRDefault="0051186A" w:rsidP="00563700">
            <w:pPr>
              <w:rPr>
                <w:rFonts w:eastAsia="Times New Roman"/>
                <w:b/>
                <w:bCs/>
              </w:rPr>
            </w:pPr>
            <w:r w:rsidRPr="007D5748">
              <w:rPr>
                <w:rFonts w:eastAsia="Times New Roman"/>
                <w:b/>
                <w:bCs/>
              </w:rPr>
              <w:t xml:space="preserve">Vplyv na počet zamestnancov </w:t>
            </w:r>
          </w:p>
        </w:tc>
        <w:tc>
          <w:tcPr>
            <w:tcW w:w="1717" w:type="dxa"/>
            <w:shd w:val="clear" w:color="auto" w:fill="BFBFBF" w:themeFill="background1" w:themeFillShade="BF"/>
            <w:noWrap/>
            <w:vAlign w:val="center"/>
          </w:tcPr>
          <w:p w:rsidR="0051186A" w:rsidRPr="007D5748" w:rsidRDefault="0051186A" w:rsidP="00563700">
            <w:pPr>
              <w:jc w:val="right"/>
              <w:rPr>
                <w:rFonts w:eastAsia="Times New Roman"/>
                <w:b/>
                <w:bCs/>
              </w:rPr>
            </w:pPr>
            <w:r w:rsidRPr="007D5748">
              <w:rPr>
                <w:rFonts w:eastAsia="Times New Roman"/>
                <w:b/>
                <w:bCs/>
              </w:rPr>
              <w:t>0</w:t>
            </w:r>
          </w:p>
        </w:tc>
        <w:tc>
          <w:tcPr>
            <w:tcW w:w="1464" w:type="dxa"/>
            <w:shd w:val="clear" w:color="auto" w:fill="BFBFBF" w:themeFill="background1" w:themeFillShade="BF"/>
            <w:noWrap/>
            <w:vAlign w:val="center"/>
          </w:tcPr>
          <w:p w:rsidR="0051186A" w:rsidRPr="007D5748" w:rsidRDefault="0051186A" w:rsidP="00563700">
            <w:pPr>
              <w:jc w:val="right"/>
              <w:rPr>
                <w:rFonts w:eastAsia="Times New Roman"/>
                <w:b/>
                <w:bCs/>
              </w:rPr>
            </w:pPr>
            <w:r w:rsidRPr="007D5748">
              <w:rPr>
                <w:rFonts w:eastAsia="Times New Roman"/>
                <w:b/>
                <w:bCs/>
              </w:rPr>
              <w:t>0</w:t>
            </w:r>
          </w:p>
        </w:tc>
        <w:tc>
          <w:tcPr>
            <w:tcW w:w="1561" w:type="dxa"/>
            <w:shd w:val="clear" w:color="auto" w:fill="BFBFBF" w:themeFill="background1" w:themeFillShade="BF"/>
            <w:noWrap/>
            <w:vAlign w:val="center"/>
          </w:tcPr>
          <w:p w:rsidR="0051186A" w:rsidRPr="007D5748" w:rsidRDefault="0051186A" w:rsidP="00563700">
            <w:pPr>
              <w:jc w:val="right"/>
              <w:rPr>
                <w:rFonts w:eastAsia="Times New Roman"/>
                <w:b/>
                <w:bCs/>
              </w:rPr>
            </w:pPr>
            <w:r w:rsidRPr="007D5748">
              <w:rPr>
                <w:rFonts w:eastAsia="Times New Roman"/>
                <w:b/>
                <w:bCs/>
              </w:rPr>
              <w:t>0</w:t>
            </w:r>
          </w:p>
        </w:tc>
        <w:tc>
          <w:tcPr>
            <w:tcW w:w="1417" w:type="dxa"/>
            <w:shd w:val="clear" w:color="auto" w:fill="BFBFBF" w:themeFill="background1" w:themeFillShade="BF"/>
            <w:noWrap/>
            <w:vAlign w:val="center"/>
          </w:tcPr>
          <w:p w:rsidR="0051186A" w:rsidRPr="007D5748" w:rsidRDefault="0051186A" w:rsidP="00563700">
            <w:pPr>
              <w:jc w:val="right"/>
              <w:rPr>
                <w:rFonts w:eastAsia="Times New Roman"/>
                <w:b/>
                <w:bCs/>
              </w:rPr>
            </w:pPr>
            <w:r w:rsidRPr="007D5748">
              <w:rPr>
                <w:rFonts w:eastAsia="Times New Roman"/>
                <w:b/>
                <w:bCs/>
              </w:rPr>
              <w:t>0</w:t>
            </w:r>
          </w:p>
        </w:tc>
      </w:tr>
      <w:tr w:rsidR="0051186A" w:rsidRPr="007D5748" w:rsidTr="00563700">
        <w:trPr>
          <w:trHeight w:val="70"/>
          <w:jc w:val="center"/>
        </w:trPr>
        <w:tc>
          <w:tcPr>
            <w:tcW w:w="3223" w:type="dxa"/>
            <w:noWrap/>
            <w:vAlign w:val="center"/>
          </w:tcPr>
          <w:p w:rsidR="0051186A" w:rsidRPr="007D5748" w:rsidRDefault="0051186A" w:rsidP="00563700">
            <w:pPr>
              <w:rPr>
                <w:rFonts w:eastAsia="Times New Roman"/>
                <w:b/>
                <w:bCs/>
                <w:i/>
                <w:iCs/>
              </w:rPr>
            </w:pPr>
            <w:r w:rsidRPr="007D5748">
              <w:rPr>
                <w:rFonts w:eastAsia="Times New Roman"/>
                <w:b/>
                <w:bCs/>
                <w:i/>
                <w:iCs/>
              </w:rPr>
              <w:t>- vplyv na ŠR</w:t>
            </w:r>
          </w:p>
        </w:tc>
        <w:tc>
          <w:tcPr>
            <w:tcW w:w="17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64"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561"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r>
      <w:tr w:rsidR="0051186A" w:rsidRPr="007D5748" w:rsidTr="00563700">
        <w:trPr>
          <w:trHeight w:val="70"/>
          <w:jc w:val="center"/>
        </w:trPr>
        <w:tc>
          <w:tcPr>
            <w:tcW w:w="3223" w:type="dxa"/>
            <w:noWrap/>
            <w:vAlign w:val="center"/>
          </w:tcPr>
          <w:p w:rsidR="0051186A" w:rsidRPr="007D5748" w:rsidRDefault="0051186A" w:rsidP="00563700">
            <w:pPr>
              <w:rPr>
                <w:rFonts w:eastAsia="Times New Roman"/>
                <w:b/>
                <w:bCs/>
                <w:i/>
                <w:iCs/>
              </w:rPr>
            </w:pPr>
            <w:r w:rsidRPr="007D5748">
              <w:rPr>
                <w:rFonts w:eastAsia="Times New Roman"/>
                <w:b/>
                <w:bCs/>
                <w:i/>
                <w:iCs/>
              </w:rPr>
              <w:t>- vplyv na obce</w:t>
            </w:r>
          </w:p>
        </w:tc>
        <w:tc>
          <w:tcPr>
            <w:tcW w:w="17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64"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561"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r>
      <w:tr w:rsidR="0051186A" w:rsidRPr="007D5748" w:rsidTr="00563700">
        <w:trPr>
          <w:trHeight w:val="70"/>
          <w:jc w:val="center"/>
        </w:trPr>
        <w:tc>
          <w:tcPr>
            <w:tcW w:w="3223" w:type="dxa"/>
            <w:noWrap/>
            <w:vAlign w:val="center"/>
          </w:tcPr>
          <w:p w:rsidR="0051186A" w:rsidRPr="007D5748" w:rsidRDefault="0051186A" w:rsidP="00563700">
            <w:pPr>
              <w:rPr>
                <w:rFonts w:eastAsia="Times New Roman"/>
                <w:b/>
                <w:bCs/>
                <w:i/>
                <w:iCs/>
              </w:rPr>
            </w:pPr>
            <w:r w:rsidRPr="007D5748">
              <w:rPr>
                <w:rFonts w:eastAsia="Times New Roman"/>
                <w:b/>
                <w:bCs/>
                <w:i/>
                <w:iCs/>
              </w:rPr>
              <w:t>- vplyv na vyššie územné celky</w:t>
            </w:r>
          </w:p>
        </w:tc>
        <w:tc>
          <w:tcPr>
            <w:tcW w:w="17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64"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561"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r>
      <w:tr w:rsidR="0051186A" w:rsidRPr="007D5748" w:rsidTr="00563700">
        <w:trPr>
          <w:trHeight w:val="70"/>
          <w:jc w:val="center"/>
        </w:trPr>
        <w:tc>
          <w:tcPr>
            <w:tcW w:w="3223" w:type="dxa"/>
            <w:noWrap/>
            <w:vAlign w:val="center"/>
          </w:tcPr>
          <w:p w:rsidR="0051186A" w:rsidRPr="007D5748" w:rsidRDefault="0051186A" w:rsidP="00563700">
            <w:pPr>
              <w:rPr>
                <w:rFonts w:eastAsia="Times New Roman"/>
                <w:b/>
                <w:bCs/>
                <w:i/>
                <w:iCs/>
              </w:rPr>
            </w:pPr>
            <w:r w:rsidRPr="007D5748">
              <w:rPr>
                <w:rFonts w:eastAsia="Times New Roman"/>
                <w:b/>
                <w:bCs/>
                <w:i/>
                <w:iCs/>
              </w:rPr>
              <w:t>- vplyv na ostatné subjekty verejnej správy</w:t>
            </w:r>
          </w:p>
        </w:tc>
        <w:tc>
          <w:tcPr>
            <w:tcW w:w="17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64"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561"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r>
      <w:tr w:rsidR="0051186A" w:rsidRPr="007D5748" w:rsidTr="00563700">
        <w:trPr>
          <w:trHeight w:val="70"/>
          <w:jc w:val="center"/>
        </w:trPr>
        <w:tc>
          <w:tcPr>
            <w:tcW w:w="3223" w:type="dxa"/>
            <w:shd w:val="clear" w:color="auto" w:fill="BFBFBF" w:themeFill="background1" w:themeFillShade="BF"/>
            <w:noWrap/>
            <w:vAlign w:val="center"/>
          </w:tcPr>
          <w:p w:rsidR="0051186A" w:rsidRPr="007D5748" w:rsidRDefault="0051186A" w:rsidP="00563700">
            <w:pPr>
              <w:rPr>
                <w:rFonts w:eastAsia="Times New Roman"/>
                <w:b/>
              </w:rPr>
            </w:pPr>
            <w:r w:rsidRPr="007D5748">
              <w:rPr>
                <w:rFonts w:eastAsia="Times New Roman"/>
                <w:b/>
              </w:rPr>
              <w:t>Vplyv na mzdové výdavky</w:t>
            </w:r>
          </w:p>
        </w:tc>
        <w:tc>
          <w:tcPr>
            <w:tcW w:w="1717" w:type="dxa"/>
            <w:shd w:val="clear" w:color="auto" w:fill="BFBFBF" w:themeFill="background1" w:themeFillShade="BF"/>
            <w:noWrap/>
            <w:vAlign w:val="center"/>
          </w:tcPr>
          <w:p w:rsidR="0051186A" w:rsidRPr="007D5748" w:rsidRDefault="0051186A" w:rsidP="00563700">
            <w:pPr>
              <w:jc w:val="right"/>
              <w:rPr>
                <w:rFonts w:eastAsia="Times New Roman"/>
                <w:b/>
              </w:rPr>
            </w:pPr>
            <w:r w:rsidRPr="007D5748">
              <w:rPr>
                <w:rFonts w:eastAsia="Times New Roman"/>
                <w:b/>
              </w:rPr>
              <w:t>0</w:t>
            </w:r>
          </w:p>
        </w:tc>
        <w:tc>
          <w:tcPr>
            <w:tcW w:w="1464" w:type="dxa"/>
            <w:shd w:val="clear" w:color="auto" w:fill="BFBFBF" w:themeFill="background1" w:themeFillShade="BF"/>
            <w:noWrap/>
            <w:vAlign w:val="center"/>
          </w:tcPr>
          <w:p w:rsidR="0051186A" w:rsidRPr="007D5748" w:rsidRDefault="0051186A" w:rsidP="00563700">
            <w:pPr>
              <w:jc w:val="right"/>
              <w:rPr>
                <w:rFonts w:eastAsia="Times New Roman"/>
                <w:b/>
              </w:rPr>
            </w:pPr>
            <w:r w:rsidRPr="007D5748">
              <w:rPr>
                <w:rFonts w:eastAsia="Times New Roman"/>
                <w:b/>
              </w:rPr>
              <w:t>0</w:t>
            </w:r>
          </w:p>
        </w:tc>
        <w:tc>
          <w:tcPr>
            <w:tcW w:w="1561" w:type="dxa"/>
            <w:shd w:val="clear" w:color="auto" w:fill="BFBFBF" w:themeFill="background1" w:themeFillShade="BF"/>
            <w:noWrap/>
            <w:vAlign w:val="center"/>
          </w:tcPr>
          <w:p w:rsidR="0051186A" w:rsidRPr="007D5748" w:rsidRDefault="0051186A" w:rsidP="00563700">
            <w:pPr>
              <w:jc w:val="right"/>
              <w:rPr>
                <w:rFonts w:eastAsia="Times New Roman"/>
                <w:b/>
              </w:rPr>
            </w:pPr>
            <w:r w:rsidRPr="007D5748">
              <w:rPr>
                <w:rFonts w:eastAsia="Times New Roman"/>
                <w:b/>
              </w:rPr>
              <w:t>0</w:t>
            </w:r>
          </w:p>
        </w:tc>
        <w:tc>
          <w:tcPr>
            <w:tcW w:w="1417" w:type="dxa"/>
            <w:shd w:val="clear" w:color="auto" w:fill="BFBFBF" w:themeFill="background1" w:themeFillShade="BF"/>
            <w:noWrap/>
            <w:vAlign w:val="center"/>
          </w:tcPr>
          <w:p w:rsidR="0051186A" w:rsidRPr="007D5748" w:rsidRDefault="0051186A" w:rsidP="00563700">
            <w:pPr>
              <w:jc w:val="right"/>
              <w:rPr>
                <w:rFonts w:eastAsia="Times New Roman"/>
                <w:b/>
              </w:rPr>
            </w:pPr>
            <w:r w:rsidRPr="007D5748">
              <w:rPr>
                <w:rFonts w:eastAsia="Times New Roman"/>
                <w:b/>
              </w:rPr>
              <w:t>0</w:t>
            </w:r>
          </w:p>
        </w:tc>
      </w:tr>
      <w:tr w:rsidR="0051186A" w:rsidRPr="007D5748" w:rsidTr="00563700">
        <w:trPr>
          <w:trHeight w:val="70"/>
          <w:jc w:val="center"/>
        </w:trPr>
        <w:tc>
          <w:tcPr>
            <w:tcW w:w="3223" w:type="dxa"/>
            <w:noWrap/>
            <w:vAlign w:val="center"/>
          </w:tcPr>
          <w:p w:rsidR="0051186A" w:rsidRPr="007D5748" w:rsidRDefault="0051186A" w:rsidP="00563700">
            <w:pPr>
              <w:rPr>
                <w:rFonts w:eastAsia="Times New Roman"/>
                <w:b/>
                <w:bCs/>
                <w:i/>
                <w:iCs/>
              </w:rPr>
            </w:pPr>
            <w:r w:rsidRPr="007D5748">
              <w:rPr>
                <w:rFonts w:eastAsia="Times New Roman"/>
                <w:b/>
                <w:bCs/>
                <w:i/>
                <w:iCs/>
              </w:rPr>
              <w:t>- vplyv na ŠR</w:t>
            </w:r>
          </w:p>
        </w:tc>
        <w:tc>
          <w:tcPr>
            <w:tcW w:w="17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64"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561"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r>
      <w:tr w:rsidR="0051186A" w:rsidRPr="007D5748" w:rsidTr="00563700">
        <w:trPr>
          <w:trHeight w:val="70"/>
          <w:jc w:val="center"/>
        </w:trPr>
        <w:tc>
          <w:tcPr>
            <w:tcW w:w="3223" w:type="dxa"/>
            <w:noWrap/>
            <w:vAlign w:val="center"/>
          </w:tcPr>
          <w:p w:rsidR="0051186A" w:rsidRPr="007D5748" w:rsidRDefault="0051186A" w:rsidP="00563700">
            <w:pPr>
              <w:rPr>
                <w:rFonts w:eastAsia="Times New Roman"/>
                <w:b/>
                <w:bCs/>
                <w:i/>
                <w:iCs/>
              </w:rPr>
            </w:pPr>
            <w:r w:rsidRPr="007D5748">
              <w:rPr>
                <w:rFonts w:eastAsia="Times New Roman"/>
                <w:b/>
                <w:bCs/>
                <w:i/>
                <w:iCs/>
              </w:rPr>
              <w:t>- vplyv na obce</w:t>
            </w:r>
          </w:p>
        </w:tc>
        <w:tc>
          <w:tcPr>
            <w:tcW w:w="17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64"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561"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r>
      <w:tr w:rsidR="0051186A" w:rsidRPr="007D5748" w:rsidTr="00563700">
        <w:trPr>
          <w:trHeight w:val="70"/>
          <w:jc w:val="center"/>
        </w:trPr>
        <w:tc>
          <w:tcPr>
            <w:tcW w:w="3223" w:type="dxa"/>
            <w:noWrap/>
            <w:vAlign w:val="center"/>
          </w:tcPr>
          <w:p w:rsidR="0051186A" w:rsidRPr="007D5748" w:rsidRDefault="0051186A" w:rsidP="00563700">
            <w:pPr>
              <w:rPr>
                <w:rFonts w:eastAsia="Times New Roman"/>
                <w:b/>
                <w:bCs/>
                <w:i/>
                <w:iCs/>
              </w:rPr>
            </w:pPr>
            <w:r w:rsidRPr="007D5748">
              <w:rPr>
                <w:rFonts w:eastAsia="Times New Roman"/>
                <w:b/>
                <w:bCs/>
                <w:i/>
                <w:iCs/>
              </w:rPr>
              <w:t>- vplyv na vyššie územné celky</w:t>
            </w:r>
          </w:p>
        </w:tc>
        <w:tc>
          <w:tcPr>
            <w:tcW w:w="17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64"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561"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r>
      <w:tr w:rsidR="0051186A" w:rsidRPr="007D5748" w:rsidTr="00563700">
        <w:trPr>
          <w:trHeight w:val="70"/>
          <w:jc w:val="center"/>
        </w:trPr>
        <w:tc>
          <w:tcPr>
            <w:tcW w:w="3223" w:type="dxa"/>
            <w:noWrap/>
            <w:vAlign w:val="center"/>
          </w:tcPr>
          <w:p w:rsidR="0051186A" w:rsidRPr="007D5748" w:rsidRDefault="0051186A" w:rsidP="00563700">
            <w:pPr>
              <w:rPr>
                <w:rFonts w:eastAsia="Times New Roman"/>
                <w:b/>
                <w:bCs/>
              </w:rPr>
            </w:pPr>
            <w:r w:rsidRPr="007D5748">
              <w:rPr>
                <w:rFonts w:eastAsia="Times New Roman"/>
                <w:b/>
                <w:bCs/>
                <w:i/>
                <w:iCs/>
              </w:rPr>
              <w:t>- vplyv na ostatné subjekty verejnej správy</w:t>
            </w:r>
          </w:p>
        </w:tc>
        <w:tc>
          <w:tcPr>
            <w:tcW w:w="17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64"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561"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c>
          <w:tcPr>
            <w:tcW w:w="1417" w:type="dxa"/>
            <w:noWrap/>
            <w:vAlign w:val="center"/>
          </w:tcPr>
          <w:p w:rsidR="0051186A" w:rsidRPr="007D5748" w:rsidRDefault="0051186A" w:rsidP="00563700">
            <w:pPr>
              <w:jc w:val="right"/>
              <w:rPr>
                <w:rFonts w:eastAsia="Times New Roman"/>
                <w:b/>
                <w:bCs/>
                <w:iCs/>
              </w:rPr>
            </w:pPr>
            <w:r w:rsidRPr="007D5748">
              <w:rPr>
                <w:rFonts w:eastAsia="Times New Roman"/>
                <w:b/>
                <w:bCs/>
                <w:iCs/>
              </w:rPr>
              <w:t>0</w:t>
            </w:r>
          </w:p>
        </w:tc>
      </w:tr>
      <w:tr w:rsidR="0051186A" w:rsidRPr="007D5748" w:rsidTr="00563700">
        <w:trPr>
          <w:trHeight w:val="70"/>
          <w:jc w:val="center"/>
        </w:trPr>
        <w:tc>
          <w:tcPr>
            <w:tcW w:w="3223" w:type="dxa"/>
            <w:shd w:val="clear" w:color="auto" w:fill="C0C0C0"/>
            <w:noWrap/>
            <w:vAlign w:val="center"/>
          </w:tcPr>
          <w:p w:rsidR="0051186A" w:rsidRPr="007D5748" w:rsidRDefault="0051186A" w:rsidP="00563700">
            <w:pPr>
              <w:rPr>
                <w:rFonts w:eastAsia="Times New Roman"/>
                <w:b/>
                <w:bCs/>
              </w:rPr>
            </w:pPr>
            <w:r w:rsidRPr="007D5748">
              <w:rPr>
                <w:rFonts w:eastAsia="Times New Roman"/>
                <w:b/>
                <w:bCs/>
              </w:rPr>
              <w:t>Financovanie zabezpečené v rozpočte</w:t>
            </w:r>
          </w:p>
        </w:tc>
        <w:tc>
          <w:tcPr>
            <w:tcW w:w="1717" w:type="dxa"/>
            <w:shd w:val="clear" w:color="auto" w:fill="C0C0C0"/>
            <w:noWrap/>
            <w:vAlign w:val="center"/>
          </w:tcPr>
          <w:p w:rsidR="0051186A" w:rsidRPr="00BF6FA7" w:rsidRDefault="0051186A" w:rsidP="00563700">
            <w:pPr>
              <w:jc w:val="right"/>
              <w:rPr>
                <w:rFonts w:eastAsia="Times New Roman"/>
                <w:b/>
                <w:bCs/>
                <w:highlight w:val="yellow"/>
              </w:rPr>
            </w:pPr>
            <w:r w:rsidRPr="001316B6">
              <w:rPr>
                <w:rFonts w:eastAsia="Times New Roman"/>
                <w:b/>
                <w:bCs/>
              </w:rPr>
              <w:t>34 237 910</w:t>
            </w:r>
          </w:p>
        </w:tc>
        <w:tc>
          <w:tcPr>
            <w:tcW w:w="1464" w:type="dxa"/>
            <w:shd w:val="clear" w:color="auto" w:fill="C0C0C0"/>
            <w:noWrap/>
            <w:vAlign w:val="center"/>
          </w:tcPr>
          <w:p w:rsidR="0051186A" w:rsidRPr="00BF6FA7" w:rsidRDefault="0051186A" w:rsidP="00563700">
            <w:pPr>
              <w:jc w:val="right"/>
              <w:rPr>
                <w:rFonts w:eastAsia="Times New Roman"/>
                <w:b/>
                <w:bCs/>
                <w:iCs/>
                <w:highlight w:val="yellow"/>
              </w:rPr>
            </w:pPr>
            <w:r w:rsidRPr="001316B6">
              <w:rPr>
                <w:rFonts w:eastAsia="Times New Roman"/>
                <w:b/>
                <w:bCs/>
              </w:rPr>
              <w:t>4 216 555</w:t>
            </w:r>
          </w:p>
        </w:tc>
        <w:tc>
          <w:tcPr>
            <w:tcW w:w="1561" w:type="dxa"/>
            <w:shd w:val="clear" w:color="auto" w:fill="C0C0C0"/>
            <w:noWrap/>
            <w:vAlign w:val="center"/>
          </w:tcPr>
          <w:p w:rsidR="0051186A" w:rsidRPr="00BF6FA7" w:rsidRDefault="0051186A" w:rsidP="00563700">
            <w:pPr>
              <w:jc w:val="right"/>
              <w:rPr>
                <w:rFonts w:eastAsia="Times New Roman"/>
                <w:b/>
                <w:bCs/>
                <w:iCs/>
                <w:highlight w:val="yellow"/>
              </w:rPr>
            </w:pPr>
            <w:r w:rsidRPr="001316B6">
              <w:rPr>
                <w:rFonts w:eastAsia="Times New Roman"/>
                <w:b/>
                <w:bCs/>
              </w:rPr>
              <w:t>3 290 385</w:t>
            </w:r>
          </w:p>
        </w:tc>
        <w:tc>
          <w:tcPr>
            <w:tcW w:w="1417" w:type="dxa"/>
            <w:shd w:val="clear" w:color="auto" w:fill="C0C0C0"/>
            <w:noWrap/>
            <w:vAlign w:val="center"/>
          </w:tcPr>
          <w:p w:rsidR="0051186A" w:rsidRPr="00BF6FA7" w:rsidRDefault="0051186A" w:rsidP="00563700">
            <w:pPr>
              <w:jc w:val="right"/>
              <w:rPr>
                <w:rFonts w:eastAsia="Times New Roman"/>
                <w:b/>
                <w:bCs/>
                <w:iCs/>
                <w:highlight w:val="yellow"/>
              </w:rPr>
            </w:pPr>
            <w:r w:rsidRPr="001316B6">
              <w:rPr>
                <w:rFonts w:eastAsia="Times New Roman"/>
                <w:b/>
                <w:bCs/>
              </w:rPr>
              <w:t xml:space="preserve">1 427 790   </w:t>
            </w:r>
          </w:p>
        </w:tc>
      </w:tr>
      <w:tr w:rsidR="0051186A" w:rsidRPr="007D5748" w:rsidTr="00563700">
        <w:trPr>
          <w:trHeight w:val="70"/>
          <w:jc w:val="center"/>
        </w:trPr>
        <w:tc>
          <w:tcPr>
            <w:tcW w:w="3223" w:type="dxa"/>
            <w:noWrap/>
            <w:vAlign w:val="center"/>
          </w:tcPr>
          <w:p w:rsidR="0051186A" w:rsidRPr="007D5748" w:rsidRDefault="0051186A" w:rsidP="00563700">
            <w:pPr>
              <w:rPr>
                <w:rFonts w:eastAsia="Times New Roman"/>
              </w:rPr>
            </w:pPr>
            <w:r w:rsidRPr="007D5748">
              <w:rPr>
                <w:rFonts w:eastAsia="Times New Roman"/>
              </w:rPr>
              <w:t xml:space="preserve">v tom: za každý subjekt </w:t>
            </w:r>
            <w:r w:rsidRPr="007D5748">
              <w:rPr>
                <w:rFonts w:eastAsia="Times New Roman"/>
              </w:rPr>
              <w:lastRenderedPageBreak/>
              <w:t>verejnej správy / program zvlášť</w:t>
            </w:r>
          </w:p>
        </w:tc>
        <w:tc>
          <w:tcPr>
            <w:tcW w:w="1717" w:type="dxa"/>
            <w:noWrap/>
            <w:vAlign w:val="center"/>
          </w:tcPr>
          <w:p w:rsidR="0051186A" w:rsidRPr="007D5748" w:rsidRDefault="0051186A" w:rsidP="00563700">
            <w:pPr>
              <w:jc w:val="right"/>
              <w:rPr>
                <w:rFonts w:eastAsia="Times New Roman"/>
              </w:rPr>
            </w:pPr>
            <w:r w:rsidRPr="007D5748">
              <w:rPr>
                <w:rFonts w:eastAsia="Times New Roman"/>
              </w:rPr>
              <w:lastRenderedPageBreak/>
              <w:t>0</w:t>
            </w:r>
          </w:p>
        </w:tc>
        <w:tc>
          <w:tcPr>
            <w:tcW w:w="1464" w:type="dxa"/>
            <w:noWrap/>
            <w:vAlign w:val="center"/>
          </w:tcPr>
          <w:p w:rsidR="0051186A" w:rsidRPr="007D5748" w:rsidRDefault="0051186A" w:rsidP="00563700">
            <w:pPr>
              <w:jc w:val="right"/>
              <w:rPr>
                <w:rFonts w:eastAsia="Times New Roman"/>
              </w:rPr>
            </w:pPr>
            <w:r w:rsidRPr="007D5748">
              <w:rPr>
                <w:rFonts w:eastAsia="Times New Roman"/>
              </w:rPr>
              <w:t>0</w:t>
            </w:r>
          </w:p>
        </w:tc>
        <w:tc>
          <w:tcPr>
            <w:tcW w:w="1561" w:type="dxa"/>
            <w:noWrap/>
            <w:vAlign w:val="center"/>
          </w:tcPr>
          <w:p w:rsidR="0051186A" w:rsidRPr="007D5748" w:rsidRDefault="0051186A" w:rsidP="00563700">
            <w:pPr>
              <w:jc w:val="right"/>
              <w:rPr>
                <w:rFonts w:eastAsia="Times New Roman"/>
              </w:rPr>
            </w:pPr>
            <w:r w:rsidRPr="007D5748">
              <w:rPr>
                <w:rFonts w:eastAsia="Times New Roman"/>
              </w:rPr>
              <w:t>0</w:t>
            </w:r>
          </w:p>
        </w:tc>
        <w:tc>
          <w:tcPr>
            <w:tcW w:w="1417" w:type="dxa"/>
            <w:noWrap/>
            <w:vAlign w:val="center"/>
          </w:tcPr>
          <w:p w:rsidR="0051186A" w:rsidRPr="007D5748" w:rsidRDefault="0051186A" w:rsidP="00563700">
            <w:pPr>
              <w:jc w:val="right"/>
              <w:rPr>
                <w:rFonts w:eastAsia="Times New Roman"/>
              </w:rPr>
            </w:pPr>
            <w:r w:rsidRPr="007D5748">
              <w:rPr>
                <w:rFonts w:eastAsia="Times New Roman"/>
              </w:rPr>
              <w:t>0</w:t>
            </w:r>
          </w:p>
        </w:tc>
      </w:tr>
      <w:tr w:rsidR="0051186A" w:rsidRPr="007D5748" w:rsidTr="00563700">
        <w:trPr>
          <w:trHeight w:val="70"/>
          <w:jc w:val="center"/>
        </w:trPr>
        <w:tc>
          <w:tcPr>
            <w:tcW w:w="3223" w:type="dxa"/>
            <w:shd w:val="clear" w:color="auto" w:fill="BFBFBF" w:themeFill="background1" w:themeFillShade="BF"/>
            <w:noWrap/>
            <w:vAlign w:val="center"/>
          </w:tcPr>
          <w:p w:rsidR="0051186A" w:rsidRPr="007D5748" w:rsidRDefault="0051186A" w:rsidP="00563700">
            <w:pPr>
              <w:rPr>
                <w:rFonts w:eastAsia="Times New Roman"/>
                <w:b/>
              </w:rPr>
            </w:pPr>
            <w:r w:rsidRPr="007D5748">
              <w:rPr>
                <w:rFonts w:eastAsia="Times New Roman"/>
                <w:b/>
              </w:rPr>
              <w:lastRenderedPageBreak/>
              <w:t>Iné ako rozpočtové zdroje</w:t>
            </w:r>
          </w:p>
        </w:tc>
        <w:tc>
          <w:tcPr>
            <w:tcW w:w="1717" w:type="dxa"/>
            <w:shd w:val="clear" w:color="auto" w:fill="BFBFBF" w:themeFill="background1" w:themeFillShade="BF"/>
            <w:noWrap/>
            <w:vAlign w:val="center"/>
          </w:tcPr>
          <w:p w:rsidR="0051186A" w:rsidRPr="007D5748" w:rsidRDefault="0051186A" w:rsidP="00563700">
            <w:pPr>
              <w:jc w:val="right"/>
              <w:rPr>
                <w:rFonts w:eastAsia="Times New Roman"/>
                <w:b/>
                <w:bCs/>
              </w:rPr>
            </w:pPr>
            <w:r w:rsidRPr="007D5748">
              <w:rPr>
                <w:rFonts w:eastAsia="Times New Roman"/>
                <w:b/>
                <w:bCs/>
              </w:rPr>
              <w:t>0</w:t>
            </w:r>
          </w:p>
        </w:tc>
        <w:tc>
          <w:tcPr>
            <w:tcW w:w="1464" w:type="dxa"/>
            <w:shd w:val="clear" w:color="auto" w:fill="BFBFBF" w:themeFill="background1" w:themeFillShade="BF"/>
            <w:noWrap/>
            <w:vAlign w:val="center"/>
          </w:tcPr>
          <w:p w:rsidR="0051186A" w:rsidRPr="007D5748" w:rsidRDefault="0051186A" w:rsidP="00563700">
            <w:pPr>
              <w:jc w:val="right"/>
              <w:rPr>
                <w:rFonts w:eastAsia="Times New Roman"/>
                <w:b/>
                <w:bCs/>
              </w:rPr>
            </w:pPr>
            <w:r w:rsidRPr="007D5748">
              <w:rPr>
                <w:rFonts w:eastAsia="Times New Roman"/>
                <w:b/>
                <w:bCs/>
              </w:rPr>
              <w:t>0</w:t>
            </w:r>
          </w:p>
        </w:tc>
        <w:tc>
          <w:tcPr>
            <w:tcW w:w="1561" w:type="dxa"/>
            <w:shd w:val="clear" w:color="auto" w:fill="BFBFBF" w:themeFill="background1" w:themeFillShade="BF"/>
            <w:noWrap/>
            <w:vAlign w:val="center"/>
          </w:tcPr>
          <w:p w:rsidR="0051186A" w:rsidRPr="007D5748" w:rsidRDefault="0051186A" w:rsidP="00563700">
            <w:pPr>
              <w:jc w:val="right"/>
              <w:rPr>
                <w:rFonts w:eastAsia="Times New Roman"/>
                <w:b/>
                <w:bCs/>
              </w:rPr>
            </w:pPr>
            <w:r w:rsidRPr="007D5748">
              <w:rPr>
                <w:rFonts w:eastAsia="Times New Roman"/>
                <w:b/>
                <w:bCs/>
              </w:rPr>
              <w:t>0</w:t>
            </w:r>
          </w:p>
        </w:tc>
        <w:tc>
          <w:tcPr>
            <w:tcW w:w="1417" w:type="dxa"/>
            <w:shd w:val="clear" w:color="auto" w:fill="BFBFBF" w:themeFill="background1" w:themeFillShade="BF"/>
            <w:noWrap/>
            <w:vAlign w:val="center"/>
          </w:tcPr>
          <w:p w:rsidR="0051186A" w:rsidRPr="007D5748" w:rsidRDefault="0051186A" w:rsidP="00563700">
            <w:pPr>
              <w:jc w:val="right"/>
              <w:rPr>
                <w:rFonts w:eastAsia="Times New Roman"/>
                <w:b/>
                <w:bCs/>
              </w:rPr>
            </w:pPr>
            <w:r w:rsidRPr="007D5748">
              <w:rPr>
                <w:rFonts w:eastAsia="Times New Roman"/>
                <w:b/>
                <w:bCs/>
              </w:rPr>
              <w:t>0</w:t>
            </w:r>
          </w:p>
        </w:tc>
      </w:tr>
      <w:tr w:rsidR="0051186A" w:rsidRPr="007D5748" w:rsidTr="00563700">
        <w:trPr>
          <w:trHeight w:val="70"/>
          <w:jc w:val="center"/>
        </w:trPr>
        <w:tc>
          <w:tcPr>
            <w:tcW w:w="3223" w:type="dxa"/>
            <w:shd w:val="clear" w:color="auto" w:fill="A6A6A6" w:themeFill="background1" w:themeFillShade="A6"/>
            <w:noWrap/>
            <w:vAlign w:val="center"/>
          </w:tcPr>
          <w:p w:rsidR="0051186A" w:rsidRPr="007D5748" w:rsidRDefault="0051186A" w:rsidP="00563700">
            <w:pPr>
              <w:rPr>
                <w:rFonts w:eastAsia="Times New Roman"/>
                <w:b/>
                <w:bCs/>
              </w:rPr>
            </w:pPr>
            <w:r w:rsidRPr="007D5748">
              <w:rPr>
                <w:rFonts w:eastAsia="Times New Roman"/>
                <w:b/>
                <w:bCs/>
              </w:rPr>
              <w:t>Rozpočtovo nekrytý vplyv / úspora</w:t>
            </w:r>
          </w:p>
        </w:tc>
        <w:tc>
          <w:tcPr>
            <w:tcW w:w="1717" w:type="dxa"/>
            <w:shd w:val="clear" w:color="auto" w:fill="A6A6A6" w:themeFill="background1" w:themeFillShade="A6"/>
            <w:noWrap/>
            <w:vAlign w:val="center"/>
          </w:tcPr>
          <w:p w:rsidR="0051186A" w:rsidRPr="007D5748" w:rsidRDefault="0051186A" w:rsidP="00563700">
            <w:pPr>
              <w:jc w:val="right"/>
              <w:rPr>
                <w:rFonts w:eastAsia="Times New Roman"/>
                <w:b/>
                <w:bCs/>
              </w:rPr>
            </w:pPr>
            <w:r w:rsidRPr="007D5748">
              <w:rPr>
                <w:rFonts w:eastAsia="Times New Roman"/>
                <w:b/>
                <w:bCs/>
              </w:rPr>
              <w:t>0</w:t>
            </w:r>
          </w:p>
        </w:tc>
        <w:tc>
          <w:tcPr>
            <w:tcW w:w="1464" w:type="dxa"/>
            <w:shd w:val="clear" w:color="auto" w:fill="A6A6A6" w:themeFill="background1" w:themeFillShade="A6"/>
            <w:noWrap/>
            <w:vAlign w:val="center"/>
          </w:tcPr>
          <w:p w:rsidR="0051186A" w:rsidRPr="007D5748" w:rsidRDefault="0051186A" w:rsidP="00563700">
            <w:pPr>
              <w:jc w:val="right"/>
              <w:rPr>
                <w:rFonts w:eastAsia="Times New Roman"/>
                <w:b/>
                <w:bCs/>
              </w:rPr>
            </w:pPr>
            <w:r w:rsidRPr="007D5748">
              <w:rPr>
                <w:rFonts w:eastAsia="Times New Roman"/>
                <w:b/>
                <w:bCs/>
              </w:rPr>
              <w:t>0</w:t>
            </w:r>
          </w:p>
        </w:tc>
        <w:tc>
          <w:tcPr>
            <w:tcW w:w="1561" w:type="dxa"/>
            <w:shd w:val="clear" w:color="auto" w:fill="A6A6A6" w:themeFill="background1" w:themeFillShade="A6"/>
            <w:noWrap/>
            <w:vAlign w:val="center"/>
          </w:tcPr>
          <w:p w:rsidR="0051186A" w:rsidRPr="007D5748" w:rsidRDefault="0051186A" w:rsidP="00563700">
            <w:pPr>
              <w:jc w:val="right"/>
              <w:rPr>
                <w:rFonts w:eastAsia="Times New Roman"/>
                <w:b/>
                <w:bCs/>
              </w:rPr>
            </w:pPr>
            <w:r w:rsidRPr="007D5748">
              <w:rPr>
                <w:rFonts w:eastAsia="Times New Roman"/>
                <w:b/>
                <w:bCs/>
              </w:rPr>
              <w:t>0</w:t>
            </w:r>
          </w:p>
        </w:tc>
        <w:tc>
          <w:tcPr>
            <w:tcW w:w="1417" w:type="dxa"/>
            <w:shd w:val="clear" w:color="auto" w:fill="A6A6A6" w:themeFill="background1" w:themeFillShade="A6"/>
            <w:noWrap/>
            <w:vAlign w:val="center"/>
          </w:tcPr>
          <w:p w:rsidR="0051186A" w:rsidRPr="007D5748" w:rsidRDefault="0051186A" w:rsidP="00563700">
            <w:pPr>
              <w:jc w:val="right"/>
              <w:rPr>
                <w:rFonts w:eastAsia="Times New Roman"/>
                <w:b/>
                <w:bCs/>
              </w:rPr>
            </w:pPr>
            <w:r w:rsidRPr="007D5748">
              <w:rPr>
                <w:rFonts w:eastAsia="Times New Roman"/>
                <w:b/>
                <w:bCs/>
              </w:rPr>
              <w:t>0</w:t>
            </w:r>
          </w:p>
        </w:tc>
      </w:tr>
      <w:bookmarkEnd w:id="1"/>
    </w:tbl>
    <w:p w:rsidR="0051186A" w:rsidRPr="007D5748" w:rsidRDefault="0051186A" w:rsidP="0051186A">
      <w:pPr>
        <w:rPr>
          <w:rFonts w:eastAsia="Times New Roman"/>
          <w:b/>
          <w:bCs/>
        </w:rPr>
      </w:pPr>
    </w:p>
    <w:p w:rsidR="0051186A" w:rsidRDefault="0051186A" w:rsidP="0051186A">
      <w:pPr>
        <w:rPr>
          <w:rFonts w:eastAsia="Times New Roman"/>
          <w:b/>
          <w:bCs/>
        </w:rPr>
      </w:pPr>
      <w:r>
        <w:rPr>
          <w:rFonts w:eastAsia="Times New Roman"/>
          <w:b/>
          <w:bCs/>
        </w:rPr>
        <w:br w:type="page"/>
      </w:r>
    </w:p>
    <w:p w:rsidR="0051186A" w:rsidRPr="007D5748" w:rsidRDefault="0051186A" w:rsidP="0051186A">
      <w:pPr>
        <w:jc w:val="both"/>
        <w:rPr>
          <w:rFonts w:eastAsia="Times New Roman"/>
          <w:b/>
          <w:bCs/>
        </w:rPr>
      </w:pPr>
      <w:r w:rsidRPr="007D5748">
        <w:rPr>
          <w:rFonts w:eastAsia="Times New Roman"/>
          <w:b/>
          <w:bCs/>
        </w:rPr>
        <w:lastRenderedPageBreak/>
        <w:t>2.1.1. Financovanie návrhu - Návrh na riešenie úbytku príjmov alebo zvýšených výdavkov podľa § 33 ods. 1 zákona č. 523/2004 Z. z. o rozpočtových pravidlách verejnej správy:</w:t>
      </w:r>
    </w:p>
    <w:p w:rsidR="0051186A" w:rsidRPr="007D5748" w:rsidRDefault="0051186A" w:rsidP="0051186A">
      <w:pPr>
        <w:jc w:val="both"/>
        <w:rPr>
          <w:rFonts w:eastAsia="Times New Roman"/>
          <w:b/>
          <w:bCs/>
          <w:sz w:val="12"/>
        </w:rPr>
      </w:pPr>
    </w:p>
    <w:p w:rsidR="0051186A" w:rsidRPr="00762420" w:rsidRDefault="0051186A" w:rsidP="0051186A">
      <w:pPr>
        <w:pBdr>
          <w:top w:val="single" w:sz="4" w:space="1" w:color="auto"/>
          <w:left w:val="single" w:sz="4" w:space="0" w:color="auto"/>
          <w:bottom w:val="single" w:sz="4" w:space="0" w:color="auto"/>
          <w:right w:val="single" w:sz="4" w:space="4" w:color="auto"/>
        </w:pBdr>
        <w:rPr>
          <w:rFonts w:eastAsia="Times New Roman"/>
          <w:bCs/>
        </w:rPr>
      </w:pPr>
      <w:r w:rsidRPr="001316B6">
        <w:rPr>
          <w:bCs/>
        </w:rPr>
        <w:t>Výdavky súvisiace s úhradou trov zastavenej starej exekúcie (paušálnych trov exekúcie) budú zabezpečené v rámci schválených limitov výdavkov dotknutého subjektu verejnej správy na príslušný rozpočtový rok.</w:t>
      </w:r>
    </w:p>
    <w:p w:rsidR="0051186A" w:rsidRPr="007D5748" w:rsidRDefault="0051186A" w:rsidP="0051186A">
      <w:pPr>
        <w:pBdr>
          <w:top w:val="single" w:sz="4" w:space="1" w:color="auto"/>
          <w:left w:val="single" w:sz="4" w:space="0" w:color="auto"/>
          <w:bottom w:val="single" w:sz="4" w:space="0" w:color="auto"/>
          <w:right w:val="single" w:sz="4" w:space="4" w:color="auto"/>
        </w:pBdr>
        <w:rPr>
          <w:rFonts w:eastAsia="Times New Roman"/>
          <w:b/>
          <w:bCs/>
        </w:rPr>
      </w:pPr>
    </w:p>
    <w:p w:rsidR="0051186A" w:rsidRPr="007D5748" w:rsidRDefault="0051186A" w:rsidP="0051186A">
      <w:pPr>
        <w:pBdr>
          <w:top w:val="single" w:sz="4" w:space="1" w:color="auto"/>
          <w:left w:val="single" w:sz="4" w:space="0" w:color="auto"/>
          <w:bottom w:val="single" w:sz="4" w:space="0" w:color="auto"/>
          <w:right w:val="single" w:sz="4" w:space="4" w:color="auto"/>
        </w:pBdr>
        <w:rPr>
          <w:rFonts w:eastAsia="Times New Roman"/>
          <w:b/>
          <w:bCs/>
        </w:rPr>
      </w:pPr>
    </w:p>
    <w:p w:rsidR="0051186A" w:rsidRPr="007D5748" w:rsidRDefault="0051186A" w:rsidP="0051186A">
      <w:pPr>
        <w:rPr>
          <w:rFonts w:eastAsia="Times New Roman"/>
          <w:b/>
          <w:bCs/>
        </w:rPr>
      </w:pPr>
      <w:r w:rsidRPr="007D5748">
        <w:rPr>
          <w:rFonts w:eastAsia="Times New Roman"/>
          <w:b/>
          <w:bCs/>
        </w:rPr>
        <w:t>2.2. Popis a charakteristika návrhu</w:t>
      </w:r>
    </w:p>
    <w:p w:rsidR="0051186A" w:rsidRPr="007D5748" w:rsidRDefault="0051186A" w:rsidP="0051186A">
      <w:pPr>
        <w:rPr>
          <w:rFonts w:eastAsia="Times New Roman"/>
        </w:rPr>
      </w:pPr>
    </w:p>
    <w:p w:rsidR="0051186A" w:rsidRPr="007D5748" w:rsidRDefault="0051186A" w:rsidP="0051186A">
      <w:pPr>
        <w:jc w:val="both"/>
        <w:rPr>
          <w:rFonts w:eastAsia="Times New Roman"/>
          <w:b/>
          <w:bCs/>
        </w:rPr>
      </w:pPr>
      <w:r w:rsidRPr="007D5748">
        <w:rPr>
          <w:rFonts w:eastAsia="Times New Roman"/>
          <w:b/>
          <w:bCs/>
        </w:rPr>
        <w:t>2.2.1. Popis návrhu:</w:t>
      </w:r>
    </w:p>
    <w:p w:rsidR="0051186A" w:rsidRPr="007D5748" w:rsidRDefault="0051186A" w:rsidP="0051186A">
      <w:pPr>
        <w:jc w:val="both"/>
        <w:rPr>
          <w:rFonts w:eastAsia="Times New Roman"/>
          <w:b/>
          <w:bCs/>
        </w:rPr>
      </w:pPr>
    </w:p>
    <w:p w:rsidR="0051186A" w:rsidRPr="007D5748" w:rsidRDefault="0051186A" w:rsidP="0051186A">
      <w:pPr>
        <w:ind w:firstLine="708"/>
        <w:jc w:val="both"/>
        <w:rPr>
          <w:rFonts w:eastAsia="Times New Roman"/>
        </w:rPr>
      </w:pPr>
      <w:r w:rsidRPr="007D5748">
        <w:rPr>
          <w:rFonts w:eastAsia="Times New Roman"/>
        </w:rPr>
        <w:t>Akú problematiku návrh rieši? Kto bude návrh implementovať? Kde sa budú služby poskytovať?</w:t>
      </w:r>
    </w:p>
    <w:p w:rsidR="0051186A" w:rsidRPr="007D5748" w:rsidRDefault="0051186A" w:rsidP="0051186A">
      <w:pPr>
        <w:rPr>
          <w:rFonts w:eastAsia="Times New Roman"/>
        </w:rPr>
      </w:pPr>
    </w:p>
    <w:p w:rsidR="0051186A" w:rsidRPr="00D26E25" w:rsidRDefault="0051186A" w:rsidP="0051186A">
      <w:pPr>
        <w:jc w:val="both"/>
      </w:pPr>
      <w:r>
        <w:t>N</w:t>
      </w:r>
      <w:r w:rsidRPr="00177F78">
        <w:t>ávrh zákona</w:t>
      </w:r>
      <w:r>
        <w:t xml:space="preserve"> zavádza osobitný </w:t>
      </w:r>
      <w:r w:rsidRPr="00177F78">
        <w:t>procesn</w:t>
      </w:r>
      <w:r>
        <w:t>ý</w:t>
      </w:r>
      <w:r w:rsidRPr="00177F78">
        <w:t xml:space="preserve"> mechanizmu</w:t>
      </w:r>
      <w:r>
        <w:t>s</w:t>
      </w:r>
      <w:r w:rsidRPr="00177F78">
        <w:t xml:space="preserve"> zastavenia tzv. starých (nemajetných) exekúcií priamo zo zákona, pričom technické otázky súvisiace s ukončením exekučných konaní sa navrhuje zveriť súdnemu exekútorovi</w:t>
      </w:r>
      <w:r>
        <w:t>, ktorý má za zákonom stanovených podmienok nárok na náhradu paušálnych trov exekúcie súdneho exekútora</w:t>
      </w:r>
      <w:r w:rsidRPr="00177F78">
        <w:t>. Obdobný procesný režim zastavenia tzv. starých (nemajetných) exekúcií sa navrhuje použiť aj na prípady  iných dôvodov pre zastavenie exekúcie - ak oprávnený alebo povinný zanikol bez právneho nástupcu, alebo ak dedičské konanie po oprávnenom alebo povinnom bolo zastavené z dôvodu, že nezanechal žiadny majetok alebo zanechal len majetok nepatrnej hodnoty, ak zastavenie exekúcie navrhol oprávnený, či v prípadoch, ak z dôvodu účinkov vyhlásenia konkurzu na majetok povinného resp. oddlženia povinného nastal dôvod pre ich zastavenie</w:t>
      </w:r>
      <w:r w:rsidRPr="00D26E25">
        <w:t xml:space="preserve">. </w:t>
      </w:r>
      <w:r>
        <w:t>Súčasne sa n</w:t>
      </w:r>
      <w:r w:rsidRPr="00D26E25">
        <w:t xml:space="preserve">avrhuje zavedenie možnosti oprávneného podať opätovný návrh na vykonanie exekúcie (na základe jeho komerčnej úvahy), avšak už podľa súčasne platných a účinných právnych predpisov; za zákonom ustanovených podmienok ostanú účinky úkonov smerujúcich k zabezpečeniu majetku podliehajúcemu starej exekúcii zachované.   </w:t>
      </w:r>
    </w:p>
    <w:p w:rsidR="0051186A" w:rsidRPr="00D26E25" w:rsidRDefault="0051186A" w:rsidP="0051186A"/>
    <w:p w:rsidR="0051186A" w:rsidRPr="007D5748" w:rsidRDefault="0051186A" w:rsidP="0051186A">
      <w:pPr>
        <w:rPr>
          <w:rFonts w:eastAsia="Times New Roman"/>
          <w:b/>
          <w:bCs/>
        </w:rPr>
      </w:pPr>
      <w:r w:rsidRPr="007D5748">
        <w:rPr>
          <w:rFonts w:eastAsia="Times New Roman"/>
          <w:b/>
          <w:bCs/>
        </w:rPr>
        <w:t>2.2.2. Charakteristika návrhu:</w:t>
      </w:r>
    </w:p>
    <w:p w:rsidR="0051186A" w:rsidRPr="007D5748" w:rsidRDefault="0051186A" w:rsidP="0051186A">
      <w:pPr>
        <w:rPr>
          <w:rFonts w:eastAsia="Times New Roman"/>
        </w:rPr>
      </w:pPr>
    </w:p>
    <w:p w:rsidR="0051186A" w:rsidRPr="007D5748" w:rsidRDefault="0051186A" w:rsidP="0051186A">
      <w:pPr>
        <w:rPr>
          <w:rFonts w:eastAsia="Times New Roman"/>
        </w:rPr>
      </w:pPr>
      <w:r w:rsidRPr="007D5748">
        <w:rPr>
          <w:rFonts w:eastAsia="Times New Roman"/>
          <w:b/>
          <w:bdr w:val="single" w:sz="4" w:space="0" w:color="auto"/>
        </w:rPr>
        <w:t xml:space="preserve">     </w:t>
      </w:r>
      <w:r w:rsidRPr="007D5748">
        <w:rPr>
          <w:rFonts w:eastAsia="Times New Roman"/>
          <w:b/>
        </w:rPr>
        <w:t xml:space="preserve">  </w:t>
      </w:r>
      <w:r w:rsidRPr="007D5748">
        <w:rPr>
          <w:rFonts w:eastAsia="Times New Roman"/>
        </w:rPr>
        <w:t>zmena sadzby</w:t>
      </w:r>
    </w:p>
    <w:p w:rsidR="0051186A" w:rsidRPr="007D5748" w:rsidRDefault="0051186A" w:rsidP="0051186A">
      <w:pPr>
        <w:rPr>
          <w:rFonts w:eastAsia="Times New Roman"/>
        </w:rPr>
      </w:pPr>
      <w:r w:rsidRPr="007D5748">
        <w:rPr>
          <w:rFonts w:eastAsia="Times New Roman"/>
          <w:bdr w:val="single" w:sz="4" w:space="0" w:color="auto"/>
        </w:rPr>
        <w:t xml:space="preserve">     </w:t>
      </w:r>
      <w:r w:rsidRPr="007D5748">
        <w:rPr>
          <w:rFonts w:eastAsia="Times New Roman"/>
        </w:rPr>
        <w:t xml:space="preserve">  zmena v nároku</w:t>
      </w:r>
    </w:p>
    <w:p w:rsidR="0051186A" w:rsidRPr="007D5748" w:rsidRDefault="0051186A" w:rsidP="0051186A">
      <w:pPr>
        <w:rPr>
          <w:rFonts w:eastAsia="Times New Roman"/>
        </w:rPr>
      </w:pPr>
      <w:r>
        <w:rPr>
          <w:rFonts w:eastAsia="Times New Roman"/>
          <w:bdr w:val="single" w:sz="4" w:space="0" w:color="auto"/>
        </w:rPr>
        <w:t>x</w:t>
      </w:r>
      <w:r w:rsidRPr="007D5748">
        <w:rPr>
          <w:rFonts w:eastAsia="Times New Roman"/>
          <w:bdr w:val="single" w:sz="4" w:space="0" w:color="auto"/>
        </w:rPr>
        <w:t xml:space="preserve">  </w:t>
      </w:r>
      <w:r w:rsidRPr="007D5748">
        <w:rPr>
          <w:rFonts w:eastAsia="Times New Roman"/>
        </w:rPr>
        <w:t xml:space="preserve">  nová služba alebo nariadenie (alebo ich zrušenie)</w:t>
      </w:r>
    </w:p>
    <w:p w:rsidR="0051186A" w:rsidRPr="007D5748" w:rsidRDefault="0051186A" w:rsidP="0051186A">
      <w:pPr>
        <w:rPr>
          <w:rFonts w:eastAsia="Times New Roman"/>
        </w:rPr>
      </w:pPr>
      <w:r w:rsidRPr="007D5748">
        <w:rPr>
          <w:rFonts w:eastAsia="Times New Roman"/>
          <w:bdr w:val="single" w:sz="4" w:space="0" w:color="auto"/>
        </w:rPr>
        <w:t xml:space="preserve">     </w:t>
      </w:r>
      <w:r w:rsidRPr="007D5748">
        <w:rPr>
          <w:rFonts w:eastAsia="Times New Roman"/>
        </w:rPr>
        <w:t xml:space="preserve">  kombinovaný návrh</w:t>
      </w:r>
    </w:p>
    <w:p w:rsidR="0051186A" w:rsidRPr="007D5748" w:rsidRDefault="0051186A" w:rsidP="0051186A">
      <w:pPr>
        <w:rPr>
          <w:rFonts w:eastAsia="Times New Roman"/>
        </w:rPr>
      </w:pPr>
      <w:r w:rsidRPr="007D5748">
        <w:rPr>
          <w:rFonts w:eastAsia="Times New Roman"/>
          <w:bdr w:val="single" w:sz="4" w:space="0" w:color="auto"/>
        </w:rPr>
        <w:t xml:space="preserve">     </w:t>
      </w:r>
      <w:r w:rsidRPr="007D5748">
        <w:rPr>
          <w:rFonts w:eastAsia="Times New Roman"/>
        </w:rPr>
        <w:t xml:space="preserve">  iné </w:t>
      </w:r>
    </w:p>
    <w:p w:rsidR="0051186A" w:rsidRPr="007D5748" w:rsidRDefault="0051186A" w:rsidP="0051186A">
      <w:pPr>
        <w:rPr>
          <w:rFonts w:eastAsia="Times New Roman"/>
        </w:rPr>
      </w:pPr>
    </w:p>
    <w:p w:rsidR="0051186A" w:rsidRPr="007D5748" w:rsidRDefault="0051186A" w:rsidP="0051186A">
      <w:pPr>
        <w:rPr>
          <w:rFonts w:eastAsia="Times New Roman"/>
        </w:rPr>
      </w:pPr>
    </w:p>
    <w:p w:rsidR="0051186A" w:rsidRPr="007D5748" w:rsidRDefault="0051186A" w:rsidP="0051186A">
      <w:pPr>
        <w:rPr>
          <w:rFonts w:eastAsia="Times New Roman"/>
        </w:rPr>
      </w:pPr>
      <w:r w:rsidRPr="007D5748">
        <w:rPr>
          <w:rFonts w:eastAsia="Times New Roman"/>
          <w:b/>
          <w:bCs/>
        </w:rPr>
        <w:t>2.2.3. Predpoklady vývoja objemu aktivít:</w:t>
      </w:r>
    </w:p>
    <w:p w:rsidR="0051186A" w:rsidRPr="007D5748" w:rsidRDefault="0051186A" w:rsidP="0051186A">
      <w:pPr>
        <w:rPr>
          <w:rFonts w:eastAsia="Times New Roman"/>
        </w:rPr>
      </w:pPr>
    </w:p>
    <w:p w:rsidR="0051186A" w:rsidRDefault="0051186A" w:rsidP="0051186A">
      <w:pPr>
        <w:ind w:firstLine="708"/>
        <w:jc w:val="both"/>
        <w:rPr>
          <w:rFonts w:eastAsia="Times New Roman"/>
        </w:rPr>
      </w:pPr>
      <w:r w:rsidRPr="007D5748">
        <w:rPr>
          <w:rFonts w:eastAsia="Times New Roman"/>
        </w:rPr>
        <w:t>Jasne popíšte, v prípade potreby použite nižšie uvedenú tabuľku. Uveďte aj odhady základov daní a/alebo poplatkov, ak sa ich táto zmena týka.</w:t>
      </w:r>
    </w:p>
    <w:p w:rsidR="0051186A" w:rsidRDefault="0051186A" w:rsidP="0051186A">
      <w:pPr>
        <w:ind w:firstLine="708"/>
        <w:jc w:val="both"/>
        <w:rPr>
          <w:rFonts w:eastAsia="Times New Roman"/>
        </w:rPr>
      </w:pPr>
    </w:p>
    <w:p w:rsidR="0051186A" w:rsidRPr="007D5748" w:rsidRDefault="0051186A" w:rsidP="0051186A">
      <w:pPr>
        <w:jc w:val="right"/>
        <w:rPr>
          <w:rFonts w:eastAsia="Times New Roman"/>
          <w:sz w:val="20"/>
          <w:szCs w:val="20"/>
        </w:rPr>
      </w:pPr>
      <w:r w:rsidRPr="007D5748">
        <w:rPr>
          <w:rFonts w:eastAsia="Times New Roman"/>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51186A" w:rsidRPr="007D5748" w:rsidTr="00563700">
        <w:trPr>
          <w:cantSplit/>
          <w:trHeight w:val="70"/>
        </w:trPr>
        <w:tc>
          <w:tcPr>
            <w:tcW w:w="4530" w:type="dxa"/>
            <w:vMerge w:val="restart"/>
            <w:shd w:val="clear" w:color="auto" w:fill="BFBFBF" w:themeFill="background1" w:themeFillShade="BF"/>
            <w:vAlign w:val="center"/>
          </w:tcPr>
          <w:p w:rsidR="0051186A" w:rsidRPr="007D5748" w:rsidRDefault="0051186A" w:rsidP="00563700">
            <w:pPr>
              <w:autoSpaceDE w:val="0"/>
              <w:autoSpaceDN w:val="0"/>
              <w:adjustRightInd w:val="0"/>
              <w:jc w:val="center"/>
              <w:rPr>
                <w:rFonts w:eastAsia="Times New Roman"/>
                <w:b/>
                <w:bCs/>
              </w:rPr>
            </w:pPr>
            <w:r w:rsidRPr="007D5748">
              <w:rPr>
                <w:rFonts w:eastAsia="Times New Roman"/>
                <w:b/>
                <w:bCs/>
              </w:rPr>
              <w:t>Objem aktivít</w:t>
            </w:r>
          </w:p>
        </w:tc>
        <w:tc>
          <w:tcPr>
            <w:tcW w:w="4536" w:type="dxa"/>
            <w:gridSpan w:val="4"/>
            <w:shd w:val="clear" w:color="auto" w:fill="BFBFBF" w:themeFill="background1" w:themeFillShade="BF"/>
            <w:vAlign w:val="center"/>
          </w:tcPr>
          <w:p w:rsidR="0051186A" w:rsidRPr="007D5748" w:rsidRDefault="0051186A" w:rsidP="00563700">
            <w:pPr>
              <w:autoSpaceDE w:val="0"/>
              <w:autoSpaceDN w:val="0"/>
              <w:adjustRightInd w:val="0"/>
              <w:jc w:val="center"/>
              <w:rPr>
                <w:rFonts w:eastAsia="Times New Roman"/>
                <w:b/>
                <w:bCs/>
              </w:rPr>
            </w:pPr>
            <w:r w:rsidRPr="007D5748">
              <w:rPr>
                <w:rFonts w:eastAsia="Times New Roman"/>
                <w:b/>
                <w:bCs/>
              </w:rPr>
              <w:t>Odhadované objemy</w:t>
            </w:r>
          </w:p>
        </w:tc>
      </w:tr>
      <w:tr w:rsidR="0051186A" w:rsidRPr="007D5748" w:rsidTr="00563700">
        <w:trPr>
          <w:cantSplit/>
          <w:trHeight w:val="70"/>
        </w:trPr>
        <w:tc>
          <w:tcPr>
            <w:tcW w:w="4530" w:type="dxa"/>
            <w:vMerge/>
            <w:shd w:val="clear" w:color="auto" w:fill="BFBFBF" w:themeFill="background1" w:themeFillShade="BF"/>
          </w:tcPr>
          <w:p w:rsidR="0051186A" w:rsidRPr="007D5748" w:rsidRDefault="0051186A" w:rsidP="00563700">
            <w:pPr>
              <w:autoSpaceDE w:val="0"/>
              <w:autoSpaceDN w:val="0"/>
              <w:adjustRightInd w:val="0"/>
              <w:jc w:val="center"/>
              <w:rPr>
                <w:rFonts w:eastAsia="Times New Roman"/>
                <w:b/>
                <w:bCs/>
              </w:rPr>
            </w:pPr>
          </w:p>
        </w:tc>
        <w:tc>
          <w:tcPr>
            <w:tcW w:w="1134" w:type="dxa"/>
            <w:shd w:val="clear" w:color="auto" w:fill="BFBFBF" w:themeFill="background1" w:themeFillShade="BF"/>
            <w:vAlign w:val="center"/>
          </w:tcPr>
          <w:p w:rsidR="0051186A" w:rsidRPr="007D5748" w:rsidRDefault="0051186A" w:rsidP="00563700">
            <w:pPr>
              <w:autoSpaceDE w:val="0"/>
              <w:autoSpaceDN w:val="0"/>
              <w:adjustRightInd w:val="0"/>
              <w:jc w:val="center"/>
              <w:rPr>
                <w:rFonts w:eastAsia="Times New Roman"/>
                <w:b/>
                <w:bCs/>
              </w:rPr>
            </w:pPr>
            <w:r>
              <w:rPr>
                <w:rFonts w:eastAsia="Times New Roman"/>
                <w:b/>
                <w:bCs/>
              </w:rPr>
              <w:t>2020</w:t>
            </w:r>
          </w:p>
        </w:tc>
        <w:tc>
          <w:tcPr>
            <w:tcW w:w="1134" w:type="dxa"/>
            <w:shd w:val="clear" w:color="auto" w:fill="BFBFBF" w:themeFill="background1" w:themeFillShade="BF"/>
            <w:vAlign w:val="center"/>
          </w:tcPr>
          <w:p w:rsidR="0051186A" w:rsidRPr="007D5748" w:rsidRDefault="0051186A" w:rsidP="00563700">
            <w:pPr>
              <w:autoSpaceDE w:val="0"/>
              <w:autoSpaceDN w:val="0"/>
              <w:adjustRightInd w:val="0"/>
              <w:jc w:val="center"/>
              <w:rPr>
                <w:rFonts w:eastAsia="Times New Roman"/>
                <w:b/>
                <w:bCs/>
              </w:rPr>
            </w:pPr>
            <w:r>
              <w:rPr>
                <w:rFonts w:eastAsia="Times New Roman"/>
                <w:b/>
                <w:bCs/>
              </w:rPr>
              <w:t>2021</w:t>
            </w:r>
          </w:p>
        </w:tc>
        <w:tc>
          <w:tcPr>
            <w:tcW w:w="1134" w:type="dxa"/>
            <w:shd w:val="clear" w:color="auto" w:fill="BFBFBF" w:themeFill="background1" w:themeFillShade="BF"/>
            <w:vAlign w:val="center"/>
          </w:tcPr>
          <w:p w:rsidR="0051186A" w:rsidRPr="007D5748" w:rsidRDefault="0051186A" w:rsidP="00563700">
            <w:pPr>
              <w:autoSpaceDE w:val="0"/>
              <w:autoSpaceDN w:val="0"/>
              <w:adjustRightInd w:val="0"/>
              <w:jc w:val="center"/>
              <w:rPr>
                <w:rFonts w:eastAsia="Times New Roman"/>
                <w:b/>
                <w:bCs/>
              </w:rPr>
            </w:pPr>
            <w:r>
              <w:rPr>
                <w:rFonts w:eastAsia="Times New Roman"/>
                <w:b/>
                <w:bCs/>
              </w:rPr>
              <w:t>2022</w:t>
            </w:r>
          </w:p>
        </w:tc>
        <w:tc>
          <w:tcPr>
            <w:tcW w:w="1134" w:type="dxa"/>
            <w:shd w:val="clear" w:color="auto" w:fill="BFBFBF" w:themeFill="background1" w:themeFillShade="BF"/>
            <w:vAlign w:val="center"/>
          </w:tcPr>
          <w:p w:rsidR="0051186A" w:rsidRPr="007D5748" w:rsidRDefault="0051186A" w:rsidP="00563700">
            <w:pPr>
              <w:autoSpaceDE w:val="0"/>
              <w:autoSpaceDN w:val="0"/>
              <w:adjustRightInd w:val="0"/>
              <w:jc w:val="center"/>
              <w:rPr>
                <w:rFonts w:eastAsia="Times New Roman"/>
                <w:b/>
                <w:bCs/>
              </w:rPr>
            </w:pPr>
            <w:r>
              <w:rPr>
                <w:rFonts w:eastAsia="Times New Roman"/>
                <w:b/>
                <w:bCs/>
              </w:rPr>
              <w:t>2023</w:t>
            </w:r>
          </w:p>
        </w:tc>
      </w:tr>
      <w:tr w:rsidR="0051186A" w:rsidRPr="007D5748" w:rsidTr="00563700">
        <w:trPr>
          <w:trHeight w:val="70"/>
        </w:trPr>
        <w:tc>
          <w:tcPr>
            <w:tcW w:w="4530" w:type="dxa"/>
          </w:tcPr>
          <w:p w:rsidR="0051186A" w:rsidRPr="007D5748" w:rsidRDefault="0051186A" w:rsidP="00563700">
            <w:pPr>
              <w:autoSpaceDE w:val="0"/>
              <w:autoSpaceDN w:val="0"/>
              <w:adjustRightInd w:val="0"/>
              <w:rPr>
                <w:rFonts w:eastAsia="Times New Roman"/>
                <w:color w:val="000000"/>
              </w:rPr>
            </w:pPr>
            <w:r>
              <w:rPr>
                <w:rFonts w:eastAsia="Times New Roman"/>
                <w:color w:val="000000"/>
              </w:rPr>
              <w:t>Predpokladaný počet zastavených starých exekúcií s verejnoprávnym subjektom</w:t>
            </w:r>
          </w:p>
        </w:tc>
        <w:tc>
          <w:tcPr>
            <w:tcW w:w="1134" w:type="dxa"/>
          </w:tcPr>
          <w:p w:rsidR="0051186A" w:rsidRPr="007D5748" w:rsidRDefault="0051186A" w:rsidP="00563700">
            <w:pPr>
              <w:autoSpaceDE w:val="0"/>
              <w:autoSpaceDN w:val="0"/>
              <w:adjustRightInd w:val="0"/>
              <w:jc w:val="right"/>
              <w:rPr>
                <w:rFonts w:eastAsia="Times New Roman"/>
                <w:color w:val="000000"/>
              </w:rPr>
            </w:pPr>
            <w:r>
              <w:rPr>
                <w:rFonts w:eastAsia="Times New Roman"/>
                <w:color w:val="000000"/>
              </w:rPr>
              <w:t>978226</w:t>
            </w:r>
          </w:p>
        </w:tc>
        <w:tc>
          <w:tcPr>
            <w:tcW w:w="1134" w:type="dxa"/>
          </w:tcPr>
          <w:p w:rsidR="0051186A" w:rsidRPr="007D5748" w:rsidRDefault="0051186A" w:rsidP="00563700">
            <w:pPr>
              <w:autoSpaceDE w:val="0"/>
              <w:autoSpaceDN w:val="0"/>
              <w:adjustRightInd w:val="0"/>
              <w:jc w:val="right"/>
              <w:rPr>
                <w:rFonts w:eastAsia="Times New Roman"/>
                <w:color w:val="000000"/>
              </w:rPr>
            </w:pPr>
            <w:r>
              <w:rPr>
                <w:rFonts w:eastAsia="Times New Roman"/>
                <w:color w:val="000000"/>
              </w:rPr>
              <w:t>120473</w:t>
            </w:r>
          </w:p>
        </w:tc>
        <w:tc>
          <w:tcPr>
            <w:tcW w:w="1134" w:type="dxa"/>
          </w:tcPr>
          <w:p w:rsidR="0051186A" w:rsidRPr="007D5748" w:rsidRDefault="0051186A" w:rsidP="00563700">
            <w:pPr>
              <w:autoSpaceDE w:val="0"/>
              <w:autoSpaceDN w:val="0"/>
              <w:adjustRightInd w:val="0"/>
              <w:jc w:val="right"/>
              <w:rPr>
                <w:rFonts w:eastAsia="Times New Roman"/>
                <w:color w:val="000000"/>
              </w:rPr>
            </w:pPr>
            <w:r>
              <w:rPr>
                <w:rFonts w:eastAsia="Times New Roman"/>
                <w:color w:val="000000"/>
              </w:rPr>
              <w:t>94011</w:t>
            </w:r>
          </w:p>
        </w:tc>
        <w:tc>
          <w:tcPr>
            <w:tcW w:w="1134" w:type="dxa"/>
          </w:tcPr>
          <w:p w:rsidR="0051186A" w:rsidRPr="007D5748" w:rsidRDefault="0051186A" w:rsidP="00563700">
            <w:pPr>
              <w:autoSpaceDE w:val="0"/>
              <w:autoSpaceDN w:val="0"/>
              <w:adjustRightInd w:val="0"/>
              <w:jc w:val="right"/>
              <w:rPr>
                <w:rFonts w:eastAsia="Times New Roman"/>
                <w:color w:val="000000"/>
              </w:rPr>
            </w:pPr>
            <w:r>
              <w:rPr>
                <w:rFonts w:eastAsia="Times New Roman"/>
                <w:color w:val="000000"/>
              </w:rPr>
              <w:t>40794</w:t>
            </w:r>
          </w:p>
        </w:tc>
      </w:tr>
    </w:tbl>
    <w:p w:rsidR="0051186A" w:rsidRPr="007D5748" w:rsidRDefault="0051186A" w:rsidP="0051186A">
      <w:pPr>
        <w:rPr>
          <w:rFonts w:eastAsia="Times New Roman"/>
        </w:rPr>
      </w:pPr>
    </w:p>
    <w:p w:rsidR="0051186A" w:rsidRPr="007D5748" w:rsidRDefault="0051186A" w:rsidP="0051186A">
      <w:pPr>
        <w:rPr>
          <w:rFonts w:eastAsia="Times New Roman"/>
        </w:rPr>
      </w:pPr>
    </w:p>
    <w:p w:rsidR="0051186A" w:rsidRPr="007D5748" w:rsidRDefault="0051186A" w:rsidP="0051186A">
      <w:pPr>
        <w:rPr>
          <w:rFonts w:eastAsia="Times New Roman"/>
          <w:b/>
          <w:bCs/>
        </w:rPr>
      </w:pPr>
      <w:r w:rsidRPr="007D5748">
        <w:rPr>
          <w:rFonts w:eastAsia="Times New Roman"/>
          <w:b/>
          <w:bCs/>
        </w:rPr>
        <w:t>2.2.4. Výpočty vplyvov na verejné financie</w:t>
      </w:r>
    </w:p>
    <w:p w:rsidR="0051186A" w:rsidRPr="007D5748" w:rsidRDefault="0051186A" w:rsidP="0051186A">
      <w:pPr>
        <w:rPr>
          <w:rFonts w:eastAsia="Times New Roman"/>
        </w:rPr>
      </w:pPr>
    </w:p>
    <w:p w:rsidR="0051186A" w:rsidRPr="007D5748" w:rsidRDefault="0051186A" w:rsidP="0051186A">
      <w:pPr>
        <w:ind w:firstLine="708"/>
        <w:jc w:val="both"/>
        <w:rPr>
          <w:rFonts w:eastAsia="Times New Roman"/>
        </w:rPr>
      </w:pPr>
      <w:r w:rsidRPr="007D5748">
        <w:rPr>
          <w:rFonts w:eastAsia="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51186A" w:rsidRDefault="0051186A" w:rsidP="0051186A">
      <w:pPr>
        <w:jc w:val="both"/>
        <w:rPr>
          <w:rFonts w:eastAsia="Times New Roman"/>
        </w:rPr>
      </w:pPr>
    </w:p>
    <w:p w:rsidR="0051186A" w:rsidRDefault="0051186A" w:rsidP="0051186A">
      <w:pPr>
        <w:jc w:val="both"/>
        <w:rPr>
          <w:rFonts w:eastAsia="Times New Roman"/>
        </w:rPr>
      </w:pPr>
    </w:p>
    <w:p w:rsidR="0051186A" w:rsidRPr="001316B6" w:rsidRDefault="0051186A" w:rsidP="0051186A">
      <w:pPr>
        <w:ind w:firstLine="708"/>
        <w:jc w:val="both"/>
        <w:rPr>
          <w:rFonts w:eastAsia="Times New Roman"/>
        </w:rPr>
      </w:pPr>
      <w:r>
        <w:rPr>
          <w:rFonts w:eastAsia="Times New Roman"/>
        </w:rPr>
        <w:t xml:space="preserve">V roku 2020 (rok nadobudnutia účinnosti návrhu zákona) sa predpokladá zastavenie 978 226 starých exekúcií s verejnoprávnym subjektom, v ktorých sa budú uhrádzať paušálne trovy súdneho exekútora vo </w:t>
      </w:r>
      <w:r w:rsidRPr="001316B6">
        <w:rPr>
          <w:rFonts w:eastAsia="Times New Roman"/>
        </w:rPr>
        <w:t xml:space="preserve">výške </w:t>
      </w:r>
      <w:r>
        <w:rPr>
          <w:rFonts w:eastAsia="Times New Roman"/>
        </w:rPr>
        <w:t>35</w:t>
      </w:r>
      <w:r w:rsidRPr="001316B6">
        <w:rPr>
          <w:rFonts w:eastAsia="Times New Roman"/>
        </w:rPr>
        <w:t xml:space="preserve"> €, t. j. výdavky štátneho rozpočtu predstavujú </w:t>
      </w:r>
      <w:r>
        <w:rPr>
          <w:rFonts w:eastAsia="Times New Roman"/>
        </w:rPr>
        <w:t>34.237.910</w:t>
      </w:r>
      <w:r w:rsidRPr="001316B6">
        <w:rPr>
          <w:rFonts w:eastAsia="Times New Roman"/>
        </w:rPr>
        <w:t xml:space="preserve"> eur.</w:t>
      </w:r>
    </w:p>
    <w:p w:rsidR="0051186A" w:rsidRPr="001316B6" w:rsidRDefault="0051186A" w:rsidP="0051186A">
      <w:pPr>
        <w:ind w:firstLine="708"/>
        <w:jc w:val="both"/>
        <w:rPr>
          <w:rFonts w:eastAsia="Times New Roman"/>
        </w:rPr>
      </w:pPr>
      <w:r w:rsidRPr="001316B6">
        <w:rPr>
          <w:rFonts w:eastAsia="Times New Roman"/>
        </w:rPr>
        <w:t>V roku 2021 sa predpokladá zastavenie 120 473 starých exekúcií</w:t>
      </w:r>
      <w:r>
        <w:rPr>
          <w:rFonts w:eastAsia="Times New Roman"/>
        </w:rPr>
        <w:t xml:space="preserve"> s verejnoprávnym subjektom</w:t>
      </w:r>
      <w:r w:rsidRPr="001316B6">
        <w:rPr>
          <w:rFonts w:eastAsia="Times New Roman"/>
        </w:rPr>
        <w:t xml:space="preserve">, v ktorých sa budú uhrádzať paušálne trovy súdneho exekútora vo výške </w:t>
      </w:r>
      <w:r>
        <w:rPr>
          <w:rFonts w:eastAsia="Times New Roman"/>
        </w:rPr>
        <w:t>35</w:t>
      </w:r>
      <w:r w:rsidRPr="001316B6">
        <w:rPr>
          <w:rFonts w:eastAsia="Times New Roman"/>
        </w:rPr>
        <w:t xml:space="preserve"> €, t. j. výdavky štátneho rozpočtu predstavujú </w:t>
      </w:r>
      <w:r>
        <w:rPr>
          <w:rFonts w:eastAsia="Times New Roman"/>
        </w:rPr>
        <w:t>4.216.555</w:t>
      </w:r>
      <w:r w:rsidRPr="001316B6">
        <w:rPr>
          <w:rFonts w:eastAsia="Times New Roman"/>
        </w:rPr>
        <w:t xml:space="preserve"> eur.</w:t>
      </w:r>
    </w:p>
    <w:p w:rsidR="0051186A" w:rsidRPr="001316B6" w:rsidRDefault="0051186A" w:rsidP="0051186A">
      <w:pPr>
        <w:ind w:firstLine="708"/>
        <w:jc w:val="both"/>
        <w:rPr>
          <w:rFonts w:eastAsia="Times New Roman"/>
        </w:rPr>
      </w:pPr>
      <w:r w:rsidRPr="001316B6">
        <w:rPr>
          <w:rFonts w:eastAsia="Times New Roman"/>
        </w:rPr>
        <w:t>V roku 2022 sa predpokladá zastavenie 94 011 starých exekúcií</w:t>
      </w:r>
      <w:r>
        <w:rPr>
          <w:rFonts w:eastAsia="Times New Roman"/>
        </w:rPr>
        <w:t xml:space="preserve"> s verejnoprávnym subjektom</w:t>
      </w:r>
      <w:r w:rsidRPr="001316B6">
        <w:rPr>
          <w:rFonts w:eastAsia="Times New Roman"/>
        </w:rPr>
        <w:t xml:space="preserve">, v ktorých sa budú uhrádzať paušálne trovy súdneho exekútora vo výške </w:t>
      </w:r>
      <w:r>
        <w:rPr>
          <w:rFonts w:eastAsia="Times New Roman"/>
        </w:rPr>
        <w:t>35</w:t>
      </w:r>
      <w:r w:rsidRPr="001316B6">
        <w:rPr>
          <w:rFonts w:eastAsia="Times New Roman"/>
        </w:rPr>
        <w:t xml:space="preserve"> €, t. j. výdavky štátneho rozpočtu predstavujú </w:t>
      </w:r>
      <w:r>
        <w:rPr>
          <w:rFonts w:eastAsia="Times New Roman"/>
        </w:rPr>
        <w:t>3.290.385</w:t>
      </w:r>
      <w:r w:rsidRPr="001316B6">
        <w:rPr>
          <w:rFonts w:eastAsia="Times New Roman"/>
        </w:rPr>
        <w:t xml:space="preserve"> eur.</w:t>
      </w:r>
    </w:p>
    <w:p w:rsidR="0051186A" w:rsidRDefault="0051186A" w:rsidP="0051186A">
      <w:pPr>
        <w:ind w:firstLine="708"/>
        <w:jc w:val="both"/>
        <w:rPr>
          <w:rFonts w:eastAsia="Times New Roman"/>
        </w:rPr>
      </w:pPr>
      <w:r w:rsidRPr="001316B6">
        <w:rPr>
          <w:rFonts w:eastAsia="Times New Roman"/>
        </w:rPr>
        <w:t>V roku 2023 sa predpokladá zastavenie 40 794 starých exekúcií</w:t>
      </w:r>
      <w:r>
        <w:rPr>
          <w:rFonts w:eastAsia="Times New Roman"/>
        </w:rPr>
        <w:t xml:space="preserve"> s verejnoprávnym subjektom</w:t>
      </w:r>
      <w:r w:rsidRPr="001316B6">
        <w:rPr>
          <w:rFonts w:eastAsia="Times New Roman"/>
        </w:rPr>
        <w:t xml:space="preserve">, v ktorých sa budú uhrádzať paušálne trovy súdneho exekútora vo výške </w:t>
      </w:r>
      <w:r>
        <w:rPr>
          <w:rFonts w:eastAsia="Times New Roman"/>
        </w:rPr>
        <w:t>35</w:t>
      </w:r>
      <w:r w:rsidRPr="001316B6">
        <w:rPr>
          <w:rFonts w:eastAsia="Times New Roman"/>
        </w:rPr>
        <w:t xml:space="preserve"> €, t. j. výdavky štátneho rozpočtu predstavujú </w:t>
      </w:r>
      <w:r>
        <w:rPr>
          <w:rFonts w:eastAsia="Times New Roman"/>
        </w:rPr>
        <w:t>1.427.790</w:t>
      </w:r>
      <w:r w:rsidRPr="001316B6">
        <w:rPr>
          <w:rFonts w:eastAsia="Times New Roman"/>
        </w:rPr>
        <w:t xml:space="preserve"> eur.</w:t>
      </w:r>
    </w:p>
    <w:p w:rsidR="0051186A" w:rsidRDefault="0051186A" w:rsidP="0051186A">
      <w:pPr>
        <w:tabs>
          <w:tab w:val="num" w:pos="1080"/>
        </w:tabs>
        <w:jc w:val="both"/>
        <w:rPr>
          <w:rFonts w:eastAsia="Times New Roman"/>
          <w:bCs/>
        </w:rPr>
      </w:pPr>
    </w:p>
    <w:p w:rsidR="0051186A" w:rsidRPr="007D5748" w:rsidRDefault="0051186A" w:rsidP="0051186A">
      <w:pPr>
        <w:tabs>
          <w:tab w:val="num" w:pos="1080"/>
        </w:tabs>
        <w:jc w:val="both"/>
        <w:rPr>
          <w:rFonts w:eastAsia="Times New Roman"/>
          <w:bCs/>
        </w:rPr>
      </w:pPr>
      <w:r>
        <w:rPr>
          <w:rFonts w:eastAsia="Times New Roman"/>
          <w:bCs/>
        </w:rPr>
        <w:t xml:space="preserve">Východiskové údaje o počte starých exekúcií, v ktorých oprávneným je subjekt verejnej správy nezohľadňujú staré exekúcie, v ktorých nedôjde k zastaveniu ex lege (tzv. výnimky podľa § 2 ods. 2 návrhu zákona), nezohľadňujú vymožiteľnosť starých exekúcií, ktorú nie je možné reálne vyčísliť a kvantifikovať (predpokladá sa vymožiteľnosť na úrovni 10%) a taktiež údaje o počte starých exekúcií, ktoré budú právoplatne zastavené do nadobudnutia účinnosti návrhu zákona. Vzhľadom na uvedené je možné predpokladať nižšie výdavky verejnej správy v súvislosti s návrhom zákona v rozmedzí 10% až 25 % a viac, v závislosti od vzniku rôznorodých skutočností. </w:t>
      </w:r>
    </w:p>
    <w:p w:rsidR="0051186A" w:rsidRPr="007D5748" w:rsidRDefault="0051186A" w:rsidP="0051186A">
      <w:pPr>
        <w:tabs>
          <w:tab w:val="num" w:pos="1080"/>
        </w:tabs>
        <w:jc w:val="both"/>
        <w:rPr>
          <w:rFonts w:eastAsia="Times New Roman"/>
          <w:bCs/>
          <w:szCs w:val="20"/>
        </w:rPr>
      </w:pPr>
    </w:p>
    <w:p w:rsidR="0051186A" w:rsidRPr="007D5748" w:rsidRDefault="0051186A" w:rsidP="0051186A">
      <w:pPr>
        <w:tabs>
          <w:tab w:val="num" w:pos="1080"/>
        </w:tabs>
        <w:jc w:val="both"/>
        <w:rPr>
          <w:rFonts w:eastAsia="Times New Roman"/>
          <w:bCs/>
          <w:szCs w:val="20"/>
        </w:rPr>
        <w:sectPr w:rsidR="0051186A" w:rsidRPr="007D5748" w:rsidSect="00651F82">
          <w:headerReference w:type="even" r:id="rId9"/>
          <w:footerReference w:type="even" r:id="rId10"/>
          <w:footerReference w:type="default" r:id="rId11"/>
          <w:headerReference w:type="first" r:id="rId12"/>
          <w:footerReference w:type="first" r:id="rId13"/>
          <w:pgSz w:w="11906" w:h="16838"/>
          <w:pgMar w:top="1417" w:right="1417" w:bottom="1276" w:left="1417" w:header="708" w:footer="708" w:gutter="0"/>
          <w:pgNumType w:start="1"/>
          <w:cols w:space="708"/>
          <w:docGrid w:linePitch="360"/>
        </w:sectPr>
      </w:pPr>
    </w:p>
    <w:p w:rsidR="0051186A" w:rsidRPr="007D5748" w:rsidRDefault="0051186A" w:rsidP="0051186A">
      <w:pPr>
        <w:tabs>
          <w:tab w:val="num" w:pos="1080"/>
        </w:tabs>
        <w:jc w:val="right"/>
        <w:rPr>
          <w:rFonts w:eastAsia="Times New Roman"/>
          <w:bCs/>
        </w:rPr>
      </w:pPr>
      <w:r w:rsidRPr="007D5748">
        <w:rPr>
          <w:rFonts w:eastAsia="Times New Roman"/>
          <w:bCs/>
        </w:rPr>
        <w:lastRenderedPageBreak/>
        <w:t xml:space="preserve">Tabuľka č. 3 </w:t>
      </w:r>
    </w:p>
    <w:p w:rsidR="0051186A" w:rsidRPr="007D5748" w:rsidRDefault="0051186A" w:rsidP="0051186A">
      <w:pPr>
        <w:tabs>
          <w:tab w:val="num" w:pos="1080"/>
        </w:tabs>
        <w:jc w:val="both"/>
        <w:rPr>
          <w:rFonts w:eastAsia="Times New Roman"/>
          <w:bCs/>
          <w:szCs w:val="20"/>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51186A" w:rsidRPr="007D5748" w:rsidTr="00563700">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1186A" w:rsidRPr="007D5748" w:rsidRDefault="0051186A" w:rsidP="00563700">
            <w:pPr>
              <w:jc w:val="center"/>
              <w:rPr>
                <w:rFonts w:eastAsia="Times New Roman"/>
                <w:b/>
                <w:bCs/>
              </w:rPr>
            </w:pPr>
            <w:r w:rsidRPr="007D5748">
              <w:rPr>
                <w:rFonts w:eastAsia="Times New Roman"/>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sidRPr="007D5748">
              <w:rPr>
                <w:rFonts w:eastAsia="Times New Roman"/>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1186A" w:rsidRPr="007D5748" w:rsidRDefault="0051186A" w:rsidP="00563700">
            <w:pPr>
              <w:jc w:val="center"/>
              <w:rPr>
                <w:rFonts w:eastAsia="Times New Roman"/>
                <w:b/>
                <w:bCs/>
              </w:rPr>
            </w:pPr>
            <w:r w:rsidRPr="007D5748">
              <w:rPr>
                <w:rFonts w:eastAsia="Times New Roman"/>
                <w:b/>
                <w:bCs/>
              </w:rPr>
              <w:t>poznámka</w:t>
            </w:r>
          </w:p>
        </w:tc>
      </w:tr>
      <w:tr w:rsidR="0051186A" w:rsidRPr="007D5748" w:rsidTr="00563700">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51186A" w:rsidRPr="007D5748" w:rsidRDefault="0051186A" w:rsidP="00563700">
            <w:pPr>
              <w:rPr>
                <w:rFonts w:eastAsia="Times New Roman"/>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sidRPr="007D5748">
              <w:rPr>
                <w:rFonts w:eastAsia="Times New Roman"/>
                <w:b/>
                <w:bCs/>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sidRPr="007D5748">
              <w:rPr>
                <w:rFonts w:eastAsia="Times New Roman"/>
                <w:b/>
                <w:bCs/>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sidRPr="007D5748">
              <w:rPr>
                <w:rFonts w:eastAsia="Times New Roman"/>
                <w:b/>
                <w:bCs/>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sidRPr="007D5748">
              <w:rPr>
                <w:rFonts w:eastAsia="Times New Roman"/>
                <w:b/>
                <w:bCs/>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51186A" w:rsidRPr="007D5748" w:rsidRDefault="0051186A" w:rsidP="00563700">
            <w:pPr>
              <w:rPr>
                <w:rFonts w:eastAsia="Times New Roman"/>
                <w:b/>
                <w:bCs/>
                <w:color w:val="FFFFFF"/>
              </w:rPr>
            </w:pPr>
          </w:p>
        </w:tc>
      </w:tr>
      <w:tr w:rsidR="0051186A" w:rsidRPr="007D5748" w:rsidTr="00563700">
        <w:trPr>
          <w:trHeight w:val="255"/>
        </w:trPr>
        <w:tc>
          <w:tcPr>
            <w:tcW w:w="4950"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b/>
                <w:bCs/>
                <w:vertAlign w:val="superscript"/>
              </w:rPr>
            </w:pPr>
            <w:r w:rsidRPr="007D5748">
              <w:rPr>
                <w:rFonts w:eastAsia="Times New Roman"/>
                <w:b/>
                <w:bCs/>
              </w:rPr>
              <w:t>Daňové príjmy (100)</w:t>
            </w:r>
            <w:r w:rsidRPr="007D5748">
              <w:rPr>
                <w:rFonts w:eastAsia="Times New Roman"/>
                <w:b/>
                <w:bCs/>
                <w:vertAlign w:val="superscript"/>
              </w:rPr>
              <w:t>1</w:t>
            </w:r>
          </w:p>
        </w:tc>
        <w:tc>
          <w:tcPr>
            <w:tcW w:w="150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50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50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50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3000" w:type="dxa"/>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r w:rsidRPr="007D5748">
              <w:rPr>
                <w:rFonts w:eastAsia="Times New Roman"/>
              </w:rPr>
              <w:t> </w:t>
            </w:r>
          </w:p>
        </w:tc>
      </w:tr>
      <w:tr w:rsidR="0051186A" w:rsidRPr="007D5748" w:rsidTr="00563700">
        <w:trPr>
          <w:trHeight w:val="255"/>
        </w:trPr>
        <w:tc>
          <w:tcPr>
            <w:tcW w:w="4950"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b/>
                <w:bCs/>
              </w:rPr>
            </w:pPr>
            <w:r w:rsidRPr="007D5748">
              <w:rPr>
                <w:rFonts w:eastAsia="Times New Roman"/>
                <w:b/>
                <w:bCs/>
              </w:rPr>
              <w:t>Nedaňové príjmy (200)</w:t>
            </w:r>
            <w:r w:rsidRPr="007D5748">
              <w:rPr>
                <w:rFonts w:eastAsia="Times New Roman"/>
                <w:b/>
                <w:bCs/>
                <w:vertAlign w:val="superscript"/>
              </w:rPr>
              <w:t>1</w:t>
            </w:r>
          </w:p>
        </w:tc>
        <w:tc>
          <w:tcPr>
            <w:tcW w:w="150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50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50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50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3000" w:type="dxa"/>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r w:rsidRPr="007D5748">
              <w:rPr>
                <w:rFonts w:eastAsia="Times New Roman"/>
              </w:rPr>
              <w:t> </w:t>
            </w:r>
          </w:p>
        </w:tc>
      </w:tr>
      <w:tr w:rsidR="0051186A" w:rsidRPr="007D5748" w:rsidTr="00563700">
        <w:trPr>
          <w:trHeight w:val="255"/>
        </w:trPr>
        <w:tc>
          <w:tcPr>
            <w:tcW w:w="4950"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b/>
                <w:bCs/>
              </w:rPr>
            </w:pPr>
            <w:r w:rsidRPr="007D5748">
              <w:rPr>
                <w:rFonts w:eastAsia="Times New Roman"/>
                <w:b/>
                <w:bCs/>
              </w:rPr>
              <w:t>Granty a transfery (300)</w:t>
            </w:r>
            <w:r w:rsidRPr="007D5748">
              <w:rPr>
                <w:rFonts w:eastAsia="Times New Roman"/>
                <w:b/>
                <w:bCs/>
                <w:vertAlign w:val="superscript"/>
              </w:rPr>
              <w:t>1</w:t>
            </w:r>
          </w:p>
        </w:tc>
        <w:tc>
          <w:tcPr>
            <w:tcW w:w="150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50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50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50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3000" w:type="dxa"/>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r w:rsidRPr="007D5748">
              <w:rPr>
                <w:rFonts w:eastAsia="Times New Roman"/>
              </w:rPr>
              <w:t> </w:t>
            </w:r>
          </w:p>
        </w:tc>
      </w:tr>
      <w:tr w:rsidR="0051186A" w:rsidRPr="007D5748" w:rsidTr="00563700">
        <w:trPr>
          <w:trHeight w:val="255"/>
        </w:trPr>
        <w:tc>
          <w:tcPr>
            <w:tcW w:w="4950"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b/>
                <w:bCs/>
              </w:rPr>
            </w:pPr>
            <w:r w:rsidRPr="007D5748">
              <w:rPr>
                <w:rFonts w:eastAsia="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51186A" w:rsidRPr="007D5748" w:rsidRDefault="0051186A" w:rsidP="00563700">
            <w:pPr>
              <w:jc w:val="center"/>
              <w:rPr>
                <w:rFonts w:eastAsia="Times New Roman"/>
                <w:b/>
                <w:bCs/>
              </w:rPr>
            </w:pPr>
            <w:r w:rsidRPr="007D5748">
              <w:rPr>
                <w:rFonts w:eastAsia="Times New Roman"/>
                <w:b/>
                <w:bCs/>
              </w:rPr>
              <w:t> </w:t>
            </w:r>
          </w:p>
        </w:tc>
        <w:tc>
          <w:tcPr>
            <w:tcW w:w="1500" w:type="dxa"/>
            <w:tcBorders>
              <w:top w:val="nil"/>
              <w:left w:val="nil"/>
              <w:bottom w:val="single" w:sz="4" w:space="0" w:color="auto"/>
              <w:right w:val="single" w:sz="4" w:space="0" w:color="auto"/>
            </w:tcBorders>
            <w:shd w:val="clear" w:color="auto" w:fill="FFFF99"/>
          </w:tcPr>
          <w:p w:rsidR="0051186A" w:rsidRPr="007D5748" w:rsidRDefault="0051186A" w:rsidP="00563700">
            <w:pPr>
              <w:jc w:val="center"/>
              <w:rPr>
                <w:rFonts w:eastAsia="Times New Roman"/>
                <w:b/>
                <w:bCs/>
              </w:rPr>
            </w:pPr>
            <w:r w:rsidRPr="007D5748">
              <w:rPr>
                <w:rFonts w:eastAsia="Times New Roman"/>
                <w:b/>
                <w:bCs/>
              </w:rPr>
              <w:t> </w:t>
            </w:r>
          </w:p>
        </w:tc>
        <w:tc>
          <w:tcPr>
            <w:tcW w:w="1500" w:type="dxa"/>
            <w:tcBorders>
              <w:top w:val="nil"/>
              <w:left w:val="nil"/>
              <w:bottom w:val="single" w:sz="4" w:space="0" w:color="auto"/>
              <w:right w:val="single" w:sz="4" w:space="0" w:color="auto"/>
            </w:tcBorders>
            <w:shd w:val="clear" w:color="auto" w:fill="FFFF99"/>
          </w:tcPr>
          <w:p w:rsidR="0051186A" w:rsidRPr="007D5748" w:rsidRDefault="0051186A" w:rsidP="00563700">
            <w:pPr>
              <w:jc w:val="center"/>
              <w:rPr>
                <w:rFonts w:eastAsia="Times New Roman"/>
                <w:b/>
                <w:bCs/>
              </w:rPr>
            </w:pPr>
            <w:r w:rsidRPr="007D5748">
              <w:rPr>
                <w:rFonts w:eastAsia="Times New Roman"/>
                <w:b/>
                <w:bCs/>
              </w:rPr>
              <w:t> </w:t>
            </w:r>
          </w:p>
        </w:tc>
        <w:tc>
          <w:tcPr>
            <w:tcW w:w="1500" w:type="dxa"/>
            <w:tcBorders>
              <w:top w:val="nil"/>
              <w:left w:val="nil"/>
              <w:bottom w:val="single" w:sz="4" w:space="0" w:color="auto"/>
              <w:right w:val="single" w:sz="4" w:space="0" w:color="auto"/>
            </w:tcBorders>
            <w:shd w:val="clear" w:color="auto" w:fill="FFFF99"/>
          </w:tcPr>
          <w:p w:rsidR="0051186A" w:rsidRPr="007D5748" w:rsidRDefault="0051186A" w:rsidP="00563700">
            <w:pPr>
              <w:jc w:val="center"/>
              <w:rPr>
                <w:rFonts w:eastAsia="Times New Roman"/>
                <w:b/>
                <w:bCs/>
              </w:rPr>
            </w:pPr>
            <w:r w:rsidRPr="007D5748">
              <w:rPr>
                <w:rFonts w:eastAsia="Times New Roman"/>
                <w:b/>
                <w:bCs/>
              </w:rPr>
              <w:t> </w:t>
            </w:r>
          </w:p>
        </w:tc>
        <w:tc>
          <w:tcPr>
            <w:tcW w:w="3000" w:type="dxa"/>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r w:rsidRPr="007D5748">
              <w:rPr>
                <w:rFonts w:eastAsia="Times New Roman"/>
              </w:rPr>
              <w:t> </w:t>
            </w:r>
          </w:p>
        </w:tc>
      </w:tr>
      <w:tr w:rsidR="0051186A" w:rsidRPr="007D5748" w:rsidTr="00563700">
        <w:trPr>
          <w:trHeight w:val="255"/>
        </w:trPr>
        <w:tc>
          <w:tcPr>
            <w:tcW w:w="4950"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b/>
                <w:bCs/>
              </w:rPr>
            </w:pPr>
            <w:r w:rsidRPr="007D5748">
              <w:rPr>
                <w:rFonts w:eastAsia="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51186A" w:rsidRPr="007D5748" w:rsidRDefault="0051186A" w:rsidP="00563700">
            <w:pPr>
              <w:jc w:val="center"/>
              <w:rPr>
                <w:rFonts w:eastAsia="Times New Roman"/>
                <w:b/>
                <w:bCs/>
              </w:rPr>
            </w:pPr>
            <w:r w:rsidRPr="007D5748">
              <w:rPr>
                <w:rFonts w:eastAsia="Times New Roman"/>
                <w:b/>
                <w:bCs/>
              </w:rPr>
              <w:t> </w:t>
            </w:r>
          </w:p>
        </w:tc>
        <w:tc>
          <w:tcPr>
            <w:tcW w:w="1500" w:type="dxa"/>
            <w:tcBorders>
              <w:top w:val="nil"/>
              <w:left w:val="nil"/>
              <w:bottom w:val="single" w:sz="4" w:space="0" w:color="auto"/>
              <w:right w:val="single" w:sz="4" w:space="0" w:color="auto"/>
            </w:tcBorders>
            <w:shd w:val="clear" w:color="auto" w:fill="FFFF99"/>
          </w:tcPr>
          <w:p w:rsidR="0051186A" w:rsidRPr="007D5748" w:rsidRDefault="0051186A" w:rsidP="00563700">
            <w:pPr>
              <w:jc w:val="center"/>
              <w:rPr>
                <w:rFonts w:eastAsia="Times New Roman"/>
                <w:b/>
                <w:bCs/>
              </w:rPr>
            </w:pPr>
            <w:r w:rsidRPr="007D5748">
              <w:rPr>
                <w:rFonts w:eastAsia="Times New Roman"/>
                <w:b/>
                <w:bCs/>
              </w:rPr>
              <w:t> </w:t>
            </w:r>
          </w:p>
        </w:tc>
        <w:tc>
          <w:tcPr>
            <w:tcW w:w="1500" w:type="dxa"/>
            <w:tcBorders>
              <w:top w:val="nil"/>
              <w:left w:val="nil"/>
              <w:bottom w:val="single" w:sz="4" w:space="0" w:color="auto"/>
              <w:right w:val="single" w:sz="4" w:space="0" w:color="auto"/>
            </w:tcBorders>
            <w:shd w:val="clear" w:color="auto" w:fill="FFFF99"/>
          </w:tcPr>
          <w:p w:rsidR="0051186A" w:rsidRPr="007D5748" w:rsidRDefault="0051186A" w:rsidP="00563700">
            <w:pPr>
              <w:jc w:val="center"/>
              <w:rPr>
                <w:rFonts w:eastAsia="Times New Roman"/>
                <w:b/>
                <w:bCs/>
              </w:rPr>
            </w:pPr>
            <w:r w:rsidRPr="007D5748">
              <w:rPr>
                <w:rFonts w:eastAsia="Times New Roman"/>
                <w:b/>
                <w:bCs/>
              </w:rPr>
              <w:t> </w:t>
            </w:r>
          </w:p>
        </w:tc>
        <w:tc>
          <w:tcPr>
            <w:tcW w:w="1500" w:type="dxa"/>
            <w:tcBorders>
              <w:top w:val="nil"/>
              <w:left w:val="nil"/>
              <w:bottom w:val="single" w:sz="4" w:space="0" w:color="auto"/>
              <w:right w:val="single" w:sz="4" w:space="0" w:color="auto"/>
            </w:tcBorders>
            <w:shd w:val="clear" w:color="auto" w:fill="FFFF99"/>
          </w:tcPr>
          <w:p w:rsidR="0051186A" w:rsidRPr="007D5748" w:rsidRDefault="0051186A" w:rsidP="00563700">
            <w:pPr>
              <w:jc w:val="center"/>
              <w:rPr>
                <w:rFonts w:eastAsia="Times New Roman"/>
                <w:b/>
                <w:bCs/>
              </w:rPr>
            </w:pPr>
            <w:r w:rsidRPr="007D5748">
              <w:rPr>
                <w:rFonts w:eastAsia="Times New Roman"/>
                <w:b/>
                <w:bCs/>
              </w:rPr>
              <w:t> </w:t>
            </w:r>
          </w:p>
        </w:tc>
        <w:tc>
          <w:tcPr>
            <w:tcW w:w="3000" w:type="dxa"/>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r w:rsidRPr="007D5748">
              <w:rPr>
                <w:rFonts w:eastAsia="Times New Roman"/>
              </w:rPr>
              <w:t> </w:t>
            </w:r>
          </w:p>
        </w:tc>
      </w:tr>
      <w:tr w:rsidR="0051186A" w:rsidRPr="007D5748" w:rsidTr="00563700">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51186A" w:rsidRPr="007D5748" w:rsidRDefault="0051186A" w:rsidP="00563700">
            <w:pPr>
              <w:rPr>
                <w:rFonts w:eastAsia="Times New Roman"/>
                <w:b/>
                <w:bCs/>
              </w:rPr>
            </w:pPr>
            <w:r w:rsidRPr="007D5748">
              <w:rPr>
                <w:rFonts w:eastAsia="Times New Roman"/>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sidRPr="007D5748">
              <w:rPr>
                <w:rFonts w:eastAsia="Times New Roman"/>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sidRPr="007D5748">
              <w:rPr>
                <w:rFonts w:eastAsia="Times New Roman"/>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sidRPr="007D5748">
              <w:rPr>
                <w:rFonts w:eastAsia="Times New Roman"/>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sidRPr="007D5748">
              <w:rPr>
                <w:rFonts w:eastAsia="Times New Roman"/>
                <w:b/>
                <w:bCs/>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51186A" w:rsidRPr="007D5748" w:rsidRDefault="0051186A" w:rsidP="00563700">
            <w:pPr>
              <w:rPr>
                <w:rFonts w:eastAsia="Times New Roman"/>
              </w:rPr>
            </w:pPr>
            <w:r w:rsidRPr="007D5748">
              <w:rPr>
                <w:rFonts w:eastAsia="Times New Roman"/>
              </w:rPr>
              <w:t> </w:t>
            </w:r>
          </w:p>
        </w:tc>
      </w:tr>
    </w:tbl>
    <w:p w:rsidR="0051186A" w:rsidRPr="007D5748" w:rsidRDefault="0051186A" w:rsidP="0051186A">
      <w:pPr>
        <w:tabs>
          <w:tab w:val="num" w:pos="1080"/>
        </w:tabs>
        <w:jc w:val="both"/>
        <w:rPr>
          <w:rFonts w:eastAsia="Times New Roman"/>
          <w:bCs/>
          <w:sz w:val="20"/>
          <w:szCs w:val="20"/>
        </w:rPr>
      </w:pPr>
      <w:r w:rsidRPr="007D5748">
        <w:rPr>
          <w:rFonts w:eastAsia="Times New Roman"/>
          <w:bCs/>
          <w:sz w:val="20"/>
          <w:szCs w:val="20"/>
        </w:rPr>
        <w:t>1 –  príjmy rozpísať až do položiek platnej ekonomickej klasifikácie</w:t>
      </w:r>
    </w:p>
    <w:p w:rsidR="0051186A" w:rsidRPr="007D5748" w:rsidRDefault="0051186A" w:rsidP="0051186A">
      <w:pPr>
        <w:tabs>
          <w:tab w:val="num" w:pos="1080"/>
        </w:tabs>
        <w:jc w:val="both"/>
        <w:rPr>
          <w:rFonts w:eastAsia="Times New Roman"/>
          <w:bCs/>
          <w:szCs w:val="20"/>
        </w:rPr>
      </w:pPr>
    </w:p>
    <w:p w:rsidR="0051186A" w:rsidRPr="007D5748" w:rsidRDefault="0051186A" w:rsidP="0051186A">
      <w:pPr>
        <w:tabs>
          <w:tab w:val="num" w:pos="1080"/>
        </w:tabs>
        <w:jc w:val="both"/>
        <w:rPr>
          <w:rFonts w:eastAsia="Times New Roman"/>
          <w:b/>
          <w:bCs/>
          <w:szCs w:val="20"/>
        </w:rPr>
      </w:pPr>
      <w:r w:rsidRPr="007D5748">
        <w:rPr>
          <w:rFonts w:eastAsia="Times New Roman"/>
          <w:b/>
          <w:bCs/>
          <w:szCs w:val="20"/>
        </w:rPr>
        <w:t>Poznámka:</w:t>
      </w:r>
    </w:p>
    <w:p w:rsidR="0051186A" w:rsidRPr="007D5748" w:rsidRDefault="0051186A" w:rsidP="0051186A">
      <w:pPr>
        <w:tabs>
          <w:tab w:val="num" w:pos="1080"/>
        </w:tabs>
        <w:jc w:val="both"/>
        <w:rPr>
          <w:rFonts w:eastAsia="Times New Roman"/>
          <w:bCs/>
          <w:szCs w:val="20"/>
        </w:rPr>
      </w:pPr>
      <w:r w:rsidRPr="007D5748">
        <w:rPr>
          <w:rFonts w:eastAsia="Times New Roman"/>
          <w:bCs/>
          <w:szCs w:val="20"/>
        </w:rPr>
        <w:t>Ak sa vplyv týka viacerých subjektov verejnej správy, vypĺňa sa samostatná tabuľka za každý subjekt.</w:t>
      </w:r>
    </w:p>
    <w:p w:rsidR="0051186A" w:rsidRPr="007D5748" w:rsidRDefault="0051186A" w:rsidP="0051186A">
      <w:pPr>
        <w:tabs>
          <w:tab w:val="num" w:pos="1080"/>
        </w:tabs>
        <w:ind w:right="-578"/>
        <w:jc w:val="right"/>
        <w:rPr>
          <w:rFonts w:eastAsia="Times New Roman"/>
          <w:bCs/>
        </w:rPr>
      </w:pPr>
      <w:r w:rsidRPr="007D5748">
        <w:rPr>
          <w:rFonts w:eastAsia="Times New Roman"/>
          <w:bCs/>
        </w:rPr>
        <w:t xml:space="preserve"> </w:t>
      </w:r>
    </w:p>
    <w:p w:rsidR="0051186A" w:rsidRPr="007D5748" w:rsidRDefault="0051186A" w:rsidP="0051186A">
      <w:pPr>
        <w:tabs>
          <w:tab w:val="num" w:pos="1080"/>
        </w:tabs>
        <w:ind w:right="-578"/>
        <w:jc w:val="right"/>
        <w:rPr>
          <w:rFonts w:eastAsia="Times New Roman"/>
          <w:bCs/>
        </w:rPr>
      </w:pPr>
    </w:p>
    <w:p w:rsidR="0051186A" w:rsidRPr="007D5748" w:rsidRDefault="0051186A" w:rsidP="0051186A">
      <w:pPr>
        <w:tabs>
          <w:tab w:val="num" w:pos="1080"/>
        </w:tabs>
        <w:ind w:right="-578"/>
        <w:jc w:val="right"/>
        <w:rPr>
          <w:rFonts w:eastAsia="Times New Roman"/>
          <w:bCs/>
        </w:rPr>
      </w:pPr>
    </w:p>
    <w:p w:rsidR="0051186A" w:rsidRPr="007D5748" w:rsidRDefault="0051186A" w:rsidP="0051186A">
      <w:pPr>
        <w:tabs>
          <w:tab w:val="num" w:pos="1080"/>
        </w:tabs>
        <w:ind w:right="-578"/>
        <w:jc w:val="right"/>
        <w:rPr>
          <w:rFonts w:eastAsia="Times New Roman"/>
          <w:bCs/>
        </w:rPr>
      </w:pPr>
    </w:p>
    <w:p w:rsidR="0051186A" w:rsidRPr="007D5748" w:rsidRDefault="0051186A" w:rsidP="0051186A">
      <w:pPr>
        <w:tabs>
          <w:tab w:val="num" w:pos="1080"/>
        </w:tabs>
        <w:ind w:right="-578"/>
        <w:jc w:val="right"/>
        <w:rPr>
          <w:rFonts w:eastAsia="Times New Roman"/>
          <w:bCs/>
        </w:rPr>
      </w:pPr>
    </w:p>
    <w:p w:rsidR="0051186A" w:rsidRPr="007D5748" w:rsidRDefault="0051186A" w:rsidP="0051186A">
      <w:pPr>
        <w:tabs>
          <w:tab w:val="num" w:pos="1080"/>
        </w:tabs>
        <w:ind w:right="-578"/>
        <w:jc w:val="right"/>
        <w:rPr>
          <w:rFonts w:eastAsia="Times New Roman"/>
          <w:bCs/>
        </w:rPr>
      </w:pPr>
    </w:p>
    <w:p w:rsidR="0051186A" w:rsidRPr="007D5748" w:rsidRDefault="0051186A" w:rsidP="0051186A">
      <w:pPr>
        <w:tabs>
          <w:tab w:val="num" w:pos="1080"/>
        </w:tabs>
        <w:ind w:right="-578"/>
        <w:jc w:val="right"/>
        <w:rPr>
          <w:rFonts w:eastAsia="Times New Roman"/>
          <w:bCs/>
        </w:rPr>
      </w:pPr>
    </w:p>
    <w:p w:rsidR="0051186A" w:rsidRPr="007D5748" w:rsidRDefault="0051186A" w:rsidP="0051186A">
      <w:pPr>
        <w:tabs>
          <w:tab w:val="num" w:pos="1080"/>
        </w:tabs>
        <w:ind w:right="-578"/>
        <w:jc w:val="right"/>
        <w:rPr>
          <w:rFonts w:eastAsia="Times New Roman"/>
          <w:bCs/>
        </w:rPr>
      </w:pPr>
    </w:p>
    <w:p w:rsidR="0051186A" w:rsidRPr="007D5748" w:rsidRDefault="0051186A" w:rsidP="0051186A">
      <w:pPr>
        <w:tabs>
          <w:tab w:val="num" w:pos="1080"/>
        </w:tabs>
        <w:ind w:right="-578"/>
        <w:jc w:val="right"/>
        <w:rPr>
          <w:rFonts w:eastAsia="Times New Roman"/>
          <w:bCs/>
        </w:rPr>
      </w:pPr>
    </w:p>
    <w:p w:rsidR="0051186A" w:rsidRPr="007D5748" w:rsidRDefault="0051186A" w:rsidP="0051186A">
      <w:pPr>
        <w:tabs>
          <w:tab w:val="num" w:pos="1080"/>
        </w:tabs>
        <w:ind w:right="-578"/>
        <w:jc w:val="right"/>
        <w:rPr>
          <w:rFonts w:eastAsia="Times New Roman"/>
          <w:bCs/>
        </w:rPr>
      </w:pPr>
    </w:p>
    <w:p w:rsidR="0051186A" w:rsidRPr="007D5748" w:rsidRDefault="0051186A" w:rsidP="0051186A">
      <w:pPr>
        <w:tabs>
          <w:tab w:val="num" w:pos="1080"/>
        </w:tabs>
        <w:ind w:right="-578"/>
        <w:jc w:val="right"/>
        <w:rPr>
          <w:rFonts w:eastAsia="Times New Roman"/>
          <w:bCs/>
        </w:rPr>
      </w:pPr>
    </w:p>
    <w:p w:rsidR="0051186A" w:rsidRPr="007D5748" w:rsidRDefault="0051186A" w:rsidP="0051186A">
      <w:pPr>
        <w:tabs>
          <w:tab w:val="num" w:pos="1080"/>
        </w:tabs>
        <w:ind w:right="-578"/>
        <w:jc w:val="right"/>
        <w:rPr>
          <w:rFonts w:eastAsia="Times New Roman"/>
          <w:bCs/>
        </w:rPr>
      </w:pPr>
    </w:p>
    <w:p w:rsidR="0051186A" w:rsidRPr="007D5748" w:rsidRDefault="0051186A" w:rsidP="0051186A">
      <w:pPr>
        <w:tabs>
          <w:tab w:val="num" w:pos="1080"/>
        </w:tabs>
        <w:ind w:right="-578"/>
        <w:jc w:val="right"/>
        <w:rPr>
          <w:rFonts w:eastAsia="Times New Roman"/>
          <w:bCs/>
        </w:rPr>
      </w:pPr>
    </w:p>
    <w:p w:rsidR="0051186A" w:rsidRPr="007D5748" w:rsidRDefault="0051186A" w:rsidP="0051186A">
      <w:pPr>
        <w:tabs>
          <w:tab w:val="num" w:pos="1080"/>
        </w:tabs>
        <w:ind w:right="-578"/>
        <w:jc w:val="right"/>
        <w:rPr>
          <w:rFonts w:eastAsia="Times New Roman"/>
          <w:bCs/>
        </w:rPr>
      </w:pPr>
    </w:p>
    <w:p w:rsidR="0051186A" w:rsidRPr="007D5748" w:rsidRDefault="0051186A" w:rsidP="0051186A">
      <w:pPr>
        <w:tabs>
          <w:tab w:val="num" w:pos="1080"/>
        </w:tabs>
        <w:ind w:right="-578"/>
        <w:jc w:val="right"/>
        <w:rPr>
          <w:rFonts w:eastAsia="Times New Roman"/>
          <w:bCs/>
        </w:rPr>
      </w:pPr>
    </w:p>
    <w:p w:rsidR="0051186A" w:rsidRPr="007D5748" w:rsidRDefault="0051186A" w:rsidP="0051186A">
      <w:pPr>
        <w:tabs>
          <w:tab w:val="num" w:pos="1080"/>
        </w:tabs>
        <w:ind w:right="-32"/>
        <w:jc w:val="right"/>
        <w:rPr>
          <w:rFonts w:eastAsia="Times New Roman"/>
          <w:bCs/>
        </w:rPr>
      </w:pPr>
      <w:r w:rsidRPr="007D5748">
        <w:rPr>
          <w:rFonts w:eastAsia="Times New Roman"/>
          <w:bCs/>
        </w:rPr>
        <w:lastRenderedPageBreak/>
        <w:t xml:space="preserve">Tabuľka č. 4 </w:t>
      </w:r>
    </w:p>
    <w:p w:rsidR="0051186A" w:rsidRPr="007D5748" w:rsidRDefault="0051186A" w:rsidP="0051186A">
      <w:pPr>
        <w:tabs>
          <w:tab w:val="num" w:pos="1080"/>
        </w:tabs>
        <w:jc w:val="both"/>
        <w:rPr>
          <w:rFonts w:eastAsia="Times New Roman"/>
          <w:bCs/>
          <w:szCs w:val="20"/>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51186A" w:rsidRPr="007D5748" w:rsidTr="00563700">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51186A" w:rsidRPr="007D5748" w:rsidRDefault="0051186A" w:rsidP="00563700">
            <w:pPr>
              <w:jc w:val="center"/>
              <w:rPr>
                <w:rFonts w:eastAsia="Times New Roman"/>
                <w:b/>
                <w:bCs/>
                <w:sz w:val="20"/>
                <w:szCs w:val="20"/>
              </w:rPr>
            </w:pPr>
            <w:r w:rsidRPr="007D5748">
              <w:rPr>
                <w:rFonts w:eastAsia="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sz w:val="20"/>
                <w:szCs w:val="20"/>
              </w:rPr>
            </w:pPr>
            <w:r w:rsidRPr="007D5748">
              <w:rPr>
                <w:rFonts w:eastAsia="Times New Roman"/>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1186A" w:rsidRPr="007D5748" w:rsidRDefault="0051186A" w:rsidP="00563700">
            <w:pPr>
              <w:jc w:val="center"/>
              <w:rPr>
                <w:rFonts w:eastAsia="Times New Roman"/>
                <w:b/>
                <w:bCs/>
              </w:rPr>
            </w:pPr>
            <w:r w:rsidRPr="007D5748">
              <w:rPr>
                <w:rFonts w:eastAsia="Times New Roman"/>
                <w:b/>
                <w:bCs/>
              </w:rPr>
              <w:t>poznámka</w:t>
            </w:r>
          </w:p>
        </w:tc>
      </w:tr>
      <w:tr w:rsidR="0051186A" w:rsidRPr="007D5748" w:rsidTr="00563700">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51186A" w:rsidRPr="007D5748" w:rsidRDefault="0051186A" w:rsidP="00563700">
            <w:pPr>
              <w:rPr>
                <w:rFonts w:eastAsia="Times New Roman"/>
                <w:b/>
                <w:bCs/>
                <w:color w:val="FFFFFF"/>
                <w:sz w:val="20"/>
                <w:szCs w:val="20"/>
              </w:rPr>
            </w:pPr>
          </w:p>
        </w:tc>
        <w:tc>
          <w:tcPr>
            <w:tcW w:w="1540" w:type="dxa"/>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sz w:val="20"/>
                <w:szCs w:val="20"/>
              </w:rPr>
            </w:pPr>
            <w:r>
              <w:rPr>
                <w:rFonts w:eastAsia="Times New Roman"/>
                <w:b/>
                <w:bCs/>
                <w:sz w:val="20"/>
                <w:szCs w:val="20"/>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sz w:val="20"/>
                <w:szCs w:val="20"/>
              </w:rPr>
            </w:pPr>
            <w:r>
              <w:rPr>
                <w:rFonts w:eastAsia="Times New Roman"/>
                <w:b/>
                <w:bCs/>
                <w:sz w:val="20"/>
                <w:szCs w:val="20"/>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sz w:val="20"/>
                <w:szCs w:val="20"/>
              </w:rPr>
            </w:pPr>
            <w:r>
              <w:rPr>
                <w:rFonts w:eastAsia="Times New Roman"/>
                <w:b/>
                <w:bCs/>
                <w:sz w:val="20"/>
                <w:szCs w:val="20"/>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Pr>
                <w:rFonts w:eastAsia="Times New Roman"/>
                <w:b/>
                <w:bCs/>
              </w:rPr>
              <w:t>2023</w:t>
            </w:r>
          </w:p>
        </w:tc>
        <w:tc>
          <w:tcPr>
            <w:tcW w:w="2220" w:type="dxa"/>
            <w:vMerge/>
            <w:tcBorders>
              <w:top w:val="single" w:sz="4" w:space="0" w:color="auto"/>
              <w:left w:val="single" w:sz="4" w:space="0" w:color="auto"/>
              <w:bottom w:val="single" w:sz="4" w:space="0" w:color="auto"/>
              <w:right w:val="single" w:sz="4" w:space="0" w:color="auto"/>
            </w:tcBorders>
            <w:vAlign w:val="center"/>
          </w:tcPr>
          <w:p w:rsidR="0051186A" w:rsidRPr="007D5748" w:rsidRDefault="0051186A" w:rsidP="00563700">
            <w:pPr>
              <w:rPr>
                <w:rFonts w:eastAsia="Times New Roman"/>
                <w:b/>
                <w:bCs/>
                <w:color w:val="FFFFFF"/>
              </w:rPr>
            </w:pPr>
          </w:p>
        </w:tc>
      </w:tr>
      <w:tr w:rsidR="0051186A" w:rsidRPr="007D5748" w:rsidTr="00563700">
        <w:trPr>
          <w:trHeight w:val="255"/>
        </w:trPr>
        <w:tc>
          <w:tcPr>
            <w:tcW w:w="7070"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b/>
                <w:bCs/>
                <w:sz w:val="20"/>
                <w:szCs w:val="20"/>
              </w:rPr>
            </w:pPr>
            <w:r w:rsidRPr="007D5748">
              <w:rPr>
                <w:rFonts w:eastAsia="Times New Roman"/>
                <w:b/>
                <w:bCs/>
                <w:sz w:val="20"/>
                <w:szCs w:val="20"/>
              </w:rPr>
              <w:t>Bežné výdavky (600)</w:t>
            </w: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2220" w:type="dxa"/>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r w:rsidRPr="007D5748">
              <w:rPr>
                <w:rFonts w:eastAsia="Times New Roman"/>
              </w:rPr>
              <w:t> </w:t>
            </w:r>
          </w:p>
        </w:tc>
      </w:tr>
      <w:tr w:rsidR="0051186A" w:rsidRPr="007D5748" w:rsidTr="00563700">
        <w:trPr>
          <w:trHeight w:val="255"/>
        </w:trPr>
        <w:tc>
          <w:tcPr>
            <w:tcW w:w="7070"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sz w:val="20"/>
                <w:szCs w:val="20"/>
              </w:rPr>
            </w:pPr>
            <w:r w:rsidRPr="007D5748">
              <w:rPr>
                <w:rFonts w:eastAsia="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rPr>
            </w:pPr>
          </w:p>
        </w:tc>
        <w:tc>
          <w:tcPr>
            <w:tcW w:w="2220" w:type="dxa"/>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r w:rsidRPr="007D5748">
              <w:rPr>
                <w:rFonts w:eastAsia="Times New Roman"/>
              </w:rPr>
              <w:t> </w:t>
            </w:r>
          </w:p>
        </w:tc>
      </w:tr>
      <w:tr w:rsidR="0051186A" w:rsidRPr="007D5748" w:rsidTr="00563700">
        <w:trPr>
          <w:trHeight w:val="255"/>
        </w:trPr>
        <w:tc>
          <w:tcPr>
            <w:tcW w:w="7070"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sz w:val="20"/>
                <w:szCs w:val="20"/>
                <w:vertAlign w:val="superscript"/>
              </w:rPr>
            </w:pPr>
            <w:r w:rsidRPr="007D5748">
              <w:rPr>
                <w:rFonts w:eastAsia="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rPr>
            </w:pPr>
          </w:p>
        </w:tc>
        <w:tc>
          <w:tcPr>
            <w:tcW w:w="2220" w:type="dxa"/>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r w:rsidRPr="007D5748">
              <w:rPr>
                <w:rFonts w:eastAsia="Times New Roman"/>
              </w:rPr>
              <w:t> </w:t>
            </w:r>
          </w:p>
        </w:tc>
      </w:tr>
      <w:tr w:rsidR="0051186A" w:rsidRPr="007D5748" w:rsidTr="00563700">
        <w:trPr>
          <w:trHeight w:val="255"/>
        </w:trPr>
        <w:tc>
          <w:tcPr>
            <w:tcW w:w="7070"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sz w:val="20"/>
                <w:szCs w:val="20"/>
                <w:vertAlign w:val="superscript"/>
              </w:rPr>
            </w:pPr>
            <w:r w:rsidRPr="007D5748">
              <w:rPr>
                <w:rFonts w:eastAsia="Times New Roman"/>
                <w:sz w:val="20"/>
                <w:szCs w:val="20"/>
              </w:rPr>
              <w:t xml:space="preserve">  Tovary a služby (630)</w:t>
            </w:r>
            <w:r w:rsidRPr="007D5748">
              <w:rPr>
                <w:rFonts w:eastAsia="Times New Roman"/>
                <w:sz w:val="20"/>
                <w:szCs w:val="20"/>
                <w:vertAlign w:val="superscript"/>
              </w:rPr>
              <w:t>2</w:t>
            </w: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r>
              <w:rPr>
                <w:rFonts w:eastAsia="Times New Roman"/>
                <w:sz w:val="20"/>
                <w:szCs w:val="20"/>
              </w:rPr>
              <w:t>34 237 910</w:t>
            </w: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r>
              <w:rPr>
                <w:rFonts w:eastAsia="Times New Roman"/>
                <w:sz w:val="20"/>
                <w:szCs w:val="20"/>
              </w:rPr>
              <w:t>4 216 555</w:t>
            </w:r>
          </w:p>
        </w:tc>
        <w:tc>
          <w:tcPr>
            <w:tcW w:w="1540" w:type="dxa"/>
            <w:tcBorders>
              <w:top w:val="nil"/>
              <w:left w:val="nil"/>
              <w:bottom w:val="single" w:sz="4" w:space="0" w:color="auto"/>
              <w:right w:val="single" w:sz="4" w:space="0" w:color="auto"/>
            </w:tcBorders>
          </w:tcPr>
          <w:p w:rsidR="0051186A" w:rsidRPr="00651F82" w:rsidRDefault="0051186A" w:rsidP="00563700">
            <w:pPr>
              <w:jc w:val="center"/>
              <w:rPr>
                <w:rFonts w:eastAsia="Times New Roman"/>
                <w:sz w:val="20"/>
                <w:szCs w:val="20"/>
              </w:rPr>
            </w:pPr>
            <w:r>
              <w:rPr>
                <w:rFonts w:eastAsia="Times New Roman"/>
                <w:sz w:val="20"/>
                <w:szCs w:val="20"/>
              </w:rPr>
              <w:t>3 290 385</w:t>
            </w:r>
          </w:p>
        </w:tc>
        <w:tc>
          <w:tcPr>
            <w:tcW w:w="1540" w:type="dxa"/>
            <w:tcBorders>
              <w:top w:val="nil"/>
              <w:left w:val="nil"/>
              <w:bottom w:val="single" w:sz="4" w:space="0" w:color="auto"/>
              <w:right w:val="single" w:sz="4" w:space="0" w:color="auto"/>
            </w:tcBorders>
          </w:tcPr>
          <w:p w:rsidR="0051186A" w:rsidRPr="00651F82" w:rsidRDefault="0051186A" w:rsidP="00563700">
            <w:pPr>
              <w:jc w:val="center"/>
              <w:rPr>
                <w:rFonts w:eastAsia="Times New Roman"/>
                <w:sz w:val="20"/>
                <w:szCs w:val="20"/>
              </w:rPr>
            </w:pPr>
            <w:r>
              <w:rPr>
                <w:rFonts w:eastAsia="Times New Roman"/>
                <w:sz w:val="20"/>
                <w:szCs w:val="20"/>
              </w:rPr>
              <w:t>1 427 790</w:t>
            </w:r>
          </w:p>
        </w:tc>
        <w:tc>
          <w:tcPr>
            <w:tcW w:w="2220" w:type="dxa"/>
            <w:tcBorders>
              <w:top w:val="nil"/>
              <w:left w:val="nil"/>
              <w:bottom w:val="single" w:sz="4" w:space="0" w:color="auto"/>
              <w:right w:val="single" w:sz="4" w:space="0" w:color="auto"/>
            </w:tcBorders>
            <w:noWrap/>
            <w:vAlign w:val="bottom"/>
          </w:tcPr>
          <w:p w:rsidR="0051186A" w:rsidRPr="00651F82" w:rsidRDefault="0051186A" w:rsidP="00563700">
            <w:pPr>
              <w:rPr>
                <w:rFonts w:eastAsia="Times New Roman"/>
                <w:sz w:val="20"/>
                <w:szCs w:val="20"/>
              </w:rPr>
            </w:pPr>
            <w:r w:rsidRPr="00651F82">
              <w:rPr>
                <w:rFonts w:eastAsia="Times New Roman"/>
                <w:sz w:val="20"/>
                <w:szCs w:val="20"/>
              </w:rPr>
              <w:t> </w:t>
            </w:r>
            <w:r>
              <w:rPr>
                <w:rFonts w:eastAsia="Times New Roman"/>
                <w:sz w:val="20"/>
                <w:szCs w:val="20"/>
              </w:rPr>
              <w:t xml:space="preserve">výška </w:t>
            </w:r>
            <w:r w:rsidRPr="00651F82">
              <w:rPr>
                <w:rFonts w:eastAsia="Times New Roman"/>
                <w:sz w:val="20"/>
                <w:szCs w:val="20"/>
              </w:rPr>
              <w:t>úhrad</w:t>
            </w:r>
            <w:r>
              <w:rPr>
                <w:rFonts w:eastAsia="Times New Roman"/>
                <w:sz w:val="20"/>
                <w:szCs w:val="20"/>
              </w:rPr>
              <w:t>y</w:t>
            </w:r>
            <w:r w:rsidRPr="00651F82">
              <w:rPr>
                <w:rFonts w:eastAsia="Times New Roman"/>
                <w:sz w:val="20"/>
                <w:szCs w:val="20"/>
              </w:rPr>
              <w:t xml:space="preserve"> paušálnych trov zastavených starých exekučných konaní</w:t>
            </w:r>
          </w:p>
        </w:tc>
      </w:tr>
      <w:tr w:rsidR="0051186A" w:rsidRPr="007D5748" w:rsidTr="00563700">
        <w:trPr>
          <w:trHeight w:val="255"/>
        </w:trPr>
        <w:tc>
          <w:tcPr>
            <w:tcW w:w="7070"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sz w:val="20"/>
                <w:szCs w:val="20"/>
              </w:rPr>
            </w:pPr>
            <w:r w:rsidRPr="007D5748">
              <w:rPr>
                <w:rFonts w:eastAsia="Times New Roman"/>
                <w:sz w:val="20"/>
                <w:szCs w:val="20"/>
              </w:rPr>
              <w:t xml:space="preserve">  Bežné transfery (640)</w:t>
            </w:r>
            <w:r w:rsidRPr="007D5748">
              <w:rPr>
                <w:rFonts w:eastAsia="Times New Roman"/>
                <w:sz w:val="20"/>
                <w:szCs w:val="20"/>
                <w:vertAlign w:val="superscript"/>
              </w:rPr>
              <w:t>2</w:t>
            </w: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rPr>
            </w:pPr>
          </w:p>
        </w:tc>
        <w:tc>
          <w:tcPr>
            <w:tcW w:w="2220" w:type="dxa"/>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r w:rsidRPr="007D5748">
              <w:rPr>
                <w:rFonts w:eastAsia="Times New Roman"/>
              </w:rPr>
              <w:t> </w:t>
            </w:r>
          </w:p>
        </w:tc>
      </w:tr>
      <w:tr w:rsidR="0051186A" w:rsidRPr="007D5748" w:rsidTr="00563700">
        <w:trPr>
          <w:trHeight w:val="255"/>
        </w:trPr>
        <w:tc>
          <w:tcPr>
            <w:tcW w:w="7070" w:type="dxa"/>
            <w:tcBorders>
              <w:top w:val="nil"/>
              <w:left w:val="single" w:sz="4" w:space="0" w:color="auto"/>
              <w:bottom w:val="single" w:sz="4" w:space="0" w:color="auto"/>
              <w:right w:val="single" w:sz="4" w:space="0" w:color="auto"/>
            </w:tcBorders>
            <w:vAlign w:val="center"/>
          </w:tcPr>
          <w:p w:rsidR="0051186A" w:rsidRPr="007D5748" w:rsidRDefault="0051186A" w:rsidP="00563700">
            <w:pPr>
              <w:rPr>
                <w:rFonts w:eastAsia="Times New Roman"/>
                <w:sz w:val="20"/>
                <w:szCs w:val="20"/>
              </w:rPr>
            </w:pPr>
            <w:r w:rsidRPr="007D5748">
              <w:rPr>
                <w:rFonts w:eastAsia="Times New Roman"/>
                <w:sz w:val="20"/>
                <w:szCs w:val="20"/>
              </w:rPr>
              <w:t xml:space="preserve">  Splácanie úrokov a ostatné platby súvisiace s </w:t>
            </w:r>
            <w:r>
              <w:t xml:space="preserve"> </w:t>
            </w:r>
            <w:r w:rsidRPr="008D339D">
              <w:rPr>
                <w:rFonts w:eastAsia="Times New Roman"/>
                <w:sz w:val="20"/>
                <w:szCs w:val="20"/>
              </w:rPr>
              <w:t>úverom, pôžičkou, návratnou finančnou výpomocou a finančným prenájmom</w:t>
            </w:r>
            <w:r w:rsidRPr="007D5748">
              <w:rPr>
                <w:rFonts w:eastAsia="Times New Roman"/>
                <w:sz w:val="20"/>
                <w:szCs w:val="20"/>
              </w:rPr>
              <w:t xml:space="preserve"> (650)</w:t>
            </w:r>
            <w:r w:rsidRPr="007D5748">
              <w:rPr>
                <w:rFonts w:eastAsia="Times New Roman"/>
                <w:sz w:val="20"/>
                <w:szCs w:val="20"/>
                <w:vertAlign w:val="superscript"/>
              </w:rPr>
              <w:t>2</w:t>
            </w: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rPr>
            </w:pPr>
          </w:p>
        </w:tc>
        <w:tc>
          <w:tcPr>
            <w:tcW w:w="2220" w:type="dxa"/>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p>
        </w:tc>
      </w:tr>
      <w:tr w:rsidR="0051186A" w:rsidRPr="007D5748" w:rsidTr="00563700">
        <w:trPr>
          <w:trHeight w:val="255"/>
        </w:trPr>
        <w:tc>
          <w:tcPr>
            <w:tcW w:w="7070"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b/>
                <w:bCs/>
                <w:sz w:val="20"/>
                <w:szCs w:val="20"/>
              </w:rPr>
            </w:pPr>
            <w:r w:rsidRPr="007D5748">
              <w:rPr>
                <w:rFonts w:eastAsia="Times New Roman"/>
                <w:b/>
                <w:bCs/>
                <w:sz w:val="20"/>
                <w:szCs w:val="20"/>
              </w:rPr>
              <w:t>Kapitálové výdavky (700)</w:t>
            </w: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2220" w:type="dxa"/>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r w:rsidRPr="007D5748">
              <w:rPr>
                <w:rFonts w:eastAsia="Times New Roman"/>
              </w:rPr>
              <w:t> </w:t>
            </w:r>
          </w:p>
        </w:tc>
      </w:tr>
      <w:tr w:rsidR="0051186A" w:rsidRPr="007D5748" w:rsidTr="00563700">
        <w:trPr>
          <w:trHeight w:val="255"/>
        </w:trPr>
        <w:tc>
          <w:tcPr>
            <w:tcW w:w="7070"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sz w:val="20"/>
                <w:szCs w:val="20"/>
              </w:rPr>
            </w:pPr>
            <w:r w:rsidRPr="007D5748">
              <w:rPr>
                <w:rFonts w:eastAsia="Times New Roman"/>
                <w:sz w:val="20"/>
                <w:szCs w:val="20"/>
              </w:rPr>
              <w:t xml:space="preserve">  Obstarávanie kapitálových aktív (710)</w:t>
            </w:r>
            <w:r w:rsidRPr="007D5748">
              <w:rPr>
                <w:rFonts w:eastAsia="Times New Roman"/>
                <w:sz w:val="20"/>
                <w:szCs w:val="20"/>
                <w:vertAlign w:val="superscript"/>
              </w:rPr>
              <w:t>2</w:t>
            </w: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rPr>
            </w:pPr>
          </w:p>
        </w:tc>
        <w:tc>
          <w:tcPr>
            <w:tcW w:w="2220" w:type="dxa"/>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r w:rsidRPr="007D5748">
              <w:rPr>
                <w:rFonts w:eastAsia="Times New Roman"/>
              </w:rPr>
              <w:t> </w:t>
            </w:r>
          </w:p>
        </w:tc>
      </w:tr>
      <w:tr w:rsidR="0051186A" w:rsidRPr="007D5748" w:rsidTr="00563700">
        <w:trPr>
          <w:trHeight w:val="255"/>
        </w:trPr>
        <w:tc>
          <w:tcPr>
            <w:tcW w:w="7070"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sz w:val="20"/>
                <w:szCs w:val="20"/>
              </w:rPr>
            </w:pPr>
            <w:r w:rsidRPr="007D5748">
              <w:rPr>
                <w:rFonts w:eastAsia="Times New Roman"/>
                <w:sz w:val="20"/>
                <w:szCs w:val="20"/>
              </w:rPr>
              <w:t xml:space="preserve">  Kapitálové transfery (720)</w:t>
            </w:r>
            <w:r w:rsidRPr="007D5748">
              <w:rPr>
                <w:rFonts w:eastAsia="Times New Roman"/>
                <w:sz w:val="20"/>
                <w:szCs w:val="20"/>
                <w:vertAlign w:val="superscript"/>
              </w:rPr>
              <w:t>2</w:t>
            </w: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sz w:val="20"/>
                <w:szCs w:val="20"/>
              </w:rPr>
            </w:pPr>
          </w:p>
        </w:tc>
        <w:tc>
          <w:tcPr>
            <w:tcW w:w="1540"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rPr>
            </w:pPr>
          </w:p>
        </w:tc>
        <w:tc>
          <w:tcPr>
            <w:tcW w:w="2220" w:type="dxa"/>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r w:rsidRPr="007D5748">
              <w:rPr>
                <w:rFonts w:eastAsia="Times New Roman"/>
              </w:rPr>
              <w:t> </w:t>
            </w:r>
          </w:p>
        </w:tc>
      </w:tr>
      <w:tr w:rsidR="0051186A" w:rsidRPr="007D5748" w:rsidTr="00563700">
        <w:trPr>
          <w:trHeight w:val="255"/>
        </w:trPr>
        <w:tc>
          <w:tcPr>
            <w:tcW w:w="7070"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b/>
                <w:bCs/>
                <w:sz w:val="20"/>
                <w:szCs w:val="20"/>
              </w:rPr>
            </w:pPr>
            <w:r w:rsidRPr="007D5748">
              <w:rPr>
                <w:rFonts w:eastAsia="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51186A" w:rsidRPr="007D5748" w:rsidRDefault="0051186A" w:rsidP="00563700">
            <w:pPr>
              <w:jc w:val="center"/>
              <w:rPr>
                <w:rFonts w:eastAsia="Times New Roman"/>
                <w:b/>
                <w:bCs/>
                <w:sz w:val="20"/>
                <w:szCs w:val="20"/>
              </w:rPr>
            </w:pPr>
            <w:r w:rsidRPr="007D5748">
              <w:rPr>
                <w:rFonts w:eastAsia="Times New Roman"/>
                <w:b/>
                <w:bCs/>
                <w:sz w:val="20"/>
                <w:szCs w:val="20"/>
              </w:rPr>
              <w:t> </w:t>
            </w:r>
          </w:p>
        </w:tc>
        <w:tc>
          <w:tcPr>
            <w:tcW w:w="1540" w:type="dxa"/>
            <w:tcBorders>
              <w:top w:val="nil"/>
              <w:left w:val="nil"/>
              <w:bottom w:val="single" w:sz="4" w:space="0" w:color="auto"/>
              <w:right w:val="single" w:sz="4" w:space="0" w:color="auto"/>
            </w:tcBorders>
            <w:shd w:val="clear" w:color="auto" w:fill="FFFF99"/>
          </w:tcPr>
          <w:p w:rsidR="0051186A" w:rsidRPr="007D5748" w:rsidRDefault="0051186A" w:rsidP="00563700">
            <w:pPr>
              <w:jc w:val="center"/>
              <w:rPr>
                <w:rFonts w:eastAsia="Times New Roman"/>
                <w:b/>
                <w:bCs/>
                <w:sz w:val="20"/>
                <w:szCs w:val="20"/>
              </w:rPr>
            </w:pPr>
            <w:r w:rsidRPr="007D5748">
              <w:rPr>
                <w:rFonts w:eastAsia="Times New Roman"/>
                <w:b/>
                <w:bCs/>
                <w:sz w:val="20"/>
                <w:szCs w:val="20"/>
              </w:rPr>
              <w:t> </w:t>
            </w:r>
          </w:p>
        </w:tc>
        <w:tc>
          <w:tcPr>
            <w:tcW w:w="1540" w:type="dxa"/>
            <w:tcBorders>
              <w:top w:val="nil"/>
              <w:left w:val="nil"/>
              <w:bottom w:val="single" w:sz="4" w:space="0" w:color="auto"/>
              <w:right w:val="single" w:sz="4" w:space="0" w:color="auto"/>
            </w:tcBorders>
            <w:shd w:val="clear" w:color="auto" w:fill="FFFF99"/>
          </w:tcPr>
          <w:p w:rsidR="0051186A" w:rsidRPr="007D5748" w:rsidRDefault="0051186A" w:rsidP="00563700">
            <w:pPr>
              <w:jc w:val="center"/>
              <w:rPr>
                <w:rFonts w:eastAsia="Times New Roman"/>
                <w:b/>
                <w:bCs/>
                <w:sz w:val="20"/>
                <w:szCs w:val="20"/>
              </w:rPr>
            </w:pPr>
            <w:r w:rsidRPr="007D5748">
              <w:rPr>
                <w:rFonts w:eastAsia="Times New Roman"/>
                <w:b/>
                <w:bCs/>
                <w:sz w:val="20"/>
                <w:szCs w:val="20"/>
              </w:rPr>
              <w:t> </w:t>
            </w:r>
          </w:p>
        </w:tc>
        <w:tc>
          <w:tcPr>
            <w:tcW w:w="1540" w:type="dxa"/>
            <w:tcBorders>
              <w:top w:val="nil"/>
              <w:left w:val="nil"/>
              <w:bottom w:val="single" w:sz="4" w:space="0" w:color="auto"/>
              <w:right w:val="single" w:sz="4" w:space="0" w:color="auto"/>
            </w:tcBorders>
            <w:shd w:val="clear" w:color="auto" w:fill="FFFF99"/>
          </w:tcPr>
          <w:p w:rsidR="0051186A" w:rsidRPr="007D5748" w:rsidRDefault="0051186A" w:rsidP="00563700">
            <w:pPr>
              <w:jc w:val="center"/>
              <w:rPr>
                <w:rFonts w:eastAsia="Times New Roman"/>
                <w:b/>
                <w:bCs/>
              </w:rPr>
            </w:pPr>
            <w:r w:rsidRPr="007D5748">
              <w:rPr>
                <w:rFonts w:eastAsia="Times New Roman"/>
                <w:b/>
                <w:bCs/>
              </w:rPr>
              <w:t> </w:t>
            </w:r>
          </w:p>
        </w:tc>
        <w:tc>
          <w:tcPr>
            <w:tcW w:w="2220" w:type="dxa"/>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r w:rsidRPr="007D5748">
              <w:rPr>
                <w:rFonts w:eastAsia="Times New Roman"/>
              </w:rPr>
              <w:t> </w:t>
            </w:r>
          </w:p>
        </w:tc>
      </w:tr>
      <w:tr w:rsidR="0051186A" w:rsidRPr="007D5748" w:rsidTr="00563700">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186A" w:rsidRPr="007D5748" w:rsidRDefault="0051186A" w:rsidP="00563700">
            <w:pPr>
              <w:rPr>
                <w:rFonts w:eastAsia="Times New Roman"/>
                <w:b/>
                <w:bCs/>
                <w:sz w:val="20"/>
                <w:szCs w:val="20"/>
              </w:rPr>
            </w:pPr>
            <w:r w:rsidRPr="007D5748">
              <w:rPr>
                <w:rFonts w:eastAsia="Times New Roman"/>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sz w:val="20"/>
                <w:szCs w:val="20"/>
              </w:rPr>
            </w:pPr>
            <w:r>
              <w:rPr>
                <w:rFonts w:eastAsia="Times New Roman"/>
                <w:sz w:val="20"/>
                <w:szCs w:val="20"/>
              </w:rPr>
              <w:t>34 237 910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sz w:val="20"/>
                <w:szCs w:val="20"/>
              </w:rPr>
            </w:pPr>
            <w:r>
              <w:rPr>
                <w:rFonts w:eastAsia="Times New Roman"/>
                <w:sz w:val="20"/>
                <w:szCs w:val="20"/>
              </w:rPr>
              <w:t>4 216 555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sz w:val="20"/>
                <w:szCs w:val="20"/>
              </w:rPr>
            </w:pPr>
            <w:r>
              <w:rPr>
                <w:rFonts w:eastAsia="Times New Roman"/>
                <w:sz w:val="20"/>
                <w:szCs w:val="20"/>
              </w:rPr>
              <w:t>3 290 385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Pr>
                <w:rFonts w:eastAsia="Times New Roman"/>
                <w:sz w:val="20"/>
                <w:szCs w:val="20"/>
              </w:rPr>
              <w:t>1 427 790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1186A" w:rsidRPr="007D5748" w:rsidRDefault="0051186A" w:rsidP="00563700">
            <w:pPr>
              <w:rPr>
                <w:rFonts w:eastAsia="Times New Roman"/>
              </w:rPr>
            </w:pPr>
            <w:r w:rsidRPr="007D5748">
              <w:rPr>
                <w:rFonts w:eastAsia="Times New Roman"/>
              </w:rPr>
              <w:t> </w:t>
            </w:r>
          </w:p>
        </w:tc>
      </w:tr>
    </w:tbl>
    <w:p w:rsidR="0051186A" w:rsidRPr="007D5748" w:rsidRDefault="0051186A" w:rsidP="0051186A">
      <w:pPr>
        <w:tabs>
          <w:tab w:val="num" w:pos="1080"/>
        </w:tabs>
        <w:ind w:left="-900"/>
        <w:jc w:val="both"/>
        <w:rPr>
          <w:rFonts w:eastAsia="Times New Roman"/>
          <w:bCs/>
          <w:sz w:val="20"/>
          <w:szCs w:val="20"/>
        </w:rPr>
      </w:pPr>
      <w:r w:rsidRPr="007D5748">
        <w:rPr>
          <w:rFonts w:eastAsia="Times New Roman"/>
          <w:bCs/>
          <w:sz w:val="20"/>
          <w:szCs w:val="20"/>
        </w:rPr>
        <w:t>2 –  výdavky rozpísať až do položiek platnej ekonomickej klasifikácie</w:t>
      </w:r>
    </w:p>
    <w:p w:rsidR="0051186A" w:rsidRPr="007D5748" w:rsidRDefault="0051186A" w:rsidP="0051186A">
      <w:pPr>
        <w:tabs>
          <w:tab w:val="num" w:pos="1080"/>
        </w:tabs>
        <w:ind w:left="-900"/>
        <w:jc w:val="both"/>
        <w:rPr>
          <w:rFonts w:eastAsia="Times New Roman"/>
          <w:bCs/>
          <w:szCs w:val="20"/>
        </w:rPr>
      </w:pPr>
    </w:p>
    <w:p w:rsidR="0051186A" w:rsidRPr="007D5748" w:rsidRDefault="0051186A" w:rsidP="0051186A">
      <w:pPr>
        <w:tabs>
          <w:tab w:val="num" w:pos="1080"/>
        </w:tabs>
        <w:ind w:left="-900"/>
        <w:jc w:val="both"/>
        <w:rPr>
          <w:rFonts w:eastAsia="Times New Roman"/>
          <w:b/>
          <w:bCs/>
          <w:sz w:val="20"/>
          <w:szCs w:val="20"/>
        </w:rPr>
      </w:pPr>
      <w:r w:rsidRPr="007D5748">
        <w:rPr>
          <w:rFonts w:eastAsia="Times New Roman"/>
          <w:b/>
          <w:bCs/>
          <w:szCs w:val="20"/>
        </w:rPr>
        <w:t>Poznámka:</w:t>
      </w:r>
    </w:p>
    <w:p w:rsidR="0051186A" w:rsidRPr="007D5748" w:rsidRDefault="0051186A" w:rsidP="0051186A">
      <w:pPr>
        <w:tabs>
          <w:tab w:val="num" w:pos="1080"/>
        </w:tabs>
        <w:ind w:left="-900"/>
        <w:jc w:val="both"/>
        <w:rPr>
          <w:rFonts w:eastAsia="Times New Roman"/>
          <w:bCs/>
          <w:sz w:val="20"/>
          <w:szCs w:val="20"/>
        </w:rPr>
      </w:pPr>
      <w:r w:rsidRPr="007D5748">
        <w:rPr>
          <w:rFonts w:eastAsia="Times New Roman"/>
          <w:bCs/>
          <w:szCs w:val="20"/>
        </w:rPr>
        <w:t>Ak sa vplyv týka viacerých subjektov verejnej správy, vypĺňa sa samostatná tabuľka za každý subjekt.</w:t>
      </w:r>
    </w:p>
    <w:p w:rsidR="0051186A" w:rsidRPr="007D5748" w:rsidRDefault="0051186A" w:rsidP="0051186A">
      <w:pPr>
        <w:tabs>
          <w:tab w:val="num" w:pos="1080"/>
        </w:tabs>
        <w:ind w:left="-900"/>
        <w:jc w:val="both"/>
        <w:rPr>
          <w:rFonts w:eastAsia="Times New Roman"/>
          <w:bCs/>
          <w:sz w:val="20"/>
          <w:szCs w:val="20"/>
        </w:rPr>
      </w:pPr>
    </w:p>
    <w:p w:rsidR="0051186A" w:rsidRPr="007D5748" w:rsidRDefault="0051186A" w:rsidP="0051186A">
      <w:pPr>
        <w:tabs>
          <w:tab w:val="num" w:pos="1080"/>
        </w:tabs>
        <w:ind w:left="-900"/>
        <w:jc w:val="both"/>
        <w:rPr>
          <w:rFonts w:eastAsia="Times New Roman"/>
          <w:bCs/>
          <w:sz w:val="20"/>
          <w:szCs w:val="20"/>
        </w:rPr>
      </w:pPr>
    </w:p>
    <w:p w:rsidR="0051186A" w:rsidRPr="007D5748" w:rsidRDefault="0051186A" w:rsidP="0051186A">
      <w:pPr>
        <w:tabs>
          <w:tab w:val="num" w:pos="1080"/>
        </w:tabs>
        <w:ind w:left="-900"/>
        <w:jc w:val="both"/>
        <w:rPr>
          <w:rFonts w:eastAsia="Times New Roman"/>
          <w:bCs/>
          <w:sz w:val="20"/>
          <w:szCs w:val="20"/>
        </w:rPr>
      </w:pPr>
    </w:p>
    <w:p w:rsidR="0051186A" w:rsidRPr="007D5748" w:rsidRDefault="0051186A" w:rsidP="0051186A">
      <w:pPr>
        <w:tabs>
          <w:tab w:val="num" w:pos="1080"/>
        </w:tabs>
        <w:ind w:left="-900"/>
        <w:jc w:val="both"/>
        <w:rPr>
          <w:rFonts w:eastAsia="Times New Roman"/>
          <w:bCs/>
          <w:sz w:val="20"/>
          <w:szCs w:val="20"/>
        </w:rPr>
      </w:pPr>
    </w:p>
    <w:p w:rsidR="0051186A" w:rsidRPr="007D5748" w:rsidRDefault="0051186A" w:rsidP="0051186A">
      <w:pPr>
        <w:tabs>
          <w:tab w:val="num" w:pos="1080"/>
        </w:tabs>
        <w:ind w:left="-900"/>
        <w:jc w:val="both"/>
        <w:rPr>
          <w:rFonts w:eastAsia="Times New Roman"/>
          <w:bCs/>
          <w:sz w:val="20"/>
          <w:szCs w:val="20"/>
        </w:rPr>
      </w:pPr>
    </w:p>
    <w:p w:rsidR="0051186A" w:rsidRPr="007D5748" w:rsidRDefault="0051186A" w:rsidP="0051186A">
      <w:pPr>
        <w:tabs>
          <w:tab w:val="num" w:pos="1080"/>
        </w:tabs>
        <w:ind w:left="-900"/>
        <w:jc w:val="both"/>
        <w:rPr>
          <w:rFonts w:eastAsia="Times New Roman"/>
          <w:bCs/>
          <w:sz w:val="20"/>
          <w:szCs w:val="20"/>
        </w:rPr>
      </w:pPr>
    </w:p>
    <w:p w:rsidR="0051186A" w:rsidRPr="007D5748" w:rsidRDefault="0051186A" w:rsidP="0051186A">
      <w:pPr>
        <w:tabs>
          <w:tab w:val="num" w:pos="1080"/>
        </w:tabs>
        <w:ind w:left="-900"/>
        <w:jc w:val="both"/>
        <w:rPr>
          <w:rFonts w:eastAsia="Times New Roman"/>
          <w:bCs/>
          <w:sz w:val="20"/>
          <w:szCs w:val="20"/>
        </w:rPr>
      </w:pPr>
    </w:p>
    <w:p w:rsidR="0051186A" w:rsidRPr="007D5748" w:rsidRDefault="0051186A" w:rsidP="0051186A">
      <w:pPr>
        <w:tabs>
          <w:tab w:val="num" w:pos="1080"/>
        </w:tabs>
        <w:ind w:left="-900"/>
        <w:jc w:val="both"/>
        <w:rPr>
          <w:rFonts w:eastAsia="Times New Roman"/>
          <w:bCs/>
          <w:sz w:val="20"/>
          <w:szCs w:val="20"/>
        </w:rPr>
      </w:pPr>
    </w:p>
    <w:p w:rsidR="0051186A" w:rsidRPr="007D5748" w:rsidRDefault="0051186A" w:rsidP="0051186A">
      <w:pPr>
        <w:tabs>
          <w:tab w:val="num" w:pos="1080"/>
        </w:tabs>
        <w:ind w:left="-900"/>
        <w:jc w:val="both"/>
        <w:rPr>
          <w:rFonts w:eastAsia="Times New Roman"/>
          <w:bCs/>
          <w:sz w:val="20"/>
          <w:szCs w:val="20"/>
        </w:rPr>
      </w:pPr>
    </w:p>
    <w:p w:rsidR="0051186A" w:rsidRPr="007D5748" w:rsidRDefault="0051186A" w:rsidP="0051186A">
      <w:pPr>
        <w:tabs>
          <w:tab w:val="num" w:pos="1080"/>
        </w:tabs>
        <w:ind w:left="-900"/>
        <w:jc w:val="both"/>
        <w:rPr>
          <w:rFonts w:eastAsia="Times New Roman"/>
          <w:bCs/>
          <w:sz w:val="20"/>
          <w:szCs w:val="20"/>
        </w:rPr>
      </w:pPr>
    </w:p>
    <w:p w:rsidR="0051186A" w:rsidRPr="007D5748" w:rsidRDefault="0051186A" w:rsidP="0051186A">
      <w:pPr>
        <w:tabs>
          <w:tab w:val="num" w:pos="1080"/>
        </w:tabs>
        <w:ind w:left="-900"/>
        <w:jc w:val="both"/>
        <w:rPr>
          <w:rFonts w:eastAsia="Times New Roman"/>
          <w:bCs/>
          <w:sz w:val="20"/>
          <w:szCs w:val="20"/>
        </w:rPr>
      </w:pPr>
    </w:p>
    <w:p w:rsidR="0051186A" w:rsidRPr="007D5748" w:rsidRDefault="0051186A" w:rsidP="0051186A">
      <w:pPr>
        <w:tabs>
          <w:tab w:val="num" w:pos="1080"/>
        </w:tabs>
        <w:ind w:left="-900"/>
        <w:jc w:val="both"/>
        <w:rPr>
          <w:rFonts w:eastAsia="Times New Roman"/>
          <w:bCs/>
          <w:sz w:val="20"/>
          <w:szCs w:val="20"/>
        </w:rPr>
      </w:pPr>
    </w:p>
    <w:p w:rsidR="0051186A" w:rsidRPr="007D5748" w:rsidRDefault="0051186A" w:rsidP="0051186A">
      <w:pPr>
        <w:tabs>
          <w:tab w:val="num" w:pos="1080"/>
        </w:tabs>
        <w:ind w:left="-900"/>
        <w:jc w:val="both"/>
        <w:rPr>
          <w:rFonts w:eastAsia="Times New Roman"/>
          <w:bCs/>
          <w:sz w:val="20"/>
          <w:szCs w:val="20"/>
        </w:rPr>
      </w:pPr>
    </w:p>
    <w:p w:rsidR="0051186A" w:rsidRPr="007D5748" w:rsidRDefault="0051186A" w:rsidP="0051186A">
      <w:pPr>
        <w:tabs>
          <w:tab w:val="num" w:pos="1080"/>
        </w:tabs>
        <w:ind w:left="-900"/>
        <w:jc w:val="both"/>
        <w:rPr>
          <w:rFonts w:eastAsia="Times New Roman"/>
          <w:bCs/>
          <w:sz w:val="20"/>
          <w:szCs w:val="20"/>
        </w:rPr>
      </w:pPr>
    </w:p>
    <w:p w:rsidR="0051186A" w:rsidRPr="007D5748" w:rsidRDefault="0051186A" w:rsidP="0051186A">
      <w:pPr>
        <w:tabs>
          <w:tab w:val="num" w:pos="1080"/>
        </w:tabs>
        <w:ind w:left="-900"/>
        <w:jc w:val="both"/>
        <w:rPr>
          <w:rFonts w:eastAsia="Times New Roman"/>
          <w:bCs/>
          <w:sz w:val="20"/>
          <w:szCs w:val="20"/>
        </w:rPr>
      </w:pPr>
    </w:p>
    <w:p w:rsidR="0051186A" w:rsidRPr="007D5748" w:rsidRDefault="0051186A" w:rsidP="0051186A">
      <w:pPr>
        <w:tabs>
          <w:tab w:val="num" w:pos="1080"/>
        </w:tabs>
        <w:ind w:left="-900"/>
        <w:jc w:val="both"/>
        <w:rPr>
          <w:rFonts w:eastAsia="Times New Roman"/>
          <w:bCs/>
          <w:sz w:val="20"/>
          <w:szCs w:val="20"/>
        </w:rPr>
      </w:pPr>
    </w:p>
    <w:p w:rsidR="0051186A" w:rsidRPr="007D5748" w:rsidRDefault="0051186A" w:rsidP="0051186A">
      <w:pPr>
        <w:tabs>
          <w:tab w:val="num" w:pos="1080"/>
        </w:tabs>
        <w:jc w:val="right"/>
        <w:rPr>
          <w:rFonts w:eastAsia="Times New Roman"/>
          <w:bCs/>
        </w:rPr>
      </w:pPr>
      <w:r w:rsidRPr="007D5748">
        <w:rPr>
          <w:rFonts w:eastAsia="Times New Roman"/>
          <w:bCs/>
        </w:rPr>
        <w:t xml:space="preserve">                 Tabuľka č. 5 </w:t>
      </w:r>
    </w:p>
    <w:p w:rsidR="0051186A" w:rsidRPr="007D5748" w:rsidRDefault="0051186A" w:rsidP="0051186A">
      <w:pPr>
        <w:tabs>
          <w:tab w:val="num" w:pos="1080"/>
        </w:tabs>
        <w:jc w:val="both"/>
        <w:rPr>
          <w:rFonts w:eastAsia="Times New Roman"/>
          <w:bCs/>
          <w:szCs w:val="20"/>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51186A" w:rsidRPr="007D5748" w:rsidTr="00563700">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1186A" w:rsidRPr="007D5748" w:rsidRDefault="0051186A" w:rsidP="00563700">
            <w:pPr>
              <w:jc w:val="center"/>
              <w:rPr>
                <w:rFonts w:eastAsia="Times New Roman"/>
                <w:b/>
                <w:bCs/>
              </w:rPr>
            </w:pPr>
            <w:r w:rsidRPr="007D5748">
              <w:rPr>
                <w:rFonts w:eastAsia="Times New Roman"/>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sidRPr="007D5748">
              <w:rPr>
                <w:rFonts w:eastAsia="Times New Roman"/>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1186A" w:rsidRPr="007D5748" w:rsidRDefault="0051186A" w:rsidP="00563700">
            <w:pPr>
              <w:jc w:val="center"/>
              <w:rPr>
                <w:rFonts w:eastAsia="Times New Roman"/>
                <w:b/>
                <w:bCs/>
              </w:rPr>
            </w:pPr>
            <w:r w:rsidRPr="007D5748">
              <w:rPr>
                <w:rFonts w:eastAsia="Times New Roman"/>
                <w:b/>
                <w:bCs/>
              </w:rPr>
              <w:t>poznámka</w:t>
            </w:r>
          </w:p>
        </w:tc>
      </w:tr>
      <w:tr w:rsidR="0051186A" w:rsidRPr="007D5748" w:rsidTr="00563700">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1186A" w:rsidRPr="007D5748" w:rsidRDefault="0051186A" w:rsidP="00563700">
            <w:pPr>
              <w:rPr>
                <w:rFonts w:eastAsia="Times New Roman"/>
                <w:b/>
                <w:bCs/>
              </w:rPr>
            </w:pPr>
          </w:p>
        </w:tc>
        <w:tc>
          <w:tcPr>
            <w:tcW w:w="1698" w:type="dxa"/>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sidRPr="007D5748">
              <w:rPr>
                <w:rFonts w:eastAsia="Times New Roman"/>
                <w:b/>
                <w:bCs/>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sidRPr="007D5748">
              <w:rPr>
                <w:rFonts w:eastAsia="Times New Roman"/>
                <w:b/>
                <w:bCs/>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sidRPr="007D5748">
              <w:rPr>
                <w:rFonts w:eastAsia="Times New Roman"/>
                <w:b/>
                <w:bCs/>
              </w:rPr>
              <w:t>r + 2</w:t>
            </w:r>
          </w:p>
        </w:tc>
        <w:tc>
          <w:tcPr>
            <w:tcW w:w="1722" w:type="dxa"/>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sidRPr="007D5748">
              <w:rPr>
                <w:rFonts w:eastAsia="Times New Roman"/>
                <w:b/>
                <w:bCs/>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1186A" w:rsidRPr="007D5748" w:rsidRDefault="0051186A" w:rsidP="00563700">
            <w:pPr>
              <w:rPr>
                <w:rFonts w:eastAsia="Times New Roman"/>
                <w:b/>
                <w:bCs/>
                <w:color w:val="FFFFFF"/>
              </w:rPr>
            </w:pPr>
          </w:p>
        </w:tc>
      </w:tr>
      <w:tr w:rsidR="0051186A" w:rsidRPr="007D5748" w:rsidTr="00563700">
        <w:trPr>
          <w:trHeight w:val="255"/>
        </w:trPr>
        <w:tc>
          <w:tcPr>
            <w:tcW w:w="6188"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b/>
                <w:bCs/>
              </w:rPr>
            </w:pPr>
            <w:r w:rsidRPr="007D5748">
              <w:rPr>
                <w:rFonts w:eastAsia="Times New Roman"/>
                <w:b/>
                <w:bCs/>
              </w:rPr>
              <w:t>Počet zamestnancov celkom</w:t>
            </w:r>
          </w:p>
        </w:tc>
        <w:tc>
          <w:tcPr>
            <w:tcW w:w="1698"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788"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2418" w:type="dxa"/>
            <w:gridSpan w:val="2"/>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722"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620" w:type="dxa"/>
            <w:gridSpan w:val="2"/>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r w:rsidRPr="007D5748">
              <w:rPr>
                <w:rFonts w:eastAsia="Times New Roman"/>
              </w:rPr>
              <w:t> </w:t>
            </w:r>
          </w:p>
        </w:tc>
      </w:tr>
      <w:tr w:rsidR="0051186A" w:rsidRPr="007D5748" w:rsidTr="00563700">
        <w:trPr>
          <w:trHeight w:val="255"/>
        </w:trPr>
        <w:tc>
          <w:tcPr>
            <w:tcW w:w="6188"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b/>
                <w:bCs/>
              </w:rPr>
            </w:pPr>
            <w:r w:rsidRPr="007D5748">
              <w:rPr>
                <w:rFonts w:eastAsia="Times New Roman"/>
                <w:b/>
                <w:bCs/>
              </w:rPr>
              <w:t xml:space="preserve">   z toho vplyv na ŠR</w:t>
            </w:r>
          </w:p>
        </w:tc>
        <w:tc>
          <w:tcPr>
            <w:tcW w:w="1698" w:type="dxa"/>
            <w:tcBorders>
              <w:top w:val="single" w:sz="4" w:space="0" w:color="auto"/>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788" w:type="dxa"/>
            <w:tcBorders>
              <w:top w:val="single" w:sz="4" w:space="0" w:color="auto"/>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2418" w:type="dxa"/>
            <w:gridSpan w:val="2"/>
            <w:tcBorders>
              <w:top w:val="single" w:sz="4" w:space="0" w:color="auto"/>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722" w:type="dxa"/>
            <w:tcBorders>
              <w:top w:val="single" w:sz="4" w:space="0" w:color="auto"/>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620" w:type="dxa"/>
            <w:gridSpan w:val="2"/>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p>
        </w:tc>
      </w:tr>
      <w:tr w:rsidR="0051186A" w:rsidRPr="007D5748" w:rsidTr="00563700">
        <w:trPr>
          <w:trHeight w:val="255"/>
        </w:trPr>
        <w:tc>
          <w:tcPr>
            <w:tcW w:w="6188"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b/>
                <w:bCs/>
              </w:rPr>
            </w:pPr>
            <w:r w:rsidRPr="007D5748">
              <w:rPr>
                <w:rFonts w:eastAsia="Times New Roman"/>
                <w:b/>
                <w:bCs/>
              </w:rPr>
              <w:t>Priemerný mzdový výdavok (v eurách)</w:t>
            </w:r>
          </w:p>
        </w:tc>
        <w:tc>
          <w:tcPr>
            <w:tcW w:w="1698" w:type="dxa"/>
            <w:tcBorders>
              <w:top w:val="single" w:sz="4" w:space="0" w:color="auto"/>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788" w:type="dxa"/>
            <w:tcBorders>
              <w:top w:val="single" w:sz="4" w:space="0" w:color="auto"/>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2418" w:type="dxa"/>
            <w:gridSpan w:val="2"/>
            <w:tcBorders>
              <w:top w:val="single" w:sz="4" w:space="0" w:color="auto"/>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722" w:type="dxa"/>
            <w:tcBorders>
              <w:top w:val="single" w:sz="4" w:space="0" w:color="auto"/>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620" w:type="dxa"/>
            <w:gridSpan w:val="2"/>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r w:rsidRPr="007D5748">
              <w:rPr>
                <w:rFonts w:eastAsia="Times New Roman"/>
              </w:rPr>
              <w:t> </w:t>
            </w:r>
          </w:p>
        </w:tc>
      </w:tr>
      <w:tr w:rsidR="0051186A" w:rsidRPr="007D5748" w:rsidTr="00563700">
        <w:trPr>
          <w:trHeight w:val="255"/>
        </w:trPr>
        <w:tc>
          <w:tcPr>
            <w:tcW w:w="6188"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rPr>
            </w:pPr>
            <w:r w:rsidRPr="007D5748">
              <w:rPr>
                <w:rFonts w:eastAsia="Times New Roman"/>
                <w:b/>
                <w:bCs/>
              </w:rPr>
              <w:t xml:space="preserve">   z toho vplyv na ŠR</w:t>
            </w:r>
          </w:p>
        </w:tc>
        <w:tc>
          <w:tcPr>
            <w:tcW w:w="1698" w:type="dxa"/>
            <w:tcBorders>
              <w:top w:val="single" w:sz="4" w:space="0" w:color="auto"/>
              <w:left w:val="nil"/>
              <w:bottom w:val="single" w:sz="4" w:space="0" w:color="auto"/>
              <w:right w:val="single" w:sz="4" w:space="0" w:color="auto"/>
            </w:tcBorders>
          </w:tcPr>
          <w:p w:rsidR="0051186A" w:rsidRPr="007D5748" w:rsidRDefault="0051186A" w:rsidP="00563700">
            <w:pPr>
              <w:jc w:val="center"/>
              <w:rPr>
                <w:rFonts w:eastAsia="Times New Roman"/>
              </w:rPr>
            </w:pPr>
            <w:r w:rsidRPr="007D5748">
              <w:rPr>
                <w:rFonts w:eastAsia="Times New Roman"/>
              </w:rPr>
              <w:t> </w:t>
            </w:r>
          </w:p>
        </w:tc>
        <w:tc>
          <w:tcPr>
            <w:tcW w:w="1788" w:type="dxa"/>
            <w:tcBorders>
              <w:top w:val="single" w:sz="4" w:space="0" w:color="auto"/>
              <w:left w:val="nil"/>
              <w:bottom w:val="single" w:sz="4" w:space="0" w:color="auto"/>
              <w:right w:val="single" w:sz="4" w:space="0" w:color="auto"/>
            </w:tcBorders>
          </w:tcPr>
          <w:p w:rsidR="0051186A" w:rsidRPr="007D5748" w:rsidRDefault="0051186A" w:rsidP="00563700">
            <w:pPr>
              <w:jc w:val="center"/>
              <w:rPr>
                <w:rFonts w:eastAsia="Times New Roman"/>
              </w:rPr>
            </w:pPr>
            <w:r w:rsidRPr="007D5748">
              <w:rPr>
                <w:rFonts w:eastAsia="Times New Roman"/>
              </w:rPr>
              <w:t> </w:t>
            </w:r>
          </w:p>
        </w:tc>
        <w:tc>
          <w:tcPr>
            <w:tcW w:w="2418" w:type="dxa"/>
            <w:gridSpan w:val="2"/>
            <w:tcBorders>
              <w:top w:val="single" w:sz="4" w:space="0" w:color="auto"/>
              <w:left w:val="nil"/>
              <w:bottom w:val="single" w:sz="4" w:space="0" w:color="auto"/>
              <w:right w:val="single" w:sz="4" w:space="0" w:color="auto"/>
            </w:tcBorders>
          </w:tcPr>
          <w:p w:rsidR="0051186A" w:rsidRPr="007D5748" w:rsidRDefault="0051186A" w:rsidP="00563700">
            <w:pPr>
              <w:jc w:val="center"/>
              <w:rPr>
                <w:rFonts w:eastAsia="Times New Roman"/>
              </w:rPr>
            </w:pPr>
            <w:r w:rsidRPr="007D5748">
              <w:rPr>
                <w:rFonts w:eastAsia="Times New Roman"/>
              </w:rPr>
              <w:t> </w:t>
            </w:r>
          </w:p>
        </w:tc>
        <w:tc>
          <w:tcPr>
            <w:tcW w:w="1722" w:type="dxa"/>
            <w:tcBorders>
              <w:top w:val="single" w:sz="4" w:space="0" w:color="auto"/>
              <w:left w:val="nil"/>
              <w:bottom w:val="single" w:sz="4" w:space="0" w:color="auto"/>
              <w:right w:val="single" w:sz="4" w:space="0" w:color="auto"/>
            </w:tcBorders>
          </w:tcPr>
          <w:p w:rsidR="0051186A" w:rsidRPr="007D5748" w:rsidRDefault="0051186A" w:rsidP="00563700">
            <w:pPr>
              <w:jc w:val="center"/>
              <w:rPr>
                <w:rFonts w:eastAsia="Times New Roman"/>
              </w:rPr>
            </w:pPr>
            <w:r w:rsidRPr="007D5748">
              <w:rPr>
                <w:rFonts w:eastAsia="Times New Roman"/>
              </w:rPr>
              <w:t> </w:t>
            </w:r>
          </w:p>
        </w:tc>
        <w:tc>
          <w:tcPr>
            <w:tcW w:w="1620" w:type="dxa"/>
            <w:gridSpan w:val="2"/>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r w:rsidRPr="007D5748">
              <w:rPr>
                <w:rFonts w:eastAsia="Times New Roman"/>
              </w:rPr>
              <w:t> </w:t>
            </w:r>
          </w:p>
        </w:tc>
      </w:tr>
      <w:tr w:rsidR="0051186A" w:rsidRPr="007D5748" w:rsidTr="00563700">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51186A" w:rsidRPr="007D5748" w:rsidRDefault="0051186A" w:rsidP="00563700">
            <w:pPr>
              <w:rPr>
                <w:rFonts w:eastAsia="Times New Roman"/>
                <w:b/>
                <w:bCs/>
              </w:rPr>
            </w:pPr>
            <w:r w:rsidRPr="007D5748">
              <w:rPr>
                <w:rFonts w:eastAsia="Times New Roman"/>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sidRPr="007D5748">
              <w:rPr>
                <w:rFonts w:eastAsia="Times New Roman"/>
                <w:b/>
                <w:bCs/>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sidRPr="007D5748">
              <w:rPr>
                <w:rFonts w:eastAsia="Times New Roman"/>
                <w:b/>
                <w:bCs/>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sidRPr="007D5748">
              <w:rPr>
                <w:rFonts w:eastAsia="Times New Roman"/>
                <w:b/>
                <w:bCs/>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51186A" w:rsidRPr="007D5748" w:rsidRDefault="0051186A" w:rsidP="00563700">
            <w:pPr>
              <w:jc w:val="center"/>
              <w:rPr>
                <w:rFonts w:eastAsia="Times New Roman"/>
                <w:b/>
                <w:bCs/>
              </w:rPr>
            </w:pPr>
            <w:r w:rsidRPr="007D5748">
              <w:rPr>
                <w:rFonts w:eastAsia="Times New Roman"/>
                <w:b/>
                <w:bCs/>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51186A" w:rsidRPr="007D5748" w:rsidRDefault="0051186A" w:rsidP="00563700">
            <w:pPr>
              <w:rPr>
                <w:rFonts w:eastAsia="Times New Roman"/>
                <w:b/>
                <w:bCs/>
              </w:rPr>
            </w:pPr>
            <w:r w:rsidRPr="007D5748">
              <w:rPr>
                <w:rFonts w:eastAsia="Times New Roman"/>
                <w:b/>
                <w:bCs/>
              </w:rPr>
              <w:t> </w:t>
            </w:r>
          </w:p>
        </w:tc>
      </w:tr>
      <w:tr w:rsidR="0051186A" w:rsidRPr="007D5748" w:rsidTr="00563700">
        <w:trPr>
          <w:trHeight w:val="255"/>
        </w:trPr>
        <w:tc>
          <w:tcPr>
            <w:tcW w:w="6188"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b/>
                <w:bCs/>
              </w:rPr>
            </w:pPr>
            <w:r w:rsidRPr="007D5748">
              <w:rPr>
                <w:rFonts w:eastAsia="Times New Roman"/>
                <w:b/>
                <w:bCs/>
              </w:rPr>
              <w:t>Mzdy, platy, služobné príjmy a ostatné osobné vyrovnania (610)</w:t>
            </w:r>
          </w:p>
        </w:tc>
        <w:tc>
          <w:tcPr>
            <w:tcW w:w="1698"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788"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2418" w:type="dxa"/>
            <w:gridSpan w:val="2"/>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722"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620" w:type="dxa"/>
            <w:gridSpan w:val="2"/>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b/>
                <w:bCs/>
              </w:rPr>
            </w:pPr>
            <w:r w:rsidRPr="007D5748">
              <w:rPr>
                <w:rFonts w:eastAsia="Times New Roman"/>
                <w:b/>
                <w:bCs/>
              </w:rPr>
              <w:t> </w:t>
            </w:r>
          </w:p>
        </w:tc>
      </w:tr>
      <w:tr w:rsidR="0051186A" w:rsidRPr="007D5748" w:rsidTr="00563700">
        <w:trPr>
          <w:trHeight w:val="255"/>
        </w:trPr>
        <w:tc>
          <w:tcPr>
            <w:tcW w:w="6188"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rPr>
            </w:pPr>
            <w:r w:rsidRPr="007D5748">
              <w:rPr>
                <w:rFonts w:eastAsia="Times New Roman"/>
                <w:b/>
                <w:bCs/>
              </w:rPr>
              <w:t xml:space="preserve">   z toho vplyv na ŠR</w:t>
            </w:r>
          </w:p>
        </w:tc>
        <w:tc>
          <w:tcPr>
            <w:tcW w:w="1698"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rPr>
            </w:pPr>
          </w:p>
        </w:tc>
        <w:tc>
          <w:tcPr>
            <w:tcW w:w="1788"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rPr>
            </w:pPr>
          </w:p>
        </w:tc>
        <w:tc>
          <w:tcPr>
            <w:tcW w:w="2418" w:type="dxa"/>
            <w:gridSpan w:val="2"/>
            <w:tcBorders>
              <w:top w:val="nil"/>
              <w:left w:val="nil"/>
              <w:bottom w:val="single" w:sz="4" w:space="0" w:color="auto"/>
              <w:right w:val="single" w:sz="4" w:space="0" w:color="auto"/>
            </w:tcBorders>
          </w:tcPr>
          <w:p w:rsidR="0051186A" w:rsidRPr="007D5748" w:rsidRDefault="0051186A" w:rsidP="00563700">
            <w:pPr>
              <w:jc w:val="center"/>
              <w:rPr>
                <w:rFonts w:eastAsia="Times New Roman"/>
              </w:rPr>
            </w:pPr>
          </w:p>
        </w:tc>
        <w:tc>
          <w:tcPr>
            <w:tcW w:w="1722"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rPr>
            </w:pPr>
          </w:p>
        </w:tc>
        <w:tc>
          <w:tcPr>
            <w:tcW w:w="1620" w:type="dxa"/>
            <w:gridSpan w:val="2"/>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r w:rsidRPr="007D5748">
              <w:rPr>
                <w:rFonts w:eastAsia="Times New Roman"/>
              </w:rPr>
              <w:t> </w:t>
            </w:r>
          </w:p>
        </w:tc>
      </w:tr>
      <w:tr w:rsidR="0051186A" w:rsidRPr="007D5748" w:rsidTr="00563700">
        <w:trPr>
          <w:trHeight w:val="255"/>
        </w:trPr>
        <w:tc>
          <w:tcPr>
            <w:tcW w:w="6188"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b/>
                <w:bCs/>
              </w:rPr>
            </w:pPr>
            <w:r w:rsidRPr="007D5748">
              <w:rPr>
                <w:rFonts w:eastAsia="Times New Roman"/>
                <w:b/>
                <w:bCs/>
              </w:rPr>
              <w:t>Poistné a príspevok do poisťovní (620)</w:t>
            </w:r>
          </w:p>
        </w:tc>
        <w:tc>
          <w:tcPr>
            <w:tcW w:w="1698"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788"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2418" w:type="dxa"/>
            <w:gridSpan w:val="2"/>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722"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b/>
                <w:bCs/>
              </w:rPr>
            </w:pPr>
          </w:p>
        </w:tc>
        <w:tc>
          <w:tcPr>
            <w:tcW w:w="1620" w:type="dxa"/>
            <w:gridSpan w:val="2"/>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b/>
                <w:bCs/>
              </w:rPr>
            </w:pPr>
            <w:r w:rsidRPr="007D5748">
              <w:rPr>
                <w:rFonts w:eastAsia="Times New Roman"/>
                <w:b/>
                <w:bCs/>
              </w:rPr>
              <w:t> </w:t>
            </w:r>
          </w:p>
        </w:tc>
      </w:tr>
      <w:tr w:rsidR="0051186A" w:rsidRPr="007D5748" w:rsidTr="00563700">
        <w:trPr>
          <w:trHeight w:val="255"/>
        </w:trPr>
        <w:tc>
          <w:tcPr>
            <w:tcW w:w="6188" w:type="dxa"/>
            <w:tcBorders>
              <w:top w:val="nil"/>
              <w:left w:val="single" w:sz="4" w:space="0" w:color="auto"/>
              <w:bottom w:val="single" w:sz="4" w:space="0" w:color="auto"/>
              <w:right w:val="single" w:sz="4" w:space="0" w:color="auto"/>
            </w:tcBorders>
          </w:tcPr>
          <w:p w:rsidR="0051186A" w:rsidRPr="007D5748" w:rsidRDefault="0051186A" w:rsidP="00563700">
            <w:pPr>
              <w:rPr>
                <w:rFonts w:eastAsia="Times New Roman"/>
              </w:rPr>
            </w:pPr>
            <w:r w:rsidRPr="007D5748">
              <w:rPr>
                <w:rFonts w:eastAsia="Times New Roman"/>
                <w:b/>
                <w:bCs/>
              </w:rPr>
              <w:t xml:space="preserve">   z toho vplyv na ŠR</w:t>
            </w:r>
          </w:p>
        </w:tc>
        <w:tc>
          <w:tcPr>
            <w:tcW w:w="1698"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rPr>
            </w:pPr>
          </w:p>
        </w:tc>
        <w:tc>
          <w:tcPr>
            <w:tcW w:w="1788"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rPr>
            </w:pPr>
          </w:p>
        </w:tc>
        <w:tc>
          <w:tcPr>
            <w:tcW w:w="2418" w:type="dxa"/>
            <w:gridSpan w:val="2"/>
            <w:tcBorders>
              <w:top w:val="nil"/>
              <w:left w:val="nil"/>
              <w:bottom w:val="single" w:sz="4" w:space="0" w:color="auto"/>
              <w:right w:val="single" w:sz="4" w:space="0" w:color="auto"/>
            </w:tcBorders>
          </w:tcPr>
          <w:p w:rsidR="0051186A" w:rsidRPr="007D5748" w:rsidRDefault="0051186A" w:rsidP="00563700">
            <w:pPr>
              <w:jc w:val="center"/>
              <w:rPr>
                <w:rFonts w:eastAsia="Times New Roman"/>
              </w:rPr>
            </w:pPr>
          </w:p>
        </w:tc>
        <w:tc>
          <w:tcPr>
            <w:tcW w:w="1722" w:type="dxa"/>
            <w:tcBorders>
              <w:top w:val="nil"/>
              <w:left w:val="nil"/>
              <w:bottom w:val="single" w:sz="4" w:space="0" w:color="auto"/>
              <w:right w:val="single" w:sz="4" w:space="0" w:color="auto"/>
            </w:tcBorders>
          </w:tcPr>
          <w:p w:rsidR="0051186A" w:rsidRPr="007D5748" w:rsidRDefault="0051186A" w:rsidP="00563700">
            <w:pPr>
              <w:jc w:val="center"/>
              <w:rPr>
                <w:rFonts w:eastAsia="Times New Roman"/>
              </w:rPr>
            </w:pPr>
          </w:p>
        </w:tc>
        <w:tc>
          <w:tcPr>
            <w:tcW w:w="1620" w:type="dxa"/>
            <w:gridSpan w:val="2"/>
            <w:tcBorders>
              <w:top w:val="nil"/>
              <w:left w:val="nil"/>
              <w:bottom w:val="single" w:sz="4" w:space="0" w:color="auto"/>
              <w:right w:val="single" w:sz="4" w:space="0" w:color="auto"/>
            </w:tcBorders>
            <w:noWrap/>
            <w:vAlign w:val="bottom"/>
          </w:tcPr>
          <w:p w:rsidR="0051186A" w:rsidRPr="007D5748" w:rsidRDefault="0051186A" w:rsidP="00563700">
            <w:pPr>
              <w:rPr>
                <w:rFonts w:eastAsia="Times New Roman"/>
              </w:rPr>
            </w:pPr>
            <w:r w:rsidRPr="007D5748">
              <w:rPr>
                <w:rFonts w:eastAsia="Times New Roman"/>
              </w:rPr>
              <w:t> </w:t>
            </w:r>
          </w:p>
        </w:tc>
      </w:tr>
      <w:tr w:rsidR="0051186A" w:rsidRPr="007D5748" w:rsidTr="00563700">
        <w:trPr>
          <w:trHeight w:val="255"/>
        </w:trPr>
        <w:tc>
          <w:tcPr>
            <w:tcW w:w="6188" w:type="dxa"/>
            <w:tcBorders>
              <w:top w:val="nil"/>
              <w:left w:val="nil"/>
              <w:bottom w:val="nil"/>
              <w:right w:val="nil"/>
            </w:tcBorders>
            <w:noWrap/>
            <w:vAlign w:val="bottom"/>
          </w:tcPr>
          <w:p w:rsidR="0051186A" w:rsidRPr="007D5748" w:rsidRDefault="0051186A" w:rsidP="00563700">
            <w:pPr>
              <w:rPr>
                <w:rFonts w:eastAsia="Times New Roman"/>
              </w:rPr>
            </w:pPr>
          </w:p>
        </w:tc>
        <w:tc>
          <w:tcPr>
            <w:tcW w:w="1698" w:type="dxa"/>
            <w:tcBorders>
              <w:top w:val="nil"/>
              <w:left w:val="nil"/>
              <w:bottom w:val="nil"/>
              <w:right w:val="nil"/>
            </w:tcBorders>
            <w:noWrap/>
            <w:vAlign w:val="bottom"/>
          </w:tcPr>
          <w:p w:rsidR="0051186A" w:rsidRPr="007D5748" w:rsidRDefault="0051186A" w:rsidP="00563700">
            <w:pPr>
              <w:rPr>
                <w:rFonts w:eastAsia="Times New Roman"/>
              </w:rPr>
            </w:pPr>
          </w:p>
        </w:tc>
        <w:tc>
          <w:tcPr>
            <w:tcW w:w="1788" w:type="dxa"/>
            <w:tcBorders>
              <w:top w:val="nil"/>
              <w:left w:val="nil"/>
              <w:bottom w:val="nil"/>
              <w:right w:val="nil"/>
            </w:tcBorders>
            <w:noWrap/>
            <w:vAlign w:val="bottom"/>
          </w:tcPr>
          <w:p w:rsidR="0051186A" w:rsidRPr="007D5748" w:rsidRDefault="0051186A" w:rsidP="00563700">
            <w:pPr>
              <w:rPr>
                <w:rFonts w:eastAsia="Times New Roman"/>
              </w:rPr>
            </w:pPr>
          </w:p>
        </w:tc>
        <w:tc>
          <w:tcPr>
            <w:tcW w:w="2418" w:type="dxa"/>
            <w:gridSpan w:val="2"/>
            <w:tcBorders>
              <w:top w:val="nil"/>
              <w:left w:val="nil"/>
              <w:bottom w:val="nil"/>
              <w:right w:val="nil"/>
            </w:tcBorders>
            <w:noWrap/>
            <w:vAlign w:val="bottom"/>
          </w:tcPr>
          <w:p w:rsidR="0051186A" w:rsidRPr="007D5748" w:rsidRDefault="0051186A" w:rsidP="00563700">
            <w:pPr>
              <w:rPr>
                <w:rFonts w:eastAsia="Times New Roman"/>
              </w:rPr>
            </w:pPr>
          </w:p>
        </w:tc>
        <w:tc>
          <w:tcPr>
            <w:tcW w:w="1722" w:type="dxa"/>
            <w:tcBorders>
              <w:top w:val="nil"/>
              <w:left w:val="nil"/>
              <w:bottom w:val="nil"/>
              <w:right w:val="nil"/>
            </w:tcBorders>
            <w:noWrap/>
            <w:vAlign w:val="bottom"/>
          </w:tcPr>
          <w:p w:rsidR="0051186A" w:rsidRPr="007D5748" w:rsidRDefault="0051186A" w:rsidP="00563700">
            <w:pPr>
              <w:rPr>
                <w:rFonts w:eastAsia="Times New Roman"/>
              </w:rPr>
            </w:pPr>
          </w:p>
        </w:tc>
        <w:tc>
          <w:tcPr>
            <w:tcW w:w="1620" w:type="dxa"/>
            <w:gridSpan w:val="2"/>
            <w:tcBorders>
              <w:top w:val="nil"/>
              <w:left w:val="nil"/>
              <w:bottom w:val="nil"/>
              <w:right w:val="nil"/>
            </w:tcBorders>
            <w:noWrap/>
            <w:vAlign w:val="bottom"/>
          </w:tcPr>
          <w:p w:rsidR="0051186A" w:rsidRPr="007D5748" w:rsidRDefault="0051186A" w:rsidP="00563700">
            <w:pPr>
              <w:rPr>
                <w:rFonts w:eastAsia="Times New Roman"/>
              </w:rPr>
            </w:pPr>
          </w:p>
        </w:tc>
      </w:tr>
      <w:tr w:rsidR="0051186A" w:rsidRPr="007D5748" w:rsidTr="00563700">
        <w:trPr>
          <w:trHeight w:val="255"/>
        </w:trPr>
        <w:tc>
          <w:tcPr>
            <w:tcW w:w="6188" w:type="dxa"/>
            <w:tcBorders>
              <w:top w:val="nil"/>
              <w:left w:val="nil"/>
              <w:bottom w:val="nil"/>
              <w:right w:val="nil"/>
            </w:tcBorders>
          </w:tcPr>
          <w:p w:rsidR="0051186A" w:rsidRPr="007D5748" w:rsidRDefault="0051186A" w:rsidP="00563700">
            <w:pPr>
              <w:rPr>
                <w:rFonts w:eastAsia="Times New Roman"/>
                <w:b/>
                <w:bCs/>
              </w:rPr>
            </w:pPr>
            <w:r w:rsidRPr="007D5748">
              <w:rPr>
                <w:rFonts w:eastAsia="Times New Roman"/>
                <w:b/>
                <w:bCs/>
              </w:rPr>
              <w:t>Poznámky:</w:t>
            </w:r>
          </w:p>
        </w:tc>
        <w:tc>
          <w:tcPr>
            <w:tcW w:w="1698" w:type="dxa"/>
            <w:tcBorders>
              <w:top w:val="nil"/>
              <w:left w:val="nil"/>
              <w:bottom w:val="nil"/>
              <w:right w:val="nil"/>
            </w:tcBorders>
            <w:noWrap/>
            <w:vAlign w:val="bottom"/>
          </w:tcPr>
          <w:p w:rsidR="0051186A" w:rsidRPr="007D5748" w:rsidRDefault="0051186A" w:rsidP="00563700">
            <w:pPr>
              <w:rPr>
                <w:rFonts w:eastAsia="Times New Roman"/>
              </w:rPr>
            </w:pPr>
          </w:p>
        </w:tc>
        <w:tc>
          <w:tcPr>
            <w:tcW w:w="1788" w:type="dxa"/>
            <w:tcBorders>
              <w:top w:val="nil"/>
              <w:left w:val="nil"/>
              <w:bottom w:val="nil"/>
              <w:right w:val="nil"/>
            </w:tcBorders>
            <w:noWrap/>
            <w:vAlign w:val="bottom"/>
          </w:tcPr>
          <w:p w:rsidR="0051186A" w:rsidRPr="007D5748" w:rsidRDefault="0051186A" w:rsidP="00563700">
            <w:pPr>
              <w:rPr>
                <w:rFonts w:eastAsia="Times New Roman"/>
              </w:rPr>
            </w:pPr>
          </w:p>
        </w:tc>
        <w:tc>
          <w:tcPr>
            <w:tcW w:w="2418" w:type="dxa"/>
            <w:gridSpan w:val="2"/>
            <w:tcBorders>
              <w:top w:val="nil"/>
              <w:left w:val="nil"/>
              <w:bottom w:val="nil"/>
              <w:right w:val="nil"/>
            </w:tcBorders>
            <w:noWrap/>
            <w:vAlign w:val="bottom"/>
          </w:tcPr>
          <w:p w:rsidR="0051186A" w:rsidRPr="007D5748" w:rsidRDefault="0051186A" w:rsidP="00563700">
            <w:pPr>
              <w:rPr>
                <w:rFonts w:eastAsia="Times New Roman"/>
              </w:rPr>
            </w:pPr>
          </w:p>
        </w:tc>
        <w:tc>
          <w:tcPr>
            <w:tcW w:w="1722" w:type="dxa"/>
            <w:tcBorders>
              <w:top w:val="nil"/>
              <w:left w:val="nil"/>
              <w:bottom w:val="nil"/>
              <w:right w:val="nil"/>
            </w:tcBorders>
            <w:noWrap/>
            <w:vAlign w:val="bottom"/>
          </w:tcPr>
          <w:p w:rsidR="0051186A" w:rsidRPr="007D5748" w:rsidRDefault="0051186A" w:rsidP="00563700">
            <w:pPr>
              <w:rPr>
                <w:rFonts w:eastAsia="Times New Roman"/>
              </w:rPr>
            </w:pPr>
          </w:p>
        </w:tc>
        <w:tc>
          <w:tcPr>
            <w:tcW w:w="1620" w:type="dxa"/>
            <w:gridSpan w:val="2"/>
            <w:tcBorders>
              <w:top w:val="nil"/>
              <w:left w:val="nil"/>
              <w:bottom w:val="nil"/>
              <w:right w:val="nil"/>
            </w:tcBorders>
            <w:noWrap/>
            <w:vAlign w:val="bottom"/>
          </w:tcPr>
          <w:p w:rsidR="0051186A" w:rsidRPr="007D5748" w:rsidRDefault="0051186A" w:rsidP="00563700">
            <w:pPr>
              <w:rPr>
                <w:rFonts w:eastAsia="Times New Roman"/>
              </w:rPr>
            </w:pPr>
          </w:p>
        </w:tc>
      </w:tr>
      <w:tr w:rsidR="0051186A" w:rsidRPr="007D5748" w:rsidTr="00563700">
        <w:trPr>
          <w:trHeight w:val="255"/>
        </w:trPr>
        <w:tc>
          <w:tcPr>
            <w:tcW w:w="13814" w:type="dxa"/>
            <w:gridSpan w:val="6"/>
            <w:tcBorders>
              <w:top w:val="nil"/>
              <w:left w:val="nil"/>
              <w:bottom w:val="nil"/>
              <w:right w:val="nil"/>
            </w:tcBorders>
            <w:noWrap/>
          </w:tcPr>
          <w:p w:rsidR="0051186A" w:rsidRPr="007D5748" w:rsidRDefault="0051186A" w:rsidP="00563700">
            <w:pPr>
              <w:tabs>
                <w:tab w:val="num" w:pos="1080"/>
              </w:tabs>
              <w:jc w:val="both"/>
              <w:rPr>
                <w:rFonts w:eastAsia="Times New Roman"/>
                <w:bCs/>
                <w:szCs w:val="20"/>
              </w:rPr>
            </w:pPr>
            <w:r w:rsidRPr="007D5748">
              <w:rPr>
                <w:rFonts w:eastAsia="Times New Roman"/>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51186A" w:rsidRPr="007D5748" w:rsidRDefault="0051186A" w:rsidP="00563700">
            <w:pPr>
              <w:rPr>
                <w:rFonts w:eastAsia="Times New Roman"/>
              </w:rPr>
            </w:pPr>
            <w:r w:rsidRPr="007D5748">
              <w:rPr>
                <w:rFonts w:eastAsia="Times New Roman"/>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51186A" w:rsidRPr="007D5748" w:rsidRDefault="0051186A" w:rsidP="00563700">
            <w:pPr>
              <w:rPr>
                <w:rFonts w:eastAsia="Times New Roman"/>
              </w:rPr>
            </w:pPr>
          </w:p>
        </w:tc>
      </w:tr>
      <w:tr w:rsidR="0051186A" w:rsidRPr="007D5748" w:rsidTr="00563700">
        <w:trPr>
          <w:trHeight w:val="255"/>
        </w:trPr>
        <w:tc>
          <w:tcPr>
            <w:tcW w:w="10394" w:type="dxa"/>
            <w:gridSpan w:val="4"/>
            <w:tcBorders>
              <w:top w:val="nil"/>
              <w:left w:val="nil"/>
              <w:bottom w:val="nil"/>
              <w:right w:val="nil"/>
            </w:tcBorders>
            <w:noWrap/>
            <w:vAlign w:val="bottom"/>
          </w:tcPr>
          <w:p w:rsidR="0051186A" w:rsidRPr="007D5748" w:rsidRDefault="0051186A" w:rsidP="00563700">
            <w:pPr>
              <w:rPr>
                <w:rFonts w:eastAsia="Times New Roman"/>
              </w:rPr>
            </w:pPr>
            <w:r w:rsidRPr="007D5748">
              <w:rPr>
                <w:rFonts w:eastAsia="Times New Roman"/>
              </w:rPr>
              <w:t>Kategórie 610 a 620 sú z tejto prílohy prenášané do príslušných kategórií prílohy „výdavky“.</w:t>
            </w:r>
          </w:p>
        </w:tc>
        <w:tc>
          <w:tcPr>
            <w:tcW w:w="1698" w:type="dxa"/>
            <w:tcBorders>
              <w:top w:val="nil"/>
              <w:left w:val="nil"/>
              <w:bottom w:val="nil"/>
              <w:right w:val="nil"/>
            </w:tcBorders>
            <w:noWrap/>
            <w:vAlign w:val="bottom"/>
          </w:tcPr>
          <w:p w:rsidR="0051186A" w:rsidRPr="007D5748" w:rsidRDefault="0051186A" w:rsidP="00563700">
            <w:pPr>
              <w:rPr>
                <w:rFonts w:eastAsia="Times New Roman"/>
              </w:rPr>
            </w:pPr>
          </w:p>
        </w:tc>
        <w:tc>
          <w:tcPr>
            <w:tcW w:w="2352" w:type="dxa"/>
            <w:gridSpan w:val="2"/>
            <w:tcBorders>
              <w:top w:val="nil"/>
              <w:left w:val="nil"/>
              <w:bottom w:val="nil"/>
              <w:right w:val="nil"/>
            </w:tcBorders>
            <w:noWrap/>
            <w:vAlign w:val="bottom"/>
          </w:tcPr>
          <w:p w:rsidR="0051186A" w:rsidRPr="007D5748" w:rsidRDefault="0051186A" w:rsidP="00563700">
            <w:pPr>
              <w:rPr>
                <w:rFonts w:eastAsia="Times New Roman"/>
              </w:rPr>
            </w:pPr>
          </w:p>
        </w:tc>
        <w:tc>
          <w:tcPr>
            <w:tcW w:w="990" w:type="dxa"/>
            <w:tcBorders>
              <w:top w:val="nil"/>
              <w:left w:val="nil"/>
              <w:bottom w:val="nil"/>
              <w:right w:val="nil"/>
            </w:tcBorders>
            <w:noWrap/>
            <w:vAlign w:val="bottom"/>
          </w:tcPr>
          <w:p w:rsidR="0051186A" w:rsidRPr="007D5748" w:rsidRDefault="0051186A" w:rsidP="00563700">
            <w:pPr>
              <w:rPr>
                <w:rFonts w:eastAsia="Times New Roman"/>
              </w:rPr>
            </w:pPr>
          </w:p>
        </w:tc>
      </w:tr>
    </w:tbl>
    <w:p w:rsidR="0051186A" w:rsidRPr="007D5748" w:rsidRDefault="0051186A" w:rsidP="0051186A">
      <w:pPr>
        <w:rPr>
          <w:rFonts w:eastAsia="Times New Roman"/>
          <w:b/>
          <w:bCs/>
        </w:rPr>
        <w:sectPr w:rsidR="0051186A" w:rsidRPr="007D5748" w:rsidSect="00C04D9E">
          <w:pgSz w:w="16838" w:h="11906" w:orient="landscape"/>
          <w:pgMar w:top="1418" w:right="1418" w:bottom="1418" w:left="1418" w:header="709" w:footer="709" w:gutter="0"/>
          <w:cols w:space="708"/>
          <w:docGrid w:linePitch="360"/>
        </w:sectPr>
      </w:pPr>
    </w:p>
    <w:p w:rsidR="0051186A" w:rsidRDefault="0051186A" w:rsidP="0051186A"/>
    <w:tbl>
      <w:tblPr>
        <w:tblStyle w:val="Mriekatabuky"/>
        <w:tblW w:w="0" w:type="auto"/>
        <w:tblLook w:val="04A0" w:firstRow="1" w:lastRow="0" w:firstColumn="1" w:lastColumn="0" w:noHBand="0" w:noVBand="1"/>
      </w:tblPr>
      <w:tblGrid>
        <w:gridCol w:w="9212"/>
      </w:tblGrid>
      <w:tr w:rsidR="0051186A" w:rsidRPr="00F04CCD" w:rsidTr="00563700">
        <w:trPr>
          <w:trHeight w:val="567"/>
        </w:trPr>
        <w:tc>
          <w:tcPr>
            <w:tcW w:w="9212" w:type="dxa"/>
            <w:shd w:val="clear" w:color="auto" w:fill="D9D9D9" w:themeFill="background1" w:themeFillShade="D9"/>
          </w:tcPr>
          <w:p w:rsidR="0051186A" w:rsidRPr="00042C66" w:rsidRDefault="0051186A" w:rsidP="00563700">
            <w:pPr>
              <w:jc w:val="center"/>
              <w:rPr>
                <w:b/>
              </w:rPr>
            </w:pPr>
            <w:r w:rsidRPr="008A1252">
              <w:rPr>
                <w:b/>
                <w:sz w:val="28"/>
              </w:rPr>
              <w:t xml:space="preserve">Analýza </w:t>
            </w:r>
            <w:r>
              <w:rPr>
                <w:b/>
                <w:sz w:val="28"/>
              </w:rPr>
              <w:t>v</w:t>
            </w:r>
            <w:r w:rsidRPr="00042C66">
              <w:rPr>
                <w:b/>
                <w:sz w:val="28"/>
              </w:rPr>
              <w:t>plyv</w:t>
            </w:r>
            <w:r>
              <w:rPr>
                <w:b/>
                <w:sz w:val="28"/>
              </w:rPr>
              <w:t>ov</w:t>
            </w:r>
            <w:r w:rsidRPr="00042C66">
              <w:rPr>
                <w:b/>
                <w:sz w:val="28"/>
              </w:rPr>
              <w:t xml:space="preserve"> na podnikateľské prostredie </w:t>
            </w:r>
          </w:p>
          <w:p w:rsidR="0051186A" w:rsidRPr="00F04CCD" w:rsidRDefault="0051186A" w:rsidP="00563700">
            <w:pPr>
              <w:jc w:val="center"/>
              <w:rPr>
                <w:b/>
              </w:rPr>
            </w:pPr>
            <w:r w:rsidRPr="00042C66">
              <w:rPr>
                <w:b/>
              </w:rPr>
              <w:t xml:space="preserve">(vrátane </w:t>
            </w:r>
            <w:r>
              <w:rPr>
                <w:b/>
              </w:rPr>
              <w:t xml:space="preserve">testu </w:t>
            </w:r>
            <w:r w:rsidRPr="00042C66">
              <w:rPr>
                <w:b/>
              </w:rPr>
              <w:t>MSP)</w:t>
            </w:r>
          </w:p>
        </w:tc>
      </w:tr>
      <w:tr w:rsidR="0051186A" w:rsidRPr="00F04CCD" w:rsidTr="00563700">
        <w:trPr>
          <w:trHeight w:val="567"/>
        </w:trPr>
        <w:tc>
          <w:tcPr>
            <w:tcW w:w="9212" w:type="dxa"/>
            <w:shd w:val="clear" w:color="auto" w:fill="D9D9D9" w:themeFill="background1" w:themeFillShade="D9"/>
          </w:tcPr>
          <w:p w:rsidR="0051186A" w:rsidRPr="00042C66" w:rsidRDefault="0051186A" w:rsidP="00563700">
            <w:pPr>
              <w:rPr>
                <w:b/>
              </w:rPr>
            </w:pPr>
            <w:r w:rsidRPr="00042C66">
              <w:rPr>
                <w:b/>
              </w:rPr>
              <w:t>Materiál bude mať vplyv s ohľadom na veľkostnú kategóriu podnikov:</w:t>
            </w:r>
          </w:p>
        </w:tc>
      </w:tr>
      <w:tr w:rsidR="0051186A" w:rsidRPr="00F04CCD" w:rsidTr="00563700">
        <w:trPr>
          <w:trHeight w:val="567"/>
        </w:trPr>
        <w:tc>
          <w:tcPr>
            <w:tcW w:w="9212"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540"/>
            </w:tblGrid>
            <w:tr w:rsidR="0051186A" w:rsidRPr="00F04CCD" w:rsidTr="00563700">
              <w:tc>
                <w:tcPr>
                  <w:tcW w:w="436" w:type="dxa"/>
                </w:tcPr>
                <w:p w:rsidR="0051186A" w:rsidRPr="00F04CCD" w:rsidRDefault="0051186A" w:rsidP="00563700">
                  <w:pPr>
                    <w:jc w:val="center"/>
                  </w:pPr>
                  <w:r w:rsidRPr="00F04CCD">
                    <w:rPr>
                      <w:rFonts w:ascii="MS Mincho" w:eastAsia="MS Mincho" w:hAnsi="MS Mincho" w:cs="MS Mincho" w:hint="eastAsia"/>
                    </w:rPr>
                    <w:t>☐</w:t>
                  </w:r>
                </w:p>
              </w:tc>
              <w:tc>
                <w:tcPr>
                  <w:tcW w:w="8545" w:type="dxa"/>
                </w:tcPr>
                <w:p w:rsidR="0051186A" w:rsidRPr="00F04CCD" w:rsidRDefault="0051186A" w:rsidP="00563700">
                  <w:pPr>
                    <w:rPr>
                      <w:b/>
                    </w:rPr>
                  </w:pPr>
                  <w:r w:rsidRPr="00F04CCD">
                    <w:rPr>
                      <w:b/>
                    </w:rPr>
                    <w:t xml:space="preserve">iba na MSP (0 - 249 zamestnancov) </w:t>
                  </w:r>
                </w:p>
              </w:tc>
            </w:tr>
            <w:tr w:rsidR="0051186A" w:rsidRPr="00F04CCD" w:rsidTr="00563700">
              <w:tc>
                <w:tcPr>
                  <w:tcW w:w="436" w:type="dxa"/>
                </w:tcPr>
                <w:p w:rsidR="0051186A" w:rsidRPr="00F04CCD" w:rsidRDefault="0051186A" w:rsidP="00563700">
                  <w:pPr>
                    <w:jc w:val="center"/>
                  </w:pPr>
                  <w:r w:rsidRPr="00F04CCD">
                    <w:rPr>
                      <w:rFonts w:ascii="MS Mincho" w:eastAsia="MS Mincho" w:hAnsi="MS Mincho" w:cs="MS Mincho" w:hint="eastAsia"/>
                    </w:rPr>
                    <w:t>☐</w:t>
                  </w:r>
                </w:p>
              </w:tc>
              <w:tc>
                <w:tcPr>
                  <w:tcW w:w="8545" w:type="dxa"/>
                </w:tcPr>
                <w:p w:rsidR="0051186A" w:rsidRPr="00F04CCD" w:rsidRDefault="0051186A" w:rsidP="00563700">
                  <w:pPr>
                    <w:rPr>
                      <w:b/>
                    </w:rPr>
                  </w:pPr>
                  <w:r w:rsidRPr="00F04CCD">
                    <w:rPr>
                      <w:b/>
                    </w:rPr>
                    <w:t>iba na veľké podniky (250 a viac zamestnancov)</w:t>
                  </w:r>
                </w:p>
              </w:tc>
            </w:tr>
            <w:tr w:rsidR="0051186A" w:rsidRPr="00F04CCD" w:rsidTr="00563700">
              <w:tc>
                <w:tcPr>
                  <w:tcW w:w="436" w:type="dxa"/>
                </w:tcPr>
                <w:p w:rsidR="0051186A" w:rsidRPr="00F04CCD" w:rsidRDefault="0051186A" w:rsidP="00563700">
                  <w:pPr>
                    <w:jc w:val="center"/>
                  </w:pPr>
                  <w:r>
                    <w:rPr>
                      <w:rFonts w:ascii="MS Gothic" w:eastAsia="MS Gothic" w:hAnsi="MS Gothic" w:hint="eastAsia"/>
                    </w:rPr>
                    <w:t>☒</w:t>
                  </w:r>
                </w:p>
              </w:tc>
              <w:tc>
                <w:tcPr>
                  <w:tcW w:w="8545" w:type="dxa"/>
                </w:tcPr>
                <w:p w:rsidR="0051186A" w:rsidRPr="00F04CCD" w:rsidRDefault="0051186A" w:rsidP="00563700">
                  <w:r w:rsidRPr="00F04CCD">
                    <w:rPr>
                      <w:b/>
                    </w:rPr>
                    <w:t xml:space="preserve">na všetky </w:t>
                  </w:r>
                  <w:r>
                    <w:rPr>
                      <w:b/>
                    </w:rPr>
                    <w:t>kategórie</w:t>
                  </w:r>
                  <w:r w:rsidRPr="00F04CCD">
                    <w:rPr>
                      <w:b/>
                    </w:rPr>
                    <w:t xml:space="preserve"> podnikov</w:t>
                  </w:r>
                </w:p>
              </w:tc>
            </w:tr>
          </w:tbl>
          <w:p w:rsidR="0051186A" w:rsidRPr="00F04CCD" w:rsidRDefault="0051186A" w:rsidP="00563700">
            <w:pPr>
              <w:rPr>
                <w:b/>
              </w:rPr>
            </w:pPr>
          </w:p>
        </w:tc>
      </w:tr>
      <w:tr w:rsidR="0051186A" w:rsidRPr="00F04CCD" w:rsidTr="00563700">
        <w:tc>
          <w:tcPr>
            <w:tcW w:w="9212" w:type="dxa"/>
            <w:shd w:val="clear" w:color="auto" w:fill="D9D9D9" w:themeFill="background1" w:themeFillShade="D9"/>
          </w:tcPr>
          <w:p w:rsidR="0051186A" w:rsidRPr="00042C66" w:rsidRDefault="0051186A" w:rsidP="00563700">
            <w:pPr>
              <w:rPr>
                <w:b/>
              </w:rPr>
            </w:pPr>
            <w:r>
              <w:rPr>
                <w:b/>
              </w:rPr>
              <w:t>3</w:t>
            </w:r>
            <w:r w:rsidRPr="00042C66">
              <w:rPr>
                <w:b/>
              </w:rPr>
              <w:t>.1 Dotknuté podnikateľské subjekty</w:t>
            </w:r>
          </w:p>
          <w:p w:rsidR="0051186A" w:rsidRPr="00F04CCD" w:rsidRDefault="0051186A" w:rsidP="00563700">
            <w:pPr>
              <w:ind w:left="284"/>
              <w:rPr>
                <w:b/>
              </w:rPr>
            </w:pPr>
            <w:r w:rsidRPr="00042C66">
              <w:t xml:space="preserve"> - </w:t>
            </w:r>
            <w:r w:rsidRPr="00042C66">
              <w:rPr>
                <w:b/>
              </w:rPr>
              <w:t>z toho MSP</w:t>
            </w:r>
          </w:p>
        </w:tc>
      </w:tr>
      <w:tr w:rsidR="0051186A" w:rsidRPr="00F04CCD" w:rsidTr="00563700">
        <w:tc>
          <w:tcPr>
            <w:tcW w:w="9212" w:type="dxa"/>
          </w:tcPr>
          <w:p w:rsidR="0051186A" w:rsidRPr="00F04CCD" w:rsidRDefault="0051186A" w:rsidP="00563700">
            <w:pPr>
              <w:rPr>
                <w:i/>
              </w:rPr>
            </w:pPr>
            <w:r w:rsidRPr="00F04CCD">
              <w:rPr>
                <w:i/>
              </w:rPr>
              <w:t>Uveďte, aké podnikateľské subjekty budú predkladaným návrhom ovplyvnené.</w:t>
            </w:r>
          </w:p>
          <w:p w:rsidR="0051186A" w:rsidRPr="00F04CCD" w:rsidRDefault="0051186A" w:rsidP="00563700">
            <w:pPr>
              <w:rPr>
                <w:i/>
              </w:rPr>
            </w:pPr>
            <w:r w:rsidRPr="00F04CCD">
              <w:rPr>
                <w:i/>
              </w:rPr>
              <w:t>Aký je ich počet?</w:t>
            </w:r>
          </w:p>
        </w:tc>
      </w:tr>
      <w:tr w:rsidR="0051186A" w:rsidRPr="00F04CCD" w:rsidTr="00563700">
        <w:trPr>
          <w:trHeight w:val="1440"/>
        </w:trPr>
        <w:tc>
          <w:tcPr>
            <w:tcW w:w="9212" w:type="dxa"/>
          </w:tcPr>
          <w:p w:rsidR="0051186A" w:rsidRDefault="0051186A" w:rsidP="00563700">
            <w:pPr>
              <w:jc w:val="both"/>
            </w:pPr>
            <w:r>
              <w:t xml:space="preserve">Predkladaným návrhom zákona budú ovplyvnené všetky kategórie podnikateľských subjektov, ktoré v tzv. starých exekúciách, t. j. v exekučných konaniach vedených podľa predpisov účinných do 31. marca 2017 (ďalej len „staré exekúcie“), boli účastníkmi konania, pričom za účastníka konania sa v zmysle predpisov účinných do 31. marca 2017 považuje nielen oprávnený a povinný, ale aj iná osoba, a to v tej časti exekučného konania, v ktorej jej zákon toto postavenie priznáva (napr. manžel povinného), ako aj poverený exekútor, pokiaľ súd rozhoduje o trovách starej exekúcie. </w:t>
            </w:r>
          </w:p>
          <w:p w:rsidR="0051186A" w:rsidRDefault="0051186A" w:rsidP="00563700">
            <w:pPr>
              <w:jc w:val="both"/>
            </w:pPr>
            <w:r>
              <w:t xml:space="preserve">Vzhľadom na uvedené skutočnosti a vysoký počet starých neukončených exekúcií možno konštatovať, že počet podnikateľských subjektov ovplyvnených predkladaným návrhom zákona sa bude pohybovať rámcovo v tisícoch až desať tisícoch. </w:t>
            </w:r>
          </w:p>
          <w:p w:rsidR="0051186A" w:rsidRPr="007546C5" w:rsidRDefault="0051186A" w:rsidP="00563700">
            <w:pPr>
              <w:jc w:val="both"/>
            </w:pPr>
          </w:p>
        </w:tc>
      </w:tr>
      <w:tr w:rsidR="0051186A" w:rsidRPr="00F04CCD" w:rsidTr="00563700">
        <w:trPr>
          <w:trHeight w:val="339"/>
        </w:trPr>
        <w:tc>
          <w:tcPr>
            <w:tcW w:w="9212" w:type="dxa"/>
            <w:shd w:val="clear" w:color="auto" w:fill="D9D9D9" w:themeFill="background1" w:themeFillShade="D9"/>
          </w:tcPr>
          <w:p w:rsidR="0051186A" w:rsidRPr="00042C66" w:rsidRDefault="0051186A" w:rsidP="00563700">
            <w:pPr>
              <w:rPr>
                <w:b/>
              </w:rPr>
            </w:pPr>
            <w:r>
              <w:rPr>
                <w:b/>
              </w:rPr>
              <w:t>3</w:t>
            </w:r>
            <w:r w:rsidRPr="00042C66">
              <w:rPr>
                <w:b/>
              </w:rPr>
              <w:t>.2 Vyhodnotenie konzultácií</w:t>
            </w:r>
          </w:p>
          <w:p w:rsidR="0051186A" w:rsidRPr="00F04CCD" w:rsidRDefault="0051186A" w:rsidP="00563700">
            <w:pPr>
              <w:rPr>
                <w:b/>
              </w:rPr>
            </w:pPr>
            <w:r w:rsidRPr="00042C66">
              <w:t xml:space="preserve">       - </w:t>
            </w:r>
            <w:r w:rsidRPr="00042C66">
              <w:rPr>
                <w:b/>
              </w:rPr>
              <w:t>z toho MSP</w:t>
            </w:r>
          </w:p>
        </w:tc>
      </w:tr>
      <w:tr w:rsidR="0051186A" w:rsidRPr="00F04CCD" w:rsidTr="00563700">
        <w:trPr>
          <w:trHeight w:val="557"/>
        </w:trPr>
        <w:tc>
          <w:tcPr>
            <w:tcW w:w="9212" w:type="dxa"/>
          </w:tcPr>
          <w:p w:rsidR="0051186A" w:rsidRPr="00F04CCD" w:rsidRDefault="0051186A" w:rsidP="00563700">
            <w:pPr>
              <w:rPr>
                <w:i/>
              </w:rPr>
            </w:pPr>
            <w:r w:rsidRPr="00F04CCD">
              <w:rPr>
                <w:i/>
              </w:rPr>
              <w:t>Uveďte, akou formou (verejné alebo cielené konzultácie a prečo)</w:t>
            </w:r>
            <w:r>
              <w:rPr>
                <w:i/>
              </w:rPr>
              <w:t xml:space="preserve"> a </w:t>
            </w:r>
            <w:r w:rsidRPr="00F04CCD">
              <w:rPr>
                <w:i/>
              </w:rPr>
              <w:t>s kým bol návrh konzultovaný.</w:t>
            </w:r>
          </w:p>
          <w:p w:rsidR="0051186A" w:rsidRPr="00F04CCD" w:rsidRDefault="0051186A" w:rsidP="00563700">
            <w:pPr>
              <w:rPr>
                <w:i/>
              </w:rPr>
            </w:pPr>
            <w:r w:rsidRPr="00F04CCD">
              <w:rPr>
                <w:i/>
              </w:rPr>
              <w:t>Ako dlho trvali konzultácie?</w:t>
            </w:r>
          </w:p>
          <w:p w:rsidR="0051186A" w:rsidRPr="000D2622" w:rsidRDefault="0051186A" w:rsidP="00563700">
            <w:pPr>
              <w:rPr>
                <w:i/>
              </w:rPr>
            </w:pPr>
            <w:r w:rsidRPr="00F04CCD">
              <w:rPr>
                <w:i/>
              </w:rPr>
              <w:t xml:space="preserve">Uveďte hlavné body konzultácií a výsledky konzultácií. </w:t>
            </w:r>
          </w:p>
        </w:tc>
      </w:tr>
      <w:tr w:rsidR="0051186A" w:rsidRPr="00F04CCD" w:rsidTr="00563700">
        <w:trPr>
          <w:trHeight w:val="1440"/>
        </w:trPr>
        <w:tc>
          <w:tcPr>
            <w:tcW w:w="9212" w:type="dxa"/>
          </w:tcPr>
          <w:p w:rsidR="0051186A" w:rsidRPr="00BC68CC" w:rsidRDefault="0051186A" w:rsidP="00563700">
            <w:r>
              <w:t xml:space="preserve">Predkladaný návrh zákona bol konzultovaný so subjektmi, ktoré predstavujú čo do počtu starých neukončených exekúcií najväčší počet oprávnených/veriteľov (zdravotné poisťovne). </w:t>
            </w:r>
          </w:p>
        </w:tc>
      </w:tr>
      <w:tr w:rsidR="0051186A" w:rsidRPr="00F04CCD" w:rsidTr="00563700">
        <w:tc>
          <w:tcPr>
            <w:tcW w:w="9212" w:type="dxa"/>
            <w:shd w:val="clear" w:color="auto" w:fill="D9D9D9" w:themeFill="background1" w:themeFillShade="D9"/>
          </w:tcPr>
          <w:p w:rsidR="0051186A" w:rsidRPr="00042C66" w:rsidRDefault="0051186A" w:rsidP="00563700">
            <w:pPr>
              <w:rPr>
                <w:b/>
              </w:rPr>
            </w:pPr>
            <w:r>
              <w:rPr>
                <w:b/>
              </w:rPr>
              <w:t>3</w:t>
            </w:r>
            <w:r w:rsidRPr="00042C66">
              <w:rPr>
                <w:b/>
              </w:rPr>
              <w:t>.3 Náklady regulácie</w:t>
            </w:r>
          </w:p>
          <w:p w:rsidR="0051186A" w:rsidRPr="00F04CCD" w:rsidRDefault="0051186A" w:rsidP="00563700">
            <w:pPr>
              <w:rPr>
                <w:b/>
              </w:rPr>
            </w:pPr>
            <w:r w:rsidRPr="00042C66">
              <w:t xml:space="preserve">      - </w:t>
            </w:r>
            <w:r w:rsidRPr="00042C66">
              <w:rPr>
                <w:b/>
              </w:rPr>
              <w:t>z toho MSP</w:t>
            </w:r>
          </w:p>
        </w:tc>
      </w:tr>
      <w:tr w:rsidR="0051186A" w:rsidRPr="00F04CCD" w:rsidTr="00563700">
        <w:tc>
          <w:tcPr>
            <w:tcW w:w="9212" w:type="dxa"/>
          </w:tcPr>
          <w:p w:rsidR="0051186A" w:rsidRPr="00F04CCD" w:rsidRDefault="0051186A" w:rsidP="00563700">
            <w:pPr>
              <w:rPr>
                <w:b/>
                <w:i/>
              </w:rPr>
            </w:pPr>
            <w:r>
              <w:rPr>
                <w:b/>
                <w:i/>
              </w:rPr>
              <w:t>3</w:t>
            </w:r>
            <w:r w:rsidRPr="00F04CCD">
              <w:rPr>
                <w:b/>
                <w:i/>
              </w:rPr>
              <w:t>.3.1 Priame finančné náklady</w:t>
            </w:r>
          </w:p>
          <w:p w:rsidR="0051186A" w:rsidRPr="00F04CCD" w:rsidRDefault="0051186A" w:rsidP="00563700">
            <w:pPr>
              <w:rPr>
                <w:i/>
              </w:rPr>
            </w:pPr>
            <w:r w:rsidRPr="00F04CCD">
              <w:rPr>
                <w:i/>
              </w:rPr>
              <w:t xml:space="preserve">Dochádza k zvýšeniu/zníženiu priamych finančných nákladov (poplatky, odvody, dane clá...)? Ak áno, popíšte a vyčíslite ich. Uveďte tiež spôsob ich výpočtu. </w:t>
            </w:r>
          </w:p>
        </w:tc>
      </w:tr>
      <w:tr w:rsidR="0051186A" w:rsidRPr="00F04CCD" w:rsidTr="00563700">
        <w:tc>
          <w:tcPr>
            <w:tcW w:w="9212" w:type="dxa"/>
          </w:tcPr>
          <w:p w:rsidR="0051186A" w:rsidRDefault="0051186A" w:rsidP="00563700">
            <w:pPr>
              <w:jc w:val="both"/>
            </w:pPr>
            <w:r>
              <w:t>Predkladaný návrh zákona zakladá požiadavku na úhradu paušálnych trov starej exekúcie súdneho exekútora vzniknutých v súvislosti so zastavením starej exekúcie podľa predkladaného návrhu zákona (ďalej len „paušálne trovy“), ktoré bude za zákonom ustanovených podmienok uhrádzať oprávnený. Výšku paušálnych trov v zmysle predkladaného návrhu zákona ustanoví všeobecne záväzným právnym predpisom Ministerstvo spravodlivosti Slovenskej republiky. Aj keď podľa návrhu zákona p</w:t>
            </w:r>
            <w:r w:rsidRPr="00B938AC">
              <w:t>aušálne trovy znáša oprávnený, z pohľadu „práva hmotného“ sa stanú príslušenstvom pohľadávky (ako náklady spojené s uplatnením pohľadávky)</w:t>
            </w:r>
            <w:r>
              <w:t>, ak oprávnený po komerčnej úvahe podá opätovný návrh na vykonanie exekúcie</w:t>
            </w:r>
            <w:r w:rsidRPr="00B938AC">
              <w:t xml:space="preserve">. </w:t>
            </w:r>
          </w:p>
          <w:p w:rsidR="0051186A" w:rsidRPr="00F04CCD" w:rsidRDefault="0051186A" w:rsidP="00563700">
            <w:pPr>
              <w:jc w:val="both"/>
              <w:rPr>
                <w:b/>
                <w:i/>
              </w:rPr>
            </w:pPr>
          </w:p>
        </w:tc>
      </w:tr>
      <w:tr w:rsidR="0051186A" w:rsidRPr="00F04CCD" w:rsidTr="00563700">
        <w:tc>
          <w:tcPr>
            <w:tcW w:w="9212" w:type="dxa"/>
          </w:tcPr>
          <w:p w:rsidR="0051186A" w:rsidRPr="00F04CCD" w:rsidRDefault="0051186A" w:rsidP="00563700">
            <w:pPr>
              <w:rPr>
                <w:b/>
                <w:i/>
              </w:rPr>
            </w:pPr>
            <w:r>
              <w:rPr>
                <w:b/>
                <w:i/>
              </w:rPr>
              <w:t>3</w:t>
            </w:r>
            <w:r w:rsidRPr="00F04CCD">
              <w:rPr>
                <w:b/>
                <w:i/>
              </w:rPr>
              <w:t>.3.2 Nepriame finančné náklady</w:t>
            </w:r>
          </w:p>
          <w:p w:rsidR="0051186A" w:rsidRPr="00F04CCD" w:rsidRDefault="0051186A" w:rsidP="00563700">
            <w:pPr>
              <w:rPr>
                <w:i/>
              </w:rPr>
            </w:pPr>
            <w:r w:rsidRPr="00F04CCD">
              <w:rPr>
                <w:i/>
              </w:rPr>
              <w:t xml:space="preserve">Vyžaduje si predkladaný návrh dodatočné náklady na nákup tovarov alebo služieb? </w:t>
            </w:r>
            <w:r>
              <w:rPr>
                <w:i/>
              </w:rPr>
              <w:t xml:space="preserve">Zvyšuje predkladaný návrh náklady súvisiace so zamestnávaním? </w:t>
            </w:r>
            <w:r w:rsidRPr="00F04CCD">
              <w:rPr>
                <w:i/>
              </w:rPr>
              <w:t>Ak áno, popíšte a vyčíslite ich. Uveďte tiež spôsob ich výpočtu.</w:t>
            </w:r>
          </w:p>
        </w:tc>
      </w:tr>
      <w:tr w:rsidR="0051186A" w:rsidRPr="00F04CCD" w:rsidTr="00563700">
        <w:tc>
          <w:tcPr>
            <w:tcW w:w="9212" w:type="dxa"/>
          </w:tcPr>
          <w:p w:rsidR="0051186A" w:rsidRDefault="0051186A" w:rsidP="00563700">
            <w:pPr>
              <w:jc w:val="both"/>
            </w:pPr>
            <w:r>
              <w:t xml:space="preserve">Predkladaný návrh zákona umožňuje, po zastavení starej exekúcie podľa ustanovení predloženého návrhu zákona, podať opätovný návrh na vykonanie tejto exekúcie, ktorá bude následne vedená podľa predpisov účinných v čase podania opätovného návrhu na vykonanie exekúcie s odchýlkami v zmysle ustanovení predkladaného návrhu zákona (ďalej len „opätovný návrh na vykonanie exekúcie“). </w:t>
            </w:r>
            <w:r>
              <w:lastRenderedPageBreak/>
              <w:t>Podanie opätovného návrhu na vykonanie exekúcie je spojené s povinnosťou zaplatenia súdneho poplatku vo výške 16,50 eur podľa položky 13 Sadzobníka súdnych poplatkov. Oprávnený má v zmysle ustanovení predloženého návrhu zákona nárok na náhradu trov pozostávajúcich z uhradeného súdneho poplatku za opätovný návrh na vykonanie exekúcie, avšak nemá nárok na náhradu iných trov spojených s podaním opätovného návrhu na vykonanie exekúcie.</w:t>
            </w:r>
          </w:p>
          <w:p w:rsidR="0051186A" w:rsidRPr="00673A2C" w:rsidRDefault="0051186A" w:rsidP="00563700">
            <w:pPr>
              <w:jc w:val="both"/>
            </w:pPr>
          </w:p>
        </w:tc>
      </w:tr>
      <w:tr w:rsidR="0051186A" w:rsidRPr="00F04CCD" w:rsidTr="00563700">
        <w:tc>
          <w:tcPr>
            <w:tcW w:w="9212" w:type="dxa"/>
          </w:tcPr>
          <w:p w:rsidR="0051186A" w:rsidRPr="00F04CCD" w:rsidRDefault="0051186A" w:rsidP="00563700">
            <w:pPr>
              <w:rPr>
                <w:b/>
                <w:i/>
              </w:rPr>
            </w:pPr>
            <w:r>
              <w:rPr>
                <w:b/>
                <w:i/>
              </w:rPr>
              <w:lastRenderedPageBreak/>
              <w:t>3</w:t>
            </w:r>
            <w:r w:rsidRPr="00F04CCD">
              <w:rPr>
                <w:b/>
                <w:i/>
              </w:rPr>
              <w:t>.3.3 Administratívne náklady</w:t>
            </w:r>
          </w:p>
          <w:p w:rsidR="0051186A" w:rsidRPr="00F04CCD" w:rsidRDefault="0051186A" w:rsidP="00563700">
            <w:pPr>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51186A" w:rsidRPr="00F04CCD" w:rsidTr="00563700">
        <w:tc>
          <w:tcPr>
            <w:tcW w:w="9212" w:type="dxa"/>
          </w:tcPr>
          <w:p w:rsidR="0051186A" w:rsidRPr="00F04CCD" w:rsidRDefault="0051186A" w:rsidP="00563700">
            <w:pPr>
              <w:jc w:val="both"/>
              <w:rPr>
                <w:b/>
                <w:i/>
              </w:rPr>
            </w:pPr>
            <w:r>
              <w:t>Predkladaný návrh zákona nezavádza, neodstraňuje a ani neupravuje existujúce informačné povinnosti podnikateľských subjektov, v súvislosti s ktorými by mali vzniknúť na strane podnikateľských subjektov akékoľvek administratívne náklady.</w:t>
            </w:r>
          </w:p>
          <w:p w:rsidR="0051186A" w:rsidRPr="00F04CCD" w:rsidRDefault="0051186A" w:rsidP="00563700">
            <w:pPr>
              <w:rPr>
                <w:b/>
                <w:i/>
              </w:rPr>
            </w:pPr>
          </w:p>
        </w:tc>
      </w:tr>
      <w:tr w:rsidR="0051186A" w:rsidRPr="00F04CCD" w:rsidTr="00563700">
        <w:trPr>
          <w:trHeight w:val="2318"/>
        </w:trPr>
        <w:tc>
          <w:tcPr>
            <w:tcW w:w="9212" w:type="dxa"/>
          </w:tcPr>
          <w:p w:rsidR="0051186A" w:rsidRPr="00F04CCD" w:rsidRDefault="0051186A" w:rsidP="00563700">
            <w:pPr>
              <w:rPr>
                <w:i/>
              </w:rPr>
            </w:pPr>
            <w:r>
              <w:rPr>
                <w:b/>
                <w:i/>
              </w:rPr>
              <w:t>3</w:t>
            </w:r>
            <w:r w:rsidRPr="00F04CCD">
              <w:rPr>
                <w:b/>
                <w:i/>
              </w:rPr>
              <w:t>.3.4 Súhrnná tabuľka nákladov regulácie</w:t>
            </w:r>
          </w:p>
          <w:p w:rsidR="0051186A" w:rsidRPr="00F04CCD" w:rsidRDefault="0051186A" w:rsidP="00563700">
            <w:pPr>
              <w:rPr>
                <w:i/>
              </w:rPr>
            </w:pPr>
          </w:p>
          <w:tbl>
            <w:tblPr>
              <w:tblStyle w:val="Mriekatabuky"/>
              <w:tblW w:w="0" w:type="auto"/>
              <w:tblLook w:val="04A0" w:firstRow="1" w:lastRow="0" w:firstColumn="1" w:lastColumn="0" w:noHBand="0" w:noVBand="1"/>
            </w:tblPr>
            <w:tblGrid>
              <w:gridCol w:w="2993"/>
              <w:gridCol w:w="2994"/>
              <w:gridCol w:w="2994"/>
            </w:tblGrid>
            <w:tr w:rsidR="0051186A" w:rsidRPr="00F04CCD" w:rsidTr="00563700">
              <w:tc>
                <w:tcPr>
                  <w:tcW w:w="2993" w:type="dxa"/>
                  <w:tcBorders>
                    <w:top w:val="single" w:sz="4" w:space="0" w:color="auto"/>
                    <w:left w:val="single" w:sz="4" w:space="0" w:color="auto"/>
                    <w:bottom w:val="single" w:sz="4" w:space="0" w:color="auto"/>
                    <w:right w:val="single" w:sz="4" w:space="0" w:color="auto"/>
                  </w:tcBorders>
                </w:tcPr>
                <w:p w:rsidR="0051186A" w:rsidRPr="00F04CCD" w:rsidRDefault="0051186A" w:rsidP="00563700">
                  <w:pPr>
                    <w:rPr>
                      <w:i/>
                    </w:rPr>
                  </w:pPr>
                </w:p>
              </w:tc>
              <w:tc>
                <w:tcPr>
                  <w:tcW w:w="2994" w:type="dxa"/>
                  <w:tcBorders>
                    <w:top w:val="single" w:sz="4" w:space="0" w:color="auto"/>
                    <w:left w:val="single" w:sz="4" w:space="0" w:color="auto"/>
                    <w:bottom w:val="single" w:sz="4" w:space="0" w:color="auto"/>
                    <w:right w:val="single" w:sz="4" w:space="0" w:color="auto"/>
                  </w:tcBorders>
                </w:tcPr>
                <w:p w:rsidR="0051186A" w:rsidRPr="00F04CCD" w:rsidRDefault="0051186A" w:rsidP="00563700">
                  <w:pPr>
                    <w:jc w:val="center"/>
                    <w:rPr>
                      <w:i/>
                    </w:rPr>
                  </w:pPr>
                  <w:r w:rsidRPr="00F04CCD">
                    <w:rPr>
                      <w:i/>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51186A" w:rsidRPr="00F04CCD" w:rsidRDefault="0051186A" w:rsidP="00563700">
                  <w:pPr>
                    <w:jc w:val="center"/>
                    <w:rPr>
                      <w:i/>
                    </w:rPr>
                  </w:pPr>
                  <w:r w:rsidRPr="00F04CCD">
                    <w:rPr>
                      <w:i/>
                    </w:rPr>
                    <w:t>Náklady na celé podnikateľské prostredie</w:t>
                  </w:r>
                </w:p>
              </w:tc>
            </w:tr>
            <w:tr w:rsidR="0051186A" w:rsidRPr="00F04CCD" w:rsidTr="00563700">
              <w:tc>
                <w:tcPr>
                  <w:tcW w:w="2993" w:type="dxa"/>
                  <w:tcBorders>
                    <w:top w:val="single" w:sz="4" w:space="0" w:color="auto"/>
                    <w:left w:val="single" w:sz="4" w:space="0" w:color="auto"/>
                    <w:bottom w:val="single" w:sz="4" w:space="0" w:color="auto"/>
                    <w:right w:val="single" w:sz="4" w:space="0" w:color="auto"/>
                  </w:tcBorders>
                </w:tcPr>
                <w:p w:rsidR="0051186A" w:rsidRPr="00F04CCD" w:rsidRDefault="0051186A" w:rsidP="00563700">
                  <w:pPr>
                    <w:rPr>
                      <w:i/>
                    </w:rPr>
                  </w:pPr>
                  <w:r w:rsidRPr="00F04CCD">
                    <w:rPr>
                      <w:i/>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51186A" w:rsidRPr="00F04CCD" w:rsidRDefault="0051186A" w:rsidP="00563700">
                  <w:pPr>
                    <w:jc w:val="center"/>
                    <w:rPr>
                      <w:i/>
                    </w:rPr>
                  </w:pPr>
                  <w:r>
                    <w:rPr>
                      <w:i/>
                    </w:rPr>
                    <w:t>35</w:t>
                  </w:r>
                </w:p>
              </w:tc>
              <w:tc>
                <w:tcPr>
                  <w:tcW w:w="2994" w:type="dxa"/>
                  <w:tcBorders>
                    <w:top w:val="single" w:sz="4" w:space="0" w:color="auto"/>
                    <w:left w:val="single" w:sz="4" w:space="0" w:color="auto"/>
                    <w:bottom w:val="single" w:sz="4" w:space="0" w:color="auto"/>
                    <w:right w:val="single" w:sz="4" w:space="0" w:color="auto"/>
                  </w:tcBorders>
                </w:tcPr>
                <w:p w:rsidR="0051186A" w:rsidRPr="00F04CCD" w:rsidRDefault="0051186A" w:rsidP="00563700">
                  <w:pPr>
                    <w:jc w:val="center"/>
                    <w:rPr>
                      <w:i/>
                    </w:rPr>
                  </w:pPr>
                  <w:r w:rsidRPr="00F04CCD">
                    <w:rPr>
                      <w:i/>
                    </w:rPr>
                    <w:t>0</w:t>
                  </w:r>
                </w:p>
              </w:tc>
            </w:tr>
            <w:tr w:rsidR="0051186A" w:rsidRPr="00F04CCD" w:rsidTr="00563700">
              <w:tc>
                <w:tcPr>
                  <w:tcW w:w="2993" w:type="dxa"/>
                  <w:tcBorders>
                    <w:top w:val="single" w:sz="4" w:space="0" w:color="auto"/>
                    <w:left w:val="single" w:sz="4" w:space="0" w:color="auto"/>
                    <w:bottom w:val="single" w:sz="4" w:space="0" w:color="auto"/>
                    <w:right w:val="single" w:sz="4" w:space="0" w:color="auto"/>
                  </w:tcBorders>
                </w:tcPr>
                <w:p w:rsidR="0051186A" w:rsidRPr="00F04CCD" w:rsidRDefault="0051186A" w:rsidP="00563700">
                  <w:pPr>
                    <w:rPr>
                      <w:i/>
                    </w:rPr>
                  </w:pPr>
                  <w:r w:rsidRPr="00F04CCD">
                    <w:rPr>
                      <w:i/>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51186A" w:rsidRPr="00F04CCD" w:rsidRDefault="0051186A" w:rsidP="00563700">
                  <w:pPr>
                    <w:jc w:val="center"/>
                    <w:rPr>
                      <w:i/>
                    </w:rPr>
                  </w:pPr>
                  <w:r>
                    <w:rPr>
                      <w:i/>
                    </w:rPr>
                    <w:t>16,50</w:t>
                  </w:r>
                </w:p>
              </w:tc>
              <w:tc>
                <w:tcPr>
                  <w:tcW w:w="2994" w:type="dxa"/>
                  <w:tcBorders>
                    <w:top w:val="single" w:sz="4" w:space="0" w:color="auto"/>
                    <w:left w:val="single" w:sz="4" w:space="0" w:color="auto"/>
                    <w:bottom w:val="single" w:sz="4" w:space="0" w:color="auto"/>
                    <w:right w:val="single" w:sz="4" w:space="0" w:color="auto"/>
                  </w:tcBorders>
                </w:tcPr>
                <w:p w:rsidR="0051186A" w:rsidRPr="00F04CCD" w:rsidRDefault="0051186A" w:rsidP="00563700">
                  <w:pPr>
                    <w:jc w:val="center"/>
                    <w:rPr>
                      <w:i/>
                    </w:rPr>
                  </w:pPr>
                  <w:r>
                    <w:rPr>
                      <w:i/>
                    </w:rPr>
                    <w:t>0</w:t>
                  </w:r>
                </w:p>
              </w:tc>
            </w:tr>
            <w:tr w:rsidR="0051186A" w:rsidRPr="00F04CCD" w:rsidTr="00563700">
              <w:tc>
                <w:tcPr>
                  <w:tcW w:w="2993" w:type="dxa"/>
                  <w:tcBorders>
                    <w:top w:val="single" w:sz="4" w:space="0" w:color="auto"/>
                    <w:left w:val="single" w:sz="4" w:space="0" w:color="auto"/>
                    <w:bottom w:val="single" w:sz="4" w:space="0" w:color="auto"/>
                    <w:right w:val="single" w:sz="4" w:space="0" w:color="auto"/>
                  </w:tcBorders>
                </w:tcPr>
                <w:p w:rsidR="0051186A" w:rsidRPr="00F04CCD" w:rsidRDefault="0051186A" w:rsidP="00563700">
                  <w:pPr>
                    <w:rPr>
                      <w:i/>
                    </w:rPr>
                  </w:pPr>
                  <w:r w:rsidRPr="00F04CCD">
                    <w:rPr>
                      <w:i/>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51186A" w:rsidRPr="00F04CCD" w:rsidRDefault="0051186A" w:rsidP="00563700">
                  <w:pPr>
                    <w:jc w:val="center"/>
                    <w:rPr>
                      <w:i/>
                    </w:rPr>
                  </w:pPr>
                  <w:r w:rsidRPr="00F04CCD">
                    <w:rPr>
                      <w:i/>
                    </w:rPr>
                    <w:t>0</w:t>
                  </w:r>
                </w:p>
              </w:tc>
              <w:tc>
                <w:tcPr>
                  <w:tcW w:w="2994" w:type="dxa"/>
                  <w:tcBorders>
                    <w:top w:val="single" w:sz="4" w:space="0" w:color="auto"/>
                    <w:left w:val="single" w:sz="4" w:space="0" w:color="auto"/>
                    <w:bottom w:val="single" w:sz="4" w:space="0" w:color="auto"/>
                    <w:right w:val="single" w:sz="4" w:space="0" w:color="auto"/>
                  </w:tcBorders>
                </w:tcPr>
                <w:p w:rsidR="0051186A" w:rsidRPr="00F04CCD" w:rsidRDefault="0051186A" w:rsidP="00563700">
                  <w:pPr>
                    <w:jc w:val="center"/>
                    <w:rPr>
                      <w:i/>
                    </w:rPr>
                  </w:pPr>
                  <w:r w:rsidRPr="00F04CCD">
                    <w:rPr>
                      <w:i/>
                    </w:rPr>
                    <w:t>0</w:t>
                  </w:r>
                </w:p>
              </w:tc>
            </w:tr>
            <w:tr w:rsidR="0051186A" w:rsidRPr="00F04CCD" w:rsidTr="00563700">
              <w:tc>
                <w:tcPr>
                  <w:tcW w:w="2993" w:type="dxa"/>
                  <w:tcBorders>
                    <w:top w:val="single" w:sz="4" w:space="0" w:color="auto"/>
                    <w:left w:val="single" w:sz="4" w:space="0" w:color="auto"/>
                    <w:bottom w:val="single" w:sz="4" w:space="0" w:color="auto"/>
                    <w:right w:val="single" w:sz="4" w:space="0" w:color="auto"/>
                  </w:tcBorders>
                </w:tcPr>
                <w:p w:rsidR="0051186A" w:rsidRPr="00F04CCD" w:rsidRDefault="0051186A" w:rsidP="00563700">
                  <w:pPr>
                    <w:rPr>
                      <w:b/>
                      <w:i/>
                    </w:rPr>
                  </w:pPr>
                  <w:r w:rsidRPr="00F04CCD">
                    <w:rPr>
                      <w:b/>
                      <w:i/>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51186A" w:rsidRPr="00F04CCD" w:rsidRDefault="0051186A" w:rsidP="00563700">
                  <w:pPr>
                    <w:jc w:val="center"/>
                    <w:rPr>
                      <w:b/>
                      <w:i/>
                    </w:rPr>
                  </w:pPr>
                  <w:r>
                    <w:rPr>
                      <w:b/>
                      <w:i/>
                    </w:rPr>
                    <w:t>51,50</w:t>
                  </w:r>
                </w:p>
              </w:tc>
              <w:tc>
                <w:tcPr>
                  <w:tcW w:w="2994" w:type="dxa"/>
                  <w:tcBorders>
                    <w:top w:val="single" w:sz="4" w:space="0" w:color="auto"/>
                    <w:left w:val="single" w:sz="4" w:space="0" w:color="auto"/>
                    <w:bottom w:val="single" w:sz="4" w:space="0" w:color="auto"/>
                    <w:right w:val="single" w:sz="4" w:space="0" w:color="auto"/>
                  </w:tcBorders>
                </w:tcPr>
                <w:p w:rsidR="0051186A" w:rsidRPr="00F04CCD" w:rsidRDefault="0051186A" w:rsidP="00563700">
                  <w:pPr>
                    <w:jc w:val="center"/>
                    <w:rPr>
                      <w:b/>
                      <w:i/>
                    </w:rPr>
                  </w:pPr>
                  <w:r>
                    <w:rPr>
                      <w:b/>
                      <w:i/>
                    </w:rPr>
                    <w:t>0</w:t>
                  </w:r>
                </w:p>
              </w:tc>
            </w:tr>
          </w:tbl>
          <w:p w:rsidR="0051186A" w:rsidRPr="00F04CCD" w:rsidRDefault="0051186A" w:rsidP="00563700">
            <w:pPr>
              <w:rPr>
                <w:i/>
              </w:rPr>
            </w:pPr>
          </w:p>
        </w:tc>
      </w:tr>
      <w:tr w:rsidR="0051186A" w:rsidRPr="00F04CCD" w:rsidTr="00563700">
        <w:tc>
          <w:tcPr>
            <w:tcW w:w="9212" w:type="dxa"/>
            <w:shd w:val="clear" w:color="auto" w:fill="D9D9D9" w:themeFill="background1" w:themeFillShade="D9"/>
          </w:tcPr>
          <w:p w:rsidR="0051186A" w:rsidRPr="00042C66" w:rsidRDefault="0051186A" w:rsidP="00563700">
            <w:pPr>
              <w:rPr>
                <w:b/>
              </w:rPr>
            </w:pPr>
            <w:r>
              <w:rPr>
                <w:b/>
              </w:rPr>
              <w:t>3</w:t>
            </w:r>
            <w:r w:rsidRPr="00042C66">
              <w:rPr>
                <w:b/>
              </w:rPr>
              <w:t>.4 Konkurencieschopnosť a správanie sa podnikov na trhu</w:t>
            </w:r>
          </w:p>
          <w:p w:rsidR="0051186A" w:rsidRPr="00F04CCD" w:rsidRDefault="0051186A" w:rsidP="00563700">
            <w:r w:rsidRPr="00042C66">
              <w:rPr>
                <w:b/>
              </w:rPr>
              <w:t xml:space="preserve">       </w:t>
            </w:r>
            <w:r w:rsidRPr="00042C66">
              <w:t xml:space="preserve">- </w:t>
            </w:r>
            <w:r w:rsidRPr="00042C66">
              <w:rPr>
                <w:b/>
              </w:rPr>
              <w:t>z toho MSP</w:t>
            </w:r>
          </w:p>
        </w:tc>
      </w:tr>
      <w:tr w:rsidR="0051186A" w:rsidRPr="00F04CCD" w:rsidTr="00563700">
        <w:tc>
          <w:tcPr>
            <w:tcW w:w="9212" w:type="dxa"/>
          </w:tcPr>
          <w:p w:rsidR="0051186A" w:rsidRPr="00F04CCD" w:rsidRDefault="0051186A" w:rsidP="00563700">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prísnejšiu reguláciu správania sa niektorých podnikov? Bude sa s niektorými podnikmi alebo produktmi zaobchádzať v porovnateľnej situácii rôzne (špeciálne režimy pre mikro, malé a stredné podniky tzv. MSP)? Ak áno, popíšte.</w:t>
            </w:r>
          </w:p>
          <w:p w:rsidR="0051186A" w:rsidRPr="00F04CCD" w:rsidRDefault="0051186A" w:rsidP="00563700">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 Ak áno, popíšte.</w:t>
            </w:r>
          </w:p>
          <w:p w:rsidR="0051186A" w:rsidRPr="00F04CCD" w:rsidRDefault="0051186A" w:rsidP="00563700">
            <w:pPr>
              <w:rPr>
                <w:i/>
              </w:rPr>
            </w:pPr>
            <w:r w:rsidRPr="00F04CCD">
              <w:rPr>
                <w:i/>
              </w:rPr>
              <w:t>Ako ovplyvní cenu alebo dostupnosť základných zdrojov (suroviny, mechanizmy, pracovná sila, energie atď.)?</w:t>
            </w:r>
          </w:p>
          <w:p w:rsidR="0051186A" w:rsidRPr="00F04CCD" w:rsidRDefault="0051186A" w:rsidP="00563700">
            <w:pPr>
              <w:rPr>
                <w:i/>
              </w:rPr>
            </w:pPr>
            <w:r w:rsidRPr="00F04CCD">
              <w:rPr>
                <w:i/>
              </w:rPr>
              <w:t>Ovplyvňuje prístup k financiám? Ak áno, ako?</w:t>
            </w:r>
          </w:p>
        </w:tc>
      </w:tr>
      <w:tr w:rsidR="0051186A" w:rsidRPr="00F04CCD" w:rsidTr="00563700">
        <w:trPr>
          <w:trHeight w:val="815"/>
        </w:trPr>
        <w:tc>
          <w:tcPr>
            <w:tcW w:w="9212" w:type="dxa"/>
          </w:tcPr>
          <w:p w:rsidR="0051186A" w:rsidRDefault="0051186A" w:rsidP="00563700"/>
          <w:p w:rsidR="0051186A" w:rsidRPr="005E624C" w:rsidRDefault="0051186A" w:rsidP="00563700">
            <w:r>
              <w:t>Predkladaný návrh zákona nemá vplyv na konkurencieschopnosť a správanie sa podnikov na trhu.</w:t>
            </w:r>
          </w:p>
        </w:tc>
      </w:tr>
      <w:tr w:rsidR="0051186A" w:rsidRPr="00F04CCD" w:rsidTr="00563700">
        <w:tc>
          <w:tcPr>
            <w:tcW w:w="9212" w:type="dxa"/>
            <w:shd w:val="clear" w:color="auto" w:fill="D9D9D9" w:themeFill="background1" w:themeFillShade="D9"/>
          </w:tcPr>
          <w:p w:rsidR="0051186A" w:rsidRPr="00042C66" w:rsidRDefault="0051186A" w:rsidP="00563700">
            <w:pPr>
              <w:rPr>
                <w:b/>
              </w:rPr>
            </w:pPr>
            <w:r>
              <w:rPr>
                <w:b/>
              </w:rPr>
              <w:t>3</w:t>
            </w:r>
            <w:r w:rsidRPr="00042C66">
              <w:rPr>
                <w:b/>
              </w:rPr>
              <w:t xml:space="preserve">.5 Inovácie </w:t>
            </w:r>
          </w:p>
          <w:p w:rsidR="0051186A" w:rsidRPr="00F04CCD" w:rsidRDefault="0051186A" w:rsidP="00563700">
            <w:pPr>
              <w:rPr>
                <w:b/>
              </w:rPr>
            </w:pPr>
            <w:r w:rsidRPr="00042C66">
              <w:t xml:space="preserve">       - </w:t>
            </w:r>
            <w:r w:rsidRPr="00042C66">
              <w:rPr>
                <w:b/>
              </w:rPr>
              <w:t>z toho MSP</w:t>
            </w:r>
          </w:p>
        </w:tc>
      </w:tr>
      <w:tr w:rsidR="0051186A" w:rsidRPr="00F04CCD" w:rsidTr="00563700">
        <w:tc>
          <w:tcPr>
            <w:tcW w:w="9212" w:type="dxa"/>
          </w:tcPr>
          <w:p w:rsidR="0051186A" w:rsidRPr="00F04CCD" w:rsidRDefault="0051186A" w:rsidP="00563700">
            <w:pPr>
              <w:rPr>
                <w:i/>
              </w:rPr>
            </w:pPr>
            <w:r w:rsidRPr="00F04CCD">
              <w:rPr>
                <w:i/>
              </w:rPr>
              <w:t>Uveďte, ako podporuje navrhovaná zmena inovácie.</w:t>
            </w:r>
          </w:p>
          <w:p w:rsidR="0051186A" w:rsidRPr="00F04CCD" w:rsidRDefault="0051186A" w:rsidP="00563700">
            <w:pPr>
              <w:rPr>
                <w:i/>
              </w:rPr>
            </w:pPr>
            <w:r w:rsidRPr="00F04CCD">
              <w:rPr>
                <w:i/>
              </w:rPr>
              <w:t>Zjednodušuje uvedenie alebo rozšírenie nových výrobných metód, technológií a výrobkov na trh?</w:t>
            </w:r>
          </w:p>
          <w:p w:rsidR="0051186A" w:rsidRPr="00F04CCD" w:rsidRDefault="0051186A" w:rsidP="00563700">
            <w:pPr>
              <w:rPr>
                <w:i/>
              </w:rPr>
            </w:pPr>
            <w:r w:rsidRPr="00F04CCD">
              <w:rPr>
                <w:i/>
              </w:rPr>
              <w:t xml:space="preserve">Uveďte, ako vplýva navrhovaná zmena na </w:t>
            </w:r>
            <w:r>
              <w:rPr>
                <w:i/>
              </w:rPr>
              <w:t xml:space="preserve">jednotlivé </w:t>
            </w:r>
            <w:r w:rsidRPr="00F04CCD">
              <w:rPr>
                <w:i/>
              </w:rPr>
              <w:t>práva duševného vlastníctva (</w:t>
            </w:r>
            <w:r>
              <w:rPr>
                <w:i/>
              </w:rPr>
              <w:t xml:space="preserve">napr. </w:t>
            </w:r>
            <w:r w:rsidRPr="00F04CCD">
              <w:rPr>
                <w:i/>
              </w:rPr>
              <w:t xml:space="preserve">patenty, ochranné známky, </w:t>
            </w:r>
            <w:r>
              <w:rPr>
                <w:i/>
              </w:rPr>
              <w:t>autorské práva</w:t>
            </w:r>
            <w:r w:rsidRPr="00F04CCD">
              <w:rPr>
                <w:i/>
              </w:rPr>
              <w:t>, vlastníctvo know-how).</w:t>
            </w:r>
          </w:p>
          <w:p w:rsidR="0051186A" w:rsidRDefault="0051186A" w:rsidP="00563700">
            <w:pPr>
              <w:rPr>
                <w:i/>
              </w:rPr>
            </w:pPr>
            <w:r w:rsidRPr="00F04CCD">
              <w:rPr>
                <w:i/>
              </w:rPr>
              <w:t>Podporuje vyššiu efektivitu výroby/využívania zdrojov? Ak áno, ako?</w:t>
            </w:r>
          </w:p>
          <w:p w:rsidR="0051186A" w:rsidRPr="00F04CCD" w:rsidRDefault="0051186A" w:rsidP="00563700">
            <w:r w:rsidRPr="00154881">
              <w:rPr>
                <w:i/>
              </w:rPr>
              <w:t>Vytvorí zmena nové pracovné miesta pre zamestnancov výskumu a vývoja v</w:t>
            </w:r>
            <w:r>
              <w:rPr>
                <w:i/>
              </w:rPr>
              <w:t> </w:t>
            </w:r>
            <w:r w:rsidRPr="00154881">
              <w:rPr>
                <w:i/>
              </w:rPr>
              <w:t>SR</w:t>
            </w:r>
            <w:r>
              <w:rPr>
                <w:i/>
              </w:rPr>
              <w:t>?</w:t>
            </w:r>
          </w:p>
        </w:tc>
      </w:tr>
      <w:tr w:rsidR="0051186A" w:rsidRPr="00F04CCD" w:rsidTr="00563700">
        <w:trPr>
          <w:trHeight w:val="883"/>
        </w:trPr>
        <w:tc>
          <w:tcPr>
            <w:tcW w:w="9212" w:type="dxa"/>
          </w:tcPr>
          <w:p w:rsidR="0051186A" w:rsidRPr="005E624C" w:rsidRDefault="0051186A" w:rsidP="00563700">
            <w:r>
              <w:t>Predkladaný návrh zákona nezakladá vplyvy v sledovanej oblasti.</w:t>
            </w:r>
          </w:p>
        </w:tc>
      </w:tr>
    </w:tbl>
    <w:p w:rsidR="0051186A" w:rsidRPr="00F04CCD" w:rsidRDefault="0051186A" w:rsidP="0051186A"/>
    <w:p w:rsidR="0051186A" w:rsidRDefault="0051186A" w:rsidP="0051186A"/>
    <w:p w:rsidR="0051186A" w:rsidRDefault="0051186A" w:rsidP="0051186A"/>
    <w:p w:rsidR="00854184" w:rsidRDefault="00854184" w:rsidP="0051186A"/>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51186A" w:rsidRPr="00CD4982" w:rsidTr="00563700">
        <w:trPr>
          <w:trHeight w:val="534"/>
          <w:jc w:val="center"/>
        </w:trPr>
        <w:tc>
          <w:tcPr>
            <w:tcW w:w="5000" w:type="pct"/>
            <w:shd w:val="clear" w:color="auto" w:fill="D9D9D9"/>
          </w:tcPr>
          <w:p w:rsidR="0051186A" w:rsidRPr="00CD4982" w:rsidRDefault="0051186A" w:rsidP="00563700">
            <w:pPr>
              <w:ind w:left="-284" w:firstLine="284"/>
              <w:jc w:val="center"/>
              <w:rPr>
                <w:rFonts w:eastAsia="Times New Roman"/>
                <w:b/>
              </w:rPr>
            </w:pPr>
            <w:r>
              <w:rPr>
                <w:rFonts w:eastAsia="Times New Roman"/>
                <w:b/>
                <w:sz w:val="28"/>
              </w:rPr>
              <w:lastRenderedPageBreak/>
              <w:t>Analýza s</w:t>
            </w:r>
            <w:r w:rsidRPr="00CD4982">
              <w:rPr>
                <w:rFonts w:eastAsia="Times New Roman"/>
                <w:b/>
                <w:sz w:val="28"/>
              </w:rPr>
              <w:t>ociáln</w:t>
            </w:r>
            <w:r>
              <w:rPr>
                <w:rFonts w:eastAsia="Times New Roman"/>
                <w:b/>
                <w:sz w:val="28"/>
              </w:rPr>
              <w:t>ych</w:t>
            </w:r>
            <w:r w:rsidRPr="00CD4982">
              <w:rPr>
                <w:rFonts w:eastAsia="Times New Roman"/>
                <w:b/>
                <w:sz w:val="28"/>
              </w:rPr>
              <w:t xml:space="preserve"> vplyv</w:t>
            </w:r>
            <w:r>
              <w:rPr>
                <w:rFonts w:eastAsia="Times New Roman"/>
                <w:b/>
                <w:sz w:val="28"/>
              </w:rPr>
              <w:t>ov</w:t>
            </w:r>
          </w:p>
          <w:p w:rsidR="0051186A" w:rsidRPr="00CD4982" w:rsidRDefault="0051186A" w:rsidP="00563700">
            <w:pPr>
              <w:jc w:val="center"/>
              <w:rPr>
                <w:rFonts w:eastAsia="Times New Roman"/>
                <w:b/>
              </w:rPr>
            </w:pPr>
            <w:r w:rsidRPr="00CD4982">
              <w:rPr>
                <w:rFonts w:eastAsia="Times New Roman"/>
                <w:b/>
              </w:rPr>
              <w:t>Vplyvy na hospodárenie domácností, prístup k zdrojom, právam, tovarom a službám, sociálnu inklúziu, rovnosť príležitostí a rodovú rovnosť a vplyvy na zamestnanosť</w:t>
            </w:r>
          </w:p>
        </w:tc>
      </w:tr>
      <w:tr w:rsidR="0051186A" w:rsidRPr="00CD4982" w:rsidTr="00563700">
        <w:trPr>
          <w:jc w:val="center"/>
        </w:trPr>
        <w:tc>
          <w:tcPr>
            <w:tcW w:w="5000" w:type="pct"/>
            <w:tcBorders>
              <w:bottom w:val="nil"/>
            </w:tcBorders>
            <w:shd w:val="clear" w:color="auto" w:fill="D9D9D9"/>
          </w:tcPr>
          <w:p w:rsidR="0051186A" w:rsidRPr="0040544D" w:rsidRDefault="0051186A" w:rsidP="00563700">
            <w:pPr>
              <w:rPr>
                <w:rFonts w:eastAsia="Times New Roman"/>
                <w:b/>
              </w:rPr>
            </w:pPr>
            <w:r w:rsidRPr="00CD4982">
              <w:rPr>
                <w:rFonts w:eastAsia="Times New Roman"/>
                <w:b/>
              </w:rPr>
              <w:t>4.1 Identifikujte, popíšte a kvantifikujte vplyv na hospodárenie domácností a špecifikujte ovplyvnené skupiny domácností, ktoré budú pozitívne/negatívne ovplyvnené.</w:t>
            </w:r>
          </w:p>
        </w:tc>
      </w:tr>
    </w:tbl>
    <w:p w:rsidR="0051186A" w:rsidRDefault="0051186A" w:rsidP="0051186A">
      <w:pPr>
        <w:shd w:val="clear" w:color="auto" w:fill="F2F2F2"/>
        <w:rPr>
          <w:rFonts w:eastAsia="Times New Roman"/>
          <w:i/>
          <w:sz w:val="20"/>
          <w:szCs w:val="20"/>
        </w:rPr>
        <w:sectPr w:rsidR="0051186A" w:rsidSect="0051186A">
          <w:headerReference w:type="default" r:id="rId14"/>
          <w:footerReference w:type="default" r:id="rId15"/>
          <w:footnotePr>
            <w:numFmt w:val="chicago"/>
          </w:footnotePr>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51186A" w:rsidRPr="00CD4982" w:rsidTr="00563700">
        <w:trPr>
          <w:trHeight w:val="736"/>
          <w:jc w:val="center"/>
        </w:trPr>
        <w:tc>
          <w:tcPr>
            <w:tcW w:w="5000" w:type="pct"/>
            <w:shd w:val="clear" w:color="auto" w:fill="F2F2F2"/>
          </w:tcPr>
          <w:p w:rsidR="0051186A" w:rsidRPr="00CD4982" w:rsidRDefault="0051186A" w:rsidP="00563700">
            <w:pPr>
              <w:shd w:val="clear" w:color="auto" w:fill="F2F2F2"/>
              <w:rPr>
                <w:rFonts w:eastAsia="Times New Roman"/>
                <w:i/>
                <w:sz w:val="20"/>
                <w:szCs w:val="20"/>
              </w:rPr>
            </w:pPr>
            <w:r w:rsidRPr="00CD4982">
              <w:rPr>
                <w:rFonts w:eastAsia="Times New Roman"/>
                <w:i/>
                <w:sz w:val="20"/>
                <w:szCs w:val="20"/>
              </w:rPr>
              <w:lastRenderedPageBreak/>
              <w:t xml:space="preserve">Vedie návrh k zvýšeniu alebo zníženiu príjmov alebo výdavkov domácností? </w:t>
            </w:r>
          </w:p>
          <w:p w:rsidR="0051186A" w:rsidRPr="00CD4982" w:rsidRDefault="0051186A" w:rsidP="00563700">
            <w:pPr>
              <w:shd w:val="clear" w:color="auto" w:fill="F2F2F2"/>
              <w:rPr>
                <w:rFonts w:eastAsia="Times New Roman"/>
                <w:i/>
                <w:sz w:val="20"/>
                <w:szCs w:val="20"/>
              </w:rPr>
            </w:pPr>
            <w:r w:rsidRPr="00CD4982">
              <w:rPr>
                <w:rFonts w:eastAsia="Times New Roman"/>
                <w:i/>
                <w:sz w:val="20"/>
                <w:szCs w:val="20"/>
              </w:rPr>
              <w:t xml:space="preserve">Ktoré skupiny domácností/obyvateľstva sú takto ovplyvnené a akým spôsobom? </w:t>
            </w:r>
          </w:p>
          <w:p w:rsidR="0051186A" w:rsidRPr="00CD4982" w:rsidRDefault="0051186A" w:rsidP="00563700">
            <w:pPr>
              <w:shd w:val="clear" w:color="auto" w:fill="F2F2F2"/>
              <w:rPr>
                <w:rFonts w:ascii="Calibri" w:hAnsi="Calibri"/>
                <w:i/>
                <w:sz w:val="20"/>
                <w:szCs w:val="20"/>
              </w:rPr>
            </w:pPr>
            <w:r w:rsidRPr="00CD4982">
              <w:rPr>
                <w:rFonts w:eastAsia="Times New Roman"/>
                <w:i/>
                <w:sz w:val="20"/>
                <w:szCs w:val="20"/>
              </w:rPr>
              <w:t>Sú medzi potenciálne ovplyvnenými skupinami skupiny v riziku chudoby alebo sociálneho vylúčenia?</w:t>
            </w:r>
          </w:p>
        </w:tc>
      </w:tr>
    </w:tbl>
    <w:p w:rsidR="0051186A" w:rsidRDefault="0051186A" w:rsidP="0051186A">
      <w:pPr>
        <w:rPr>
          <w:rFonts w:eastAsia="Times New Roman"/>
          <w:i/>
          <w:sz w:val="20"/>
          <w:szCs w:val="20"/>
        </w:rPr>
        <w:sectPr w:rsidR="0051186A"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02"/>
        <w:gridCol w:w="4803"/>
      </w:tblGrid>
      <w:tr w:rsidR="0051186A" w:rsidRPr="00CD4982" w:rsidTr="00563700">
        <w:trPr>
          <w:trHeight w:val="759"/>
          <w:jc w:val="center"/>
        </w:trPr>
        <w:tc>
          <w:tcPr>
            <w:tcW w:w="2500" w:type="pct"/>
            <w:tcBorders>
              <w:top w:val="nil"/>
              <w:bottom w:val="dotted" w:sz="4" w:space="0" w:color="auto"/>
            </w:tcBorders>
          </w:tcPr>
          <w:p w:rsidR="0051186A" w:rsidRPr="00CD4982" w:rsidRDefault="0051186A" w:rsidP="00563700">
            <w:pPr>
              <w:rPr>
                <w:rFonts w:eastAsia="Times New Roman"/>
                <w:i/>
                <w:sz w:val="20"/>
                <w:szCs w:val="20"/>
              </w:rPr>
            </w:pPr>
            <w:r>
              <w:rPr>
                <w:rFonts w:eastAsia="Times New Roman"/>
                <w:i/>
                <w:sz w:val="20"/>
                <w:szCs w:val="20"/>
              </w:rPr>
              <w:lastRenderedPageBreak/>
              <w:t xml:space="preserve">Popíšte </w:t>
            </w:r>
            <w:r w:rsidRPr="00E538C0">
              <w:rPr>
                <w:rFonts w:eastAsia="Times New Roman"/>
                <w:b/>
                <w:i/>
                <w:sz w:val="20"/>
                <w:szCs w:val="20"/>
              </w:rPr>
              <w:t>pozitívny</w:t>
            </w:r>
            <w:r>
              <w:rPr>
                <w:rFonts w:eastAsia="Times New Roman"/>
                <w:i/>
                <w:sz w:val="20"/>
                <w:szCs w:val="20"/>
              </w:rPr>
              <w:t xml:space="preserve"> vplyv na hospodárenie domácností s uvedením, či ide o zvýšenie príjmov alebo zníženie výdavkov:</w:t>
            </w:r>
          </w:p>
        </w:tc>
        <w:tc>
          <w:tcPr>
            <w:tcW w:w="2500" w:type="pct"/>
            <w:tcBorders>
              <w:top w:val="nil"/>
              <w:bottom w:val="dotted" w:sz="4" w:space="0" w:color="auto"/>
            </w:tcBorders>
          </w:tcPr>
          <w:p w:rsidR="0051186A" w:rsidRDefault="0051186A" w:rsidP="00563700">
            <w:pPr>
              <w:jc w:val="both"/>
              <w:rPr>
                <w:rFonts w:eastAsia="Times New Roman"/>
                <w:sz w:val="20"/>
                <w:szCs w:val="20"/>
              </w:rPr>
            </w:pPr>
            <w:r>
              <w:rPr>
                <w:rFonts w:eastAsia="Times New Roman"/>
                <w:sz w:val="20"/>
                <w:szCs w:val="20"/>
              </w:rPr>
              <w:t>Predkladaný návrh zákona zakladá pozitívny vplyv na hospodárenie domácností, ktorý sa prejaví najmä v predpokladanom znížení výdavkov, ktoré by dotknuté domácnosti museli vynaložiť na úhradu nárokov vymáhaných v starých exekúciách, vrátane trov exekúcie. Navrhovaná právna úprava súčasne zamedzí narastaniu „dlhu“ povinných v starých exekúciách, ktoré majú byť na základe návrhu zákona zastavené.</w:t>
            </w:r>
          </w:p>
          <w:p w:rsidR="0051186A" w:rsidRPr="0040544D" w:rsidRDefault="0051186A" w:rsidP="00563700">
            <w:pPr>
              <w:rPr>
                <w:rFonts w:eastAsia="Times New Roman"/>
                <w:sz w:val="20"/>
                <w:szCs w:val="20"/>
              </w:rPr>
            </w:pPr>
          </w:p>
        </w:tc>
      </w:tr>
      <w:tr w:rsidR="0051186A" w:rsidRPr="00CD4982" w:rsidTr="00563700">
        <w:trPr>
          <w:trHeight w:val="624"/>
          <w:jc w:val="center"/>
        </w:trPr>
        <w:tc>
          <w:tcPr>
            <w:tcW w:w="2500" w:type="pct"/>
            <w:tcBorders>
              <w:top w:val="dotted" w:sz="4" w:space="0" w:color="auto"/>
            </w:tcBorders>
          </w:tcPr>
          <w:p w:rsidR="0051186A" w:rsidRPr="00CD4982" w:rsidRDefault="0051186A" w:rsidP="00563700">
            <w:pPr>
              <w:rPr>
                <w:rFonts w:eastAsia="Times New Roman"/>
                <w:i/>
                <w:sz w:val="20"/>
                <w:szCs w:val="20"/>
              </w:rPr>
            </w:pPr>
            <w:r>
              <w:rPr>
                <w:rFonts w:eastAsia="Times New Roman"/>
                <w:i/>
                <w:sz w:val="20"/>
                <w:szCs w:val="20"/>
              </w:rPr>
              <w:t xml:space="preserve">Špecifikujte </w:t>
            </w:r>
            <w:r w:rsidRPr="00E538C0">
              <w:rPr>
                <w:rFonts w:eastAsia="Times New Roman"/>
                <w:b/>
                <w:i/>
                <w:sz w:val="20"/>
                <w:szCs w:val="20"/>
              </w:rPr>
              <w:t>pozitívne</w:t>
            </w:r>
            <w:r>
              <w:rPr>
                <w:rFonts w:eastAsia="Times New Roman"/>
                <w:i/>
                <w:sz w:val="20"/>
                <w:szCs w:val="20"/>
              </w:rPr>
              <w:t xml:space="preserve"> ovplyvnené skupiny:</w:t>
            </w:r>
          </w:p>
        </w:tc>
        <w:tc>
          <w:tcPr>
            <w:tcW w:w="2500" w:type="pct"/>
            <w:tcBorders>
              <w:top w:val="dotted" w:sz="4" w:space="0" w:color="auto"/>
            </w:tcBorders>
          </w:tcPr>
          <w:p w:rsidR="0051186A" w:rsidRPr="0040544D" w:rsidRDefault="0051186A" w:rsidP="00563700">
            <w:pPr>
              <w:jc w:val="both"/>
              <w:rPr>
                <w:rFonts w:eastAsia="Times New Roman"/>
                <w:sz w:val="20"/>
                <w:szCs w:val="20"/>
              </w:rPr>
            </w:pPr>
            <w:r>
              <w:rPr>
                <w:rFonts w:eastAsia="Times New Roman"/>
                <w:sz w:val="20"/>
                <w:szCs w:val="20"/>
              </w:rPr>
              <w:t xml:space="preserve">Fyzické osoby, voči ktorým je vedená exekúcia podľa predpisov účinných do 31. marca 2017 (vystupujú na strane povinných v exekučnom konaní) a ktorá bude na základe predkladaného návrhu zákona zastavená, za predpokladu, že  oprávnený po zastavení starej exekúcie nepodá opätovný návrh na vykonanie exekúcie. </w:t>
            </w:r>
          </w:p>
        </w:tc>
      </w:tr>
      <w:tr w:rsidR="0051186A" w:rsidRPr="00CD4982" w:rsidTr="00563700">
        <w:trPr>
          <w:trHeight w:val="759"/>
          <w:jc w:val="center"/>
        </w:trPr>
        <w:tc>
          <w:tcPr>
            <w:tcW w:w="2500" w:type="pct"/>
            <w:tcBorders>
              <w:bottom w:val="dotted" w:sz="4" w:space="0" w:color="auto"/>
            </w:tcBorders>
          </w:tcPr>
          <w:p w:rsidR="0051186A" w:rsidRPr="00E538C0" w:rsidRDefault="0051186A" w:rsidP="00563700">
            <w:pPr>
              <w:rPr>
                <w:rFonts w:eastAsia="Times New Roman"/>
                <w:i/>
                <w:sz w:val="20"/>
                <w:szCs w:val="20"/>
              </w:rPr>
            </w:pPr>
            <w:r>
              <w:rPr>
                <w:rFonts w:eastAsia="Times New Roman"/>
                <w:i/>
                <w:sz w:val="20"/>
                <w:szCs w:val="20"/>
              </w:rPr>
              <w:t xml:space="preserve">Popíšte </w:t>
            </w:r>
            <w:r>
              <w:rPr>
                <w:rFonts w:eastAsia="Times New Roman"/>
                <w:b/>
                <w:i/>
                <w:sz w:val="20"/>
                <w:szCs w:val="20"/>
              </w:rPr>
              <w:t xml:space="preserve">negatívny </w:t>
            </w:r>
            <w:r>
              <w:rPr>
                <w:rFonts w:eastAsia="Times New Roman"/>
                <w:i/>
                <w:sz w:val="20"/>
                <w:szCs w:val="20"/>
              </w:rPr>
              <w:t>vplyv na hospodárenie domácností s uvedením, či ide o zníženie príjmov alebo zvýšenie výdavkov:</w:t>
            </w:r>
          </w:p>
        </w:tc>
        <w:tc>
          <w:tcPr>
            <w:tcW w:w="2500" w:type="pct"/>
            <w:tcBorders>
              <w:bottom w:val="dotted" w:sz="4" w:space="0" w:color="auto"/>
            </w:tcBorders>
          </w:tcPr>
          <w:p w:rsidR="0051186A" w:rsidRPr="0040544D" w:rsidRDefault="0051186A" w:rsidP="00563700">
            <w:pPr>
              <w:jc w:val="both"/>
              <w:rPr>
                <w:rFonts w:eastAsia="Times New Roman"/>
                <w:sz w:val="20"/>
                <w:szCs w:val="20"/>
              </w:rPr>
            </w:pPr>
            <w:r>
              <w:rPr>
                <w:rFonts w:eastAsia="Times New Roman"/>
                <w:sz w:val="20"/>
                <w:szCs w:val="20"/>
              </w:rPr>
              <w:t>Predkladaný návrh zákona zakladá negatívny vplyv na finančný rozpočet domácností, ktorý sa prejaví najmä v potenciálnom znížení príjmov dotknutých domácností o prostriedky vymáhané v exekučnom konaní zastavenom podľa ustanovení návrhu zákona. Uvedený negatívny vplyv je však vyvážený tou skutočnosťou, že v týchto prípadoch ide výlučne o exekúcie, v ktorých nie je predpoklad na úspešné vymoženie pohľadávky (ide o tzv. nemajetné exekúcie), a skutočnosťou, že sa ďalej nenavýšia trovy exekúcie, ktoré by v konečnom dôsledku uhrádzal oprávnený, a súčasne odmena súdneho exekútora je v týchto prípadoch ustanovená vo forme paušálnych trov.</w:t>
            </w:r>
          </w:p>
        </w:tc>
      </w:tr>
      <w:tr w:rsidR="0051186A" w:rsidRPr="00CD4982" w:rsidTr="00563700">
        <w:trPr>
          <w:trHeight w:val="624"/>
          <w:jc w:val="center"/>
        </w:trPr>
        <w:tc>
          <w:tcPr>
            <w:tcW w:w="2500" w:type="pct"/>
            <w:tcBorders>
              <w:top w:val="dotted" w:sz="4" w:space="0" w:color="auto"/>
            </w:tcBorders>
          </w:tcPr>
          <w:p w:rsidR="0051186A" w:rsidRPr="00CD4982" w:rsidRDefault="0051186A" w:rsidP="00563700">
            <w:pPr>
              <w:rPr>
                <w:rFonts w:eastAsia="Times New Roman"/>
                <w:i/>
                <w:sz w:val="20"/>
                <w:szCs w:val="20"/>
              </w:rPr>
            </w:pPr>
            <w:r>
              <w:rPr>
                <w:rFonts w:eastAsia="Times New Roman"/>
                <w:i/>
                <w:sz w:val="20"/>
                <w:szCs w:val="20"/>
              </w:rPr>
              <w:t xml:space="preserve">Špecifikujte </w:t>
            </w:r>
            <w:r w:rsidRPr="00F2597D">
              <w:rPr>
                <w:rFonts w:eastAsia="Times New Roman"/>
                <w:b/>
                <w:i/>
                <w:sz w:val="20"/>
                <w:szCs w:val="20"/>
              </w:rPr>
              <w:t>negatívne</w:t>
            </w:r>
            <w:r>
              <w:rPr>
                <w:rFonts w:eastAsia="Times New Roman"/>
                <w:i/>
                <w:sz w:val="20"/>
                <w:szCs w:val="20"/>
              </w:rPr>
              <w:t xml:space="preserve"> ovplyvnené skupiny:</w:t>
            </w:r>
          </w:p>
        </w:tc>
        <w:tc>
          <w:tcPr>
            <w:tcW w:w="2500" w:type="pct"/>
            <w:tcBorders>
              <w:top w:val="dotted" w:sz="4" w:space="0" w:color="auto"/>
            </w:tcBorders>
          </w:tcPr>
          <w:p w:rsidR="0051186A" w:rsidRPr="0040544D" w:rsidRDefault="0051186A" w:rsidP="00563700">
            <w:pPr>
              <w:jc w:val="both"/>
              <w:rPr>
                <w:rFonts w:eastAsia="Times New Roman"/>
                <w:sz w:val="20"/>
                <w:szCs w:val="20"/>
              </w:rPr>
            </w:pPr>
            <w:r>
              <w:rPr>
                <w:rFonts w:eastAsia="Times New Roman"/>
                <w:sz w:val="20"/>
                <w:szCs w:val="20"/>
              </w:rPr>
              <w:t xml:space="preserve">Fyzické osoby, ktoré v exekúcii vedenej podľa predpisov účinných do 31. marca 2017 majú postavenie oprávneného účastníka exekučného konania a ktorá bude na základe predkladaného návrhu zákona zastavená. </w:t>
            </w:r>
          </w:p>
        </w:tc>
      </w:tr>
      <w:tr w:rsidR="0051186A" w:rsidRPr="00CD4982" w:rsidTr="00563700">
        <w:trPr>
          <w:trHeight w:val="680"/>
          <w:jc w:val="center"/>
        </w:trPr>
        <w:tc>
          <w:tcPr>
            <w:tcW w:w="2500" w:type="pct"/>
            <w:tcBorders>
              <w:bottom w:val="nil"/>
            </w:tcBorders>
          </w:tcPr>
          <w:p w:rsidR="0051186A" w:rsidRPr="00CD4982" w:rsidRDefault="0051186A" w:rsidP="00563700">
            <w:pPr>
              <w:rPr>
                <w:rFonts w:eastAsia="Times New Roman"/>
                <w:i/>
                <w:sz w:val="20"/>
                <w:szCs w:val="20"/>
              </w:rPr>
            </w:pPr>
            <w:r>
              <w:rPr>
                <w:rFonts w:eastAsia="Times New Roman"/>
                <w:i/>
                <w:sz w:val="20"/>
                <w:szCs w:val="20"/>
              </w:rPr>
              <w:t xml:space="preserve">Špecifikujte ovplyvnené skupiny </w:t>
            </w:r>
            <w:r w:rsidRPr="00E538C0">
              <w:rPr>
                <w:rFonts w:eastAsia="Times New Roman"/>
                <w:b/>
                <w:i/>
                <w:sz w:val="20"/>
                <w:szCs w:val="20"/>
              </w:rPr>
              <w:t>v riziku chudoby alebo sociálneho vylúčenia</w:t>
            </w:r>
            <w:r>
              <w:rPr>
                <w:rFonts w:eastAsia="Times New Roman"/>
                <w:i/>
                <w:sz w:val="20"/>
                <w:szCs w:val="20"/>
              </w:rPr>
              <w:t xml:space="preserve"> a popíšte vplyv:</w:t>
            </w:r>
          </w:p>
        </w:tc>
        <w:tc>
          <w:tcPr>
            <w:tcW w:w="2500" w:type="pct"/>
            <w:tcBorders>
              <w:bottom w:val="nil"/>
            </w:tcBorders>
          </w:tcPr>
          <w:p w:rsidR="0051186A" w:rsidRDefault="0051186A" w:rsidP="00563700">
            <w:pPr>
              <w:rPr>
                <w:rFonts w:eastAsia="Times New Roman"/>
                <w:sz w:val="20"/>
                <w:szCs w:val="20"/>
              </w:rPr>
            </w:pPr>
            <w:r>
              <w:rPr>
                <w:rFonts w:eastAsia="Times New Roman"/>
                <w:sz w:val="20"/>
                <w:szCs w:val="20"/>
              </w:rPr>
              <w:t xml:space="preserve">Všetky domácnosti vystavené riziku chudoby alebo sociálnej exklúzie, členovia ktorých sú účastníkmi exekučného konania vedeného podľa predpisov účinných do 31. marca 2017, ktoré bude zastavené na základe ustanovení predkladaného návrhu zákona. </w:t>
            </w:r>
          </w:p>
          <w:p w:rsidR="0051186A" w:rsidRPr="0040544D" w:rsidRDefault="0051186A" w:rsidP="00563700">
            <w:pPr>
              <w:rPr>
                <w:rFonts w:eastAsia="Times New Roman"/>
                <w:sz w:val="20"/>
                <w:szCs w:val="20"/>
              </w:rPr>
            </w:pPr>
          </w:p>
        </w:tc>
      </w:tr>
    </w:tbl>
    <w:p w:rsidR="0051186A" w:rsidRDefault="0051186A" w:rsidP="0051186A">
      <w:pPr>
        <w:jc w:val="both"/>
        <w:rPr>
          <w:rFonts w:eastAsia="Times New Roman"/>
          <w:i/>
          <w:sz w:val="20"/>
          <w:szCs w:val="20"/>
        </w:rPr>
        <w:sectPr w:rsidR="0051186A"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51186A" w:rsidRPr="00CD4982" w:rsidTr="00563700">
        <w:trPr>
          <w:trHeight w:val="680"/>
          <w:jc w:val="center"/>
        </w:trPr>
        <w:tc>
          <w:tcPr>
            <w:tcW w:w="5000" w:type="pct"/>
            <w:shd w:val="clear" w:color="auto" w:fill="F2F2F2" w:themeFill="background1" w:themeFillShade="F2"/>
          </w:tcPr>
          <w:p w:rsidR="0051186A" w:rsidRDefault="0051186A" w:rsidP="00563700">
            <w:pPr>
              <w:jc w:val="both"/>
              <w:rPr>
                <w:rFonts w:eastAsia="Times New Roman"/>
                <w:i/>
                <w:sz w:val="20"/>
                <w:szCs w:val="20"/>
              </w:rPr>
            </w:pPr>
            <w:r w:rsidRPr="00CD4982">
              <w:rPr>
                <w:rFonts w:eastAsia="Times New Roman"/>
                <w:i/>
                <w:sz w:val="20"/>
                <w:szCs w:val="20"/>
              </w:rPr>
              <w:lastRenderedPageBreak/>
              <w:t>Kvantifikujte rast alebo pokles príjmov/výdavkov za jednotlivé ovplyvnené skupiny domácností / skupiny jednotlivcov a počet obyvateľstva/domácností ovplyvnených predkladaným materiálom.</w:t>
            </w:r>
          </w:p>
          <w:p w:rsidR="0051186A" w:rsidRPr="00CD4982" w:rsidRDefault="0051186A" w:rsidP="00563700">
            <w:pPr>
              <w:jc w:val="both"/>
              <w:rPr>
                <w:rFonts w:eastAsia="Times New Roman"/>
                <w:i/>
                <w:sz w:val="20"/>
                <w:szCs w:val="20"/>
              </w:rPr>
            </w:pPr>
            <w:r>
              <w:rPr>
                <w:rFonts w:eastAsia="Times New Roman"/>
                <w:i/>
                <w:sz w:val="20"/>
                <w:szCs w:val="20"/>
              </w:rPr>
              <w:t>V prípade vyššieho počtu ovplyvnených skupín doplňte do tabuľky ďalšie riadky.</w:t>
            </w:r>
          </w:p>
          <w:p w:rsidR="0051186A" w:rsidRPr="0040544D" w:rsidRDefault="0051186A" w:rsidP="00563700">
            <w:pPr>
              <w:tabs>
                <w:tab w:val="left" w:pos="3505"/>
              </w:tabs>
              <w:rPr>
                <w:rFonts w:eastAsia="Times New Roman"/>
                <w:sz w:val="20"/>
                <w:szCs w:val="20"/>
              </w:rPr>
            </w:pPr>
            <w:r w:rsidRPr="00CD4982">
              <w:rPr>
                <w:rFonts w:eastAsia="Times New Roman"/>
                <w:i/>
                <w:sz w:val="20"/>
                <w:szCs w:val="20"/>
              </w:rPr>
              <w:t>V prípade, ak neuvádzate kvantifikáciu, uveďte dôvod.</w:t>
            </w:r>
          </w:p>
        </w:tc>
      </w:tr>
    </w:tbl>
    <w:p w:rsidR="0051186A" w:rsidRDefault="0051186A" w:rsidP="0051186A">
      <w:pPr>
        <w:jc w:val="both"/>
        <w:rPr>
          <w:rFonts w:eastAsia="Times New Roman"/>
          <w:b/>
          <w:i/>
          <w:sz w:val="20"/>
          <w:szCs w:val="20"/>
        </w:rPr>
        <w:sectPr w:rsidR="0051186A"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02"/>
        <w:gridCol w:w="4803"/>
      </w:tblGrid>
      <w:tr w:rsidR="0051186A" w:rsidRPr="00CD4982" w:rsidTr="00563700">
        <w:trPr>
          <w:trHeight w:val="286"/>
          <w:jc w:val="center"/>
        </w:trPr>
        <w:tc>
          <w:tcPr>
            <w:tcW w:w="5000" w:type="pct"/>
            <w:gridSpan w:val="2"/>
            <w:tcBorders>
              <w:top w:val="nil"/>
            </w:tcBorders>
          </w:tcPr>
          <w:p w:rsidR="0051186A" w:rsidRPr="00CD4982" w:rsidRDefault="0051186A" w:rsidP="00563700">
            <w:pPr>
              <w:jc w:val="both"/>
              <w:rPr>
                <w:rFonts w:eastAsia="Times New Roman"/>
                <w:i/>
                <w:sz w:val="20"/>
                <w:szCs w:val="20"/>
              </w:rPr>
            </w:pPr>
            <w:r w:rsidRPr="00DA4453">
              <w:rPr>
                <w:rFonts w:eastAsia="Times New Roman"/>
                <w:b/>
                <w:i/>
                <w:sz w:val="20"/>
                <w:szCs w:val="20"/>
              </w:rPr>
              <w:lastRenderedPageBreak/>
              <w:t>Ovplyvnená skupina č. 1:</w:t>
            </w:r>
          </w:p>
        </w:tc>
      </w:tr>
      <w:tr w:rsidR="0051186A" w:rsidRPr="00CD4982" w:rsidTr="00563700">
        <w:trPr>
          <w:trHeight w:val="503"/>
          <w:jc w:val="center"/>
        </w:trPr>
        <w:tc>
          <w:tcPr>
            <w:tcW w:w="2500" w:type="pct"/>
            <w:tcBorders>
              <w:bottom w:val="single" w:sz="4" w:space="0" w:color="BFBFBF" w:themeColor="background1" w:themeShade="BF"/>
            </w:tcBorders>
          </w:tcPr>
          <w:p w:rsidR="0051186A" w:rsidRPr="00CD4982" w:rsidRDefault="0051186A" w:rsidP="00563700">
            <w:pPr>
              <w:rPr>
                <w:rFonts w:eastAsia="Times New Roman"/>
                <w:i/>
                <w:sz w:val="20"/>
                <w:szCs w:val="20"/>
              </w:rPr>
            </w:pPr>
            <w:r w:rsidRPr="00CD4982">
              <w:rPr>
                <w:rFonts w:eastAsia="Times New Roman"/>
                <w:i/>
                <w:sz w:val="20"/>
                <w:szCs w:val="20"/>
              </w:rPr>
              <w:t>Pozitívny vplyv - priemerný rast príjmov/ pokles výdavkov v skupine v eurách a/alebo v % / obdobie:</w:t>
            </w:r>
          </w:p>
        </w:tc>
        <w:tc>
          <w:tcPr>
            <w:tcW w:w="2500" w:type="pct"/>
            <w:tcBorders>
              <w:bottom w:val="single" w:sz="4" w:space="0" w:color="BFBFBF" w:themeColor="background1" w:themeShade="BF"/>
            </w:tcBorders>
          </w:tcPr>
          <w:p w:rsidR="0051186A" w:rsidRPr="00CA6BAF" w:rsidRDefault="0051186A" w:rsidP="00563700">
            <w:pPr>
              <w:jc w:val="both"/>
              <w:rPr>
                <w:rFonts w:eastAsia="Times New Roman"/>
                <w:sz w:val="20"/>
                <w:szCs w:val="20"/>
              </w:rPr>
            </w:pPr>
            <w:r>
              <w:rPr>
                <w:rFonts w:eastAsia="Times New Roman"/>
                <w:sz w:val="20"/>
                <w:szCs w:val="20"/>
              </w:rPr>
              <w:t>Nemožno kvantifikovať.</w:t>
            </w:r>
          </w:p>
        </w:tc>
      </w:tr>
      <w:tr w:rsidR="0051186A" w:rsidRPr="00CD4982" w:rsidTr="00563700">
        <w:trPr>
          <w:trHeight w:val="497"/>
          <w:jc w:val="center"/>
        </w:trPr>
        <w:tc>
          <w:tcPr>
            <w:tcW w:w="2500" w:type="pct"/>
            <w:tcBorders>
              <w:top w:val="single" w:sz="4" w:space="0" w:color="BFBFBF" w:themeColor="background1" w:themeShade="BF"/>
              <w:bottom w:val="single" w:sz="4" w:space="0" w:color="BFBFBF" w:themeColor="background1" w:themeShade="BF"/>
            </w:tcBorders>
          </w:tcPr>
          <w:p w:rsidR="0051186A" w:rsidRPr="00CD4982" w:rsidRDefault="0051186A" w:rsidP="00563700">
            <w:pPr>
              <w:rPr>
                <w:rFonts w:ascii="Calibri" w:hAnsi="Calibri"/>
                <w:i/>
                <w:sz w:val="20"/>
                <w:szCs w:val="20"/>
              </w:rPr>
            </w:pPr>
            <w:r w:rsidRPr="00CD4982">
              <w:rPr>
                <w:rFonts w:eastAsia="Times New Roman"/>
                <w:i/>
                <w:sz w:val="20"/>
                <w:szCs w:val="20"/>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tcPr>
          <w:p w:rsidR="0051186A" w:rsidRPr="00CA6BAF" w:rsidRDefault="0051186A" w:rsidP="00563700">
            <w:pPr>
              <w:jc w:val="both"/>
              <w:rPr>
                <w:rFonts w:eastAsia="Times New Roman"/>
                <w:sz w:val="20"/>
                <w:szCs w:val="20"/>
              </w:rPr>
            </w:pPr>
            <w:r>
              <w:rPr>
                <w:rFonts w:eastAsia="Times New Roman"/>
                <w:sz w:val="20"/>
                <w:szCs w:val="20"/>
              </w:rPr>
              <w:t>Nemožno kvantifikovať.</w:t>
            </w:r>
          </w:p>
        </w:tc>
      </w:tr>
      <w:tr w:rsidR="0051186A" w:rsidRPr="00CD4982" w:rsidTr="00563700">
        <w:trPr>
          <w:trHeight w:val="363"/>
          <w:jc w:val="center"/>
        </w:trPr>
        <w:tc>
          <w:tcPr>
            <w:tcW w:w="2500" w:type="pct"/>
            <w:tcBorders>
              <w:top w:val="single" w:sz="4" w:space="0" w:color="BFBFBF" w:themeColor="background1" w:themeShade="BF"/>
            </w:tcBorders>
          </w:tcPr>
          <w:p w:rsidR="0051186A" w:rsidRPr="00CD4982" w:rsidRDefault="0051186A" w:rsidP="00563700">
            <w:pPr>
              <w:rPr>
                <w:rFonts w:ascii="Calibri" w:hAnsi="Calibri"/>
                <w:i/>
                <w:sz w:val="20"/>
                <w:szCs w:val="20"/>
              </w:rPr>
            </w:pPr>
            <w:r w:rsidRPr="00CD4982">
              <w:rPr>
                <w:rFonts w:eastAsia="Times New Roman"/>
                <w:i/>
                <w:sz w:val="20"/>
                <w:szCs w:val="20"/>
              </w:rPr>
              <w:t>Veľkosť skupiny (počet obyvateľov):</w:t>
            </w:r>
          </w:p>
        </w:tc>
        <w:tc>
          <w:tcPr>
            <w:tcW w:w="2500" w:type="pct"/>
            <w:tcBorders>
              <w:top w:val="single" w:sz="4" w:space="0" w:color="BFBFBF" w:themeColor="background1" w:themeShade="BF"/>
            </w:tcBorders>
          </w:tcPr>
          <w:p w:rsidR="0051186A" w:rsidRPr="00CA6BAF" w:rsidRDefault="0051186A" w:rsidP="00563700">
            <w:pPr>
              <w:jc w:val="both"/>
              <w:rPr>
                <w:rFonts w:eastAsia="Times New Roman"/>
                <w:sz w:val="20"/>
                <w:szCs w:val="20"/>
              </w:rPr>
            </w:pPr>
            <w:r>
              <w:rPr>
                <w:rFonts w:eastAsia="Times New Roman"/>
                <w:sz w:val="20"/>
                <w:szCs w:val="20"/>
              </w:rPr>
              <w:t>Nemožno kvantifikovať.</w:t>
            </w:r>
          </w:p>
        </w:tc>
      </w:tr>
      <w:tr w:rsidR="0051186A" w:rsidRPr="00CD4982" w:rsidTr="00563700">
        <w:trPr>
          <w:trHeight w:val="670"/>
          <w:jc w:val="center"/>
        </w:trPr>
        <w:tc>
          <w:tcPr>
            <w:tcW w:w="2500" w:type="pct"/>
          </w:tcPr>
          <w:p w:rsidR="0051186A" w:rsidRPr="00CD4982" w:rsidRDefault="0051186A" w:rsidP="00563700">
            <w:pPr>
              <w:rPr>
                <w:rFonts w:ascii="Calibri" w:hAnsi="Calibri"/>
                <w:i/>
                <w:sz w:val="20"/>
                <w:szCs w:val="20"/>
              </w:rPr>
            </w:pPr>
            <w:r w:rsidRPr="00CD4982">
              <w:rPr>
                <w:rFonts w:eastAsia="Times New Roman"/>
                <w:i/>
                <w:sz w:val="20"/>
                <w:szCs w:val="20"/>
              </w:rPr>
              <w:lastRenderedPageBreak/>
              <w:t>Dôvod chýbajúcej kvantifikácie:</w:t>
            </w:r>
          </w:p>
        </w:tc>
        <w:tc>
          <w:tcPr>
            <w:tcW w:w="2500" w:type="pct"/>
          </w:tcPr>
          <w:p w:rsidR="0051186A" w:rsidRPr="00CA6BAF" w:rsidRDefault="0051186A" w:rsidP="00563700">
            <w:pPr>
              <w:jc w:val="both"/>
              <w:rPr>
                <w:rFonts w:eastAsia="Times New Roman"/>
                <w:sz w:val="20"/>
                <w:szCs w:val="20"/>
              </w:rPr>
            </w:pPr>
            <w:r>
              <w:rPr>
                <w:rFonts w:eastAsia="Times New Roman"/>
                <w:sz w:val="20"/>
                <w:szCs w:val="20"/>
              </w:rPr>
              <w:t>Predpokladaný rast alebo pokles príjmov/výdavkov za jednotlivé ovplyvnené skupiny domácností alebo skupiny jednotlivcov nie je možné kvantifikovať, nakoľko nie sú k dispozícii relevantné údaje. Relevantné údaje pre kvantifikáciu vyššie uvedených veličín nie je možné získať, resp. je možné získať len s nepomernými ťažkosťami, a to vzhľadom na nešpecifikovaný počet domácností, ktorých členovia sú účastníkmi exekučných konaní vedených podľa predpisov účinných do 31. marca 2017 (či už na strane oprávnených, povinných, prípadne iných osôb, ktoré v exekučnom konaní vystupujú ako účastníci exekučného konania), ako aj vzhľadom na rôznorodosť nárokov vymáhaných v týchto exekučných konaniach, vrátane ich druhu a výšky a trov exekučného konania, ako aj vzhľadom na veľkosť skupiny ovplyvnenej predkladaným návrhom zákona. Vzhľadom na uvedené, a tiež vzhľadom na rôznorodosť osôb, ktoré môžu byť ovplyvnené predkladaným návrhom zákona, nie je možné ani hrubým odhadom stanoviť ich počet.</w:t>
            </w:r>
          </w:p>
        </w:tc>
      </w:tr>
      <w:tr w:rsidR="0051186A" w:rsidRPr="00CD4982" w:rsidTr="00563700">
        <w:trPr>
          <w:trHeight w:val="670"/>
          <w:jc w:val="center"/>
        </w:trPr>
        <w:tc>
          <w:tcPr>
            <w:tcW w:w="2500" w:type="pct"/>
          </w:tcPr>
          <w:p w:rsidR="0051186A" w:rsidRPr="00CD4982" w:rsidRDefault="0051186A" w:rsidP="00563700">
            <w:pPr>
              <w:jc w:val="both"/>
              <w:rPr>
                <w:rFonts w:eastAsia="Times New Roman"/>
                <w:i/>
              </w:rPr>
            </w:pPr>
            <w:r w:rsidRPr="00CD4982">
              <w:rPr>
                <w:rFonts w:eastAsia="Times New Roman"/>
                <w:i/>
                <w:sz w:val="20"/>
                <w:szCs w:val="20"/>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Pr>
          <w:p w:rsidR="0051186A" w:rsidRDefault="0051186A" w:rsidP="00563700">
            <w:pPr>
              <w:jc w:val="both"/>
              <w:rPr>
                <w:rFonts w:eastAsia="Times New Roman"/>
                <w:sz w:val="20"/>
                <w:szCs w:val="20"/>
              </w:rPr>
            </w:pPr>
          </w:p>
          <w:p w:rsidR="0051186A" w:rsidRDefault="0051186A" w:rsidP="00563700">
            <w:pPr>
              <w:jc w:val="both"/>
              <w:rPr>
                <w:rFonts w:eastAsia="Times New Roman"/>
                <w:sz w:val="20"/>
                <w:szCs w:val="20"/>
              </w:rPr>
            </w:pPr>
            <w:r>
              <w:rPr>
                <w:rFonts w:eastAsia="Times New Roman"/>
                <w:sz w:val="20"/>
                <w:szCs w:val="20"/>
              </w:rPr>
              <w:t>Nemožno kvantifikovať.</w:t>
            </w:r>
          </w:p>
          <w:p w:rsidR="0051186A" w:rsidRDefault="0051186A" w:rsidP="00563700">
            <w:pPr>
              <w:jc w:val="both"/>
              <w:rPr>
                <w:rFonts w:eastAsia="Times New Roman"/>
                <w:sz w:val="20"/>
                <w:szCs w:val="20"/>
              </w:rPr>
            </w:pPr>
          </w:p>
          <w:p w:rsidR="0051186A" w:rsidRDefault="0051186A" w:rsidP="00563700">
            <w:pPr>
              <w:jc w:val="both"/>
              <w:rPr>
                <w:rFonts w:eastAsia="Times New Roman"/>
                <w:sz w:val="20"/>
                <w:szCs w:val="20"/>
              </w:rPr>
            </w:pPr>
          </w:p>
          <w:p w:rsidR="0051186A" w:rsidRDefault="0051186A" w:rsidP="00563700">
            <w:pPr>
              <w:jc w:val="both"/>
              <w:rPr>
                <w:rFonts w:eastAsia="Times New Roman"/>
                <w:sz w:val="20"/>
                <w:szCs w:val="20"/>
              </w:rPr>
            </w:pPr>
          </w:p>
          <w:p w:rsidR="0051186A" w:rsidRDefault="0051186A" w:rsidP="00563700">
            <w:pPr>
              <w:jc w:val="both"/>
              <w:rPr>
                <w:rFonts w:eastAsia="Times New Roman"/>
                <w:sz w:val="20"/>
                <w:szCs w:val="20"/>
              </w:rPr>
            </w:pPr>
          </w:p>
          <w:p w:rsidR="0051186A" w:rsidRPr="00CA6BAF" w:rsidRDefault="0051186A" w:rsidP="00563700">
            <w:pPr>
              <w:jc w:val="both"/>
              <w:rPr>
                <w:rFonts w:eastAsia="Times New Roman"/>
                <w:sz w:val="20"/>
                <w:szCs w:val="20"/>
              </w:rPr>
            </w:pPr>
          </w:p>
        </w:tc>
      </w:tr>
    </w:tbl>
    <w:p w:rsidR="0051186A" w:rsidRDefault="0051186A" w:rsidP="0051186A">
      <w:pPr>
        <w:rPr>
          <w:rFonts w:eastAsia="Times New Roman"/>
          <w:b/>
        </w:rPr>
      </w:pPr>
    </w:p>
    <w:p w:rsidR="0051186A" w:rsidRDefault="0051186A" w:rsidP="0051186A">
      <w:pPr>
        <w:rPr>
          <w:rFonts w:eastAsia="Times New Roman"/>
          <w:b/>
        </w:rPr>
        <w:sectPr w:rsidR="0051186A"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51186A" w:rsidRPr="00CD4982" w:rsidTr="00563700">
        <w:trPr>
          <w:trHeight w:val="339"/>
          <w:jc w:val="center"/>
        </w:trPr>
        <w:tc>
          <w:tcPr>
            <w:tcW w:w="5000" w:type="pct"/>
            <w:shd w:val="clear" w:color="auto" w:fill="D9D9D9"/>
          </w:tcPr>
          <w:p w:rsidR="0051186A" w:rsidRPr="00CD4982" w:rsidRDefault="0051186A" w:rsidP="00563700">
            <w:pPr>
              <w:rPr>
                <w:rFonts w:eastAsia="Times New Roman"/>
                <w:b/>
              </w:rPr>
            </w:pPr>
            <w:r w:rsidRPr="00CD4982">
              <w:rPr>
                <w:rFonts w:eastAsia="Times New Roman"/>
                <w:b/>
              </w:rPr>
              <w:lastRenderedPageBreak/>
              <w:t>4.2 Identifikujte, popíšte a kvantifikujte vplyvy na prístup k zdrojom, právam, tovarom a službám u jednotlivých ovplyvnených skupín obyvateľstva a vplyv na sociálnu inklúziu.</w:t>
            </w:r>
          </w:p>
        </w:tc>
      </w:tr>
      <w:tr w:rsidR="0051186A" w:rsidRPr="00CD4982" w:rsidTr="00563700">
        <w:trPr>
          <w:trHeight w:val="290"/>
          <w:jc w:val="center"/>
        </w:trPr>
        <w:tc>
          <w:tcPr>
            <w:tcW w:w="5000" w:type="pct"/>
            <w:shd w:val="clear" w:color="auto" w:fill="F2F2F2"/>
          </w:tcPr>
          <w:p w:rsidR="0051186A" w:rsidRPr="00CD4982" w:rsidRDefault="0051186A" w:rsidP="00563700">
            <w:pPr>
              <w:jc w:val="both"/>
              <w:rPr>
                <w:rFonts w:eastAsia="Times New Roman"/>
                <w:i/>
                <w:sz w:val="20"/>
              </w:rPr>
            </w:pPr>
            <w:r w:rsidRPr="00CD4982">
              <w:rPr>
                <w:rFonts w:eastAsia="Times New Roman"/>
                <w:i/>
                <w:sz w:val="20"/>
              </w:rPr>
              <w:t xml:space="preserve">Má návrh vplyv na prístup k zdrojom, právam, tovarom a službám? </w:t>
            </w:r>
          </w:p>
          <w:p w:rsidR="0051186A" w:rsidRPr="00CD4982" w:rsidRDefault="0051186A" w:rsidP="00563700">
            <w:pPr>
              <w:jc w:val="both"/>
              <w:rPr>
                <w:rFonts w:ascii="Calibri" w:hAnsi="Calibri"/>
                <w:i/>
              </w:rPr>
            </w:pPr>
            <w:r w:rsidRPr="00CD4982">
              <w:rPr>
                <w:rFonts w:eastAsia="Times New Roman"/>
                <w:i/>
                <w:sz w:val="20"/>
              </w:rPr>
              <w:t>Špecifikujete ovplyvnené skupiny obyvateľstva a charakter zmeny v prístupnosti s ohľadom na dostupnosť finančnú, geografickú, kvalitu, organizovanie a pod. Uveďte veľkosť jednotlivých ovplyvnených skupín.</w:t>
            </w:r>
          </w:p>
        </w:tc>
      </w:tr>
    </w:tbl>
    <w:p w:rsidR="0051186A" w:rsidRDefault="0051186A" w:rsidP="0051186A">
      <w:pPr>
        <w:jc w:val="both"/>
        <w:rPr>
          <w:rFonts w:eastAsia="Times New Roman"/>
          <w:i/>
          <w:sz w:val="18"/>
          <w:szCs w:val="18"/>
        </w:rPr>
        <w:sectPr w:rsidR="0051186A"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51186A" w:rsidRPr="00CD4982" w:rsidTr="00563700">
        <w:trPr>
          <w:trHeight w:val="557"/>
          <w:jc w:val="center"/>
        </w:trPr>
        <w:tc>
          <w:tcPr>
            <w:tcW w:w="1993" w:type="pct"/>
          </w:tcPr>
          <w:p w:rsidR="0051186A" w:rsidRPr="00CD4982" w:rsidRDefault="0051186A" w:rsidP="00563700">
            <w:pPr>
              <w:jc w:val="both"/>
              <w:rPr>
                <w:rFonts w:eastAsia="Times New Roman"/>
                <w:i/>
                <w:sz w:val="18"/>
                <w:szCs w:val="18"/>
              </w:rPr>
            </w:pPr>
            <w:r w:rsidRPr="00CD4982">
              <w:rPr>
                <w:rFonts w:eastAsia="Times New Roman"/>
                <w:i/>
                <w:sz w:val="18"/>
                <w:szCs w:val="18"/>
              </w:rPr>
              <w:lastRenderedPageBreak/>
              <w:t>Rozumie sa najmä na prístup k:</w:t>
            </w:r>
          </w:p>
          <w:p w:rsidR="0051186A" w:rsidRPr="00CD4982" w:rsidRDefault="0051186A" w:rsidP="0051186A">
            <w:pPr>
              <w:numPr>
                <w:ilvl w:val="0"/>
                <w:numId w:val="4"/>
              </w:numPr>
              <w:jc w:val="both"/>
              <w:rPr>
                <w:rFonts w:eastAsia="Times New Roman"/>
                <w:i/>
                <w:sz w:val="18"/>
                <w:szCs w:val="18"/>
              </w:rPr>
            </w:pPr>
            <w:r w:rsidRPr="00CD4982">
              <w:rPr>
                <w:rFonts w:eastAsia="Times New Roman"/>
                <w:i/>
                <w:sz w:val="18"/>
                <w:szCs w:val="18"/>
              </w:rPr>
              <w:t xml:space="preserve">sociálnej ochrane, sociálno-právnej ochrane, sociálnym službám (vrátane služieb starostlivosti o deti, starších ľudí a ľudí so zdravotným postihnutím), </w:t>
            </w:r>
          </w:p>
          <w:p w:rsidR="0051186A" w:rsidRPr="00CD4982" w:rsidRDefault="0051186A" w:rsidP="0051186A">
            <w:pPr>
              <w:numPr>
                <w:ilvl w:val="0"/>
                <w:numId w:val="4"/>
              </w:numPr>
              <w:jc w:val="both"/>
              <w:rPr>
                <w:rFonts w:eastAsia="Times New Roman"/>
                <w:i/>
                <w:sz w:val="18"/>
                <w:szCs w:val="18"/>
              </w:rPr>
            </w:pPr>
            <w:r w:rsidRPr="00CD4982">
              <w:rPr>
                <w:rFonts w:eastAsia="Times New Roman"/>
                <w:i/>
                <w:sz w:val="18"/>
                <w:szCs w:val="18"/>
              </w:rPr>
              <w:t>kvalitnej práci, ochrane zdravia, dôstojnosti a bezpečnosti pri práci pre zamestnancov a existujúcim zamestnaneckým právam,</w:t>
            </w:r>
          </w:p>
          <w:p w:rsidR="0051186A" w:rsidRPr="00CD4982" w:rsidRDefault="0051186A" w:rsidP="0051186A">
            <w:pPr>
              <w:numPr>
                <w:ilvl w:val="0"/>
                <w:numId w:val="4"/>
              </w:numPr>
              <w:jc w:val="both"/>
              <w:rPr>
                <w:rFonts w:eastAsia="Times New Roman"/>
                <w:i/>
                <w:sz w:val="18"/>
                <w:szCs w:val="18"/>
              </w:rPr>
            </w:pPr>
            <w:r w:rsidRPr="00CD4982">
              <w:rPr>
                <w:rFonts w:eastAsia="Times New Roman"/>
                <w:i/>
                <w:sz w:val="18"/>
                <w:szCs w:val="18"/>
              </w:rPr>
              <w:t xml:space="preserve">pomoci pri úhrade výdavkov súvisiacich so zdravotným postihnutím, </w:t>
            </w:r>
          </w:p>
          <w:p w:rsidR="0051186A" w:rsidRPr="00CD4982" w:rsidRDefault="0051186A" w:rsidP="0051186A">
            <w:pPr>
              <w:numPr>
                <w:ilvl w:val="0"/>
                <w:numId w:val="4"/>
              </w:numPr>
              <w:jc w:val="both"/>
              <w:rPr>
                <w:rFonts w:eastAsia="Times New Roman"/>
                <w:i/>
                <w:sz w:val="18"/>
                <w:szCs w:val="18"/>
              </w:rPr>
            </w:pPr>
            <w:r w:rsidRPr="00CD4982">
              <w:rPr>
                <w:rFonts w:eastAsia="Times New Roman"/>
                <w:i/>
                <w:sz w:val="18"/>
                <w:szCs w:val="18"/>
              </w:rPr>
              <w:t>zamestnaniu, na trh práce (napr. uľahčenie zosúladenia rodinných a pracovných povinností, služby zamestnanosti), k školeniam, odbornému vzdelávaniu a príprave na trh práce,</w:t>
            </w:r>
          </w:p>
          <w:p w:rsidR="0051186A" w:rsidRPr="00CD4982" w:rsidRDefault="0051186A" w:rsidP="0051186A">
            <w:pPr>
              <w:numPr>
                <w:ilvl w:val="0"/>
                <w:numId w:val="4"/>
              </w:numPr>
              <w:jc w:val="both"/>
              <w:rPr>
                <w:rFonts w:eastAsia="Times New Roman"/>
                <w:i/>
                <w:sz w:val="18"/>
                <w:szCs w:val="18"/>
              </w:rPr>
            </w:pPr>
            <w:r w:rsidRPr="00CD4982">
              <w:rPr>
                <w:rFonts w:eastAsia="Times New Roman"/>
                <w:i/>
                <w:sz w:val="18"/>
                <w:szCs w:val="18"/>
              </w:rPr>
              <w:t xml:space="preserve">zdravotnej starostlivosti vrátane cenovo dostupných pomôcok pre občanov so zdravotným postihnutím, </w:t>
            </w:r>
          </w:p>
          <w:p w:rsidR="0051186A" w:rsidRPr="00CD4982" w:rsidRDefault="0051186A" w:rsidP="0051186A">
            <w:pPr>
              <w:numPr>
                <w:ilvl w:val="0"/>
                <w:numId w:val="4"/>
              </w:numPr>
              <w:jc w:val="both"/>
              <w:rPr>
                <w:rFonts w:eastAsia="Times New Roman"/>
                <w:i/>
                <w:sz w:val="18"/>
                <w:szCs w:val="18"/>
              </w:rPr>
            </w:pPr>
            <w:r w:rsidRPr="00CD4982">
              <w:rPr>
                <w:rFonts w:eastAsia="Times New Roman"/>
                <w:i/>
                <w:sz w:val="18"/>
                <w:szCs w:val="18"/>
              </w:rPr>
              <w:t>k formálnemu i neformálnemu vzdelávaniu a celo</w:t>
            </w:r>
            <w:r w:rsidRPr="00CD4982">
              <w:rPr>
                <w:rFonts w:eastAsia="Times New Roman"/>
                <w:i/>
                <w:sz w:val="18"/>
                <w:szCs w:val="18"/>
              </w:rPr>
              <w:softHyphen/>
              <w:t xml:space="preserve">životnému vzdelávaniu, </w:t>
            </w:r>
          </w:p>
          <w:p w:rsidR="0051186A" w:rsidRPr="00CD4982" w:rsidRDefault="0051186A" w:rsidP="0051186A">
            <w:pPr>
              <w:numPr>
                <w:ilvl w:val="0"/>
                <w:numId w:val="4"/>
              </w:numPr>
              <w:jc w:val="both"/>
              <w:rPr>
                <w:rFonts w:eastAsia="Times New Roman"/>
                <w:i/>
                <w:sz w:val="18"/>
                <w:szCs w:val="18"/>
              </w:rPr>
            </w:pPr>
            <w:r w:rsidRPr="00CD4982">
              <w:rPr>
                <w:rFonts w:eastAsia="Times New Roman"/>
                <w:i/>
                <w:sz w:val="18"/>
                <w:szCs w:val="18"/>
              </w:rPr>
              <w:t>bývaniu a súvisiacim základným komunálnym službám,</w:t>
            </w:r>
          </w:p>
          <w:p w:rsidR="0051186A" w:rsidRPr="00CD4982" w:rsidRDefault="0051186A" w:rsidP="0051186A">
            <w:pPr>
              <w:numPr>
                <w:ilvl w:val="0"/>
                <w:numId w:val="4"/>
              </w:numPr>
              <w:jc w:val="both"/>
              <w:rPr>
                <w:rFonts w:eastAsia="Times New Roman"/>
                <w:i/>
                <w:sz w:val="18"/>
                <w:szCs w:val="18"/>
              </w:rPr>
            </w:pPr>
            <w:r w:rsidRPr="00CD4982">
              <w:rPr>
                <w:rFonts w:eastAsia="Times New Roman"/>
                <w:i/>
                <w:sz w:val="18"/>
                <w:szCs w:val="18"/>
              </w:rPr>
              <w:t>doprave,</w:t>
            </w:r>
          </w:p>
          <w:p w:rsidR="0051186A" w:rsidRPr="00CD4982" w:rsidRDefault="0051186A" w:rsidP="0051186A">
            <w:pPr>
              <w:numPr>
                <w:ilvl w:val="0"/>
                <w:numId w:val="4"/>
              </w:numPr>
              <w:jc w:val="both"/>
              <w:rPr>
                <w:rFonts w:eastAsia="Times New Roman"/>
                <w:i/>
                <w:sz w:val="18"/>
                <w:szCs w:val="18"/>
              </w:rPr>
            </w:pPr>
            <w:r w:rsidRPr="00CD4982">
              <w:rPr>
                <w:rFonts w:eastAsia="Times New Roman"/>
                <w:i/>
                <w:sz w:val="18"/>
                <w:szCs w:val="18"/>
              </w:rPr>
              <w:t>ďalším službám najmä službám všeobecného záujmu a tovarom,</w:t>
            </w:r>
          </w:p>
          <w:p w:rsidR="0051186A" w:rsidRPr="00CD4982" w:rsidRDefault="0051186A" w:rsidP="0051186A">
            <w:pPr>
              <w:numPr>
                <w:ilvl w:val="0"/>
                <w:numId w:val="4"/>
              </w:numPr>
              <w:jc w:val="both"/>
              <w:rPr>
                <w:rFonts w:eastAsia="Times New Roman"/>
                <w:i/>
                <w:sz w:val="18"/>
                <w:szCs w:val="18"/>
              </w:rPr>
            </w:pPr>
            <w:r w:rsidRPr="00CD4982">
              <w:rPr>
                <w:rFonts w:eastAsia="Times New Roman"/>
                <w:i/>
                <w:sz w:val="18"/>
                <w:szCs w:val="18"/>
              </w:rPr>
              <w:t>spravodlivosti, právnej ochrane, právnym službám,</w:t>
            </w:r>
          </w:p>
          <w:p w:rsidR="0051186A" w:rsidRPr="00CD4982" w:rsidRDefault="0051186A" w:rsidP="0051186A">
            <w:pPr>
              <w:numPr>
                <w:ilvl w:val="0"/>
                <w:numId w:val="4"/>
              </w:numPr>
              <w:jc w:val="both"/>
              <w:rPr>
                <w:rFonts w:eastAsia="Times New Roman"/>
                <w:i/>
                <w:sz w:val="18"/>
                <w:szCs w:val="18"/>
              </w:rPr>
            </w:pPr>
            <w:r w:rsidRPr="00CD4982">
              <w:rPr>
                <w:rFonts w:eastAsia="Times New Roman"/>
                <w:i/>
                <w:sz w:val="18"/>
                <w:szCs w:val="18"/>
              </w:rPr>
              <w:t>informáciám</w:t>
            </w:r>
          </w:p>
          <w:p w:rsidR="0051186A" w:rsidRPr="00CD4982" w:rsidRDefault="0051186A" w:rsidP="0051186A">
            <w:pPr>
              <w:numPr>
                <w:ilvl w:val="0"/>
                <w:numId w:val="4"/>
              </w:numPr>
              <w:jc w:val="both"/>
              <w:rPr>
                <w:rFonts w:ascii="Calibri" w:hAnsi="Calibri"/>
                <w:i/>
                <w:sz w:val="20"/>
                <w:szCs w:val="20"/>
              </w:rPr>
            </w:pPr>
            <w:r w:rsidRPr="00CD4982">
              <w:rPr>
                <w:rFonts w:eastAsia="Times New Roman"/>
                <w:i/>
                <w:sz w:val="18"/>
                <w:szCs w:val="18"/>
              </w:rPr>
              <w:t>k iným právam (napr. politickým).</w:t>
            </w:r>
          </w:p>
        </w:tc>
        <w:tc>
          <w:tcPr>
            <w:tcW w:w="3007" w:type="pct"/>
          </w:tcPr>
          <w:p w:rsidR="0051186A" w:rsidRDefault="0051186A" w:rsidP="00563700">
            <w:pPr>
              <w:rPr>
                <w:rFonts w:eastAsia="Times New Roman"/>
                <w:sz w:val="20"/>
                <w:szCs w:val="20"/>
              </w:rPr>
            </w:pPr>
          </w:p>
          <w:p w:rsidR="0051186A" w:rsidRDefault="0051186A" w:rsidP="00563700">
            <w:pPr>
              <w:jc w:val="both"/>
              <w:rPr>
                <w:rFonts w:eastAsia="Times New Roman"/>
                <w:sz w:val="20"/>
                <w:szCs w:val="20"/>
              </w:rPr>
            </w:pPr>
            <w:r>
              <w:rPr>
                <w:rFonts w:eastAsia="Times New Roman"/>
                <w:sz w:val="20"/>
                <w:szCs w:val="20"/>
              </w:rPr>
              <w:t>Predkladaný návrh zákona má vplyv na zabezpečovanie základných životných potrieb</w:t>
            </w:r>
            <w:r w:rsidRPr="00CD4982">
              <w:rPr>
                <w:rFonts w:eastAsia="Times New Roman"/>
                <w:b/>
              </w:rPr>
              <w:t xml:space="preserve"> </w:t>
            </w:r>
            <w:r w:rsidRPr="00106150">
              <w:rPr>
                <w:rFonts w:eastAsia="Times New Roman"/>
                <w:sz w:val="20"/>
                <w:szCs w:val="20"/>
              </w:rPr>
              <w:t>ovplyvnených skupín obyvateľstva</w:t>
            </w:r>
            <w:r>
              <w:rPr>
                <w:rFonts w:eastAsia="Times New Roman"/>
                <w:sz w:val="20"/>
                <w:szCs w:val="20"/>
              </w:rPr>
              <w:t xml:space="preserve">, najmä domácností s nízkym príjmom alebo v riziku sociálnej exklúzie, na prístupnosti k zamestnaniu, najmä vo vzťahu k osobám, ktoré sa v dôsledku dlhodobo vednej exekúcie alebo viacerých exekúcií nevedeli zamestnať alebo nemali záujem o prácu najmä z dôvodu obavy vykonávania zrážok zo mzdy (zamestnať sa nebolo pre tieto osoby výhodné). V konečnom dôsledku predkladaný návrh zákona môže mať vplyv na celkové zabezpečenie finančnej dostupnosti rôznorodých tovarov a služieb osobám, ktoré sa ocitli v dlhovej pasci v dôsledku vedených starých exekúcií. </w:t>
            </w:r>
          </w:p>
          <w:p w:rsidR="0051186A" w:rsidRPr="0040544D" w:rsidRDefault="0051186A" w:rsidP="00563700">
            <w:pPr>
              <w:jc w:val="both"/>
              <w:rPr>
                <w:rFonts w:eastAsia="Times New Roman"/>
                <w:sz w:val="20"/>
                <w:szCs w:val="20"/>
              </w:rPr>
            </w:pPr>
            <w:r>
              <w:rPr>
                <w:rFonts w:eastAsia="Times New Roman"/>
                <w:sz w:val="20"/>
                <w:szCs w:val="20"/>
              </w:rPr>
              <w:t xml:space="preserve"> </w:t>
            </w:r>
          </w:p>
        </w:tc>
      </w:tr>
    </w:tbl>
    <w:p w:rsidR="0051186A" w:rsidRDefault="0051186A" w:rsidP="0051186A">
      <w:pPr>
        <w:jc w:val="both"/>
        <w:rPr>
          <w:rFonts w:eastAsia="Times New Roman"/>
          <w:i/>
          <w:sz w:val="20"/>
          <w:szCs w:val="20"/>
        </w:rPr>
        <w:sectPr w:rsidR="0051186A"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51186A" w:rsidRPr="00CD4982" w:rsidTr="00563700">
        <w:trPr>
          <w:jc w:val="center"/>
        </w:trPr>
        <w:tc>
          <w:tcPr>
            <w:tcW w:w="5000" w:type="pct"/>
            <w:shd w:val="clear" w:color="auto" w:fill="F2F2F2"/>
          </w:tcPr>
          <w:p w:rsidR="0051186A" w:rsidRPr="00CD4982" w:rsidRDefault="0051186A" w:rsidP="00563700">
            <w:pPr>
              <w:jc w:val="both"/>
              <w:rPr>
                <w:rFonts w:eastAsia="Times New Roman"/>
                <w:i/>
                <w:sz w:val="20"/>
                <w:szCs w:val="20"/>
              </w:rPr>
            </w:pPr>
            <w:r w:rsidRPr="00CD4982">
              <w:rPr>
                <w:rFonts w:eastAsia="Times New Roman"/>
                <w:i/>
                <w:sz w:val="20"/>
                <w:szCs w:val="20"/>
              </w:rPr>
              <w:lastRenderedPageBreak/>
              <w:t xml:space="preserve">Má návrh významný vplyv na niektorú zo zraniteľných skupín obyvateľstva alebo skupín v riziku chudoby alebo </w:t>
            </w:r>
            <w:r w:rsidRPr="00CD4982">
              <w:rPr>
                <w:rFonts w:eastAsia="Times New Roman"/>
                <w:i/>
                <w:sz w:val="20"/>
                <w:szCs w:val="20"/>
              </w:rPr>
              <w:lastRenderedPageBreak/>
              <w:t xml:space="preserve">sociálneho vylúčenia? </w:t>
            </w:r>
          </w:p>
          <w:p w:rsidR="0051186A" w:rsidRPr="00CD4982" w:rsidRDefault="0051186A" w:rsidP="00563700">
            <w:pPr>
              <w:jc w:val="both"/>
              <w:rPr>
                <w:rFonts w:ascii="Calibri" w:hAnsi="Calibri"/>
                <w:i/>
              </w:rPr>
            </w:pPr>
            <w:r w:rsidRPr="00CD4982">
              <w:rPr>
                <w:rFonts w:eastAsia="Times New Roman"/>
                <w:i/>
                <w:sz w:val="20"/>
                <w:szCs w:val="20"/>
              </w:rPr>
              <w:t>Špecifikujte ovplyvnené skupiny v riziku chudoby a sociálneho vylúčenia a popíšte vplyv na ne. Je tento vplyv väčší ako vplyv na iné skupiny či subjekty? Uveďte veľkosť jednotlivých ovplyvnených skupín.</w:t>
            </w:r>
          </w:p>
        </w:tc>
      </w:tr>
    </w:tbl>
    <w:p w:rsidR="0051186A" w:rsidRDefault="0051186A" w:rsidP="0051186A">
      <w:pPr>
        <w:jc w:val="both"/>
        <w:rPr>
          <w:rFonts w:eastAsia="Times New Roman"/>
          <w:i/>
          <w:sz w:val="18"/>
          <w:szCs w:val="18"/>
        </w:rPr>
        <w:sectPr w:rsidR="0051186A"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51186A" w:rsidRPr="00CD4982" w:rsidTr="00563700">
        <w:trPr>
          <w:trHeight w:val="677"/>
          <w:jc w:val="center"/>
        </w:trPr>
        <w:tc>
          <w:tcPr>
            <w:tcW w:w="1993" w:type="pct"/>
          </w:tcPr>
          <w:p w:rsidR="0051186A" w:rsidRPr="00CD4982" w:rsidRDefault="0051186A" w:rsidP="00563700">
            <w:pPr>
              <w:jc w:val="both"/>
              <w:rPr>
                <w:rFonts w:eastAsia="Times New Roman"/>
                <w:i/>
                <w:sz w:val="18"/>
                <w:szCs w:val="18"/>
              </w:rPr>
            </w:pPr>
            <w:r>
              <w:rPr>
                <w:rFonts w:eastAsia="Times New Roman"/>
                <w:i/>
                <w:sz w:val="18"/>
                <w:szCs w:val="18"/>
              </w:rPr>
              <w:lastRenderedPageBreak/>
              <w:t>Zraniteľné skupiny alebo s</w:t>
            </w:r>
            <w:r w:rsidRPr="00CD4982">
              <w:rPr>
                <w:rFonts w:eastAsia="Times New Roman"/>
                <w:i/>
                <w:sz w:val="18"/>
                <w:szCs w:val="18"/>
              </w:rPr>
              <w:t>kupiny v riziku chudoby alebo sociálneho vylúčenia</w:t>
            </w:r>
            <w:r>
              <w:rPr>
                <w:rFonts w:eastAsia="Times New Roman"/>
                <w:i/>
                <w:sz w:val="18"/>
                <w:szCs w:val="18"/>
              </w:rPr>
              <w:t xml:space="preserve"> sú napr.</w:t>
            </w:r>
            <w:r w:rsidRPr="00CD4982">
              <w:rPr>
                <w:rFonts w:eastAsia="Times New Roman"/>
                <w:i/>
                <w:sz w:val="18"/>
                <w:szCs w:val="18"/>
              </w:rPr>
              <w:t>:</w:t>
            </w:r>
          </w:p>
          <w:p w:rsidR="0051186A" w:rsidRPr="00CD4982" w:rsidRDefault="0051186A" w:rsidP="0051186A">
            <w:pPr>
              <w:numPr>
                <w:ilvl w:val="0"/>
                <w:numId w:val="5"/>
              </w:numPr>
              <w:jc w:val="both"/>
              <w:rPr>
                <w:rFonts w:eastAsia="Times New Roman"/>
                <w:i/>
                <w:sz w:val="18"/>
                <w:szCs w:val="18"/>
              </w:rPr>
            </w:pPr>
            <w:r w:rsidRPr="00CD4982">
              <w:rPr>
                <w:rFonts w:eastAsia="Times New Roman"/>
                <w:i/>
                <w:sz w:val="18"/>
                <w:szCs w:val="18"/>
              </w:rPr>
              <w:t>domácnosti s nízkym príjmom (napr. žijúce iba zo sociálnych príjmov, alebo z príjmov pod hranicou rizika chudoby, alebo s príjmom pod životným minimom, alebo patriace medzi 25% domácností s najnižším príjmom),</w:t>
            </w:r>
          </w:p>
          <w:p w:rsidR="0051186A" w:rsidRPr="00CD4982" w:rsidRDefault="0051186A" w:rsidP="0051186A">
            <w:pPr>
              <w:numPr>
                <w:ilvl w:val="0"/>
                <w:numId w:val="5"/>
              </w:numPr>
              <w:jc w:val="both"/>
              <w:rPr>
                <w:rFonts w:eastAsia="Times New Roman"/>
                <w:i/>
                <w:sz w:val="18"/>
                <w:szCs w:val="18"/>
              </w:rPr>
            </w:pPr>
            <w:r w:rsidRPr="00CD4982">
              <w:rPr>
                <w:rFonts w:eastAsia="Times New Roman"/>
                <w:i/>
                <w:sz w:val="18"/>
                <w:szCs w:val="18"/>
              </w:rPr>
              <w:t>nezamestnaní, najmä dlhodobo nezamestnaní, mladí nezamestnaní a nezamestnaní nad 50 rokov,</w:t>
            </w:r>
          </w:p>
          <w:p w:rsidR="0051186A" w:rsidRPr="00CD4982" w:rsidRDefault="0051186A" w:rsidP="0051186A">
            <w:pPr>
              <w:numPr>
                <w:ilvl w:val="0"/>
                <w:numId w:val="5"/>
              </w:numPr>
              <w:jc w:val="both"/>
              <w:rPr>
                <w:rFonts w:eastAsia="Times New Roman"/>
                <w:i/>
                <w:sz w:val="18"/>
                <w:szCs w:val="18"/>
              </w:rPr>
            </w:pPr>
            <w:r w:rsidRPr="00CD4982">
              <w:rPr>
                <w:rFonts w:eastAsia="Times New Roman"/>
                <w:i/>
                <w:sz w:val="18"/>
                <w:szCs w:val="18"/>
              </w:rPr>
              <w:t>deti (0 – 17),</w:t>
            </w:r>
          </w:p>
          <w:p w:rsidR="0051186A" w:rsidRPr="00CD4982" w:rsidRDefault="0051186A" w:rsidP="0051186A">
            <w:pPr>
              <w:numPr>
                <w:ilvl w:val="0"/>
                <w:numId w:val="5"/>
              </w:numPr>
              <w:jc w:val="both"/>
              <w:rPr>
                <w:rFonts w:eastAsia="Times New Roman"/>
                <w:i/>
                <w:sz w:val="18"/>
                <w:szCs w:val="18"/>
              </w:rPr>
            </w:pPr>
            <w:r w:rsidRPr="00CD4982">
              <w:rPr>
                <w:rFonts w:eastAsia="Times New Roman"/>
                <w:i/>
                <w:sz w:val="18"/>
                <w:szCs w:val="18"/>
              </w:rPr>
              <w:t>mladí ľudia (18 – 25 rokov),</w:t>
            </w:r>
          </w:p>
          <w:p w:rsidR="0051186A" w:rsidRPr="00CD4982" w:rsidRDefault="0051186A" w:rsidP="0051186A">
            <w:pPr>
              <w:numPr>
                <w:ilvl w:val="0"/>
                <w:numId w:val="5"/>
              </w:numPr>
              <w:jc w:val="both"/>
              <w:rPr>
                <w:rFonts w:eastAsia="Times New Roman"/>
                <w:i/>
                <w:sz w:val="18"/>
                <w:szCs w:val="18"/>
              </w:rPr>
            </w:pPr>
            <w:r w:rsidRPr="00CD4982">
              <w:rPr>
                <w:rFonts w:eastAsia="Times New Roman"/>
                <w:i/>
                <w:sz w:val="18"/>
                <w:szCs w:val="18"/>
              </w:rPr>
              <w:t>starší ľudia, napr. ľudia vo veku nad 65 rokov alebo dôchodcovia,</w:t>
            </w:r>
          </w:p>
          <w:p w:rsidR="0051186A" w:rsidRPr="00CD4982" w:rsidRDefault="0051186A" w:rsidP="0051186A">
            <w:pPr>
              <w:numPr>
                <w:ilvl w:val="0"/>
                <w:numId w:val="5"/>
              </w:numPr>
              <w:jc w:val="both"/>
              <w:rPr>
                <w:rFonts w:eastAsia="Times New Roman"/>
                <w:i/>
                <w:sz w:val="18"/>
                <w:szCs w:val="18"/>
              </w:rPr>
            </w:pPr>
            <w:r w:rsidRPr="00CD4982">
              <w:rPr>
                <w:rFonts w:eastAsia="Times New Roman"/>
                <w:i/>
                <w:sz w:val="18"/>
                <w:szCs w:val="18"/>
              </w:rPr>
              <w:t>ľudia so zdravotným postihnutím,</w:t>
            </w:r>
          </w:p>
          <w:p w:rsidR="0051186A" w:rsidRPr="00CD4982" w:rsidRDefault="0051186A" w:rsidP="0051186A">
            <w:pPr>
              <w:numPr>
                <w:ilvl w:val="0"/>
                <w:numId w:val="5"/>
              </w:numPr>
              <w:jc w:val="both"/>
              <w:rPr>
                <w:rFonts w:eastAsia="Times New Roman"/>
                <w:i/>
                <w:sz w:val="18"/>
                <w:szCs w:val="18"/>
              </w:rPr>
            </w:pPr>
            <w:r w:rsidRPr="00CD4982">
              <w:rPr>
                <w:rFonts w:eastAsia="Times New Roman"/>
                <w:i/>
                <w:sz w:val="18"/>
                <w:szCs w:val="18"/>
              </w:rPr>
              <w:t xml:space="preserve">marginalizované rómske komunity </w:t>
            </w:r>
          </w:p>
          <w:p w:rsidR="0051186A" w:rsidRPr="00CD4982" w:rsidRDefault="0051186A" w:rsidP="0051186A">
            <w:pPr>
              <w:numPr>
                <w:ilvl w:val="0"/>
                <w:numId w:val="5"/>
              </w:numPr>
              <w:jc w:val="both"/>
              <w:rPr>
                <w:rFonts w:eastAsia="Times New Roman"/>
                <w:i/>
                <w:sz w:val="18"/>
                <w:szCs w:val="18"/>
              </w:rPr>
            </w:pPr>
            <w:r w:rsidRPr="00CD4982">
              <w:rPr>
                <w:rFonts w:eastAsia="Times New Roman"/>
                <w:i/>
                <w:sz w:val="18"/>
                <w:szCs w:val="18"/>
              </w:rPr>
              <w:t>domácnosti s 3 a viac deťmi,</w:t>
            </w:r>
          </w:p>
          <w:p w:rsidR="0051186A" w:rsidRPr="00CD4982" w:rsidRDefault="0051186A" w:rsidP="0051186A">
            <w:pPr>
              <w:numPr>
                <w:ilvl w:val="0"/>
                <w:numId w:val="5"/>
              </w:numPr>
              <w:jc w:val="both"/>
              <w:rPr>
                <w:rFonts w:eastAsia="Times New Roman"/>
                <w:i/>
                <w:sz w:val="18"/>
                <w:szCs w:val="18"/>
              </w:rPr>
            </w:pPr>
            <w:r w:rsidRPr="00CD4982">
              <w:rPr>
                <w:rFonts w:eastAsia="Times New Roman"/>
                <w:i/>
                <w:sz w:val="18"/>
                <w:szCs w:val="18"/>
              </w:rPr>
              <w:t>jednorodičovské domácnosti s deťmi (neúplné rodiny, ktoré tvoria najmä osamelé matky s deťmi),</w:t>
            </w:r>
          </w:p>
          <w:p w:rsidR="0051186A" w:rsidRPr="00CD4982" w:rsidRDefault="0051186A" w:rsidP="0051186A">
            <w:pPr>
              <w:numPr>
                <w:ilvl w:val="0"/>
                <w:numId w:val="5"/>
              </w:numPr>
              <w:jc w:val="both"/>
              <w:rPr>
                <w:rFonts w:eastAsia="Times New Roman"/>
                <w:i/>
                <w:sz w:val="18"/>
                <w:szCs w:val="18"/>
              </w:rPr>
            </w:pPr>
            <w:r w:rsidRPr="00CD4982">
              <w:rPr>
                <w:rFonts w:eastAsia="Times New Roman"/>
                <w:i/>
                <w:sz w:val="18"/>
                <w:szCs w:val="18"/>
              </w:rPr>
              <w:t>príslušníci tretích krajín, azylanti, žiadatelia o azyl,</w:t>
            </w:r>
          </w:p>
          <w:p w:rsidR="0051186A" w:rsidRPr="00CD4982" w:rsidRDefault="0051186A" w:rsidP="0051186A">
            <w:pPr>
              <w:numPr>
                <w:ilvl w:val="0"/>
                <w:numId w:val="5"/>
              </w:numPr>
              <w:jc w:val="both"/>
              <w:rPr>
                <w:rFonts w:ascii="Calibri" w:hAnsi="Calibri"/>
                <w:i/>
                <w:sz w:val="18"/>
                <w:szCs w:val="18"/>
              </w:rPr>
            </w:pPr>
            <w:r w:rsidRPr="00CD4982">
              <w:rPr>
                <w:rFonts w:eastAsia="Times New Roman"/>
                <w:i/>
                <w:sz w:val="18"/>
                <w:szCs w:val="18"/>
              </w:rPr>
              <w:t>iné zraniteľné skupiny, ako sú napr. bezdomovci, ľudia opúšťajúci detské domovy alebo iné inštitucionálne zariadenia</w:t>
            </w:r>
          </w:p>
        </w:tc>
        <w:tc>
          <w:tcPr>
            <w:tcW w:w="3007" w:type="pct"/>
          </w:tcPr>
          <w:p w:rsidR="0051186A" w:rsidRPr="0040544D" w:rsidRDefault="0051186A" w:rsidP="00563700">
            <w:pPr>
              <w:jc w:val="both"/>
              <w:rPr>
                <w:rFonts w:eastAsia="Times New Roman"/>
                <w:sz w:val="20"/>
              </w:rPr>
            </w:pPr>
            <w:r>
              <w:rPr>
                <w:rFonts w:eastAsia="Times New Roman"/>
                <w:sz w:val="20"/>
              </w:rPr>
              <w:t>Predkladaný návrh zákona má vplyv na všetky zraniteľné skupiny obyvateľstva, ak členovia týchto domácností sú účastníkmi exekučného konania vedeného podľa predpisov účinných do 31. marca 20017 a na základe ustanovení predkladaného návrhu zákona dôjde k zastaveniu týchto starých exekúcií.</w:t>
            </w:r>
          </w:p>
        </w:tc>
      </w:tr>
    </w:tbl>
    <w:p w:rsidR="0051186A" w:rsidRDefault="0051186A" w:rsidP="0051186A"/>
    <w:p w:rsidR="0051186A" w:rsidRDefault="0051186A" w:rsidP="0051186A">
      <w:pPr>
        <w:rPr>
          <w:rFonts w:eastAsia="Times New Roman"/>
          <w:b/>
        </w:rPr>
        <w:sectPr w:rsidR="0051186A" w:rsidSect="0040544D">
          <w:headerReference w:type="default" r:id="rId16"/>
          <w:footerReference w:type="default" r:id="rId17"/>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51186A" w:rsidRPr="00CD4982" w:rsidTr="00563700">
        <w:trPr>
          <w:jc w:val="center"/>
        </w:trPr>
        <w:tc>
          <w:tcPr>
            <w:tcW w:w="5000" w:type="pct"/>
            <w:shd w:val="clear" w:color="auto" w:fill="D9D9D9"/>
          </w:tcPr>
          <w:p w:rsidR="0051186A" w:rsidRPr="00CD4982" w:rsidRDefault="0051186A" w:rsidP="00563700">
            <w:pPr>
              <w:rPr>
                <w:rFonts w:eastAsia="Times New Roman"/>
                <w:b/>
              </w:rPr>
            </w:pPr>
            <w:r w:rsidRPr="00CD4982">
              <w:rPr>
                <w:rFonts w:eastAsia="Times New Roman"/>
                <w:b/>
              </w:rPr>
              <w:lastRenderedPageBreak/>
              <w:t>4.3 Identifikujte a popíšte vplyv na rovnosť príležitostí.</w:t>
            </w:r>
          </w:p>
          <w:p w:rsidR="0051186A" w:rsidRPr="00CD4982" w:rsidRDefault="0051186A" w:rsidP="00563700">
            <w:pPr>
              <w:ind w:left="340"/>
              <w:jc w:val="both"/>
              <w:rPr>
                <w:rFonts w:ascii="Calibri" w:hAnsi="Calibri"/>
              </w:rPr>
            </w:pPr>
            <w:r w:rsidRPr="00CD4982">
              <w:rPr>
                <w:rFonts w:eastAsia="Times New Roman"/>
                <w:b/>
              </w:rPr>
              <w:t>Identifikujte, popíšte a kvantifikujte vplyv na rodovú rovnosť.</w:t>
            </w:r>
          </w:p>
        </w:tc>
      </w:tr>
      <w:tr w:rsidR="0051186A" w:rsidRPr="00CD4982" w:rsidTr="00563700">
        <w:trPr>
          <w:jc w:val="center"/>
        </w:trPr>
        <w:tc>
          <w:tcPr>
            <w:tcW w:w="5000" w:type="pct"/>
            <w:shd w:val="clear" w:color="auto" w:fill="F2F2F2"/>
          </w:tcPr>
          <w:p w:rsidR="0051186A" w:rsidRPr="00CD4982" w:rsidRDefault="0051186A" w:rsidP="00563700">
            <w:pPr>
              <w:jc w:val="both"/>
              <w:rPr>
                <w:rFonts w:eastAsia="Times New Roman"/>
                <w:i/>
              </w:rPr>
            </w:pPr>
            <w:r w:rsidRPr="00CD4982">
              <w:rPr>
                <w:rFonts w:eastAsia="Times New Roman"/>
                <w:i/>
                <w:sz w:val="20"/>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51186A" w:rsidRDefault="0051186A" w:rsidP="0051186A">
      <w:pPr>
        <w:rPr>
          <w:rFonts w:eastAsia="Times New Roman"/>
          <w:sz w:val="20"/>
        </w:rPr>
        <w:sectPr w:rsidR="0051186A"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51186A" w:rsidRPr="0040544D" w:rsidTr="00563700">
        <w:trPr>
          <w:trHeight w:val="928"/>
          <w:jc w:val="center"/>
        </w:trPr>
        <w:tc>
          <w:tcPr>
            <w:tcW w:w="5000" w:type="pct"/>
            <w:tcBorders>
              <w:top w:val="nil"/>
              <w:bottom w:val="nil"/>
            </w:tcBorders>
          </w:tcPr>
          <w:p w:rsidR="0051186A" w:rsidRPr="0040544D" w:rsidRDefault="0051186A" w:rsidP="00563700">
            <w:pPr>
              <w:rPr>
                <w:rFonts w:eastAsia="Times New Roman"/>
                <w:sz w:val="20"/>
              </w:rPr>
            </w:pPr>
          </w:p>
          <w:p w:rsidR="0051186A" w:rsidRPr="0040544D" w:rsidRDefault="0051186A" w:rsidP="00563700">
            <w:pPr>
              <w:rPr>
                <w:rFonts w:eastAsia="Times New Roman"/>
                <w:i/>
                <w:sz w:val="20"/>
              </w:rPr>
            </w:pPr>
            <w:r>
              <w:rPr>
                <w:rFonts w:eastAsia="Times New Roman"/>
                <w:sz w:val="20"/>
              </w:rPr>
              <w:t xml:space="preserve">Predkladaný návrh zákona dôsledne rešpektuje rovnosť príležitostí, povinnosť rovnakého zaobchádzania a zákaz diskriminácie.  </w:t>
            </w:r>
          </w:p>
        </w:tc>
      </w:tr>
    </w:tbl>
    <w:p w:rsidR="0051186A" w:rsidRDefault="0051186A" w:rsidP="0051186A">
      <w:pPr>
        <w:rPr>
          <w:rFonts w:eastAsia="Times New Roman"/>
          <w:i/>
          <w:sz w:val="20"/>
          <w:szCs w:val="20"/>
        </w:rPr>
        <w:sectPr w:rsidR="0051186A"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51186A" w:rsidRPr="00CD4982" w:rsidTr="00563700">
        <w:trPr>
          <w:trHeight w:val="345"/>
          <w:jc w:val="center"/>
        </w:trPr>
        <w:tc>
          <w:tcPr>
            <w:tcW w:w="5000" w:type="pct"/>
            <w:shd w:val="clear" w:color="auto" w:fill="F2F2F2"/>
            <w:vAlign w:val="center"/>
          </w:tcPr>
          <w:p w:rsidR="0051186A" w:rsidRPr="00CD4982" w:rsidRDefault="0051186A" w:rsidP="00563700">
            <w:pPr>
              <w:rPr>
                <w:rFonts w:eastAsia="Times New Roman"/>
                <w:i/>
                <w:sz w:val="20"/>
                <w:szCs w:val="20"/>
              </w:rPr>
            </w:pPr>
            <w:r w:rsidRPr="00CD4982">
              <w:rPr>
                <w:rFonts w:eastAsia="Times New Roman"/>
                <w:i/>
                <w:sz w:val="20"/>
                <w:szCs w:val="20"/>
              </w:rPr>
              <w:lastRenderedPageBreak/>
              <w:t>Môže mať návrh odlišný vplyv na ženy a mužov? Podporuje návrh rovnosť medzi ženami a mužmi alebo naopak bude viesť k zväčšovaniu rodových nerovností? Popíšte vplyvy.</w:t>
            </w:r>
          </w:p>
        </w:tc>
      </w:tr>
    </w:tbl>
    <w:p w:rsidR="0051186A" w:rsidRDefault="0051186A" w:rsidP="0051186A">
      <w:pPr>
        <w:jc w:val="both"/>
        <w:rPr>
          <w:rFonts w:eastAsia="Times New Roman"/>
          <w:i/>
          <w:sz w:val="18"/>
          <w:szCs w:val="18"/>
        </w:rPr>
        <w:sectPr w:rsidR="0051186A"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51186A" w:rsidRPr="00CD4982" w:rsidTr="00563700">
        <w:trPr>
          <w:trHeight w:val="1235"/>
          <w:jc w:val="center"/>
        </w:trPr>
        <w:tc>
          <w:tcPr>
            <w:tcW w:w="1993" w:type="pct"/>
          </w:tcPr>
          <w:p w:rsidR="0051186A" w:rsidRPr="00CD4982" w:rsidRDefault="0051186A" w:rsidP="00563700">
            <w:pPr>
              <w:jc w:val="both"/>
              <w:rPr>
                <w:rFonts w:eastAsia="Times New Roman"/>
                <w:i/>
                <w:sz w:val="18"/>
                <w:szCs w:val="18"/>
              </w:rPr>
            </w:pPr>
            <w:r w:rsidRPr="00CD4982">
              <w:rPr>
                <w:rFonts w:eastAsia="Times New Roman"/>
                <w:i/>
                <w:sz w:val="18"/>
                <w:szCs w:val="18"/>
              </w:rPr>
              <w:lastRenderedPageBreak/>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51186A" w:rsidRPr="00CD4982" w:rsidRDefault="0051186A" w:rsidP="0051186A">
            <w:pPr>
              <w:numPr>
                <w:ilvl w:val="0"/>
                <w:numId w:val="5"/>
              </w:numPr>
              <w:jc w:val="both"/>
              <w:rPr>
                <w:rFonts w:eastAsia="Times New Roman"/>
                <w:i/>
                <w:sz w:val="18"/>
                <w:szCs w:val="18"/>
              </w:rPr>
            </w:pPr>
            <w:r w:rsidRPr="00CD4982">
              <w:rPr>
                <w:rFonts w:eastAsia="Times New Roman"/>
                <w:i/>
                <w:sz w:val="18"/>
                <w:szCs w:val="18"/>
              </w:rPr>
              <w:t xml:space="preserve">podpora vyrovnávania ekonomickej nezávislosti, </w:t>
            </w:r>
          </w:p>
          <w:p w:rsidR="0051186A" w:rsidRPr="00CD4982" w:rsidRDefault="0051186A" w:rsidP="0051186A">
            <w:pPr>
              <w:numPr>
                <w:ilvl w:val="0"/>
                <w:numId w:val="5"/>
              </w:numPr>
              <w:jc w:val="both"/>
              <w:rPr>
                <w:rFonts w:eastAsia="Times New Roman"/>
                <w:i/>
                <w:sz w:val="18"/>
                <w:szCs w:val="18"/>
              </w:rPr>
            </w:pPr>
            <w:r w:rsidRPr="00CD4982">
              <w:rPr>
                <w:rFonts w:eastAsia="Times New Roman"/>
                <w:i/>
                <w:sz w:val="18"/>
                <w:szCs w:val="18"/>
              </w:rPr>
              <w:t xml:space="preserve">zosúladenie pracovného, súkromného a rodinného života, </w:t>
            </w:r>
          </w:p>
          <w:p w:rsidR="0051186A" w:rsidRPr="00CD4982" w:rsidRDefault="0051186A" w:rsidP="0051186A">
            <w:pPr>
              <w:numPr>
                <w:ilvl w:val="0"/>
                <w:numId w:val="5"/>
              </w:numPr>
              <w:jc w:val="both"/>
              <w:rPr>
                <w:rFonts w:eastAsia="Times New Roman"/>
                <w:i/>
                <w:sz w:val="18"/>
                <w:szCs w:val="18"/>
              </w:rPr>
            </w:pPr>
            <w:r w:rsidRPr="00CD4982">
              <w:rPr>
                <w:rFonts w:eastAsia="Times New Roman"/>
                <w:i/>
                <w:sz w:val="18"/>
                <w:szCs w:val="18"/>
              </w:rPr>
              <w:t xml:space="preserve">podpora rovnej participácie na rozhodovaní, </w:t>
            </w:r>
          </w:p>
          <w:p w:rsidR="0051186A" w:rsidRPr="00CD4982" w:rsidRDefault="0051186A" w:rsidP="0051186A">
            <w:pPr>
              <w:numPr>
                <w:ilvl w:val="0"/>
                <w:numId w:val="5"/>
              </w:numPr>
              <w:jc w:val="both"/>
              <w:rPr>
                <w:rFonts w:eastAsia="Times New Roman"/>
                <w:i/>
                <w:sz w:val="18"/>
                <w:szCs w:val="18"/>
              </w:rPr>
            </w:pPr>
            <w:r w:rsidRPr="00CD4982">
              <w:rPr>
                <w:rFonts w:eastAsia="Times New Roman"/>
                <w:i/>
                <w:sz w:val="18"/>
                <w:szCs w:val="18"/>
              </w:rPr>
              <w:t xml:space="preserve">boj proti rodovo podmienenému násiliu a obchodovaniu s ľuďmi, </w:t>
            </w:r>
          </w:p>
          <w:p w:rsidR="0051186A" w:rsidRPr="00CD4982" w:rsidRDefault="0051186A" w:rsidP="0051186A">
            <w:pPr>
              <w:numPr>
                <w:ilvl w:val="0"/>
                <w:numId w:val="5"/>
              </w:numPr>
              <w:jc w:val="both"/>
              <w:rPr>
                <w:rFonts w:eastAsia="Times New Roman"/>
                <w:i/>
                <w:sz w:val="18"/>
                <w:szCs w:val="18"/>
              </w:rPr>
            </w:pPr>
            <w:r w:rsidRPr="00CD4982">
              <w:rPr>
                <w:rFonts w:eastAsia="Times New Roman"/>
                <w:i/>
                <w:sz w:val="18"/>
                <w:szCs w:val="18"/>
              </w:rPr>
              <w:t>eliminácia rodových stereotypov.</w:t>
            </w:r>
          </w:p>
        </w:tc>
        <w:tc>
          <w:tcPr>
            <w:tcW w:w="3007" w:type="pct"/>
          </w:tcPr>
          <w:p w:rsidR="0051186A" w:rsidRDefault="0051186A" w:rsidP="00563700">
            <w:pPr>
              <w:rPr>
                <w:rFonts w:eastAsia="Times New Roman"/>
                <w:sz w:val="20"/>
              </w:rPr>
            </w:pPr>
          </w:p>
          <w:p w:rsidR="0051186A" w:rsidRDefault="0051186A" w:rsidP="00563700">
            <w:pPr>
              <w:rPr>
                <w:rFonts w:eastAsia="Times New Roman"/>
                <w:sz w:val="20"/>
              </w:rPr>
            </w:pPr>
          </w:p>
          <w:p w:rsidR="0051186A" w:rsidRDefault="0051186A" w:rsidP="00563700">
            <w:pPr>
              <w:rPr>
                <w:rFonts w:eastAsia="Times New Roman"/>
                <w:sz w:val="20"/>
              </w:rPr>
            </w:pPr>
            <w:r>
              <w:rPr>
                <w:rFonts w:eastAsia="Times New Roman"/>
                <w:sz w:val="20"/>
              </w:rPr>
              <w:t>Predkladaný návrh zákona nezakladá odlišný vplyv na ženy a mužov a rešpektuje rodovú rovnosť.</w:t>
            </w:r>
          </w:p>
          <w:p w:rsidR="0051186A" w:rsidRDefault="0051186A" w:rsidP="00563700">
            <w:pPr>
              <w:rPr>
                <w:rFonts w:eastAsia="Times New Roman"/>
                <w:sz w:val="20"/>
              </w:rPr>
            </w:pPr>
          </w:p>
          <w:p w:rsidR="0051186A" w:rsidRPr="00CA6BAF" w:rsidRDefault="0051186A" w:rsidP="00563700">
            <w:pPr>
              <w:rPr>
                <w:rFonts w:eastAsia="Times New Roman"/>
                <w:sz w:val="20"/>
              </w:rPr>
            </w:pPr>
          </w:p>
        </w:tc>
      </w:tr>
    </w:tbl>
    <w:p w:rsidR="0051186A" w:rsidRDefault="0051186A" w:rsidP="0051186A">
      <w:pPr>
        <w:rPr>
          <w:rFonts w:eastAsia="Times New Roman"/>
          <w:b/>
        </w:rPr>
        <w:sectPr w:rsidR="0051186A"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51186A" w:rsidRPr="00CD4982" w:rsidTr="00563700">
        <w:trPr>
          <w:jc w:val="center"/>
        </w:trPr>
        <w:tc>
          <w:tcPr>
            <w:tcW w:w="5000" w:type="pct"/>
            <w:shd w:val="clear" w:color="auto" w:fill="D9D9D9"/>
          </w:tcPr>
          <w:p w:rsidR="0051186A" w:rsidRPr="00994C53" w:rsidRDefault="0051186A" w:rsidP="00563700">
            <w:pPr>
              <w:rPr>
                <w:rFonts w:eastAsia="Times New Roman"/>
                <w:b/>
              </w:rPr>
            </w:pPr>
            <w:r w:rsidRPr="00CD4982">
              <w:rPr>
                <w:rFonts w:eastAsia="Times New Roman"/>
                <w:b/>
              </w:rPr>
              <w:lastRenderedPageBreak/>
              <w:t xml:space="preserve">4.4 </w:t>
            </w:r>
            <w:r w:rsidRPr="00994C53">
              <w:rPr>
                <w:rFonts w:eastAsia="Times New Roman"/>
                <w:b/>
              </w:rPr>
              <w:t>Identifikujte, popíšte a kvantifikujte vplyvy na zamestnanosť a na trh práce.</w:t>
            </w:r>
          </w:p>
          <w:p w:rsidR="0051186A" w:rsidRPr="00994C53" w:rsidRDefault="0051186A" w:rsidP="00563700">
            <w:pPr>
              <w:jc w:val="both"/>
              <w:rPr>
                <w:rFonts w:eastAsia="Times New Roman"/>
                <w:i/>
              </w:rPr>
            </w:pPr>
            <w:r w:rsidRPr="00994C53">
              <w:rPr>
                <w:rFonts w:eastAsia="Times New Roman"/>
                <w:i/>
              </w:rPr>
              <w:t xml:space="preserve">V prípade kladnej odpovede pripojte </w:t>
            </w:r>
            <w:r w:rsidRPr="00994C53">
              <w:rPr>
                <w:rFonts w:eastAsia="Times New Roman"/>
                <w:b/>
                <w:i/>
              </w:rPr>
              <w:t>odôvodnenie</w:t>
            </w:r>
            <w:r w:rsidRPr="00994C53">
              <w:rPr>
                <w:rFonts w:eastAsia="Times New Roman"/>
                <w:i/>
              </w:rPr>
              <w:t xml:space="preserve"> v súlade s Metodickým postupom pre analýzu sociálnych vplyvov.</w:t>
            </w:r>
          </w:p>
        </w:tc>
      </w:tr>
    </w:tbl>
    <w:p w:rsidR="0051186A" w:rsidRDefault="0051186A" w:rsidP="0051186A">
      <w:pPr>
        <w:rPr>
          <w:rFonts w:eastAsia="Times New Roman"/>
          <w:i/>
          <w:sz w:val="20"/>
        </w:rPr>
        <w:sectPr w:rsidR="0051186A"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51186A" w:rsidRPr="00994C53" w:rsidTr="00563700">
        <w:trPr>
          <w:trHeight w:val="287"/>
          <w:jc w:val="center"/>
        </w:trPr>
        <w:tc>
          <w:tcPr>
            <w:tcW w:w="5000" w:type="pct"/>
            <w:gridSpan w:val="2"/>
            <w:tcBorders>
              <w:top w:val="nil"/>
            </w:tcBorders>
            <w:shd w:val="clear" w:color="auto" w:fill="F2F2F2"/>
          </w:tcPr>
          <w:p w:rsidR="0051186A" w:rsidRPr="00994C53" w:rsidRDefault="0051186A" w:rsidP="00563700">
            <w:pPr>
              <w:rPr>
                <w:rFonts w:eastAsia="Times New Roman"/>
                <w:i/>
                <w:sz w:val="20"/>
                <w:szCs w:val="20"/>
              </w:rPr>
            </w:pPr>
            <w:r w:rsidRPr="00994C53">
              <w:rPr>
                <w:rFonts w:eastAsia="Times New Roman"/>
                <w:i/>
                <w:sz w:val="20"/>
                <w:szCs w:val="20"/>
              </w:rPr>
              <w:lastRenderedPageBreak/>
              <w:t>Uľahčuje návrh vznik nových pracovných miest? Ak áno, ako? Ak je to možné, doplňte kvantifikáciu.</w:t>
            </w:r>
          </w:p>
        </w:tc>
      </w:tr>
      <w:tr w:rsidR="0051186A" w:rsidRPr="00994C53" w:rsidTr="00563700">
        <w:trPr>
          <w:trHeight w:val="567"/>
          <w:jc w:val="center"/>
        </w:trPr>
        <w:tc>
          <w:tcPr>
            <w:tcW w:w="1993" w:type="pct"/>
            <w:tcBorders>
              <w:top w:val="nil"/>
            </w:tcBorders>
            <w:shd w:val="clear" w:color="auto" w:fill="FFFFFF"/>
          </w:tcPr>
          <w:p w:rsidR="0051186A" w:rsidRPr="00994C53" w:rsidRDefault="0051186A" w:rsidP="00563700">
            <w:pPr>
              <w:rPr>
                <w:rFonts w:eastAsia="Times New Roman"/>
                <w:i/>
                <w:sz w:val="18"/>
                <w:szCs w:val="18"/>
              </w:rPr>
            </w:pPr>
            <w:r w:rsidRPr="00994C53">
              <w:rPr>
                <w:rFonts w:eastAsia="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tcBorders>
            <w:shd w:val="clear" w:color="auto" w:fill="FFFFFF"/>
          </w:tcPr>
          <w:p w:rsidR="0051186A" w:rsidRPr="00A30F1C" w:rsidRDefault="0051186A" w:rsidP="00563700">
            <w:pPr>
              <w:rPr>
                <w:rFonts w:eastAsia="Times New Roman"/>
                <w:sz w:val="20"/>
                <w:szCs w:val="18"/>
              </w:rPr>
            </w:pPr>
            <w:r>
              <w:rPr>
                <w:rFonts w:eastAsia="Times New Roman"/>
                <w:sz w:val="20"/>
                <w:szCs w:val="18"/>
              </w:rPr>
              <w:t>Predkladaný návrh zákona nemá vplyv na uľahčenie vzniku nových pracovných miest.</w:t>
            </w:r>
          </w:p>
        </w:tc>
      </w:tr>
      <w:tr w:rsidR="0051186A" w:rsidRPr="00994C53" w:rsidTr="00563700">
        <w:trPr>
          <w:trHeight w:val="270"/>
          <w:jc w:val="center"/>
        </w:trPr>
        <w:tc>
          <w:tcPr>
            <w:tcW w:w="5000" w:type="pct"/>
            <w:gridSpan w:val="2"/>
            <w:shd w:val="clear" w:color="auto" w:fill="F2F2F2"/>
          </w:tcPr>
          <w:p w:rsidR="0051186A" w:rsidRPr="00994C53" w:rsidRDefault="0051186A" w:rsidP="00563700">
            <w:pPr>
              <w:rPr>
                <w:rFonts w:eastAsia="Times New Roman"/>
                <w:i/>
                <w:sz w:val="20"/>
                <w:szCs w:val="20"/>
              </w:rPr>
            </w:pPr>
            <w:r w:rsidRPr="00994C53">
              <w:rPr>
                <w:rFonts w:eastAsia="Times New Roman"/>
                <w:i/>
                <w:sz w:val="20"/>
                <w:szCs w:val="20"/>
              </w:rPr>
              <w:t>Vedie návrh k zániku pracovných miest?</w:t>
            </w:r>
            <w:r w:rsidRPr="00994C53">
              <w:rPr>
                <w:rFonts w:eastAsia="Times New Roman"/>
                <w:sz w:val="20"/>
                <w:szCs w:val="20"/>
              </w:rPr>
              <w:t xml:space="preserve"> </w:t>
            </w:r>
            <w:r w:rsidRPr="00994C53">
              <w:rPr>
                <w:rFonts w:eastAsia="Times New Roman"/>
                <w:i/>
                <w:sz w:val="20"/>
                <w:szCs w:val="20"/>
              </w:rPr>
              <w:t>Ak áno, ako a akých? Ak je to možné, doplňte kvantifikáciu.</w:t>
            </w:r>
          </w:p>
        </w:tc>
      </w:tr>
      <w:tr w:rsidR="0051186A" w:rsidRPr="00994C53" w:rsidTr="00563700">
        <w:trPr>
          <w:trHeight w:val="454"/>
          <w:jc w:val="center"/>
        </w:trPr>
        <w:tc>
          <w:tcPr>
            <w:tcW w:w="1993" w:type="pct"/>
            <w:shd w:val="clear" w:color="auto" w:fill="FFFFFF"/>
          </w:tcPr>
          <w:p w:rsidR="0051186A" w:rsidRPr="00994C53" w:rsidRDefault="0051186A" w:rsidP="00563700">
            <w:pPr>
              <w:rPr>
                <w:rFonts w:eastAsia="Times New Roman"/>
                <w:i/>
                <w:sz w:val="18"/>
                <w:szCs w:val="18"/>
              </w:rPr>
            </w:pPr>
            <w:r w:rsidRPr="00994C53">
              <w:rPr>
                <w:rFonts w:eastAsia="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shd w:val="clear" w:color="auto" w:fill="FFFFFF"/>
          </w:tcPr>
          <w:p w:rsidR="0051186A" w:rsidRPr="00A30F1C" w:rsidRDefault="0051186A" w:rsidP="00563700">
            <w:pPr>
              <w:rPr>
                <w:rFonts w:eastAsia="Times New Roman"/>
                <w:sz w:val="20"/>
                <w:szCs w:val="18"/>
              </w:rPr>
            </w:pPr>
            <w:r>
              <w:rPr>
                <w:rFonts w:eastAsia="Times New Roman"/>
                <w:sz w:val="20"/>
                <w:szCs w:val="18"/>
              </w:rPr>
              <w:t>Predkladaný návrh zákona nevedie k zániku pracovných miest.</w:t>
            </w:r>
          </w:p>
        </w:tc>
      </w:tr>
      <w:tr w:rsidR="0051186A" w:rsidRPr="00994C53" w:rsidTr="00563700">
        <w:trPr>
          <w:trHeight w:val="248"/>
          <w:jc w:val="center"/>
        </w:trPr>
        <w:tc>
          <w:tcPr>
            <w:tcW w:w="5000" w:type="pct"/>
            <w:gridSpan w:val="2"/>
            <w:shd w:val="clear" w:color="auto" w:fill="F2F2F2"/>
          </w:tcPr>
          <w:p w:rsidR="0051186A" w:rsidRPr="00994C53" w:rsidRDefault="0051186A" w:rsidP="00563700">
            <w:pPr>
              <w:rPr>
                <w:rFonts w:eastAsia="Times New Roman"/>
                <w:sz w:val="20"/>
                <w:szCs w:val="20"/>
              </w:rPr>
            </w:pPr>
            <w:r w:rsidRPr="00994C53">
              <w:rPr>
                <w:rFonts w:eastAsia="Times New Roman"/>
                <w:i/>
                <w:sz w:val="20"/>
                <w:szCs w:val="20"/>
              </w:rPr>
              <w:t>Ovplyvňuje návrh dopyt po práci?</w:t>
            </w:r>
            <w:r w:rsidRPr="00994C53">
              <w:rPr>
                <w:rFonts w:eastAsia="Times New Roman"/>
                <w:sz w:val="20"/>
                <w:szCs w:val="20"/>
              </w:rPr>
              <w:t xml:space="preserve"> </w:t>
            </w:r>
            <w:r w:rsidRPr="00994C53">
              <w:rPr>
                <w:rFonts w:eastAsia="Times New Roman"/>
                <w:i/>
                <w:sz w:val="20"/>
                <w:szCs w:val="20"/>
              </w:rPr>
              <w:t>Ak áno, ako?</w:t>
            </w:r>
          </w:p>
        </w:tc>
      </w:tr>
      <w:tr w:rsidR="0051186A" w:rsidRPr="00994C53" w:rsidTr="00563700">
        <w:trPr>
          <w:trHeight w:val="209"/>
          <w:jc w:val="center"/>
        </w:trPr>
        <w:tc>
          <w:tcPr>
            <w:tcW w:w="1993" w:type="pct"/>
            <w:shd w:val="clear" w:color="auto" w:fill="FFFFFF"/>
          </w:tcPr>
          <w:p w:rsidR="0051186A" w:rsidRPr="00994C53" w:rsidRDefault="0051186A" w:rsidP="00563700">
            <w:pPr>
              <w:rPr>
                <w:rFonts w:eastAsia="Times New Roman"/>
                <w:i/>
                <w:sz w:val="18"/>
                <w:szCs w:val="18"/>
              </w:rPr>
            </w:pPr>
            <w:r w:rsidRPr="00994C53">
              <w:rPr>
                <w:rFonts w:eastAsia="Times New Roman"/>
                <w:i/>
                <w:sz w:val="18"/>
                <w:szCs w:val="18"/>
              </w:rPr>
              <w:t>Dopyt po práci závisí na jednej strane na produkcii tovarov a služieb v ekonomike a na druhej strane na cene práce.</w:t>
            </w:r>
          </w:p>
        </w:tc>
        <w:tc>
          <w:tcPr>
            <w:tcW w:w="3007" w:type="pct"/>
            <w:shd w:val="clear" w:color="auto" w:fill="FFFFFF"/>
          </w:tcPr>
          <w:p w:rsidR="0051186A" w:rsidRPr="00A30F1C" w:rsidRDefault="0051186A" w:rsidP="00563700">
            <w:pPr>
              <w:rPr>
                <w:rFonts w:eastAsia="Times New Roman"/>
                <w:sz w:val="20"/>
                <w:szCs w:val="18"/>
              </w:rPr>
            </w:pPr>
            <w:r>
              <w:rPr>
                <w:rFonts w:eastAsia="Times New Roman"/>
                <w:sz w:val="20"/>
                <w:szCs w:val="18"/>
              </w:rPr>
              <w:t>Predkladaný návrh zákona umožní zvýšenie dopytu po práci v prípade osôb, ktoré sa ocitli v dlhovej pasci a tieto osoby sa z objektívnych dôvodov nevedeli zamestnať alebo  nemali záujem o prácu v dôsledku vedených exekúcií, nakoľko pre tieto osoby nebolo výhodné poberať mzdu, z ktorej by boli vykonávané zrážky na úhradu nárokov vymáhaných v exekučnom konaní.</w:t>
            </w:r>
          </w:p>
        </w:tc>
      </w:tr>
      <w:tr w:rsidR="0051186A" w:rsidRPr="00994C53" w:rsidTr="00563700">
        <w:trPr>
          <w:trHeight w:val="208"/>
          <w:jc w:val="center"/>
        </w:trPr>
        <w:tc>
          <w:tcPr>
            <w:tcW w:w="5000" w:type="pct"/>
            <w:gridSpan w:val="2"/>
            <w:shd w:val="clear" w:color="auto" w:fill="F2F2F2"/>
          </w:tcPr>
          <w:p w:rsidR="0051186A" w:rsidRPr="00994C53" w:rsidRDefault="0051186A" w:rsidP="00563700">
            <w:pPr>
              <w:rPr>
                <w:rFonts w:eastAsia="Times New Roman"/>
                <w:sz w:val="20"/>
                <w:szCs w:val="20"/>
              </w:rPr>
            </w:pPr>
            <w:r w:rsidRPr="00994C53">
              <w:rPr>
                <w:rFonts w:eastAsia="Times New Roman"/>
                <w:i/>
                <w:sz w:val="20"/>
                <w:szCs w:val="20"/>
              </w:rPr>
              <w:t>Má návrh dosah na fungovanie trhu práce?</w:t>
            </w:r>
            <w:r w:rsidRPr="00994C53">
              <w:rPr>
                <w:rFonts w:eastAsia="Times New Roman"/>
                <w:sz w:val="20"/>
                <w:szCs w:val="20"/>
              </w:rPr>
              <w:t xml:space="preserve"> </w:t>
            </w:r>
            <w:r w:rsidRPr="00994C53">
              <w:rPr>
                <w:rFonts w:eastAsia="Times New Roman"/>
                <w:i/>
                <w:sz w:val="20"/>
                <w:szCs w:val="20"/>
              </w:rPr>
              <w:t>Ak áno, aký?</w:t>
            </w:r>
          </w:p>
        </w:tc>
      </w:tr>
      <w:tr w:rsidR="0051186A" w:rsidRPr="00994C53" w:rsidTr="00563700">
        <w:trPr>
          <w:trHeight w:val="794"/>
          <w:jc w:val="center"/>
        </w:trPr>
        <w:tc>
          <w:tcPr>
            <w:tcW w:w="1993" w:type="pct"/>
            <w:shd w:val="clear" w:color="auto" w:fill="FFFFFF"/>
          </w:tcPr>
          <w:p w:rsidR="0051186A" w:rsidRPr="00994C53" w:rsidRDefault="0051186A" w:rsidP="00563700">
            <w:pPr>
              <w:rPr>
                <w:rFonts w:eastAsia="Times New Roman"/>
                <w:i/>
                <w:sz w:val="18"/>
                <w:szCs w:val="18"/>
              </w:rPr>
            </w:pPr>
            <w:r w:rsidRPr="00994C53">
              <w:rPr>
                <w:rFonts w:eastAsia="Times New Roman"/>
                <w:i/>
                <w:sz w:val="18"/>
                <w:szCs w:val="18"/>
              </w:rPr>
              <w:t>Týka sa makroekonomických dosahov ako je napr. participácia na trhu práce, dlhodobá nezamestnanosť, regionálne rozdiely v mierach zamestnanosti.</w:t>
            </w:r>
            <w:r w:rsidRPr="00994C53">
              <w:rPr>
                <w:rFonts w:eastAsia="Times New Roman"/>
                <w:sz w:val="18"/>
                <w:szCs w:val="18"/>
              </w:rPr>
              <w:t xml:space="preserve"> </w:t>
            </w:r>
            <w:r w:rsidRPr="00994C53">
              <w:rPr>
                <w:rFonts w:eastAsia="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shd w:val="clear" w:color="auto" w:fill="FFFFFF"/>
          </w:tcPr>
          <w:p w:rsidR="0051186A" w:rsidRPr="00A30F1C" w:rsidRDefault="0051186A" w:rsidP="00563700">
            <w:pPr>
              <w:jc w:val="both"/>
              <w:rPr>
                <w:rFonts w:eastAsia="Times New Roman"/>
                <w:sz w:val="20"/>
                <w:szCs w:val="18"/>
              </w:rPr>
            </w:pPr>
            <w:r>
              <w:rPr>
                <w:rFonts w:eastAsia="Times New Roman"/>
                <w:sz w:val="20"/>
                <w:szCs w:val="18"/>
              </w:rPr>
              <w:t>Predkladaný návrh zákona predpokladá pozitívny vplyv na fungovanie trhu práce, keďže predpokladá zvýšenie dopytu po práci v prípade osôb, ktoré sa ocitli v dlhovej pasci a tieto osoby sa z objektívnych dôvodov nevedeli zamestnať alebo nemali záujem o prácu (v dôsledku vedených exekúcií nebolo výhodné poberať mzdu). V dôsledku zastavenia starých exekúcií sa predpokladá zníženie nezamestnanosti.</w:t>
            </w:r>
          </w:p>
        </w:tc>
      </w:tr>
      <w:tr w:rsidR="0051186A" w:rsidRPr="00994C53" w:rsidTr="00563700">
        <w:trPr>
          <w:trHeight w:val="324"/>
          <w:jc w:val="center"/>
        </w:trPr>
        <w:tc>
          <w:tcPr>
            <w:tcW w:w="5000" w:type="pct"/>
            <w:gridSpan w:val="2"/>
            <w:shd w:val="clear" w:color="auto" w:fill="F2F2F2"/>
          </w:tcPr>
          <w:p w:rsidR="0051186A" w:rsidRPr="00994C53" w:rsidRDefault="0051186A" w:rsidP="00563700">
            <w:pPr>
              <w:rPr>
                <w:rFonts w:eastAsia="Times New Roman"/>
                <w:sz w:val="20"/>
                <w:szCs w:val="20"/>
              </w:rPr>
            </w:pPr>
            <w:r w:rsidRPr="00994C53">
              <w:rPr>
                <w:rFonts w:eastAsia="Times New Roman"/>
                <w:i/>
                <w:sz w:val="20"/>
                <w:szCs w:val="20"/>
              </w:rPr>
              <w:t>Má návrh špecifické negatívne dôsledky pre isté skupiny profesií, skupín zamestnancov či živnostníkov?</w:t>
            </w:r>
            <w:r w:rsidRPr="00994C53">
              <w:rPr>
                <w:rFonts w:eastAsia="Times New Roman"/>
                <w:sz w:val="20"/>
                <w:szCs w:val="20"/>
              </w:rPr>
              <w:t xml:space="preserve"> </w:t>
            </w:r>
            <w:r w:rsidRPr="00994C53">
              <w:rPr>
                <w:rFonts w:eastAsia="Times New Roman"/>
                <w:i/>
                <w:sz w:val="20"/>
                <w:szCs w:val="20"/>
              </w:rPr>
              <w:t>Ak áno, aké a pre ktoré skupiny?</w:t>
            </w:r>
          </w:p>
        </w:tc>
      </w:tr>
      <w:tr w:rsidR="0051186A" w:rsidRPr="00994C53" w:rsidTr="00563700">
        <w:trPr>
          <w:trHeight w:val="216"/>
          <w:jc w:val="center"/>
        </w:trPr>
        <w:tc>
          <w:tcPr>
            <w:tcW w:w="1993" w:type="pct"/>
            <w:shd w:val="clear" w:color="auto" w:fill="FFFFFF"/>
          </w:tcPr>
          <w:p w:rsidR="0051186A" w:rsidRPr="00994C53" w:rsidRDefault="0051186A" w:rsidP="00563700">
            <w:pPr>
              <w:rPr>
                <w:rFonts w:eastAsia="Times New Roman"/>
                <w:i/>
                <w:sz w:val="18"/>
                <w:szCs w:val="18"/>
              </w:rPr>
            </w:pPr>
            <w:r w:rsidRPr="00994C53">
              <w:rPr>
                <w:rFonts w:eastAsia="Times New Roman"/>
                <w:i/>
                <w:sz w:val="18"/>
                <w:szCs w:val="18"/>
              </w:rPr>
              <w:t>Návrh môže ohrozovať napr. pracovníkov istých profesií favorizovaním špecifických aktivít či technológií.</w:t>
            </w:r>
          </w:p>
        </w:tc>
        <w:tc>
          <w:tcPr>
            <w:tcW w:w="3007" w:type="pct"/>
            <w:shd w:val="clear" w:color="auto" w:fill="FFFFFF"/>
          </w:tcPr>
          <w:p w:rsidR="0051186A" w:rsidRPr="00A30F1C" w:rsidRDefault="0051186A" w:rsidP="00563700">
            <w:pPr>
              <w:jc w:val="both"/>
              <w:rPr>
                <w:rFonts w:eastAsia="Times New Roman"/>
                <w:sz w:val="20"/>
                <w:szCs w:val="18"/>
              </w:rPr>
            </w:pPr>
            <w:r>
              <w:rPr>
                <w:rFonts w:eastAsia="Times New Roman"/>
                <w:sz w:val="20"/>
                <w:szCs w:val="18"/>
              </w:rPr>
              <w:t>Predkladaný návrh zákona môže mať negatívny vplyv na osoby v pozícií oprávnených v exekučnom konaní vedenom podľa predpisov účinných do 31. marca 2017, ktoré budú v zmysle ustanovení predkladaného návrhu zákona uhrádzať paušálne trovy súdnemu exekútorovi, ako  aj na súdnych exekútorov, ktorým nebudú uhradené trovy starej exekúcie v plnom rozsahu.</w:t>
            </w:r>
          </w:p>
        </w:tc>
      </w:tr>
      <w:tr w:rsidR="0051186A" w:rsidRPr="00994C53" w:rsidTr="00563700">
        <w:trPr>
          <w:trHeight w:val="219"/>
          <w:jc w:val="center"/>
        </w:trPr>
        <w:tc>
          <w:tcPr>
            <w:tcW w:w="5000" w:type="pct"/>
            <w:gridSpan w:val="2"/>
            <w:shd w:val="clear" w:color="auto" w:fill="F2F2F2"/>
          </w:tcPr>
          <w:p w:rsidR="0051186A" w:rsidRPr="00994C53" w:rsidRDefault="0051186A" w:rsidP="00563700">
            <w:pPr>
              <w:rPr>
                <w:rFonts w:eastAsia="Times New Roman"/>
                <w:sz w:val="20"/>
                <w:szCs w:val="20"/>
              </w:rPr>
            </w:pPr>
            <w:r w:rsidRPr="00994C53">
              <w:rPr>
                <w:rFonts w:eastAsia="Times New Roman"/>
                <w:i/>
                <w:sz w:val="20"/>
                <w:szCs w:val="20"/>
              </w:rPr>
              <w:t>Ovplyvňuje návrh špecifické vekové skupiny zamestnancov? Ak áno, aké? Akým spôsobom?</w:t>
            </w:r>
          </w:p>
        </w:tc>
      </w:tr>
      <w:tr w:rsidR="0051186A" w:rsidRPr="00994C53" w:rsidTr="00563700">
        <w:trPr>
          <w:trHeight w:val="497"/>
          <w:jc w:val="center"/>
        </w:trPr>
        <w:tc>
          <w:tcPr>
            <w:tcW w:w="1993" w:type="pct"/>
            <w:shd w:val="clear" w:color="auto" w:fill="FFFFFF"/>
          </w:tcPr>
          <w:p w:rsidR="0051186A" w:rsidRPr="00994C53" w:rsidRDefault="0051186A" w:rsidP="00563700">
            <w:pPr>
              <w:rPr>
                <w:rFonts w:eastAsia="Times New Roman"/>
                <w:i/>
                <w:sz w:val="18"/>
                <w:szCs w:val="18"/>
              </w:rPr>
            </w:pPr>
            <w:r w:rsidRPr="00994C53">
              <w:rPr>
                <w:rFonts w:eastAsia="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shd w:val="clear" w:color="auto" w:fill="FFFFFF"/>
          </w:tcPr>
          <w:p w:rsidR="0051186A" w:rsidRPr="00A30F1C" w:rsidRDefault="0051186A" w:rsidP="00563700">
            <w:pPr>
              <w:rPr>
                <w:rFonts w:eastAsia="Times New Roman"/>
                <w:sz w:val="20"/>
                <w:szCs w:val="18"/>
              </w:rPr>
            </w:pPr>
            <w:r>
              <w:rPr>
                <w:rFonts w:eastAsia="Times New Roman"/>
                <w:sz w:val="20"/>
                <w:szCs w:val="18"/>
              </w:rPr>
              <w:t>Predkladaný návrh zákona nepredpokladá vplyvy v posudzovanej oblasti.</w:t>
            </w:r>
          </w:p>
        </w:tc>
      </w:tr>
    </w:tbl>
    <w:p w:rsidR="0051186A" w:rsidRDefault="0051186A" w:rsidP="0051186A">
      <w:pPr>
        <w:outlineLvl w:val="0"/>
      </w:pPr>
    </w:p>
    <w:p w:rsidR="0051186A" w:rsidRDefault="0051186A" w:rsidP="003E6078">
      <w:pPr>
        <w:jc w:val="center"/>
        <w:rPr>
          <w:b/>
          <w:caps/>
          <w:spacing w:val="30"/>
          <w:sz w:val="25"/>
          <w:szCs w:val="25"/>
        </w:rPr>
      </w:pPr>
    </w:p>
    <w:p w:rsidR="0051186A" w:rsidRDefault="0051186A" w:rsidP="003E6078">
      <w:pPr>
        <w:jc w:val="center"/>
        <w:rPr>
          <w:b/>
          <w:caps/>
          <w:spacing w:val="30"/>
          <w:sz w:val="25"/>
          <w:szCs w:val="25"/>
        </w:rPr>
      </w:pPr>
    </w:p>
    <w:p w:rsidR="0051186A" w:rsidRDefault="0051186A" w:rsidP="003E6078">
      <w:pPr>
        <w:jc w:val="center"/>
        <w:rPr>
          <w:b/>
          <w:caps/>
          <w:spacing w:val="30"/>
          <w:sz w:val="25"/>
          <w:szCs w:val="25"/>
        </w:rPr>
      </w:pPr>
    </w:p>
    <w:p w:rsidR="0051186A" w:rsidRDefault="0051186A" w:rsidP="003E6078">
      <w:pPr>
        <w:jc w:val="center"/>
        <w:rPr>
          <w:b/>
          <w:caps/>
          <w:spacing w:val="30"/>
          <w:sz w:val="25"/>
          <w:szCs w:val="25"/>
        </w:rPr>
      </w:pPr>
    </w:p>
    <w:p w:rsidR="0051186A" w:rsidRDefault="0051186A" w:rsidP="003E6078">
      <w:pPr>
        <w:jc w:val="center"/>
        <w:rPr>
          <w:b/>
          <w:caps/>
          <w:spacing w:val="30"/>
          <w:sz w:val="25"/>
          <w:szCs w:val="25"/>
        </w:rPr>
      </w:pPr>
    </w:p>
    <w:p w:rsidR="0051186A" w:rsidRDefault="0051186A" w:rsidP="003E6078">
      <w:pPr>
        <w:jc w:val="center"/>
        <w:rPr>
          <w:b/>
          <w:caps/>
          <w:spacing w:val="30"/>
          <w:sz w:val="25"/>
          <w:szCs w:val="25"/>
        </w:rPr>
      </w:pPr>
    </w:p>
    <w:p w:rsidR="0051186A" w:rsidRDefault="0051186A" w:rsidP="003E6078">
      <w:pPr>
        <w:jc w:val="center"/>
        <w:rPr>
          <w:b/>
          <w:caps/>
          <w:spacing w:val="30"/>
          <w:sz w:val="25"/>
          <w:szCs w:val="25"/>
        </w:rPr>
      </w:pPr>
    </w:p>
    <w:p w:rsidR="0051186A" w:rsidRDefault="0051186A" w:rsidP="003E6078">
      <w:pPr>
        <w:jc w:val="center"/>
        <w:rPr>
          <w:b/>
          <w:caps/>
          <w:spacing w:val="30"/>
          <w:sz w:val="25"/>
          <w:szCs w:val="25"/>
        </w:rPr>
      </w:pPr>
    </w:p>
    <w:p w:rsidR="0051186A" w:rsidRDefault="0051186A" w:rsidP="003E6078">
      <w:pPr>
        <w:jc w:val="center"/>
        <w:rPr>
          <w:b/>
          <w:caps/>
          <w:spacing w:val="30"/>
          <w:sz w:val="25"/>
          <w:szCs w:val="25"/>
        </w:rPr>
      </w:pPr>
    </w:p>
    <w:p w:rsidR="0051186A" w:rsidRDefault="0051186A" w:rsidP="003E6078">
      <w:pPr>
        <w:jc w:val="center"/>
        <w:rPr>
          <w:b/>
          <w:caps/>
          <w:spacing w:val="30"/>
          <w:sz w:val="25"/>
          <w:szCs w:val="25"/>
        </w:rPr>
      </w:pPr>
    </w:p>
    <w:p w:rsidR="0051186A" w:rsidRDefault="0051186A" w:rsidP="003E6078">
      <w:pPr>
        <w:jc w:val="center"/>
        <w:rPr>
          <w:b/>
          <w:caps/>
          <w:spacing w:val="30"/>
          <w:sz w:val="25"/>
          <w:szCs w:val="25"/>
        </w:rPr>
      </w:pPr>
    </w:p>
    <w:p w:rsidR="0051186A" w:rsidRDefault="0051186A" w:rsidP="003E6078">
      <w:pPr>
        <w:jc w:val="center"/>
        <w:rPr>
          <w:b/>
          <w:caps/>
          <w:spacing w:val="30"/>
          <w:sz w:val="25"/>
          <w:szCs w:val="25"/>
        </w:rPr>
      </w:pPr>
    </w:p>
    <w:p w:rsidR="0051186A" w:rsidRDefault="0051186A" w:rsidP="003E6078">
      <w:pPr>
        <w:jc w:val="center"/>
        <w:rPr>
          <w:b/>
          <w:caps/>
          <w:spacing w:val="30"/>
          <w:sz w:val="25"/>
          <w:szCs w:val="25"/>
        </w:rPr>
      </w:pPr>
    </w:p>
    <w:p w:rsidR="003F4775" w:rsidRPr="00117A7E" w:rsidRDefault="003F4775" w:rsidP="003F4775">
      <w:pPr>
        <w:jc w:val="center"/>
        <w:rPr>
          <w:b/>
          <w:caps/>
          <w:spacing w:val="30"/>
          <w:sz w:val="25"/>
          <w:szCs w:val="25"/>
        </w:rPr>
      </w:pPr>
      <w:r w:rsidRPr="00117A7E">
        <w:rPr>
          <w:b/>
          <w:caps/>
          <w:spacing w:val="30"/>
          <w:sz w:val="25"/>
          <w:szCs w:val="25"/>
        </w:rPr>
        <w:lastRenderedPageBreak/>
        <w:t>Doložka zlučiteľnosti</w:t>
      </w:r>
    </w:p>
    <w:p w:rsidR="003F4775" w:rsidRPr="00117A7E" w:rsidRDefault="003F4775" w:rsidP="003F4775">
      <w:pPr>
        <w:jc w:val="center"/>
        <w:rPr>
          <w:b/>
          <w:sz w:val="25"/>
          <w:szCs w:val="25"/>
        </w:rPr>
      </w:pPr>
      <w:r>
        <w:rPr>
          <w:b/>
          <w:sz w:val="25"/>
          <w:szCs w:val="25"/>
        </w:rPr>
        <w:t xml:space="preserve">návrhu zákona s </w:t>
      </w:r>
      <w:r w:rsidRPr="00117A7E">
        <w:rPr>
          <w:b/>
          <w:sz w:val="25"/>
          <w:szCs w:val="25"/>
        </w:rPr>
        <w:t>právom Európskej únie</w:t>
      </w:r>
    </w:p>
    <w:p w:rsidR="003F4775" w:rsidRPr="00117A7E" w:rsidRDefault="003F4775" w:rsidP="003F4775">
      <w:pPr>
        <w:jc w:val="center"/>
        <w:rPr>
          <w:b/>
          <w:sz w:val="25"/>
          <w:szCs w:val="25"/>
        </w:rPr>
      </w:pPr>
    </w:p>
    <w:p w:rsidR="003F4775" w:rsidRDefault="003F4775" w:rsidP="003F4775">
      <w:pPr>
        <w:jc w:val="center"/>
        <w:rPr>
          <w:b/>
          <w:sz w:val="25"/>
          <w:szCs w:val="25"/>
        </w:rPr>
      </w:pPr>
    </w:p>
    <w:p w:rsidR="003F4775" w:rsidRPr="00117A7E" w:rsidRDefault="003F4775" w:rsidP="003F4775">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3F4775" w:rsidRPr="008D080F" w:rsidTr="001A5C71">
        <w:tc>
          <w:tcPr>
            <w:tcW w:w="404" w:type="dxa"/>
          </w:tcPr>
          <w:p w:rsidR="003F4775" w:rsidRPr="008D080F" w:rsidRDefault="003F4775" w:rsidP="001A5C71">
            <w:pPr>
              <w:tabs>
                <w:tab w:val="left" w:pos="360"/>
              </w:tabs>
              <w:rPr>
                <w:b/>
              </w:rPr>
            </w:pPr>
            <w:r w:rsidRPr="008D080F">
              <w:rPr>
                <w:b/>
              </w:rPr>
              <w:t>1.</w:t>
            </w:r>
          </w:p>
        </w:tc>
        <w:tc>
          <w:tcPr>
            <w:tcW w:w="9627" w:type="dxa"/>
          </w:tcPr>
          <w:p w:rsidR="003F4775" w:rsidRPr="008D080F" w:rsidRDefault="003F4775" w:rsidP="001A5C71">
            <w:pPr>
              <w:tabs>
                <w:tab w:val="left" w:pos="360"/>
              </w:tabs>
            </w:pPr>
            <w:r>
              <w:rPr>
                <w:b/>
              </w:rPr>
              <w:t>Navrhovateľ zákona</w:t>
            </w:r>
            <w:r w:rsidRPr="008D080F">
              <w:rPr>
                <w:b/>
              </w:rPr>
              <w:t>:</w:t>
            </w:r>
            <w:r w:rsidRPr="008D080F">
              <w:t xml:space="preserve"> </w:t>
            </w:r>
            <w:fldSimple w:instr=" DOCPROPERTY  FSC#SKEDITIONSLOVLEX@103.510:zodpinstitucia  \* MERGEFORMAT ">
              <w:r w:rsidRPr="008D080F">
                <w:t>Ministerstvo spravodlivosti Slovenskej republiky</w:t>
              </w:r>
            </w:fldSimple>
          </w:p>
        </w:tc>
      </w:tr>
      <w:tr w:rsidR="003F4775" w:rsidRPr="008D080F" w:rsidTr="001A5C71">
        <w:tc>
          <w:tcPr>
            <w:tcW w:w="404" w:type="dxa"/>
          </w:tcPr>
          <w:p w:rsidR="003F4775" w:rsidRPr="008D080F" w:rsidRDefault="003F4775" w:rsidP="001A5C71">
            <w:pPr>
              <w:tabs>
                <w:tab w:val="left" w:pos="360"/>
              </w:tabs>
            </w:pPr>
          </w:p>
        </w:tc>
        <w:tc>
          <w:tcPr>
            <w:tcW w:w="9627" w:type="dxa"/>
          </w:tcPr>
          <w:p w:rsidR="003F4775" w:rsidRPr="008D080F" w:rsidRDefault="003F4775" w:rsidP="001A5C71">
            <w:pPr>
              <w:tabs>
                <w:tab w:val="left" w:pos="360"/>
              </w:tabs>
            </w:pPr>
          </w:p>
        </w:tc>
      </w:tr>
      <w:tr w:rsidR="003F4775" w:rsidRPr="008D080F" w:rsidTr="001A5C71">
        <w:tc>
          <w:tcPr>
            <w:tcW w:w="404" w:type="dxa"/>
          </w:tcPr>
          <w:p w:rsidR="003F4775" w:rsidRPr="008D080F" w:rsidRDefault="003F4775" w:rsidP="001A5C71">
            <w:pPr>
              <w:tabs>
                <w:tab w:val="left" w:pos="360"/>
              </w:tabs>
              <w:rPr>
                <w:b/>
              </w:rPr>
            </w:pPr>
            <w:r w:rsidRPr="008D080F">
              <w:rPr>
                <w:b/>
              </w:rPr>
              <w:t>2.</w:t>
            </w:r>
          </w:p>
        </w:tc>
        <w:tc>
          <w:tcPr>
            <w:tcW w:w="9627" w:type="dxa"/>
          </w:tcPr>
          <w:p w:rsidR="003F4775" w:rsidRPr="008D080F" w:rsidRDefault="003F4775" w:rsidP="001A5C71">
            <w:pPr>
              <w:jc w:val="both"/>
            </w:pPr>
            <w:r w:rsidRPr="008D080F">
              <w:rPr>
                <w:b/>
              </w:rPr>
              <w:t xml:space="preserve">Názov návrhu </w:t>
            </w:r>
            <w:r>
              <w:rPr>
                <w:b/>
              </w:rPr>
              <w:t>zákona</w:t>
            </w:r>
            <w:r w:rsidRPr="008D080F">
              <w:rPr>
                <w:b/>
              </w:rPr>
              <w:t>:</w:t>
            </w:r>
            <w:r w:rsidRPr="008D080F">
              <w:t xml:space="preserve"> </w:t>
            </w:r>
            <w:r>
              <w:t>Zákon o ukončení niektorých exekučných konaní a o zmene a doplnení niektorých zákonov</w:t>
            </w:r>
          </w:p>
        </w:tc>
      </w:tr>
      <w:tr w:rsidR="003F4775" w:rsidRPr="008D080F" w:rsidTr="001A5C71">
        <w:tc>
          <w:tcPr>
            <w:tcW w:w="404" w:type="dxa"/>
          </w:tcPr>
          <w:p w:rsidR="003F4775" w:rsidRPr="008D080F" w:rsidRDefault="003F4775" w:rsidP="001A5C71">
            <w:pPr>
              <w:tabs>
                <w:tab w:val="left" w:pos="360"/>
              </w:tabs>
            </w:pPr>
          </w:p>
        </w:tc>
        <w:tc>
          <w:tcPr>
            <w:tcW w:w="9627" w:type="dxa"/>
          </w:tcPr>
          <w:p w:rsidR="003F4775" w:rsidRPr="008D080F" w:rsidRDefault="003F4775" w:rsidP="001A5C71">
            <w:pPr>
              <w:tabs>
                <w:tab w:val="left" w:pos="360"/>
              </w:tabs>
            </w:pPr>
          </w:p>
        </w:tc>
      </w:tr>
      <w:tr w:rsidR="003F4775" w:rsidRPr="008D080F" w:rsidTr="001A5C71">
        <w:tc>
          <w:tcPr>
            <w:tcW w:w="404" w:type="dxa"/>
          </w:tcPr>
          <w:p w:rsidR="003F4775" w:rsidRPr="008D080F" w:rsidRDefault="003F4775" w:rsidP="001A5C71">
            <w:pPr>
              <w:tabs>
                <w:tab w:val="left" w:pos="360"/>
              </w:tabs>
              <w:rPr>
                <w:b/>
              </w:rPr>
            </w:pPr>
            <w:r w:rsidRPr="008D080F">
              <w:rPr>
                <w:b/>
              </w:rPr>
              <w:t>3.</w:t>
            </w:r>
          </w:p>
        </w:tc>
        <w:tc>
          <w:tcPr>
            <w:tcW w:w="9627" w:type="dxa"/>
          </w:tcPr>
          <w:p w:rsidR="003F4775" w:rsidRPr="008D080F" w:rsidRDefault="003F4775" w:rsidP="001A5C71">
            <w:pPr>
              <w:tabs>
                <w:tab w:val="left" w:pos="360"/>
              </w:tabs>
              <w:jc w:val="both"/>
              <w:rPr>
                <w:b/>
              </w:rPr>
            </w:pPr>
            <w:r>
              <w:rPr>
                <w:b/>
              </w:rPr>
              <w:t xml:space="preserve">Predmet návrhu zákona </w:t>
            </w:r>
            <w:r w:rsidRPr="00344223">
              <w:rPr>
                <w:b/>
                <w:u w:val="single"/>
              </w:rPr>
              <w:t xml:space="preserve">je </w:t>
            </w:r>
            <w:r w:rsidRPr="00344223">
              <w:rPr>
                <w:b/>
              </w:rPr>
              <w:t xml:space="preserve">– </w:t>
            </w:r>
            <w:r w:rsidRPr="00344223">
              <w:rPr>
                <w:b/>
                <w:strike/>
              </w:rPr>
              <w:t>nie je</w:t>
            </w:r>
            <w:r w:rsidRPr="00662351">
              <w:rPr>
                <w:b/>
                <w:u w:val="single"/>
              </w:rPr>
              <w:t xml:space="preserve"> upravený v práve Európskej únie</w:t>
            </w:r>
            <w:r w:rsidRPr="008D080F">
              <w:rPr>
                <w:b/>
              </w:rPr>
              <w:t>:</w:t>
            </w:r>
          </w:p>
          <w:p w:rsidR="003F4775" w:rsidRPr="008D080F" w:rsidRDefault="003F4775" w:rsidP="001A5C71">
            <w:pPr>
              <w:tabs>
                <w:tab w:val="left" w:pos="360"/>
              </w:tabs>
              <w:jc w:val="both"/>
            </w:pPr>
          </w:p>
        </w:tc>
      </w:tr>
      <w:tr w:rsidR="003F4775" w:rsidRPr="008D080F" w:rsidTr="001A5C71">
        <w:tc>
          <w:tcPr>
            <w:tcW w:w="404" w:type="dxa"/>
          </w:tcPr>
          <w:p w:rsidR="003F4775" w:rsidRPr="008D080F" w:rsidRDefault="003F4775" w:rsidP="001A5C71">
            <w:pPr>
              <w:tabs>
                <w:tab w:val="left" w:pos="360"/>
              </w:tabs>
            </w:pPr>
          </w:p>
        </w:tc>
        <w:tc>
          <w:tcPr>
            <w:tcW w:w="9627" w:type="dxa"/>
          </w:tcPr>
          <w:p w:rsidR="003F4775" w:rsidRPr="008D080F" w:rsidRDefault="003F4775" w:rsidP="003F4775">
            <w:pPr>
              <w:pStyle w:val="Odsekzoznamu"/>
              <w:numPr>
                <w:ilvl w:val="0"/>
                <w:numId w:val="3"/>
              </w:numPr>
              <w:tabs>
                <w:tab w:val="left" w:pos="360"/>
              </w:tabs>
              <w:jc w:val="both"/>
            </w:pPr>
            <w:r>
              <w:t>v primárnom práve - čl. 299 Zmluvy o fungovaní Európskej únie</w:t>
            </w:r>
          </w:p>
          <w:p w:rsidR="003F4775" w:rsidRDefault="003F4775" w:rsidP="001A5C71">
            <w:pPr>
              <w:pStyle w:val="Default"/>
              <w:rPr>
                <w:sz w:val="23"/>
                <w:szCs w:val="23"/>
              </w:rPr>
            </w:pPr>
            <w:r w:rsidRPr="008D080F">
              <w:t>b)</w:t>
            </w:r>
            <w:r>
              <w:t xml:space="preserve"> </w:t>
            </w:r>
            <w:r w:rsidRPr="008D080F">
              <w:t xml:space="preserve"> </w:t>
            </w:r>
            <w:r>
              <w:rPr>
                <w:sz w:val="23"/>
                <w:szCs w:val="23"/>
              </w:rPr>
              <w:t xml:space="preserve">v sekundárnom práve (uviesť druh, inštitúciu, číslo, názov a dátum vydania právneho aktu vzťahujúceho sa na upravovanú problematiku, vrátane jeho gestora), </w:t>
            </w:r>
          </w:p>
          <w:p w:rsidR="003F4775" w:rsidRDefault="003F4775" w:rsidP="001A5C71">
            <w:pPr>
              <w:pStyle w:val="Default"/>
              <w:rPr>
                <w:sz w:val="23"/>
                <w:szCs w:val="23"/>
              </w:rPr>
            </w:pPr>
            <w:r>
              <w:rPr>
                <w:sz w:val="23"/>
                <w:szCs w:val="23"/>
              </w:rPr>
              <w:t>c) v judikatúre Súdneho dvora Európskej únie (uviesť číslo a označenie relevantného rozhodnutia a stručne jeho výrok alebo relevantné právne vety).</w:t>
            </w:r>
          </w:p>
          <w:p w:rsidR="003F4775" w:rsidRPr="008D080F" w:rsidRDefault="003F4775" w:rsidP="001A5C71">
            <w:pPr>
              <w:ind w:left="360"/>
              <w:jc w:val="both"/>
            </w:pPr>
          </w:p>
          <w:p w:rsidR="003F4775" w:rsidRPr="008D080F" w:rsidRDefault="003F4775" w:rsidP="001A5C71">
            <w:pPr>
              <w:jc w:val="both"/>
            </w:pPr>
          </w:p>
        </w:tc>
      </w:tr>
      <w:tr w:rsidR="003F4775" w:rsidRPr="00117A7E" w:rsidTr="001A5C71">
        <w:tc>
          <w:tcPr>
            <w:tcW w:w="404" w:type="dxa"/>
          </w:tcPr>
          <w:p w:rsidR="003F4775" w:rsidRPr="00117A7E" w:rsidRDefault="003F4775" w:rsidP="001A5C71">
            <w:pPr>
              <w:spacing w:after="200" w:line="276" w:lineRule="auto"/>
              <w:rPr>
                <w:b/>
              </w:rPr>
            </w:pPr>
          </w:p>
        </w:tc>
        <w:tc>
          <w:tcPr>
            <w:tcW w:w="9627" w:type="dxa"/>
          </w:tcPr>
          <w:p w:rsidR="003F4775" w:rsidRDefault="003F4775" w:rsidP="001A5C71">
            <w:pPr>
              <w:tabs>
                <w:tab w:val="left" w:pos="360"/>
              </w:tabs>
            </w:pPr>
            <w:r>
              <w:t>Vzhľadom na to, že predmet návrhu zákona nie je v práve Európskej  únie upravený, body 4 a 5 sa nevypĺňajú.</w:t>
            </w:r>
          </w:p>
          <w:p w:rsidR="003F4775" w:rsidRPr="00117A7E" w:rsidRDefault="003F4775" w:rsidP="001A5C71"/>
        </w:tc>
      </w:tr>
    </w:tbl>
    <w:p w:rsidR="003E6078" w:rsidRDefault="003E6078" w:rsidP="003E6078"/>
    <w:p w:rsidR="007528C3" w:rsidRDefault="007528C3" w:rsidP="007528C3">
      <w:pPr>
        <w:jc w:val="both"/>
        <w:rPr>
          <w:b/>
        </w:rPr>
      </w:pPr>
    </w:p>
    <w:p w:rsidR="007528C3" w:rsidRDefault="007528C3" w:rsidP="007528C3">
      <w:pPr>
        <w:jc w:val="both"/>
        <w:rPr>
          <w:b/>
        </w:rPr>
      </w:pPr>
    </w:p>
    <w:p w:rsidR="007528C3" w:rsidRDefault="007528C3" w:rsidP="007528C3">
      <w:pPr>
        <w:spacing w:after="200" w:line="276" w:lineRule="auto"/>
        <w:rPr>
          <w:b/>
        </w:rPr>
      </w:pPr>
      <w:r>
        <w:rPr>
          <w:b/>
        </w:rPr>
        <w:br w:type="page"/>
      </w:r>
    </w:p>
    <w:p w:rsidR="007528C3" w:rsidRPr="007C3190" w:rsidRDefault="007528C3" w:rsidP="007528C3">
      <w:pPr>
        <w:jc w:val="both"/>
        <w:rPr>
          <w:b/>
        </w:rPr>
      </w:pPr>
      <w:r w:rsidRPr="007C3190">
        <w:rPr>
          <w:b/>
        </w:rPr>
        <w:lastRenderedPageBreak/>
        <w:t>B. Osobitná časť</w:t>
      </w:r>
    </w:p>
    <w:p w:rsidR="007528C3" w:rsidRPr="007C3190" w:rsidRDefault="007528C3" w:rsidP="007528C3">
      <w:pPr>
        <w:jc w:val="both"/>
        <w:rPr>
          <w:b/>
        </w:rPr>
      </w:pPr>
    </w:p>
    <w:p w:rsidR="003E6078" w:rsidRPr="007C3190" w:rsidRDefault="003E6078" w:rsidP="003E6078">
      <w:pPr>
        <w:jc w:val="both"/>
        <w:rPr>
          <w:u w:val="single"/>
        </w:rPr>
      </w:pPr>
      <w:r w:rsidRPr="007C3190">
        <w:rPr>
          <w:u w:val="single"/>
        </w:rPr>
        <w:t>Čl. I</w:t>
      </w:r>
    </w:p>
    <w:p w:rsidR="003E6078" w:rsidRPr="007C3190" w:rsidRDefault="003E6078" w:rsidP="003E6078">
      <w:pPr>
        <w:jc w:val="both"/>
      </w:pPr>
    </w:p>
    <w:p w:rsidR="003E6078" w:rsidRPr="007C3190" w:rsidRDefault="003E6078" w:rsidP="003E6078">
      <w:pPr>
        <w:jc w:val="both"/>
      </w:pPr>
      <w:r w:rsidRPr="007C3190">
        <w:t>K § 1</w:t>
      </w:r>
    </w:p>
    <w:p w:rsidR="003E6078" w:rsidRPr="007C3190" w:rsidRDefault="007701C3" w:rsidP="003E6078">
      <w:pPr>
        <w:jc w:val="both"/>
      </w:pPr>
      <w:r w:rsidRPr="007C3190">
        <w:t>Vo všeobecných ustanoveniach sa v odseku 1 v</w:t>
      </w:r>
      <w:r w:rsidR="003E6078" w:rsidRPr="007C3190">
        <w:t>ymedzuje predmet úpravy návrhu zákona o ukončení niektorých exekučných konaní a o zmene a doplnení niektorých zákonov (ďalej len „návrh zákona“). Návrh zákona sa vzťahuje na exekučné konania vedené podľa Exekučného poriadku v znení do 31. marca 2017 (ďalej len „exekučné konanie“) a v exekučných konaniach, ktoré sú vedené na základe návrhu oprávneného doručeného Okresnému súdu Banská Bystrica podľa predpisov účinných od 1. apríla 2017 sa ustanovenia návrhu zákona nepoužijú, okrem ustanovení týkajúcich sa opätovného návrhu na vykonanie exekúcie podľa návrhu zákona.</w:t>
      </w:r>
    </w:p>
    <w:p w:rsidR="007701C3" w:rsidRPr="007C3190" w:rsidRDefault="007701C3" w:rsidP="007701C3">
      <w:pPr>
        <w:jc w:val="both"/>
      </w:pPr>
    </w:p>
    <w:p w:rsidR="007701C3" w:rsidRPr="007C3190" w:rsidRDefault="007701C3" w:rsidP="007701C3">
      <w:pPr>
        <w:jc w:val="both"/>
      </w:pPr>
      <w:r w:rsidRPr="007C3190">
        <w:t>V odseku 2 sa definuje stará exekúcie, ktorou sa na účely tohto návrhu zákona rozumie každá exekúcia začatá pred 1. aprílom 2017 a vedená podľa predpisov účinných do 31. marca 2017.</w:t>
      </w:r>
    </w:p>
    <w:p w:rsidR="003E6078" w:rsidRPr="007C3190" w:rsidRDefault="003E6078" w:rsidP="003E6078">
      <w:pPr>
        <w:jc w:val="both"/>
      </w:pPr>
    </w:p>
    <w:p w:rsidR="003E6078" w:rsidRPr="007C3190" w:rsidRDefault="003E6078" w:rsidP="003E6078">
      <w:pPr>
        <w:jc w:val="both"/>
      </w:pPr>
      <w:r w:rsidRPr="007C3190">
        <w:t>K § 2</w:t>
      </w:r>
    </w:p>
    <w:p w:rsidR="003E6078" w:rsidRPr="007C3190" w:rsidRDefault="003E6078" w:rsidP="003E6078">
      <w:pPr>
        <w:jc w:val="both"/>
      </w:pPr>
      <w:r w:rsidRPr="007C3190">
        <w:t xml:space="preserve">Odsek 1 upravuje dôvody pre zastavenie starej exekúcie, k zastaveniu ktorej dochádza priamo zo zákona. Tieto dôvody sú stále len komplementárne k dôvodom pre zastavenie starej exekúcie podľa „bežných“ procesných pravidiel tak, ako ich vymedzuje Exekučný poriadok v znení účinnom do 31. marca 2017. </w:t>
      </w:r>
    </w:p>
    <w:p w:rsidR="007701C3" w:rsidRPr="007C3190" w:rsidRDefault="007701C3" w:rsidP="003E6078">
      <w:pPr>
        <w:jc w:val="both"/>
      </w:pPr>
    </w:p>
    <w:p w:rsidR="003E6078" w:rsidRPr="007C3190" w:rsidRDefault="003E6078" w:rsidP="003E6078">
      <w:pPr>
        <w:jc w:val="both"/>
      </w:pPr>
      <w:r w:rsidRPr="007C3190">
        <w:t xml:space="preserve">Prvým a hlavným dôvodom zastavenia starej exekúcie je uplynutie rozhodnej doby, ak súčasne nejde o starú exekúciu uvedenú v odseku 2. Rozhodná doba je vymedzená na obdobie piatich rokov, ktorá plynie odo dňa doručenia prvotného poverenia na vykonanie starej exekúcie súdnemu exekútorovi (ďalej len „exekútor“). Doručenie prvotného poverenia na vykonanie exekúcie exekútorovi (bez ohľadu na zmenu exekútora počas exekučného konania) je moment, ktorý je jednoznačne určiteľný tak z pohľadu súdu, ako aj z pohľadu exekútora. </w:t>
      </w:r>
    </w:p>
    <w:p w:rsidR="003E6078" w:rsidRPr="007C3190" w:rsidRDefault="003E6078" w:rsidP="003E6078">
      <w:pPr>
        <w:jc w:val="both"/>
      </w:pPr>
    </w:p>
    <w:p w:rsidR="003E6078" w:rsidRPr="007C3190" w:rsidRDefault="003E6078" w:rsidP="003E6078">
      <w:pPr>
        <w:jc w:val="both"/>
      </w:pPr>
      <w:r w:rsidRPr="007C3190">
        <w:t>Ak v starých exekúciách dôjde k situácii, že oprávnený alebo povinný zanikne bez právneho nástupcu, dedičské konanie je zastavené z dôvodu, že oprávnený alebo povinný nezanechal žiadny majetok alebo zanechal len majetok nepatrnej hodnoty, zastavenie exekúcie navrhne oprávnený, alebo dôvod na zastavenie exekúcie vytvoria účinky vyhlásenia konkurzu alebo oddlženia fyzickej osoby, niet dôvodu, aby sa následky z týchto (relatívne nesporných) skutočností nemohli premietnuť priamo do následkov pre starú exekúciu. V takýchto prípadoch ide o dôvody pre zastavenie starej exekúcie, ktoré sú jednoznačné a preto nie je potrebné, aby o ukončení takýchto starých exekúcií rozhodoval súd (naviac ak obdobná právna úprava je v súčasnosti účinná v prípade exekúcií vedených podľa predpisov účinných od 1. apríla 2017). Preto existencia takýchto dôvodov zastavenia starej exekúcie ex lege je ponechaná na zistenie exekútorovi, ktorý na základe tohto zistenia a následného preukázania tohto dôvodu vydá upovedomenie o zastavení starej exekúcie podľa návrhu zákona a deklaruje zastavenie starej exekúcie. V týchto prípadoch sa nevyžaduje uplynutie päťročnej rozhodnej doby.</w:t>
      </w:r>
    </w:p>
    <w:p w:rsidR="003E6078" w:rsidRPr="007C3190" w:rsidRDefault="003E6078" w:rsidP="003E6078">
      <w:pPr>
        <w:jc w:val="both"/>
      </w:pPr>
    </w:p>
    <w:p w:rsidR="003E6078" w:rsidRPr="007C3190" w:rsidRDefault="003E6078" w:rsidP="003E6078">
      <w:pPr>
        <w:jc w:val="both"/>
      </w:pPr>
      <w:r w:rsidRPr="007C3190">
        <w:t xml:space="preserve">Odsek 2 tohto ustanovenia upravuje tzv. výnimky pre niektoré exekúcie, pri ktorých nedôjde k zastaveniu exekúcie </w:t>
      </w:r>
      <w:r w:rsidRPr="007C3190">
        <w:rPr>
          <w:i/>
        </w:rPr>
        <w:t>ex lege</w:t>
      </w:r>
      <w:r w:rsidRPr="007C3190">
        <w:t xml:space="preserve"> podľa odseku 1 písm. a) návrhu zákona. Z takto usporiadaných výnimiek je zrejmé, že ťažisko je kladené na exekúcie, v ktorých ide o vymoženie peňažných nárokov oprávnených. Ako opodstatnené sa nejaví zastavovať exekúcie, v ktorých sa vymáha </w:t>
      </w:r>
      <w:r w:rsidRPr="007C3190">
        <w:lastRenderedPageBreak/>
        <w:t xml:space="preserve">výživné, keďže by to mohlo spôsobiť pre oprávnených (najmä maloleté deti) neprimerané komplikácie; okrem uvedeného nie je spoločensky a morálne akceptovateľné zastavovať tieto staré exekúcie na vymoženie výživného, najmä vo vzťahu k maloletým. Ako opodstatnené sa taktiež nejaví zastavovať exekúcie, v ktorých ide o uspokojenie práv na nepeňažné plnenie, vrátane uspokojenia práva na peňažné plnenie (najmä ak ide o náhradné plnenie alebo vymáhanie pokuty uloženej v súvislosti s porušením alebo nesplnením vymáhanej povinnosti), ak sú vymáhané v tom istom exekučnom konaní. Ide najmä o situácie, v ktorých sa vymáha splnenie určitého nepeňažného plnenia (napr. omisívna povinnosť), ktoré má buď trváci alebo opakujúci sa charakter, a v súvislosti s jeho vymáhaním došlo k uloženiu pokuty/pokút (donucovacia koncepcia napr. pri vymáhaní nezastupiteľných prác a výkonov) alebo k náhradnému uspokojeniu oprávneného na trovy a nebezpečenstvo povinného. Ďalej sa nezastavujú staré exekúcie, v ktorých ide o vymoženie pohľadávky, ktorá vznikla pri realizácii spoločných programov Slovenskej republiky a Európskej únie, ktoré sú financované z fondov Európskej únie, a to z dôvodu existencie špecifických pravidiel platných pre tieto pohľadávky, ktoré vyplývajú z legislatívy Európskej Únie a následne sú prenesené aj do právneho poriadku Slovenskej republiky. Tieto pravidlá neumožňujú členskému štátu odpustiť pohľadávku voči prijímateľom, pretože ide o prenesenú pohľadávku, ktorá je následne vysporiadaná voči všeobecnému rozpočtu Európskej Únie, pričom celý proces vysporiadania je podrobne monitorovaný a vykazovaný. Vo vzťahu k plneniam priznaných rozhodnutím inštitúcie, orgánu, úradu či agentúry Európskej Únie možno výkon takéhoto rozhodnutia zastaviť podľa čl. 299 Zmluvy o fungovaní Európskej Únie len rozhodnutím Súdneho dvora Európskej únie. Plnenia priznané na základe rozhodnutia správneho orgánu vo veciach porušenia pravidiel hospodárskej súťaže sú taktiež vyňaté z návrhu zákona, nakoľko v týchto prípadoch ide o najmä o pohľadávky uspokojované z majetku povinného nachádzajúceho sa v zahraničí. </w:t>
      </w:r>
    </w:p>
    <w:p w:rsidR="003E6078" w:rsidRPr="007C3190" w:rsidRDefault="003E6078" w:rsidP="003E6078">
      <w:pPr>
        <w:jc w:val="both"/>
      </w:pPr>
    </w:p>
    <w:p w:rsidR="003E6078" w:rsidRPr="007C3190" w:rsidRDefault="003E6078" w:rsidP="003E6078">
      <w:pPr>
        <w:jc w:val="both"/>
      </w:pPr>
      <w:r w:rsidRPr="007C3190">
        <w:t>Stará exekúcia, v ktorej bol v posledných 18 mesiacoch pred jej zastavením dosiahnutý výťažok spolu aspoň vo výške 15 eur sa taktiež nezastavuje, nakoľko v tomto prípade je existencia výnimky odôvodnená najmä tou skutočnosťou, že v starej exekúcii, v ktorej bol v období blízkom momentu, kedy sa má zastaviť, dosiahnutý výťažok aspoň sčasti, t. j. nejde o nemajetnú starú exekúciu. Stará exekúcia sa taktiež nezastavuje v prípade, ak je vedená voči tzv. večným subjektom práva. Ich rozsah je vymedzený predpismi konkurzného práva.</w:t>
      </w:r>
    </w:p>
    <w:p w:rsidR="003E6078" w:rsidRPr="007C3190" w:rsidRDefault="003E6078" w:rsidP="003E6078">
      <w:pPr>
        <w:jc w:val="both"/>
      </w:pPr>
    </w:p>
    <w:p w:rsidR="003E6078" w:rsidRPr="007C3190" w:rsidRDefault="003E6078" w:rsidP="003E6078">
      <w:pPr>
        <w:jc w:val="both"/>
      </w:pPr>
      <w:r w:rsidRPr="007C3190">
        <w:t>K § 3</w:t>
      </w:r>
    </w:p>
    <w:p w:rsidR="003E6078" w:rsidRPr="007C3190" w:rsidRDefault="003E6078" w:rsidP="003E6078">
      <w:pPr>
        <w:jc w:val="both"/>
      </w:pPr>
      <w:r w:rsidRPr="007C3190">
        <w:t>V odseku 1 sa vymedzuje  časový rámec, tzv. rozhodná doba, uplynutie ktorej je obligatórnym zákonným predpokladom pre zastavenie starých exekúcii (ex lege) podľa § 2 ods. 1 písm. a) návrhu zákona.  Rozhodnou dobou je doba piatich rokov, ktorá sa počíta od doručenia prvotného poverenia na vykonanie exekúcie exekútorovi; na zmenu exekútora počas vedeného exekučného konania sa neprihliada (t. j. bez ohľadu na zmeny exekútorov počas vedenia exekučného konania). Ustanovenie § 4 upravuje prípady, kedy dochádza k predĺženiu rozhodnej doby, uplynutie ktorej je nevyhnutné pre zastavenie starej exekúcie podľa § 2 ods. 1 písm. a) návrhu zákona. Predĺženie rozhodnej doby prichádza do úvahy v prípade existencie relevantného dôvodu, ktorým je najmä súdne konanie o incidenčnej otázke v exekučnom konaní.</w:t>
      </w:r>
    </w:p>
    <w:p w:rsidR="003E6078" w:rsidRPr="007C3190" w:rsidRDefault="003E6078" w:rsidP="003E6078">
      <w:pPr>
        <w:jc w:val="both"/>
      </w:pPr>
    </w:p>
    <w:p w:rsidR="003E6078" w:rsidRPr="007C3190" w:rsidRDefault="003E6078" w:rsidP="003E6078">
      <w:pPr>
        <w:jc w:val="both"/>
      </w:pPr>
      <w:r w:rsidRPr="007C3190">
        <w:t xml:space="preserve">Odsek 2 upravuje  právnu fikciu, ktorá slúži najmä na zjednodušenie a pomoc pri aplikácii osobitných právnych predpisov súvisiacich primárne s vedením účtovníctva. Ide o relatívne nevyvrátiteľnú domnienku nemajetnosti povinného v starej exekúcii. Účelom tejto právnej fikcie je vymedziť, že zastavenie starej exekúcie z dôvodu uplynutia rozhodnej doby je </w:t>
      </w:r>
      <w:r w:rsidRPr="007C3190">
        <w:lastRenderedPageBreak/>
        <w:t>v skutočnosti čo do dôsledkov podľa osobitných predpisov (napr. predpisy o účtovníctve) rovnakým dôvodom pre jej zastavenie ako tzv. nemajetnosť povinného.</w:t>
      </w:r>
    </w:p>
    <w:p w:rsidR="003E6078" w:rsidRPr="007C3190" w:rsidRDefault="003E6078" w:rsidP="003E6078">
      <w:pPr>
        <w:jc w:val="both"/>
        <w:rPr>
          <w:b/>
        </w:rPr>
      </w:pPr>
    </w:p>
    <w:p w:rsidR="003E6078" w:rsidRPr="007C3190" w:rsidRDefault="003E6078" w:rsidP="003E6078">
      <w:pPr>
        <w:jc w:val="both"/>
      </w:pPr>
      <w:r w:rsidRPr="007C3190">
        <w:t>K § 4</w:t>
      </w:r>
    </w:p>
    <w:p w:rsidR="003E6078" w:rsidRPr="007C3190" w:rsidRDefault="003E6078" w:rsidP="003E6078">
      <w:pPr>
        <w:jc w:val="both"/>
      </w:pPr>
      <w:r w:rsidRPr="007C3190">
        <w:t>Keďže zastavenie starých exekúcií sa týka relatívne vysokého počtu starých exekúcií, môže nastať situácia, kedy súd v exekučnom konaní rieši určitú incidenčnú otázku. Ponecháva sa preto priestor na to, aby súd túto incidenčnú otázku pre potreby exekučného konania (ale aj vymáhaného nároku a teda aj právnej istoty) vyriešil, a preto je tu relevantný dôvod na predĺženie päťročnej rozhodnej doby, uplynutie ktorej sa obligatórne vyžaduje pre zastavenie starej exekúcie podľa § 2 ods. 1 písm. a) návrhu zákona.</w:t>
      </w:r>
    </w:p>
    <w:p w:rsidR="003E6078" w:rsidRPr="007C3190" w:rsidRDefault="003E6078" w:rsidP="003E6078">
      <w:pPr>
        <w:jc w:val="both"/>
      </w:pPr>
    </w:p>
    <w:p w:rsidR="003E6078" w:rsidRPr="007C3190" w:rsidRDefault="003E6078" w:rsidP="003E6078">
      <w:pPr>
        <w:jc w:val="both"/>
      </w:pPr>
      <w:r w:rsidRPr="007C3190">
        <w:t>Prvým dôvodom pre predĺženie rozhodnej doby je odklad starej exekúcie. Ak v čase, kedy sa má stará exekúcia podľa návrhu zákona zastaviť [t. j. uplynutím rozhodnej doby podľa § 2 ods. 1 písm. a)] súd rozhoduje o odklade starej exekúcie a odklad starej exekúcie povolí, alebo ak je odklad starej exekúcie povolený alebo je stará exekúcia odložená ex lege, rozhodná doba sa predĺži o 12 mesiacov. Rozhodná doba sa predĺži o 12 mesiacov až od okamihu, kedy uplynie doba, na ktorú je stará exekúcia odložená, t. j. do rozhodnej doby sa započítava aj doba, počas ktorej bola stará exekúcia odložená. Ustanovenie vytvára adekvátny priestor na postihnutie majetku povinných po skončení povoleného odkladu starej exekúcie, resp. po ukončení odkladu starej exekúcie ex lege.</w:t>
      </w:r>
    </w:p>
    <w:p w:rsidR="003E6078" w:rsidRPr="007C3190" w:rsidRDefault="003E6078" w:rsidP="003E6078">
      <w:pPr>
        <w:jc w:val="both"/>
      </w:pPr>
    </w:p>
    <w:p w:rsidR="003E6078" w:rsidRPr="007C3190" w:rsidRDefault="003E6078" w:rsidP="003E6078">
      <w:pPr>
        <w:jc w:val="both"/>
      </w:pPr>
      <w:r w:rsidRPr="007C3190">
        <w:t>Ďalšími dôvodmi pre predĺženie rozhodnej doby sú špecifické procesné situácie, ktoré vecne odôvodňujú vytvorenie dostatočného časového priestoru na zastavenie starej exekúcie zo zákona. V týchto prípadoch rozhodná doba nemôže uplynúť skôr, ako uplynie 12 mesiacov od právoplatnosti rozhodnutia súdu, ktorým rozhodol o návrhoch uvedených v odseku 2 písm. a) až g). To však platí len v tých prípadoch, v ktorých súd o návrhoch uvedených v odseku 2 písm. a) až g) rozhodoval v čase, kedy sa má stará exekúcia zastaviť podľa návrhu zákona (v čase zastavenia starej exekúcie ex lege), t. j. ak bol návrh na konanie a rozhodovanie podľa odseku 2 písm. a) až g) podaný pred zastavením starej exekúcie podľa ustanovení návrhu zákona.</w:t>
      </w:r>
    </w:p>
    <w:p w:rsidR="003E6078" w:rsidRPr="007C3190" w:rsidRDefault="003E6078" w:rsidP="003E6078">
      <w:pPr>
        <w:jc w:val="both"/>
      </w:pPr>
    </w:p>
    <w:p w:rsidR="003E6078" w:rsidRPr="007C3190" w:rsidRDefault="003E6078" w:rsidP="003E6078">
      <w:pPr>
        <w:jc w:val="both"/>
      </w:pPr>
      <w:r w:rsidRPr="007C3190">
        <w:t>K § 5</w:t>
      </w:r>
    </w:p>
    <w:p w:rsidR="003E6078" w:rsidRPr="007C3190" w:rsidRDefault="003E6078" w:rsidP="003E6078">
      <w:pPr>
        <w:jc w:val="both"/>
      </w:pPr>
      <w:r w:rsidRPr="007C3190">
        <w:t>Zastavenie starej exekúcie podľa návrhu zákona nastáva ex lege, pričom exekútor túto skutočnosť deklaruje formou vydania upovedomenia o zastavení starej exekúcie, prípadne súd vydaním uznesenia, ktorým určí, že došlo k zastaveniu starej exekúcie (§ 8 ods. 2). Vzor upovedomenia o zastavení starej exekúcie vypracuje Slovenská komora exekútorov v spolupráci s Ministerstvom spravodlivosti Slovenskej republiky a následne zverejní na svojom webovom sídle vo formáte, ktorý je strojovo čitateľný. V ustanovení odseku 2 sa vymedzujú obligatórne náležitosti upovedomenia o zastavení starej exekúcie, ktorých výpočet je taxatívny.</w:t>
      </w:r>
    </w:p>
    <w:p w:rsidR="003E6078" w:rsidRPr="007C3190" w:rsidRDefault="003E6078" w:rsidP="003E6078">
      <w:pPr>
        <w:jc w:val="both"/>
      </w:pPr>
    </w:p>
    <w:p w:rsidR="003E6078" w:rsidRPr="007C3190" w:rsidRDefault="003E6078" w:rsidP="003E6078">
      <w:pPr>
        <w:jc w:val="both"/>
      </w:pPr>
      <w:r w:rsidRPr="007C3190">
        <w:t>Odsek 3 upravuje lehoty, v ktorých exekútor po zastavení starej exekúcie upovedomenie o zastavení starej exekúcie odošle oprávnenému, pričom návrh zákona rozlišuje dve lehoty v závislosti od toho, či dôvod zastavenia starej exekúcie vznikol ku dňu nadobudnutia účinnosti návrhu zákona (180 dní) alebo tento dôvod vznikol v priebehu účinnosti návrhu zákona (120 dní). Navrhovaná dĺžka lehôt na zaslanie upovedomenia o zastavení starej exekúcie spolu s výzvou na úhradu paušálnych trov je odôvodnená najmä vysokým počtom starých exekúcií, pretože tu je potrebné poskytnúť exekútorovi dostatočný časový priestor jednak na zistenie dôvodu zastavenia starej exekúcie a jednak na vyhotovenie a odoslanie upovedomenia o zastavení starej exekúcie.</w:t>
      </w:r>
    </w:p>
    <w:p w:rsidR="003E6078" w:rsidRPr="007C3190" w:rsidRDefault="003E6078" w:rsidP="003E6078">
      <w:pPr>
        <w:jc w:val="both"/>
      </w:pPr>
    </w:p>
    <w:p w:rsidR="003E6078" w:rsidRPr="007C3190" w:rsidRDefault="003E6078" w:rsidP="003E6078">
      <w:pPr>
        <w:jc w:val="both"/>
      </w:pPr>
      <w:r w:rsidRPr="007C3190">
        <w:t xml:space="preserve">Upovedomenie o zastavení starej exekúcie obsahuje všetky potrebné informácie o vymáhanej pohľadávke a trovách starej exekúcie a preto vzhľadom na účel návrhu zákona, ako aj z dôvodov urýchleného ukončenia starých exekučných konaní a odbúrania administratívnej záťaže, sa nevyžaduje splnenie povinnosti exekútora zaslať konečné vyúčtovanie exekučného konania (§ 60 ods. 2 Exekučného poriadku účinného do 31. marca 2017). Upovedomenie o zastavení starej exekúcie obsahuje obligatórne aj výzvu na úhradu paušálnych trov. </w:t>
      </w:r>
    </w:p>
    <w:p w:rsidR="003E6078" w:rsidRPr="007C3190" w:rsidRDefault="003E6078" w:rsidP="003E6078">
      <w:pPr>
        <w:jc w:val="both"/>
      </w:pPr>
    </w:p>
    <w:p w:rsidR="003E6078" w:rsidRPr="007C3190" w:rsidRDefault="003E6078" w:rsidP="003E6078">
      <w:pPr>
        <w:jc w:val="both"/>
      </w:pPr>
      <w:r w:rsidRPr="007C3190">
        <w:t>Odsek 4 ukladá exekútorovi povinnosť zrušiť upovedomenie o zastavení starej exekúcie vydané z dôvodu existencie účinkov vyhlásenia konkurzu [§ 2 ods. 1 písm. d)], ak bol konkurz zrušený z dôvodu, že tu neboli predpoklady na vedenie konkurzu podľa zákona č. 7/2005 Z. z. o konkurze a reštrukturalizácii a o zmene a doplnení niektorých zákonov.</w:t>
      </w:r>
    </w:p>
    <w:p w:rsidR="003E6078" w:rsidRPr="007C3190" w:rsidRDefault="003E6078" w:rsidP="003E6078">
      <w:pPr>
        <w:jc w:val="both"/>
      </w:pPr>
    </w:p>
    <w:p w:rsidR="003E6078" w:rsidRPr="007C3190" w:rsidRDefault="003E6078" w:rsidP="003E6078">
      <w:pPr>
        <w:jc w:val="both"/>
      </w:pPr>
      <w:r w:rsidRPr="007C3190">
        <w:t>K § 6</w:t>
      </w:r>
    </w:p>
    <w:p w:rsidR="003F4775" w:rsidRPr="007C3190" w:rsidRDefault="003E6078" w:rsidP="005D0BA0">
      <w:pPr>
        <w:jc w:val="both"/>
      </w:pPr>
      <w:r w:rsidRPr="007C3190">
        <w:t>Celkové trovy starej exekúcie exekútora pozostávajú zo súčtu sumy, ktorú si exekútor už na trovách starej exekúcie v súlade s pravidlami pre čiastočné vymoženie nároku oprávnene ponechal a paušálnych trov starej exekúcie exekútora vzniknuté v súvislosti so zastavením starej exekúcie (ďalej len „paušálne trovy“)</w:t>
      </w:r>
      <w:r w:rsidR="003F4775" w:rsidRPr="007C3190">
        <w:t>, ktoré sú vo výške 35 eur bez dane z pridanej hodnoty, t. j. ak je advokát platiteľom dane z pridanej hodnoty, zvyšuje sa výška týchto paušálnych trov o daň z pridanej hodnoty. Na úhradu iných trov starej exekúcie, ako trov uvedených v prvej vete, nemá exekútor nárok.</w:t>
      </w:r>
    </w:p>
    <w:p w:rsidR="003E6078" w:rsidRPr="007C3190" w:rsidRDefault="003E6078" w:rsidP="003E6078">
      <w:pPr>
        <w:jc w:val="both"/>
      </w:pPr>
    </w:p>
    <w:p w:rsidR="003E6078" w:rsidRPr="007C3190" w:rsidRDefault="003E6078" w:rsidP="003E6078">
      <w:pPr>
        <w:jc w:val="both"/>
      </w:pPr>
      <w:r w:rsidRPr="007C3190">
        <w:t>Paušálne trovy znáša oprávnený a aj keď v tomto prípade paušálne trovy zaplatí oprávnený, z pohľadu „práva hmotného“ sa stanú príslušenstvom pohľadávky (ako náklady spojené s uplatnením pohľadávky). Uvedené znamená to, že v prípade podania opätovného návrhu na vykonanie exekúcie môže oprávnený požadovať ich náhradu ako úhradu nákladov spojených s uplatnením pohľadávky.</w:t>
      </w:r>
    </w:p>
    <w:p w:rsidR="003E6078" w:rsidRPr="007C3190" w:rsidRDefault="003E6078" w:rsidP="003E6078">
      <w:pPr>
        <w:jc w:val="both"/>
      </w:pPr>
    </w:p>
    <w:p w:rsidR="003E6078" w:rsidRPr="007C3190" w:rsidRDefault="003E6078" w:rsidP="003E6078">
      <w:pPr>
        <w:jc w:val="both"/>
      </w:pPr>
      <w:r w:rsidRPr="007C3190">
        <w:t>Návrh zákona vytvára špecifický exekučný titul na vymoženie paušálnych trov, ktoré neboli uhradené do ustanovenej lehoty, ktorým je upovedomenie o zastavení starej exekúcie s výzvou na úhradu paušálnych trov. Pre podanie návrhu na vykonanie exekúcie na základe takéhoto exekučného titulu sa nebude vyžadovať potvrdenie o vykonateľnosti, avšak upovedomenie o zastavení starej exekúcie s výzvou na úhradu paušálnych trov musí obsahovať všetky obligatórne náležitosti a musí byť splnená podmienka zaslania v zmysle § 5 ods. 3 návrhu zákona. V prípade, ak súdny exekútor nevydá a nezašle upovedomenie o zastavení starej exekúcie s výzvou na úhradu paušálnych trov v súlade s § 5 návrhu zákona, nesplnenie týchto zákonných povinností má za následok stratu nároku exekútora na paušálne trovy. Strata nároku exekútora na paušálne trovy je taktiež dôsledkom nezapísania starej exekúcie do centrálneho registra exekúcií podľa ustanovení Exekučného poriadku účinného do 31. marca 2017.</w:t>
      </w:r>
    </w:p>
    <w:p w:rsidR="003E6078" w:rsidRPr="007C3190" w:rsidRDefault="003E6078" w:rsidP="003E6078">
      <w:pPr>
        <w:jc w:val="both"/>
      </w:pPr>
    </w:p>
    <w:p w:rsidR="003E6078" w:rsidRPr="007C3190" w:rsidRDefault="003E6078" w:rsidP="003E6078">
      <w:pPr>
        <w:jc w:val="both"/>
      </w:pPr>
      <w:r w:rsidRPr="007C3190">
        <w:t>K § 7</w:t>
      </w:r>
    </w:p>
    <w:p w:rsidR="003E6078" w:rsidRPr="007C3190" w:rsidRDefault="003E6078" w:rsidP="003E6078">
      <w:pPr>
        <w:jc w:val="both"/>
      </w:pPr>
      <w:r w:rsidRPr="007C3190">
        <w:t xml:space="preserve">Pre prípad vydania upovedomenia o zastavení starej exekúcie v rozpore s týmto zákonom (napr. v prípade vydania upovedomenia predčasne alebo bez splnenia podmienok zákonných predpokladov pre zastavenie starej exekúcie) návrh zákona poskytuje oprávnenému opravný prostriedok vo forme námietok. Súčasne sa upravuje aktívna procesná legitimácia na podanie námietok v prospech oprávneného, lehota a miesto na ich podanie, ako aj spôsob, akým sa súd (súd, ktorý vedie exekučné konanie podľa predpisov účinných do 31. marca 2017) vysporiada s podanými námietkami proti upovedomeniu o zastavení starej exekúcie. Keďže trovy </w:t>
      </w:r>
      <w:r w:rsidRPr="007C3190">
        <w:lastRenderedPageBreak/>
        <w:t xml:space="preserve">exekúcie exekútora sa určujú paušálnou sumou, nepripúšťajú sa námietky proti paušálnym trovám. </w:t>
      </w:r>
    </w:p>
    <w:p w:rsidR="003E6078" w:rsidRPr="007C3190" w:rsidRDefault="003E6078" w:rsidP="003E6078">
      <w:pPr>
        <w:jc w:val="both"/>
      </w:pPr>
    </w:p>
    <w:p w:rsidR="003E6078" w:rsidRPr="007C3190" w:rsidRDefault="003E6078" w:rsidP="003E6078">
      <w:pPr>
        <w:jc w:val="both"/>
      </w:pPr>
      <w:r w:rsidRPr="007C3190">
        <w:t>Ak oprávnený nepodá námietky proti upovedomeniu o zastavení starej exekúcie v zákonom ustanovenej lehote, exekútor doručí súdu toto upovedomenie o zastavení starej exekúcie, a to v lehote 30 dní od uplynutia lehoty na podanie námietok, pričom doručením upovedomenia o zastavení starej exekúcie súdu sa exekučné konanie končí a poverenie na vykonanie exekúcie sa považuje za vrátené.</w:t>
      </w:r>
    </w:p>
    <w:p w:rsidR="003E6078" w:rsidRPr="007C3190" w:rsidRDefault="003E6078" w:rsidP="003E6078">
      <w:pPr>
        <w:jc w:val="both"/>
      </w:pPr>
    </w:p>
    <w:p w:rsidR="003E6078" w:rsidRPr="007C3190" w:rsidRDefault="003E6078" w:rsidP="003E6078">
      <w:pPr>
        <w:jc w:val="both"/>
      </w:pPr>
      <w:r w:rsidRPr="007C3190">
        <w:t>Ak oprávnený podá námietky proti upovedomeniu o zastavení starej exekúcie odôvodnene, súd týmto námietkam vyhovie tak, že upovedomenie o zastavení starej exekúcie zruší a exekútor pokračuje vo vedenej starej exekúcii. Ak boli podané námietky proti starej exekúcii oneskorene alebo neboli splnené iné procesné podmienky pre podanie týchto námietok (neprípustné námietky), napr. z dôvodu absencie aktívnej vecnej legitimácie, procesnej subjektivity a pod., súd tieto námietky uznesením odmietne. Vecne neodôvodnené námietky (neunesenie bremena tvrdenia alebo dôkazného bremeno) súd uznesením zamietne. Rozhodnutie o námietkach doručuje súd oprávnenému a exekútorovi, povinnému sa toto rozhodnutie nedoručuje.</w:t>
      </w:r>
    </w:p>
    <w:p w:rsidR="003E6078" w:rsidRPr="007C3190" w:rsidRDefault="003E6078" w:rsidP="003E6078">
      <w:pPr>
        <w:jc w:val="both"/>
      </w:pPr>
    </w:p>
    <w:p w:rsidR="003E6078" w:rsidRPr="007C3190" w:rsidRDefault="003E6078" w:rsidP="003E6078">
      <w:pPr>
        <w:jc w:val="both"/>
      </w:pPr>
      <w:r w:rsidRPr="007C3190">
        <w:t>K § 8</w:t>
      </w:r>
    </w:p>
    <w:p w:rsidR="003E6078" w:rsidRPr="007C3190" w:rsidRDefault="003E6078" w:rsidP="003E6078">
      <w:pPr>
        <w:jc w:val="both"/>
      </w:pPr>
      <w:r w:rsidRPr="007C3190">
        <w:t xml:space="preserve">Exekúcia je len špecifickým časovým úsekom v rámci exekučného konania, preto návrh zákona pre staré exekúcie osobitne rieši vlastné ukončenie starého exekučného konania. Pre potreby starých exekúcií nie je potrebné, aby exekútor po ukončení exekučného konania </w:t>
      </w:r>
      <w:r w:rsidRPr="007C3190">
        <w:rPr>
          <w:i/>
        </w:rPr>
        <w:t>in natura</w:t>
      </w:r>
      <w:r w:rsidRPr="007C3190">
        <w:t xml:space="preserve"> vracal pôvodné poverenie na vykonanie exekúcie; poverenie na vykonanie exekúcie sa považuje za vrátené ukončením exekučného konania (fikcia). Ukončenie exekučného konania exekútor oznamuje oprávnenému; oznámenie ukončenia exekučného konania povinnému nemá opodstatnenie, pretože túto skutočnosť si môže povinný zistiť z centrálneho registra exekúcií bezplatne. </w:t>
      </w:r>
    </w:p>
    <w:p w:rsidR="003E6078" w:rsidRPr="007C3190" w:rsidRDefault="003E6078" w:rsidP="003E6078">
      <w:pPr>
        <w:jc w:val="both"/>
      </w:pPr>
    </w:p>
    <w:p w:rsidR="003E6078" w:rsidRPr="007C3190" w:rsidRDefault="003E6078" w:rsidP="003E6078">
      <w:pPr>
        <w:jc w:val="both"/>
      </w:pPr>
      <w:r w:rsidRPr="007C3190">
        <w:t xml:space="preserve">Návrh zákona upravuje možnosť podať opätovne návrh na vykonanie exekúcie. V prípade, ak oprávnený (po komerčnej úvahe) dospeje k záveru o vhodnosti a účelnosti podania opätovného návrhu na vykonanie exekúcie (najmä ak je reálny predpoklad možnosti vymoženia pohľadávky oprávneného, napr. zo zabezpečeného majetku oprávneného, alebo existujú objektívne skutočnosti odôvodňujúce vymoženie pohľadávky oprávneného v blízkej budúcnosti), môže oprávnený tento opätovný návrh na vykonanie exekúcie realizovať, avšak už podľa súčasne platných a účinných procesných pravidiel. V súvislosti s opätovným návrhom na vykonanie exekúcie sa upravujú pravidlá, kedy ostanú účinky úkonov exekútora smerujúcich k zabezpečeniu majetku podliehajúcemu starej exekúcii zachované a kedy ostane zachované aj poradie starej exekúcie; podmienkou zachovania týchto účinkov je osvedčenie podania opätovného návrhu na vykonanie exekúcie exekútorovi oprávneným, t. j. preukázanie podania opätovného návrhu na vykonanie exekúcie, a to v lehote 30 dní od doručenia oznámenia o ukončení exekučného konania oprávnenému. Po uplynutí tejto lehoty exekútor bezodkladne zruší všetky úkony smerujúce k zabezpečeniu majetku povinného v starej exekúcii, ak mu oprávnený nepreukázal (neosvedčil) podanie opätovného návrhu na vykonanie exekúcie v zákonom ustanovenej lehote. Ak opätovný návrh na vykonanie exekúcie bol podaný a bol podaný v lehote 30 dní od doručenia oznámenia o ukončení exekučného konania, účinky úkonov smerujúcich k zabezpečeniu majetku povinného ostávajú zachované a nový exekútor je povinný požiadať pôvodného exekútora o doručenie príslušného exekučného spisu a pôvodný exekútor je povinný takejto žiadosti vyhovieť a exekučný spis bezodkladne zaslať novému exekútorovi. V prípade, ak bol opätovný návrh </w:t>
      </w:r>
      <w:r w:rsidRPr="007C3190">
        <w:lastRenderedPageBreak/>
        <w:t xml:space="preserve">na vykonanie exekúcie podaný až po lehote 30 dní od doručenia oznámenia o ukončení exekučného konania, účinky úkonov smerujúcich k zabezpečeniu majetku povinného neostávajú zachované a exekútor je povinný všetky tieto úkony zrušiť. </w:t>
      </w:r>
    </w:p>
    <w:p w:rsidR="003E6078" w:rsidRPr="007C3190" w:rsidRDefault="003E6078" w:rsidP="003E6078">
      <w:pPr>
        <w:jc w:val="both"/>
      </w:pPr>
    </w:p>
    <w:p w:rsidR="003E6078" w:rsidRPr="007C3190" w:rsidRDefault="003E6078" w:rsidP="003E6078">
      <w:pPr>
        <w:jc w:val="both"/>
      </w:pPr>
      <w:r w:rsidRPr="007C3190">
        <w:t>Ak bol opätovný návrh na vykonanie exekúcie podaný, avšak súd tomuto návrhu nevyhovel (nevydal poverenie, resp. odmietol návrh na vykonanie exekúcie), súd je povinný oznámiť pôvodnému exekútorovi túto skutočnosť, na základe čoho exekútor zruší bezodkladne všetky úkony smerujúce k zabezpečeniu majetku povinného, ktorých účinky ostali zachované. Ak súd vydá poverenie na vykonanie exekúcie na základe opätovného návrhu podaného v lehote 30 dní odo dňa doručenia oznámenia o ukončení exekučného konania, nový exekútor na základe dokladov v pôvodnom exekučnom spise pokračuje v exekúcii, pričom účinky všetkých úkonov smerujúcich k zabezpečeniu majetku podliehajúcemu starej exekúcii ostávajú zachované.</w:t>
      </w:r>
    </w:p>
    <w:p w:rsidR="003E6078" w:rsidRPr="007C3190" w:rsidRDefault="003E6078" w:rsidP="003E6078">
      <w:pPr>
        <w:jc w:val="both"/>
      </w:pPr>
    </w:p>
    <w:p w:rsidR="003E6078" w:rsidRPr="007C3190" w:rsidRDefault="003E6078" w:rsidP="003E6078">
      <w:pPr>
        <w:jc w:val="both"/>
      </w:pPr>
      <w:r w:rsidRPr="007C3190">
        <w:t>K § 9</w:t>
      </w:r>
    </w:p>
    <w:p w:rsidR="003E6078" w:rsidRPr="007C3190" w:rsidRDefault="003E6078" w:rsidP="003E6078">
      <w:pPr>
        <w:jc w:val="both"/>
      </w:pPr>
      <w:r w:rsidRPr="007C3190">
        <w:t>Zákon výslovne upravuje možnosť oprávneného po zastavení starej exekúcie podať opätovný návrh na vykonanie exekúcie, a to elektronicky prostredníctvom na to určeného formulára (repodaj). Na uľahčenie podania opätovného návrhu na vykonanie exekúcie sa umožňuje oprávnenému pôvodný exekučný titul predložiť vo forme „skenu“, t. j. zaručená konverzia sa nepožaduje. Na druhej strane sa k návrhu musí pripojiť elektronická podoba upovedomenia o zastavení starej exekúcie, aby exekučný súd vedel tento opätovný návrh na vykonanie exekúcie odlíšiť od iných návrhov na vykonanie exekúcie.</w:t>
      </w:r>
    </w:p>
    <w:p w:rsidR="003E6078" w:rsidRPr="007C3190" w:rsidRDefault="003E6078" w:rsidP="003E6078">
      <w:pPr>
        <w:jc w:val="both"/>
      </w:pPr>
    </w:p>
    <w:p w:rsidR="003E6078" w:rsidRPr="007C3190" w:rsidRDefault="003E6078" w:rsidP="003E6078">
      <w:pPr>
        <w:jc w:val="both"/>
      </w:pPr>
      <w:r w:rsidRPr="007C3190">
        <w:t>V odseku 2 sa upravuje výnimka pre prípady, kedy by po ukončení exekučného konania už uplynuli premlčacie doby pre vymoženie nároku. Ustanovenie sa samozrejme (a contrario) nepoužije v prípade, ak tieto doby už uplynuli pred ukončením exekučného konania. Účelom je vytvorenie dostatočného časového rámca pre oprávneného na zváženie opätovného podania návrhu na vykonanie exekúcie ako aj pre exekučný súd na spracovanie návrhov.</w:t>
      </w:r>
    </w:p>
    <w:p w:rsidR="003E6078" w:rsidRPr="007C3190" w:rsidRDefault="003E6078" w:rsidP="003E6078">
      <w:pPr>
        <w:jc w:val="both"/>
      </w:pPr>
    </w:p>
    <w:p w:rsidR="003E6078" w:rsidRPr="007C3190" w:rsidRDefault="003E6078" w:rsidP="003E6078">
      <w:pPr>
        <w:jc w:val="both"/>
      </w:pPr>
      <w:r w:rsidRPr="007C3190">
        <w:t>Pokiaľ ide o úpravu premlčania, bude v zásade platiť, že oprávnený v „začatom konaní riadne pokračuje“ (porovnaj § 112 Občianskeho zákonníka) aj vtedy, ak podá opätovný návrh na vykonanie exekúcie do jedného roka po ukončení exekučného konania podľa tohto návrhu zákona. Inými slovami, jednoročné obdobie po ukončení exekučného konania podľa tohto návrhu zákona má z hľadiska možnosti dlžníka namietať premlčanie (resp. možnosť nariadiť výkon rozhodnutia) rovnaké účinky, ako kedy počas tohto obdobia riadne prebiehalo exekučné konanie.</w:t>
      </w:r>
    </w:p>
    <w:p w:rsidR="003E6078" w:rsidRPr="007C3190" w:rsidRDefault="003E6078" w:rsidP="003E6078">
      <w:pPr>
        <w:jc w:val="both"/>
      </w:pPr>
    </w:p>
    <w:p w:rsidR="003E6078" w:rsidRPr="007C3190" w:rsidRDefault="003E6078" w:rsidP="003E6078">
      <w:pPr>
        <w:jc w:val="both"/>
      </w:pPr>
      <w:r w:rsidRPr="007C3190">
        <w:t>V prípade podania opätovného návrhu na vykonanie exekúcie (na vykonanie exekúcie zastavenej podľa tohto návrhu zákona) sa „nové“ exekučné konanie vedie už podľa predpisov platných a účinných v čase podania opätovného návrhu na začatie exekúcie, pričom oprávnený má nárok len na náhradu súdneho poplatku za návrh. Oprávnený nemá nárok na náhradu iných trov spojených s podaním opätovného návrhu na vykonanie exekúcie; oprávnený môže požadovať úhradu paušálnych trov od povinného ako náklady spojené s uplatnením pohľadávky.</w:t>
      </w:r>
    </w:p>
    <w:p w:rsidR="003E6078" w:rsidRPr="007C3190" w:rsidRDefault="003E6078" w:rsidP="003E6078">
      <w:pPr>
        <w:jc w:val="both"/>
      </w:pPr>
    </w:p>
    <w:p w:rsidR="003E6078" w:rsidRPr="007C3190" w:rsidRDefault="003E6078" w:rsidP="003E6078">
      <w:pPr>
        <w:jc w:val="both"/>
      </w:pPr>
      <w:r w:rsidRPr="007C3190">
        <w:t>K § 10</w:t>
      </w:r>
    </w:p>
    <w:p w:rsidR="003E6078" w:rsidRPr="007C3190" w:rsidRDefault="003E6078" w:rsidP="003E6078">
      <w:pPr>
        <w:jc w:val="both"/>
      </w:pPr>
      <w:r w:rsidRPr="007C3190">
        <w:t xml:space="preserve">Ustanovenie upravuje možnosť subsidiárneho použitia Exekučného poriadku (vždy v znení, podľa ktorého sa postupuje pri vedení starej exekúcie), pokiaľ tento zákon neupravuje inak. To znamená, že ustanovenia návrhu zákona nebránia príslušnému súdu do zastavenia starej exekúcie podľa tohto návrhu zákona napr. zastaviť starú exekúciu podľa ustanovení </w:t>
      </w:r>
      <w:r w:rsidRPr="007C3190">
        <w:lastRenderedPageBreak/>
        <w:t>Exekučného poriadku (účinného do 31. marca 2017), resp. rozhodnúť o iných otázkach, ktoré v priebehu „starého“ exekučného konania nastanú.</w:t>
      </w:r>
    </w:p>
    <w:p w:rsidR="003E6078" w:rsidRPr="007C3190" w:rsidRDefault="003E6078" w:rsidP="003E6078">
      <w:pPr>
        <w:jc w:val="both"/>
      </w:pPr>
    </w:p>
    <w:p w:rsidR="003E6078" w:rsidRPr="007C3190" w:rsidRDefault="003E6078" w:rsidP="003E6078">
      <w:pPr>
        <w:jc w:val="both"/>
      </w:pPr>
      <w:r w:rsidRPr="007C3190">
        <w:t xml:space="preserve">Ak tento zákon upravuje v súvislosti s ukončením starej exekúcie konanie a rozhodovanie súdu (príslušného súdu podľa predpisov účinných do 31. marca 2017), na príslušnom súde rozhodne na základe poverenia vyšší súdny úradník, proti ktorého rozhodnutiu je prípustná sťažnosť. </w:t>
      </w:r>
    </w:p>
    <w:p w:rsidR="003E6078" w:rsidRPr="007C3190" w:rsidRDefault="003E6078" w:rsidP="003E6078">
      <w:pPr>
        <w:jc w:val="both"/>
        <w:rPr>
          <w:b/>
          <w:u w:val="single"/>
        </w:rPr>
      </w:pPr>
    </w:p>
    <w:p w:rsidR="003E6078" w:rsidRPr="007C3190" w:rsidRDefault="003E6078" w:rsidP="003E6078">
      <w:pPr>
        <w:jc w:val="both"/>
        <w:rPr>
          <w:u w:val="single"/>
        </w:rPr>
      </w:pPr>
      <w:r w:rsidRPr="007C3190">
        <w:rPr>
          <w:u w:val="single"/>
        </w:rPr>
        <w:t>Čl. II</w:t>
      </w:r>
    </w:p>
    <w:p w:rsidR="003E6078" w:rsidRPr="007C3190" w:rsidRDefault="003E6078" w:rsidP="003E6078">
      <w:pPr>
        <w:jc w:val="both"/>
      </w:pPr>
    </w:p>
    <w:p w:rsidR="003E6078" w:rsidRPr="007C3190" w:rsidRDefault="003E6078" w:rsidP="003E6078">
      <w:pPr>
        <w:jc w:val="both"/>
      </w:pPr>
      <w:r w:rsidRPr="007C3190">
        <w:t>V súvislosti s návrhom zákona je potrebné v Exekučnom poriadku vecne upraviť zákonnú možnosť zastaviť starú exekúciu a ukončiť staré exekučné konanie osobitným predpisom, preto sa Exekučný poriadok doplní o navrhovanú  právnu úpravu. Účelom tejto právnej úpravy je predovšetkým predchádzať výkladovým problémom a nezrovnalostiam.</w:t>
      </w:r>
    </w:p>
    <w:p w:rsidR="003E6078" w:rsidRPr="007C3190" w:rsidRDefault="003E6078" w:rsidP="003E6078">
      <w:pPr>
        <w:jc w:val="both"/>
      </w:pPr>
    </w:p>
    <w:p w:rsidR="003E6078" w:rsidRPr="007C3190" w:rsidRDefault="003E6078" w:rsidP="003E6078">
      <w:pPr>
        <w:jc w:val="both"/>
        <w:rPr>
          <w:u w:val="single"/>
        </w:rPr>
      </w:pPr>
      <w:r w:rsidRPr="007C3190">
        <w:rPr>
          <w:u w:val="single"/>
        </w:rPr>
        <w:t>Čl. III</w:t>
      </w:r>
    </w:p>
    <w:p w:rsidR="003E6078" w:rsidRPr="007C3190" w:rsidRDefault="003E6078" w:rsidP="003E6078">
      <w:pPr>
        <w:jc w:val="both"/>
        <w:rPr>
          <w:color w:val="000000"/>
        </w:rPr>
      </w:pPr>
    </w:p>
    <w:p w:rsidR="003E6078" w:rsidRPr="007C3190" w:rsidRDefault="003E6078" w:rsidP="003E6078">
      <w:pPr>
        <w:jc w:val="both"/>
      </w:pPr>
      <w:r w:rsidRPr="007C3190">
        <w:t>Podľa navrhovanej úpravy sa bude za daňový výdavok podľa § 19 ods. 2 písm. h) piateho bodu zákona o dani z príjmov považovať aj odpis pohľadávky, ktorá bola zahrnutá do zdaniteľných príjmov, u ktorej bude upovedomením o zastavení starej exekúcie vyhotoveného exekútorom zastavené exekučné konanie pre nedostatok majetku podľa § 2 ods. 1 písm. a) a b) návrhu zákona. Rovnako to platí aj pri odpise pohľadávok z dôvodu zastavenia exekúcie pre nedostatok majetku podľa Exekučného poriadku. Ustanovenie sa prvýkrát uplatní na odpis pohľadávky na základe právoplatne ukončeného exekučného konania po nadobudnutí účinnosti návrhu zákona.</w:t>
      </w:r>
    </w:p>
    <w:p w:rsidR="003E6078" w:rsidRPr="007C3190" w:rsidRDefault="003E6078" w:rsidP="003E6078">
      <w:pPr>
        <w:jc w:val="both"/>
        <w:rPr>
          <w:u w:val="single"/>
        </w:rPr>
      </w:pPr>
    </w:p>
    <w:p w:rsidR="003E6078" w:rsidRPr="007C3190" w:rsidRDefault="003E6078" w:rsidP="003E6078">
      <w:pPr>
        <w:jc w:val="both"/>
        <w:rPr>
          <w:u w:val="single"/>
        </w:rPr>
      </w:pPr>
      <w:r w:rsidRPr="007C3190">
        <w:rPr>
          <w:u w:val="single"/>
        </w:rPr>
        <w:t>Čl. IV</w:t>
      </w:r>
    </w:p>
    <w:p w:rsidR="003E6078" w:rsidRPr="007C3190" w:rsidRDefault="003E6078" w:rsidP="003E6078">
      <w:pPr>
        <w:pStyle w:val="Normlnywebov"/>
        <w:jc w:val="both"/>
      </w:pPr>
      <w:r w:rsidRPr="007C3190">
        <w:t>Navrhuje sa účinnosť zákona k 1. januáru 2020</w:t>
      </w:r>
    </w:p>
    <w:p w:rsidR="003E6078" w:rsidRPr="007C3190" w:rsidRDefault="003E6078" w:rsidP="003E6078"/>
    <w:p w:rsidR="007528C3" w:rsidRPr="007C3190" w:rsidRDefault="007528C3" w:rsidP="007528C3">
      <w:pPr>
        <w:jc w:val="both"/>
      </w:pPr>
    </w:p>
    <w:p w:rsidR="002472D3" w:rsidRPr="007C3190" w:rsidRDefault="002472D3" w:rsidP="002472D3">
      <w:pPr>
        <w:jc w:val="both"/>
      </w:pPr>
      <w:r w:rsidRPr="007C3190">
        <w:t xml:space="preserve">V Bratislave, </w:t>
      </w:r>
      <w:r w:rsidR="007C3190" w:rsidRPr="007C3190">
        <w:t>24</w:t>
      </w:r>
      <w:r w:rsidR="003E6078" w:rsidRPr="007C3190">
        <w:t>. apríla 2019</w:t>
      </w:r>
    </w:p>
    <w:p w:rsidR="002472D3" w:rsidRDefault="002472D3" w:rsidP="007528C3">
      <w:pPr>
        <w:jc w:val="both"/>
      </w:pPr>
    </w:p>
    <w:p w:rsidR="002472D3" w:rsidRDefault="002472D3" w:rsidP="007528C3">
      <w:pPr>
        <w:jc w:val="both"/>
      </w:pPr>
    </w:p>
    <w:p w:rsidR="00204773" w:rsidRDefault="00204773" w:rsidP="007528C3">
      <w:pPr>
        <w:jc w:val="both"/>
      </w:pPr>
    </w:p>
    <w:p w:rsidR="002472D3" w:rsidRPr="00962FCA" w:rsidRDefault="002472D3" w:rsidP="007528C3">
      <w:pPr>
        <w:jc w:val="both"/>
      </w:pPr>
    </w:p>
    <w:p w:rsidR="007528C3" w:rsidRDefault="007528C3" w:rsidP="007528C3"/>
    <w:p w:rsidR="002472D3" w:rsidRPr="002472D3" w:rsidRDefault="002472D3" w:rsidP="002472D3">
      <w:pPr>
        <w:jc w:val="center"/>
        <w:rPr>
          <w:rFonts w:eastAsia="Times New Roman"/>
          <w:b/>
          <w:lang w:eastAsia="en-US"/>
        </w:rPr>
      </w:pPr>
      <w:r>
        <w:rPr>
          <w:rFonts w:eastAsia="Times New Roman"/>
          <w:b/>
          <w:lang w:eastAsia="en-US"/>
        </w:rPr>
        <w:t>Peter Pellegrini</w:t>
      </w:r>
      <w:r w:rsidR="00BE614F">
        <w:rPr>
          <w:rFonts w:eastAsia="Times New Roman"/>
          <w:b/>
          <w:lang w:eastAsia="en-US"/>
        </w:rPr>
        <w:t>,</w:t>
      </w:r>
      <w:r w:rsidRPr="002472D3">
        <w:rPr>
          <w:rFonts w:eastAsia="Times New Roman"/>
          <w:b/>
          <w:lang w:eastAsia="en-US"/>
        </w:rPr>
        <w:t xml:space="preserve"> v. r.</w:t>
      </w:r>
    </w:p>
    <w:p w:rsidR="002472D3" w:rsidRPr="002472D3" w:rsidRDefault="002472D3" w:rsidP="002472D3">
      <w:pPr>
        <w:jc w:val="center"/>
        <w:rPr>
          <w:rFonts w:eastAsia="Times New Roman"/>
          <w:lang w:eastAsia="en-US"/>
        </w:rPr>
      </w:pPr>
      <w:r w:rsidRPr="002472D3">
        <w:rPr>
          <w:rFonts w:eastAsia="Times New Roman"/>
          <w:lang w:eastAsia="en-US"/>
        </w:rPr>
        <w:t>predseda vlády Slovenskej republiky</w:t>
      </w:r>
    </w:p>
    <w:p w:rsidR="002472D3" w:rsidRPr="002472D3" w:rsidRDefault="002472D3" w:rsidP="002472D3">
      <w:pPr>
        <w:jc w:val="center"/>
        <w:rPr>
          <w:rFonts w:eastAsia="Times New Roman"/>
          <w:lang w:eastAsia="en-US"/>
        </w:rPr>
      </w:pPr>
    </w:p>
    <w:p w:rsidR="002472D3" w:rsidRPr="002472D3" w:rsidRDefault="002472D3" w:rsidP="002472D3">
      <w:pPr>
        <w:jc w:val="center"/>
        <w:rPr>
          <w:rFonts w:eastAsia="Times New Roman"/>
          <w:lang w:eastAsia="en-US"/>
        </w:rPr>
      </w:pPr>
    </w:p>
    <w:p w:rsidR="002472D3" w:rsidRDefault="002472D3" w:rsidP="002472D3">
      <w:pPr>
        <w:rPr>
          <w:rFonts w:eastAsia="Times New Roman"/>
          <w:lang w:eastAsia="en-US"/>
        </w:rPr>
      </w:pPr>
    </w:p>
    <w:p w:rsidR="00204773" w:rsidRPr="002472D3" w:rsidRDefault="00204773" w:rsidP="002472D3">
      <w:pPr>
        <w:rPr>
          <w:rFonts w:eastAsia="Times New Roman"/>
          <w:lang w:eastAsia="en-US"/>
        </w:rPr>
      </w:pPr>
    </w:p>
    <w:p w:rsidR="002472D3" w:rsidRPr="002472D3" w:rsidRDefault="002472D3" w:rsidP="002472D3">
      <w:pPr>
        <w:jc w:val="center"/>
        <w:rPr>
          <w:rFonts w:eastAsia="Times New Roman"/>
          <w:lang w:eastAsia="en-US"/>
        </w:rPr>
      </w:pPr>
    </w:p>
    <w:p w:rsidR="002472D3" w:rsidRPr="002472D3" w:rsidRDefault="002472D3" w:rsidP="002472D3">
      <w:pPr>
        <w:jc w:val="center"/>
        <w:rPr>
          <w:rFonts w:eastAsia="Times New Roman"/>
          <w:lang w:eastAsia="en-US"/>
        </w:rPr>
      </w:pPr>
    </w:p>
    <w:p w:rsidR="002472D3" w:rsidRPr="002472D3" w:rsidRDefault="002472D3" w:rsidP="002472D3">
      <w:pPr>
        <w:jc w:val="center"/>
        <w:rPr>
          <w:rFonts w:eastAsia="Times New Roman"/>
          <w:b/>
          <w:lang w:eastAsia="en-US"/>
        </w:rPr>
      </w:pPr>
      <w:r>
        <w:rPr>
          <w:rFonts w:eastAsia="Times New Roman"/>
          <w:b/>
          <w:lang w:eastAsia="en-US"/>
        </w:rPr>
        <w:t>Gábor Gál</w:t>
      </w:r>
      <w:r w:rsidR="00BE614F">
        <w:rPr>
          <w:rFonts w:eastAsia="Times New Roman"/>
          <w:b/>
          <w:lang w:eastAsia="en-US"/>
        </w:rPr>
        <w:t>,</w:t>
      </w:r>
      <w:r w:rsidRPr="002472D3">
        <w:rPr>
          <w:rFonts w:eastAsia="Times New Roman"/>
          <w:b/>
          <w:lang w:eastAsia="en-US"/>
        </w:rPr>
        <w:t xml:space="preserve"> v. r. </w:t>
      </w:r>
    </w:p>
    <w:p w:rsidR="002472D3" w:rsidRPr="002472D3" w:rsidRDefault="002472D3" w:rsidP="002472D3">
      <w:pPr>
        <w:jc w:val="center"/>
        <w:rPr>
          <w:rFonts w:eastAsia="Times New Roman"/>
          <w:lang w:eastAsia="en-US"/>
        </w:rPr>
      </w:pPr>
      <w:r>
        <w:rPr>
          <w:rFonts w:eastAsia="Times New Roman"/>
          <w:lang w:eastAsia="en-US"/>
        </w:rPr>
        <w:t>minister</w:t>
      </w:r>
      <w:r w:rsidRPr="002472D3">
        <w:rPr>
          <w:rFonts w:eastAsia="Times New Roman"/>
          <w:lang w:eastAsia="en-US"/>
        </w:rPr>
        <w:t xml:space="preserve"> spravodlivosti</w:t>
      </w:r>
    </w:p>
    <w:p w:rsidR="002472D3" w:rsidRPr="002472D3" w:rsidRDefault="002472D3" w:rsidP="002472D3">
      <w:pPr>
        <w:jc w:val="center"/>
        <w:rPr>
          <w:rFonts w:eastAsia="Times New Roman"/>
          <w:lang w:eastAsia="en-US"/>
        </w:rPr>
      </w:pPr>
      <w:r w:rsidRPr="002472D3">
        <w:rPr>
          <w:rFonts w:eastAsia="Times New Roman"/>
          <w:lang w:eastAsia="en-US"/>
        </w:rPr>
        <w:t>Slovenskej republiky</w:t>
      </w:r>
    </w:p>
    <w:p w:rsidR="007A12FA" w:rsidRDefault="007A12FA"/>
    <w:sectPr w:rsidR="007A12FA" w:rsidSect="00840575">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E30" w:rsidRDefault="00EB0E30">
      <w:r>
        <w:separator/>
      </w:r>
    </w:p>
  </w:endnote>
  <w:endnote w:type="continuationSeparator" w:id="0">
    <w:p w:rsidR="00EB0E30" w:rsidRDefault="00EB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ˇ¦|||||||||||||||||||||||||||"/>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6A" w:rsidRDefault="0051186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51186A" w:rsidRDefault="0051186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6A" w:rsidRDefault="0051186A">
    <w:pPr>
      <w:pStyle w:val="Pta"/>
      <w:jc w:val="right"/>
    </w:pPr>
    <w:r>
      <w:fldChar w:fldCharType="begin"/>
    </w:r>
    <w:r>
      <w:instrText>PAGE   \* MERGEFORMAT</w:instrText>
    </w:r>
    <w:r>
      <w:fldChar w:fldCharType="separate"/>
    </w:r>
    <w:r w:rsidR="00CD4D6F">
      <w:rPr>
        <w:noProof/>
      </w:rPr>
      <w:t>1</w:t>
    </w:r>
    <w:r>
      <w:fldChar w:fldCharType="end"/>
    </w:r>
  </w:p>
  <w:p w:rsidR="0051186A" w:rsidRDefault="0051186A">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6A" w:rsidRDefault="0051186A">
    <w:pPr>
      <w:pStyle w:val="Pta"/>
      <w:jc w:val="right"/>
    </w:pPr>
    <w:r>
      <w:fldChar w:fldCharType="begin"/>
    </w:r>
    <w:r>
      <w:instrText>PAGE   \* MERGEFORMAT</w:instrText>
    </w:r>
    <w:r>
      <w:fldChar w:fldCharType="separate"/>
    </w:r>
    <w:r>
      <w:rPr>
        <w:noProof/>
      </w:rPr>
      <w:t>0</w:t>
    </w:r>
    <w:r>
      <w:fldChar w:fldCharType="end"/>
    </w:r>
  </w:p>
  <w:p w:rsidR="0051186A" w:rsidRDefault="0051186A">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6A" w:rsidRPr="001D6749" w:rsidRDefault="0051186A">
    <w:pPr>
      <w:pStyle w:val="Pta"/>
      <w:jc w:val="right"/>
    </w:pPr>
    <w:r w:rsidRPr="001D6749">
      <w:fldChar w:fldCharType="begin"/>
    </w:r>
    <w:r w:rsidRPr="001D6749">
      <w:instrText>PAGE   \* MERGEFORMAT</w:instrText>
    </w:r>
    <w:r w:rsidRPr="001D6749">
      <w:fldChar w:fldCharType="separate"/>
    </w:r>
    <w:r w:rsidR="00CD4D6F">
      <w:rPr>
        <w:noProof/>
      </w:rPr>
      <w:t>17</w:t>
    </w:r>
    <w:r w:rsidRPr="001D6749">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6A" w:rsidRPr="001D6749" w:rsidRDefault="0051186A">
    <w:pPr>
      <w:pStyle w:val="Pta"/>
      <w:jc w:val="right"/>
    </w:pPr>
    <w:r w:rsidRPr="001D6749">
      <w:fldChar w:fldCharType="begin"/>
    </w:r>
    <w:r w:rsidRPr="001D6749">
      <w:instrText>PAGE   \* MERGEFORMAT</w:instrText>
    </w:r>
    <w:r w:rsidRPr="001D6749">
      <w:fldChar w:fldCharType="separate"/>
    </w:r>
    <w:r>
      <w:rPr>
        <w:noProof/>
      </w:rPr>
      <w:t>4</w:t>
    </w:r>
    <w:r w:rsidRPr="001D674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57" w:rsidRDefault="00882857">
    <w:pPr>
      <w:pStyle w:val="Pt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575" w:rsidRPr="00840575" w:rsidRDefault="00B01516">
    <w:pPr>
      <w:pStyle w:val="Pta"/>
      <w:jc w:val="center"/>
    </w:pPr>
    <w:r w:rsidRPr="00840575">
      <w:fldChar w:fldCharType="begin"/>
    </w:r>
    <w:r w:rsidRPr="00840575">
      <w:instrText>PAGE   \* MERGEFORMAT</w:instrText>
    </w:r>
    <w:r w:rsidRPr="00840575">
      <w:fldChar w:fldCharType="separate"/>
    </w:r>
    <w:r w:rsidR="00CD4D6F">
      <w:rPr>
        <w:noProof/>
      </w:rPr>
      <w:t>26</w:t>
    </w:r>
    <w:r w:rsidRPr="00840575">
      <w:fldChar w:fldCharType="end"/>
    </w:r>
  </w:p>
  <w:p w:rsidR="00164BA5" w:rsidRPr="00840575" w:rsidRDefault="00164BA5">
    <w:pPr>
      <w:pStyle w:val="Pt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57" w:rsidRDefault="0088285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E30" w:rsidRDefault="00EB0E30">
      <w:r>
        <w:separator/>
      </w:r>
    </w:p>
  </w:footnote>
  <w:footnote w:type="continuationSeparator" w:id="0">
    <w:p w:rsidR="00EB0E30" w:rsidRDefault="00EB0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6A" w:rsidRDefault="0051186A" w:rsidP="00651F82">
    <w:pPr>
      <w:pStyle w:val="Hlavika"/>
      <w:jc w:val="right"/>
    </w:pPr>
    <w:r>
      <w:t>Príloha č. 2</w:t>
    </w:r>
  </w:p>
  <w:p w:rsidR="0051186A" w:rsidRPr="00EB59C8" w:rsidRDefault="0051186A" w:rsidP="00651F82">
    <w:pPr>
      <w:pStyle w:val="Hlavik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6A" w:rsidRPr="000A15AE" w:rsidRDefault="0051186A" w:rsidP="00651F82">
    <w:pPr>
      <w:pStyle w:val="Hlavika"/>
      <w:jc w:val="right"/>
    </w:pPr>
    <w:r>
      <w:t>Príloha č.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6A" w:rsidRPr="00CD4982" w:rsidRDefault="0051186A" w:rsidP="00CD4982">
    <w:pPr>
      <w:tabs>
        <w:tab w:val="center" w:pos="4536"/>
        <w:tab w:val="right" w:pos="9072"/>
      </w:tabs>
      <w:jc w:val="right"/>
      <w:rPr>
        <w:rFonts w:eastAsia="Times New Roman"/>
      </w:rPr>
    </w:pPr>
    <w:r w:rsidRPr="001D6749">
      <w:rPr>
        <w:rFonts w:eastAsia="Times New Roman"/>
      </w:rPr>
      <w:t>Príloha č. 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6A" w:rsidRPr="00CD4982" w:rsidRDefault="0051186A" w:rsidP="00CD4982">
    <w:pPr>
      <w:tabs>
        <w:tab w:val="center" w:pos="4536"/>
        <w:tab w:val="right" w:pos="9072"/>
      </w:tabs>
      <w:jc w:val="right"/>
      <w:rPr>
        <w:rFonts w:eastAsia="Times New Roman"/>
      </w:rPr>
    </w:pPr>
    <w:r w:rsidRPr="001D6749">
      <w:rPr>
        <w:rFonts w:eastAsia="Times New Roman"/>
      </w:rPr>
      <w:t>Príloha č.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57" w:rsidRDefault="00882857">
    <w:pPr>
      <w:pStyle w:val="Hlavik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57" w:rsidRDefault="00882857">
    <w:pPr>
      <w:pStyle w:val="Hlavik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57" w:rsidRDefault="0088285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4C117E5B"/>
    <w:multiLevelType w:val="singleLevel"/>
    <w:tmpl w:val="5756D63E"/>
    <w:lvl w:ilvl="0">
      <w:start w:val="1"/>
      <w:numFmt w:val="decimal"/>
      <w:lvlText w:val="%1."/>
      <w:lvlJc w:val="left"/>
      <w:pPr>
        <w:tabs>
          <w:tab w:val="num" w:pos="360"/>
        </w:tabs>
        <w:ind w:left="360" w:hanging="360"/>
      </w:pPr>
      <w:rPr>
        <w:rFonts w:cs="Times New Roman" w:hint="default"/>
        <w:b/>
        <w:bCs/>
      </w:rPr>
    </w:lvl>
  </w:abstractNum>
  <w:abstractNum w:abstractNumId="3">
    <w:nsid w:val="51FE34AB"/>
    <w:multiLevelType w:val="singleLevel"/>
    <w:tmpl w:val="A9BC30E2"/>
    <w:lvl w:ilvl="0">
      <w:start w:val="1"/>
      <w:numFmt w:val="lowerLetter"/>
      <w:lvlText w:val="%1)"/>
      <w:lvlJc w:val="left"/>
      <w:pPr>
        <w:tabs>
          <w:tab w:val="num" w:pos="861"/>
        </w:tabs>
        <w:ind w:left="861" w:hanging="435"/>
      </w:pPr>
      <w:rPr>
        <w:rFonts w:cs="Times New Roman" w:hint="default"/>
      </w:rPr>
    </w:lvl>
  </w:abstractNum>
  <w:abstractNum w:abstractNumId="4">
    <w:nsid w:val="7E6A6D74"/>
    <w:multiLevelType w:val="hybridMultilevel"/>
    <w:tmpl w:val="EB42C24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C3"/>
    <w:rsid w:val="00042C66"/>
    <w:rsid w:val="00054114"/>
    <w:rsid w:val="00083549"/>
    <w:rsid w:val="000A15AE"/>
    <w:rsid w:val="000A3A70"/>
    <w:rsid w:val="000A50C1"/>
    <w:rsid w:val="000A6E0F"/>
    <w:rsid w:val="000C567A"/>
    <w:rsid w:val="000C6691"/>
    <w:rsid w:val="000C7176"/>
    <w:rsid w:val="000D2622"/>
    <w:rsid w:val="000F185F"/>
    <w:rsid w:val="000F3A96"/>
    <w:rsid w:val="00106150"/>
    <w:rsid w:val="00117A7E"/>
    <w:rsid w:val="00123289"/>
    <w:rsid w:val="0012731E"/>
    <w:rsid w:val="001316B6"/>
    <w:rsid w:val="00154881"/>
    <w:rsid w:val="00156FB4"/>
    <w:rsid w:val="00164BA5"/>
    <w:rsid w:val="00177F78"/>
    <w:rsid w:val="0019114D"/>
    <w:rsid w:val="001A5C71"/>
    <w:rsid w:val="001D6749"/>
    <w:rsid w:val="00204773"/>
    <w:rsid w:val="00212894"/>
    <w:rsid w:val="002472D3"/>
    <w:rsid w:val="002C2578"/>
    <w:rsid w:val="002E2B02"/>
    <w:rsid w:val="002E4B86"/>
    <w:rsid w:val="002E7CAD"/>
    <w:rsid w:val="00323560"/>
    <w:rsid w:val="00334B2F"/>
    <w:rsid w:val="00344223"/>
    <w:rsid w:val="00347035"/>
    <w:rsid w:val="00364386"/>
    <w:rsid w:val="003651EF"/>
    <w:rsid w:val="00394192"/>
    <w:rsid w:val="003B23A9"/>
    <w:rsid w:val="003B2BA1"/>
    <w:rsid w:val="003E6078"/>
    <w:rsid w:val="003F4775"/>
    <w:rsid w:val="0040544D"/>
    <w:rsid w:val="004458F8"/>
    <w:rsid w:val="00446181"/>
    <w:rsid w:val="00456621"/>
    <w:rsid w:val="004A184A"/>
    <w:rsid w:val="004B27A3"/>
    <w:rsid w:val="004B4D0F"/>
    <w:rsid w:val="004B5CDB"/>
    <w:rsid w:val="004C7091"/>
    <w:rsid w:val="004D744F"/>
    <w:rsid w:val="004F4EDA"/>
    <w:rsid w:val="0051186A"/>
    <w:rsid w:val="0052401A"/>
    <w:rsid w:val="00531C1C"/>
    <w:rsid w:val="00543B8E"/>
    <w:rsid w:val="00563700"/>
    <w:rsid w:val="005D0BA0"/>
    <w:rsid w:val="005E624C"/>
    <w:rsid w:val="00651F82"/>
    <w:rsid w:val="00662351"/>
    <w:rsid w:val="00673A2C"/>
    <w:rsid w:val="006B2DFD"/>
    <w:rsid w:val="006C68BB"/>
    <w:rsid w:val="006E7ACE"/>
    <w:rsid w:val="0070563C"/>
    <w:rsid w:val="00711E39"/>
    <w:rsid w:val="00721B4F"/>
    <w:rsid w:val="007528C3"/>
    <w:rsid w:val="007546C5"/>
    <w:rsid w:val="00754B65"/>
    <w:rsid w:val="00760EE3"/>
    <w:rsid w:val="00762420"/>
    <w:rsid w:val="00762D7D"/>
    <w:rsid w:val="007701C3"/>
    <w:rsid w:val="007A12FA"/>
    <w:rsid w:val="007B522D"/>
    <w:rsid w:val="007C3190"/>
    <w:rsid w:val="007D5748"/>
    <w:rsid w:val="007E0695"/>
    <w:rsid w:val="00805677"/>
    <w:rsid w:val="008174E1"/>
    <w:rsid w:val="00840575"/>
    <w:rsid w:val="00854184"/>
    <w:rsid w:val="00882857"/>
    <w:rsid w:val="008A1252"/>
    <w:rsid w:val="008D080F"/>
    <w:rsid w:val="008D339D"/>
    <w:rsid w:val="008D71D1"/>
    <w:rsid w:val="008F6DFB"/>
    <w:rsid w:val="009045EC"/>
    <w:rsid w:val="00915BB5"/>
    <w:rsid w:val="00962FCA"/>
    <w:rsid w:val="00984CFE"/>
    <w:rsid w:val="00984ECD"/>
    <w:rsid w:val="00991DDB"/>
    <w:rsid w:val="00994C53"/>
    <w:rsid w:val="009A09D4"/>
    <w:rsid w:val="009D1F1A"/>
    <w:rsid w:val="009D7034"/>
    <w:rsid w:val="009F5CC1"/>
    <w:rsid w:val="00A30F1C"/>
    <w:rsid w:val="00A46C04"/>
    <w:rsid w:val="00A62C99"/>
    <w:rsid w:val="00A823FA"/>
    <w:rsid w:val="00AD2B6E"/>
    <w:rsid w:val="00AE5991"/>
    <w:rsid w:val="00B01516"/>
    <w:rsid w:val="00B411B1"/>
    <w:rsid w:val="00B44DE3"/>
    <w:rsid w:val="00B660F7"/>
    <w:rsid w:val="00B938AC"/>
    <w:rsid w:val="00B976E2"/>
    <w:rsid w:val="00BA14F3"/>
    <w:rsid w:val="00BB2334"/>
    <w:rsid w:val="00BC68CC"/>
    <w:rsid w:val="00BE614F"/>
    <w:rsid w:val="00BE6FFF"/>
    <w:rsid w:val="00BF6FA7"/>
    <w:rsid w:val="00C04D9E"/>
    <w:rsid w:val="00C16937"/>
    <w:rsid w:val="00C346B1"/>
    <w:rsid w:val="00C579E9"/>
    <w:rsid w:val="00CA6BAF"/>
    <w:rsid w:val="00CB50C0"/>
    <w:rsid w:val="00CD095B"/>
    <w:rsid w:val="00CD4982"/>
    <w:rsid w:val="00CD4D6F"/>
    <w:rsid w:val="00D23BE2"/>
    <w:rsid w:val="00D26E25"/>
    <w:rsid w:val="00D325FD"/>
    <w:rsid w:val="00D56A49"/>
    <w:rsid w:val="00D57035"/>
    <w:rsid w:val="00D743DE"/>
    <w:rsid w:val="00DA4453"/>
    <w:rsid w:val="00DF5DD4"/>
    <w:rsid w:val="00E109DB"/>
    <w:rsid w:val="00E4359F"/>
    <w:rsid w:val="00E538C0"/>
    <w:rsid w:val="00EB0E30"/>
    <w:rsid w:val="00EB25E8"/>
    <w:rsid w:val="00EB267A"/>
    <w:rsid w:val="00EB59C8"/>
    <w:rsid w:val="00EF0160"/>
    <w:rsid w:val="00F04CCD"/>
    <w:rsid w:val="00F2597D"/>
    <w:rsid w:val="00FB3E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7528C3"/>
    <w:pPr>
      <w:spacing w:after="0" w:line="240" w:lineRule="auto"/>
    </w:pPr>
    <w:rPr>
      <w:rFonts w:ascii="Times New Roman" w:eastAsiaTheme="minorEastAsia" w:hAnsi="Times New Roman" w:cs="Times New Roman"/>
      <w:sz w:val="24"/>
      <w:szCs w:val="24"/>
      <w:lang w:eastAsia="sk-SK"/>
    </w:rPr>
  </w:style>
  <w:style w:type="paragraph" w:styleId="Nadpis2">
    <w:name w:val="heading 2"/>
    <w:basedOn w:val="Normlny"/>
    <w:next w:val="Normlny"/>
    <w:link w:val="Nadpis2Char"/>
    <w:uiPriority w:val="9"/>
    <w:unhideWhenUsed/>
    <w:qFormat/>
    <w:rsid w:val="00DF5DD4"/>
    <w:pPr>
      <w:keepNext/>
      <w:keepLines/>
      <w:spacing w:before="200" w:line="276" w:lineRule="auto"/>
      <w:outlineLvl w:val="1"/>
    </w:pPr>
    <w:rPr>
      <w:rFonts w:asciiTheme="majorHAnsi" w:eastAsiaTheme="majorEastAsia" w:hAnsiTheme="majorHAnsi"/>
      <w:b/>
      <w:bCs/>
      <w:color w:val="5B9BD5" w:themeColor="accent1"/>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DF5DD4"/>
    <w:rPr>
      <w:rFonts w:asciiTheme="majorHAnsi" w:eastAsiaTheme="majorEastAsia" w:hAnsiTheme="majorHAnsi" w:cs="Times New Roman"/>
      <w:b/>
      <w:bCs/>
      <w:color w:val="5B9BD5" w:themeColor="accent1"/>
      <w:sz w:val="26"/>
      <w:szCs w:val="26"/>
    </w:rPr>
  </w:style>
  <w:style w:type="paragraph" w:styleId="Hlavika">
    <w:name w:val="header"/>
    <w:basedOn w:val="Normlny"/>
    <w:link w:val="HlavikaChar"/>
    <w:uiPriority w:val="99"/>
    <w:unhideWhenUsed/>
    <w:rsid w:val="007528C3"/>
    <w:pPr>
      <w:tabs>
        <w:tab w:val="center" w:pos="4536"/>
        <w:tab w:val="right" w:pos="9072"/>
      </w:tabs>
    </w:pPr>
  </w:style>
  <w:style w:type="character" w:customStyle="1" w:styleId="HlavikaChar">
    <w:name w:val="Hlavička Char"/>
    <w:basedOn w:val="Predvolenpsmoodseku"/>
    <w:link w:val="Hlavika"/>
    <w:uiPriority w:val="99"/>
    <w:locked/>
    <w:rsid w:val="007528C3"/>
    <w:rPr>
      <w:rFonts w:ascii="Times New Roman" w:eastAsiaTheme="minorEastAsia" w:hAnsi="Times New Roman" w:cs="Times New Roman"/>
      <w:sz w:val="24"/>
      <w:szCs w:val="24"/>
      <w:lang w:val="x-none" w:eastAsia="sk-SK"/>
    </w:rPr>
  </w:style>
  <w:style w:type="paragraph" w:styleId="Pta">
    <w:name w:val="footer"/>
    <w:basedOn w:val="Normlny"/>
    <w:link w:val="PtaChar"/>
    <w:uiPriority w:val="99"/>
    <w:unhideWhenUsed/>
    <w:rsid w:val="007528C3"/>
    <w:pPr>
      <w:tabs>
        <w:tab w:val="center" w:pos="4536"/>
        <w:tab w:val="right" w:pos="9072"/>
      </w:tabs>
    </w:pPr>
  </w:style>
  <w:style w:type="character" w:customStyle="1" w:styleId="PtaChar">
    <w:name w:val="Päta Char"/>
    <w:basedOn w:val="Predvolenpsmoodseku"/>
    <w:link w:val="Pta"/>
    <w:uiPriority w:val="99"/>
    <w:locked/>
    <w:rsid w:val="007528C3"/>
    <w:rPr>
      <w:rFonts w:ascii="Times New Roman" w:eastAsiaTheme="minorEastAsia" w:hAnsi="Times New Roman" w:cs="Times New Roman"/>
      <w:sz w:val="24"/>
      <w:szCs w:val="24"/>
      <w:lang w:val="x-none" w:eastAsia="sk-SK"/>
    </w:rPr>
  </w:style>
  <w:style w:type="paragraph" w:styleId="Zarkazkladnhotextu3">
    <w:name w:val="Body Text Indent 3"/>
    <w:basedOn w:val="Normlny"/>
    <w:link w:val="Zarkazkladnhotextu3Char"/>
    <w:uiPriority w:val="99"/>
    <w:rsid w:val="007528C3"/>
    <w:pPr>
      <w:spacing w:after="120"/>
      <w:ind w:left="283"/>
    </w:pPr>
    <w:rPr>
      <w:rFonts w:eastAsia="Times New Roman"/>
      <w:sz w:val="16"/>
      <w:szCs w:val="16"/>
      <w:lang w:val="cs-CZ" w:eastAsia="cs-CZ"/>
    </w:rPr>
  </w:style>
  <w:style w:type="character" w:customStyle="1" w:styleId="Zarkazkladnhotextu3Char">
    <w:name w:val="Zarážka základného textu 3 Char"/>
    <w:basedOn w:val="Predvolenpsmoodseku"/>
    <w:link w:val="Zarkazkladnhotextu3"/>
    <w:uiPriority w:val="99"/>
    <w:locked/>
    <w:rsid w:val="007528C3"/>
    <w:rPr>
      <w:rFonts w:ascii="Times New Roman" w:hAnsi="Times New Roman" w:cs="Times New Roman"/>
      <w:sz w:val="16"/>
      <w:szCs w:val="16"/>
      <w:lang w:val="cs-CZ" w:eastAsia="cs-CZ"/>
    </w:rPr>
  </w:style>
  <w:style w:type="paragraph" w:styleId="Normlnywebov">
    <w:name w:val="Normal (Web)"/>
    <w:basedOn w:val="Normlny"/>
    <w:uiPriority w:val="99"/>
    <w:rsid w:val="007528C3"/>
    <w:pPr>
      <w:spacing w:before="100" w:beforeAutospacing="1" w:after="100" w:afterAutospacing="1"/>
    </w:pPr>
    <w:rPr>
      <w:rFonts w:eastAsia="Times New Roman"/>
    </w:rPr>
  </w:style>
  <w:style w:type="paragraph" w:customStyle="1" w:styleId="AODocTxt">
    <w:name w:val="AODocTxt"/>
    <w:basedOn w:val="Normlny"/>
    <w:link w:val="AODocTxtChar"/>
    <w:rsid w:val="00334B2F"/>
    <w:pPr>
      <w:spacing w:before="240" w:line="260" w:lineRule="atLeast"/>
      <w:jc w:val="both"/>
    </w:pPr>
    <w:rPr>
      <w:rFonts w:eastAsia="SimSun"/>
      <w:sz w:val="22"/>
      <w:szCs w:val="20"/>
      <w:lang w:val="en-GB" w:eastAsia="en-US"/>
    </w:rPr>
  </w:style>
  <w:style w:type="character" w:customStyle="1" w:styleId="AODocTxtChar">
    <w:name w:val="AODocTxt Char"/>
    <w:basedOn w:val="Predvolenpsmoodseku"/>
    <w:link w:val="AODocTxt"/>
    <w:locked/>
    <w:rsid w:val="00334B2F"/>
    <w:rPr>
      <w:rFonts w:ascii="Times New Roman" w:eastAsia="SimSun" w:hAnsi="Times New Roman" w:cs="Times New Roman"/>
      <w:sz w:val="20"/>
      <w:szCs w:val="20"/>
      <w:lang w:val="en-GB" w:eastAsia="x-none"/>
    </w:rPr>
  </w:style>
  <w:style w:type="character" w:styleId="Textzstupnhosymbolu">
    <w:name w:val="Placeholder Text"/>
    <w:basedOn w:val="Predvolenpsmoodseku"/>
    <w:uiPriority w:val="99"/>
    <w:rsid w:val="002C2578"/>
    <w:rPr>
      <w:rFonts w:cs="Times New Roman"/>
      <w:color w:val="808080"/>
    </w:rPr>
  </w:style>
  <w:style w:type="paragraph" w:customStyle="1" w:styleId="Default">
    <w:name w:val="Default"/>
    <w:rsid w:val="002C2578"/>
    <w:pPr>
      <w:autoSpaceDE w:val="0"/>
      <w:autoSpaceDN w:val="0"/>
      <w:adjustRightInd w:val="0"/>
      <w:spacing w:after="0" w:line="240" w:lineRule="auto"/>
    </w:pPr>
    <w:rPr>
      <w:rFonts w:ascii="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2C2578"/>
    <w:rPr>
      <w:rFonts w:cs="Times New Roman"/>
      <w:color w:val="0000FF"/>
      <w:u w:val="single"/>
    </w:rPr>
  </w:style>
  <w:style w:type="paragraph" w:styleId="Odsekzoznamu">
    <w:name w:val="List Paragraph"/>
    <w:basedOn w:val="Normlny"/>
    <w:uiPriority w:val="99"/>
    <w:qFormat/>
    <w:rsid w:val="003E6078"/>
    <w:pPr>
      <w:widowControl w:val="0"/>
      <w:autoSpaceDE w:val="0"/>
      <w:autoSpaceDN w:val="0"/>
      <w:adjustRightInd w:val="0"/>
      <w:ind w:left="720"/>
      <w:contextualSpacing/>
    </w:pPr>
    <w:rPr>
      <w:rFonts w:eastAsia="Times New Roman"/>
    </w:rPr>
  </w:style>
  <w:style w:type="table" w:styleId="Mriekatabuky">
    <w:name w:val="Table Grid"/>
    <w:basedOn w:val="Normlnatabuka"/>
    <w:uiPriority w:val="99"/>
    <w:unhideWhenUsed/>
    <w:rsid w:val="003E6078"/>
    <w:pPr>
      <w:spacing w:after="0" w:line="240" w:lineRule="auto"/>
    </w:pPr>
    <w:rPr>
      <w:rFonts w:ascii="Times New Roman" w:hAnsi="Times New Roman" w:cs="Times New Roman"/>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any">
    <w:name w:val="page number"/>
    <w:basedOn w:val="Predvolenpsmoodseku"/>
    <w:uiPriority w:val="99"/>
    <w:rsid w:val="0051186A"/>
    <w:rPr>
      <w:rFonts w:cs="Times New Roman"/>
    </w:rPr>
  </w:style>
  <w:style w:type="paragraph" w:styleId="Textpoznmkypodiarou">
    <w:name w:val="footnote text"/>
    <w:basedOn w:val="Normlny"/>
    <w:link w:val="TextpoznmkypodiarouChar"/>
    <w:uiPriority w:val="99"/>
    <w:semiHidden/>
    <w:unhideWhenUsed/>
    <w:rsid w:val="003F4775"/>
    <w:rPr>
      <w:rFonts w:asciiTheme="minorHAnsi" w:eastAsia="Times New Roman" w:hAnsiTheme="minorHAnsi"/>
      <w:sz w:val="20"/>
      <w:szCs w:val="20"/>
      <w:lang w:eastAsia="en-US"/>
    </w:rPr>
  </w:style>
  <w:style w:type="character" w:customStyle="1" w:styleId="TextpoznmkypodiarouChar">
    <w:name w:val="Text poznámky pod čiarou Char"/>
    <w:basedOn w:val="Predvolenpsmoodseku"/>
    <w:link w:val="Textpoznmkypodiarou"/>
    <w:uiPriority w:val="99"/>
    <w:semiHidden/>
    <w:locked/>
    <w:rsid w:val="003F4775"/>
    <w:rPr>
      <w:rFonts w:cs="Times New Roman"/>
      <w:sz w:val="20"/>
      <w:szCs w:val="20"/>
    </w:rPr>
  </w:style>
  <w:style w:type="character" w:styleId="Odkaznapoznmkupodiarou">
    <w:name w:val="footnote reference"/>
    <w:basedOn w:val="Predvolenpsmoodseku"/>
    <w:uiPriority w:val="99"/>
    <w:semiHidden/>
    <w:unhideWhenUsed/>
    <w:rsid w:val="003F4775"/>
    <w:rPr>
      <w:rFonts w:cs="Times New Roman"/>
      <w:vertAlign w:val="superscript"/>
    </w:rPr>
  </w:style>
  <w:style w:type="paragraph" w:styleId="Textbubliny">
    <w:name w:val="Balloon Text"/>
    <w:basedOn w:val="Normlny"/>
    <w:link w:val="TextbublinyChar"/>
    <w:uiPriority w:val="99"/>
    <w:semiHidden/>
    <w:unhideWhenUsed/>
    <w:rsid w:val="00D325FD"/>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325FD"/>
    <w:rPr>
      <w:rFonts w:ascii="Tahoma" w:eastAsiaTheme="minorEastAsia" w:hAnsi="Tahoma" w:cs="Tahoma"/>
      <w:sz w:val="16"/>
      <w:szCs w:val="16"/>
      <w:lang w:val="x-none"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7528C3"/>
    <w:pPr>
      <w:spacing w:after="0" w:line="240" w:lineRule="auto"/>
    </w:pPr>
    <w:rPr>
      <w:rFonts w:ascii="Times New Roman" w:eastAsiaTheme="minorEastAsia" w:hAnsi="Times New Roman" w:cs="Times New Roman"/>
      <w:sz w:val="24"/>
      <w:szCs w:val="24"/>
      <w:lang w:eastAsia="sk-SK"/>
    </w:rPr>
  </w:style>
  <w:style w:type="paragraph" w:styleId="Nadpis2">
    <w:name w:val="heading 2"/>
    <w:basedOn w:val="Normlny"/>
    <w:next w:val="Normlny"/>
    <w:link w:val="Nadpis2Char"/>
    <w:uiPriority w:val="9"/>
    <w:unhideWhenUsed/>
    <w:qFormat/>
    <w:rsid w:val="00DF5DD4"/>
    <w:pPr>
      <w:keepNext/>
      <w:keepLines/>
      <w:spacing w:before="200" w:line="276" w:lineRule="auto"/>
      <w:outlineLvl w:val="1"/>
    </w:pPr>
    <w:rPr>
      <w:rFonts w:asciiTheme="majorHAnsi" w:eastAsiaTheme="majorEastAsia" w:hAnsiTheme="majorHAnsi"/>
      <w:b/>
      <w:bCs/>
      <w:color w:val="5B9BD5" w:themeColor="accent1"/>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DF5DD4"/>
    <w:rPr>
      <w:rFonts w:asciiTheme="majorHAnsi" w:eastAsiaTheme="majorEastAsia" w:hAnsiTheme="majorHAnsi" w:cs="Times New Roman"/>
      <w:b/>
      <w:bCs/>
      <w:color w:val="5B9BD5" w:themeColor="accent1"/>
      <w:sz w:val="26"/>
      <w:szCs w:val="26"/>
    </w:rPr>
  </w:style>
  <w:style w:type="paragraph" w:styleId="Hlavika">
    <w:name w:val="header"/>
    <w:basedOn w:val="Normlny"/>
    <w:link w:val="HlavikaChar"/>
    <w:uiPriority w:val="99"/>
    <w:unhideWhenUsed/>
    <w:rsid w:val="007528C3"/>
    <w:pPr>
      <w:tabs>
        <w:tab w:val="center" w:pos="4536"/>
        <w:tab w:val="right" w:pos="9072"/>
      </w:tabs>
    </w:pPr>
  </w:style>
  <w:style w:type="character" w:customStyle="1" w:styleId="HlavikaChar">
    <w:name w:val="Hlavička Char"/>
    <w:basedOn w:val="Predvolenpsmoodseku"/>
    <w:link w:val="Hlavika"/>
    <w:uiPriority w:val="99"/>
    <w:locked/>
    <w:rsid w:val="007528C3"/>
    <w:rPr>
      <w:rFonts w:ascii="Times New Roman" w:eastAsiaTheme="minorEastAsia" w:hAnsi="Times New Roman" w:cs="Times New Roman"/>
      <w:sz w:val="24"/>
      <w:szCs w:val="24"/>
      <w:lang w:val="x-none" w:eastAsia="sk-SK"/>
    </w:rPr>
  </w:style>
  <w:style w:type="paragraph" w:styleId="Pta">
    <w:name w:val="footer"/>
    <w:basedOn w:val="Normlny"/>
    <w:link w:val="PtaChar"/>
    <w:uiPriority w:val="99"/>
    <w:unhideWhenUsed/>
    <w:rsid w:val="007528C3"/>
    <w:pPr>
      <w:tabs>
        <w:tab w:val="center" w:pos="4536"/>
        <w:tab w:val="right" w:pos="9072"/>
      </w:tabs>
    </w:pPr>
  </w:style>
  <w:style w:type="character" w:customStyle="1" w:styleId="PtaChar">
    <w:name w:val="Päta Char"/>
    <w:basedOn w:val="Predvolenpsmoodseku"/>
    <w:link w:val="Pta"/>
    <w:uiPriority w:val="99"/>
    <w:locked/>
    <w:rsid w:val="007528C3"/>
    <w:rPr>
      <w:rFonts w:ascii="Times New Roman" w:eastAsiaTheme="minorEastAsia" w:hAnsi="Times New Roman" w:cs="Times New Roman"/>
      <w:sz w:val="24"/>
      <w:szCs w:val="24"/>
      <w:lang w:val="x-none" w:eastAsia="sk-SK"/>
    </w:rPr>
  </w:style>
  <w:style w:type="paragraph" w:styleId="Zarkazkladnhotextu3">
    <w:name w:val="Body Text Indent 3"/>
    <w:basedOn w:val="Normlny"/>
    <w:link w:val="Zarkazkladnhotextu3Char"/>
    <w:uiPriority w:val="99"/>
    <w:rsid w:val="007528C3"/>
    <w:pPr>
      <w:spacing w:after="120"/>
      <w:ind w:left="283"/>
    </w:pPr>
    <w:rPr>
      <w:rFonts w:eastAsia="Times New Roman"/>
      <w:sz w:val="16"/>
      <w:szCs w:val="16"/>
      <w:lang w:val="cs-CZ" w:eastAsia="cs-CZ"/>
    </w:rPr>
  </w:style>
  <w:style w:type="character" w:customStyle="1" w:styleId="Zarkazkladnhotextu3Char">
    <w:name w:val="Zarážka základného textu 3 Char"/>
    <w:basedOn w:val="Predvolenpsmoodseku"/>
    <w:link w:val="Zarkazkladnhotextu3"/>
    <w:uiPriority w:val="99"/>
    <w:locked/>
    <w:rsid w:val="007528C3"/>
    <w:rPr>
      <w:rFonts w:ascii="Times New Roman" w:hAnsi="Times New Roman" w:cs="Times New Roman"/>
      <w:sz w:val="16"/>
      <w:szCs w:val="16"/>
      <w:lang w:val="cs-CZ" w:eastAsia="cs-CZ"/>
    </w:rPr>
  </w:style>
  <w:style w:type="paragraph" w:styleId="Normlnywebov">
    <w:name w:val="Normal (Web)"/>
    <w:basedOn w:val="Normlny"/>
    <w:uiPriority w:val="99"/>
    <w:rsid w:val="007528C3"/>
    <w:pPr>
      <w:spacing w:before="100" w:beforeAutospacing="1" w:after="100" w:afterAutospacing="1"/>
    </w:pPr>
    <w:rPr>
      <w:rFonts w:eastAsia="Times New Roman"/>
    </w:rPr>
  </w:style>
  <w:style w:type="paragraph" w:customStyle="1" w:styleId="AODocTxt">
    <w:name w:val="AODocTxt"/>
    <w:basedOn w:val="Normlny"/>
    <w:link w:val="AODocTxtChar"/>
    <w:rsid w:val="00334B2F"/>
    <w:pPr>
      <w:spacing w:before="240" w:line="260" w:lineRule="atLeast"/>
      <w:jc w:val="both"/>
    </w:pPr>
    <w:rPr>
      <w:rFonts w:eastAsia="SimSun"/>
      <w:sz w:val="22"/>
      <w:szCs w:val="20"/>
      <w:lang w:val="en-GB" w:eastAsia="en-US"/>
    </w:rPr>
  </w:style>
  <w:style w:type="character" w:customStyle="1" w:styleId="AODocTxtChar">
    <w:name w:val="AODocTxt Char"/>
    <w:basedOn w:val="Predvolenpsmoodseku"/>
    <w:link w:val="AODocTxt"/>
    <w:locked/>
    <w:rsid w:val="00334B2F"/>
    <w:rPr>
      <w:rFonts w:ascii="Times New Roman" w:eastAsia="SimSun" w:hAnsi="Times New Roman" w:cs="Times New Roman"/>
      <w:sz w:val="20"/>
      <w:szCs w:val="20"/>
      <w:lang w:val="en-GB" w:eastAsia="x-none"/>
    </w:rPr>
  </w:style>
  <w:style w:type="character" w:styleId="Textzstupnhosymbolu">
    <w:name w:val="Placeholder Text"/>
    <w:basedOn w:val="Predvolenpsmoodseku"/>
    <w:uiPriority w:val="99"/>
    <w:rsid w:val="002C2578"/>
    <w:rPr>
      <w:rFonts w:cs="Times New Roman"/>
      <w:color w:val="808080"/>
    </w:rPr>
  </w:style>
  <w:style w:type="paragraph" w:customStyle="1" w:styleId="Default">
    <w:name w:val="Default"/>
    <w:rsid w:val="002C2578"/>
    <w:pPr>
      <w:autoSpaceDE w:val="0"/>
      <w:autoSpaceDN w:val="0"/>
      <w:adjustRightInd w:val="0"/>
      <w:spacing w:after="0" w:line="240" w:lineRule="auto"/>
    </w:pPr>
    <w:rPr>
      <w:rFonts w:ascii="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2C2578"/>
    <w:rPr>
      <w:rFonts w:cs="Times New Roman"/>
      <w:color w:val="0000FF"/>
      <w:u w:val="single"/>
    </w:rPr>
  </w:style>
  <w:style w:type="paragraph" w:styleId="Odsekzoznamu">
    <w:name w:val="List Paragraph"/>
    <w:basedOn w:val="Normlny"/>
    <w:uiPriority w:val="99"/>
    <w:qFormat/>
    <w:rsid w:val="003E6078"/>
    <w:pPr>
      <w:widowControl w:val="0"/>
      <w:autoSpaceDE w:val="0"/>
      <w:autoSpaceDN w:val="0"/>
      <w:adjustRightInd w:val="0"/>
      <w:ind w:left="720"/>
      <w:contextualSpacing/>
    </w:pPr>
    <w:rPr>
      <w:rFonts w:eastAsia="Times New Roman"/>
    </w:rPr>
  </w:style>
  <w:style w:type="table" w:styleId="Mriekatabuky">
    <w:name w:val="Table Grid"/>
    <w:basedOn w:val="Normlnatabuka"/>
    <w:uiPriority w:val="99"/>
    <w:unhideWhenUsed/>
    <w:rsid w:val="003E6078"/>
    <w:pPr>
      <w:spacing w:after="0" w:line="240" w:lineRule="auto"/>
    </w:pPr>
    <w:rPr>
      <w:rFonts w:ascii="Times New Roman" w:hAnsi="Times New Roman" w:cs="Times New Roman"/>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any">
    <w:name w:val="page number"/>
    <w:basedOn w:val="Predvolenpsmoodseku"/>
    <w:uiPriority w:val="99"/>
    <w:rsid w:val="0051186A"/>
    <w:rPr>
      <w:rFonts w:cs="Times New Roman"/>
    </w:rPr>
  </w:style>
  <w:style w:type="paragraph" w:styleId="Textpoznmkypodiarou">
    <w:name w:val="footnote text"/>
    <w:basedOn w:val="Normlny"/>
    <w:link w:val="TextpoznmkypodiarouChar"/>
    <w:uiPriority w:val="99"/>
    <w:semiHidden/>
    <w:unhideWhenUsed/>
    <w:rsid w:val="003F4775"/>
    <w:rPr>
      <w:rFonts w:asciiTheme="minorHAnsi" w:eastAsia="Times New Roman" w:hAnsiTheme="minorHAnsi"/>
      <w:sz w:val="20"/>
      <w:szCs w:val="20"/>
      <w:lang w:eastAsia="en-US"/>
    </w:rPr>
  </w:style>
  <w:style w:type="character" w:customStyle="1" w:styleId="TextpoznmkypodiarouChar">
    <w:name w:val="Text poznámky pod čiarou Char"/>
    <w:basedOn w:val="Predvolenpsmoodseku"/>
    <w:link w:val="Textpoznmkypodiarou"/>
    <w:uiPriority w:val="99"/>
    <w:semiHidden/>
    <w:locked/>
    <w:rsid w:val="003F4775"/>
    <w:rPr>
      <w:rFonts w:cs="Times New Roman"/>
      <w:sz w:val="20"/>
      <w:szCs w:val="20"/>
    </w:rPr>
  </w:style>
  <w:style w:type="character" w:styleId="Odkaznapoznmkupodiarou">
    <w:name w:val="footnote reference"/>
    <w:basedOn w:val="Predvolenpsmoodseku"/>
    <w:uiPriority w:val="99"/>
    <w:semiHidden/>
    <w:unhideWhenUsed/>
    <w:rsid w:val="003F4775"/>
    <w:rPr>
      <w:rFonts w:cs="Times New Roman"/>
      <w:vertAlign w:val="superscript"/>
    </w:rPr>
  </w:style>
  <w:style w:type="paragraph" w:styleId="Textbubliny">
    <w:name w:val="Balloon Text"/>
    <w:basedOn w:val="Normlny"/>
    <w:link w:val="TextbublinyChar"/>
    <w:uiPriority w:val="99"/>
    <w:semiHidden/>
    <w:unhideWhenUsed/>
    <w:rsid w:val="00D325FD"/>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325FD"/>
    <w:rPr>
      <w:rFonts w:ascii="Tahoma" w:eastAsiaTheme="minorEastAsia" w:hAnsi="Tahoma" w:cs="Tahoma"/>
      <w:sz w:val="16"/>
      <w:szCs w:val="16"/>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51074">
      <w:marLeft w:val="0"/>
      <w:marRight w:val="0"/>
      <w:marTop w:val="0"/>
      <w:marBottom w:val="0"/>
      <w:divBdr>
        <w:top w:val="none" w:sz="0" w:space="0" w:color="auto"/>
        <w:left w:val="none" w:sz="0" w:space="0" w:color="auto"/>
        <w:bottom w:val="none" w:sz="0" w:space="0" w:color="auto"/>
        <w:right w:val="none" w:sz="0" w:space="0" w:color="auto"/>
      </w:divBdr>
    </w:div>
    <w:div w:id="768551075">
      <w:marLeft w:val="0"/>
      <w:marRight w:val="0"/>
      <w:marTop w:val="0"/>
      <w:marBottom w:val="0"/>
      <w:divBdr>
        <w:top w:val="none" w:sz="0" w:space="0" w:color="auto"/>
        <w:left w:val="none" w:sz="0" w:space="0" w:color="auto"/>
        <w:bottom w:val="none" w:sz="0" w:space="0" w:color="auto"/>
        <w:right w:val="none" w:sz="0" w:space="0" w:color="auto"/>
      </w:divBdr>
    </w:div>
    <w:div w:id="7685510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hambalekova@justice.sk" TargetMode="Externa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9660</Words>
  <Characters>55067</Characters>
  <Application>Microsoft Office Word</Application>
  <DocSecurity>0</DocSecurity>
  <Lines>458</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PALÚŠ Juraj</dc:creator>
  <cp:lastModifiedBy>HAMBALEKOVA Alena</cp:lastModifiedBy>
  <cp:revision>2</cp:revision>
  <cp:lastPrinted>2019-04-24T05:39:00Z</cp:lastPrinted>
  <dcterms:created xsi:type="dcterms:W3CDTF">2019-04-24T07:05:00Z</dcterms:created>
  <dcterms:modified xsi:type="dcterms:W3CDTF">2019-04-24T07:05:00Z</dcterms:modified>
</cp:coreProperties>
</file>